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27F62">
      <w:pPr>
        <w:pStyle w:val="22"/>
        <w:ind w:firstLine="210"/>
      </w:pPr>
    </w:p>
    <w:p w14:paraId="6F7DB727">
      <w:pPr>
        <w:pStyle w:val="22"/>
        <w:ind w:firstLine="210"/>
      </w:pPr>
    </w:p>
    <w:p w14:paraId="60A78064">
      <w:pPr>
        <w:spacing w:after="240" w:line="360" w:lineRule="auto"/>
        <w:jc w:val="center"/>
        <w:rPr>
          <w:rFonts w:hint="eastAsia" w:ascii="黑体" w:hAnsi="黑体" w:eastAsia="黑体"/>
          <w:b/>
          <w:color w:val="000000" w:themeColor="text1"/>
          <w:sz w:val="40"/>
          <w:szCs w:val="44"/>
          <w:lang w:eastAsia="zh-CN"/>
          <w14:textFill>
            <w14:solidFill>
              <w14:schemeClr w14:val="tx1"/>
            </w14:solidFill>
          </w14:textFill>
        </w:rPr>
      </w:pPr>
      <w:r>
        <w:rPr>
          <w:rFonts w:hint="eastAsia" w:ascii="黑体" w:hAnsi="黑体" w:eastAsia="黑体"/>
          <w:b/>
          <w:color w:val="000000" w:themeColor="text1"/>
          <w:sz w:val="40"/>
          <w:szCs w:val="44"/>
          <w:lang w:eastAsia="zh-CN"/>
          <w14:textFill>
            <w14:solidFill>
              <w14:schemeClr w14:val="tx1"/>
            </w14:solidFill>
          </w14:textFill>
        </w:rPr>
        <w:t>广东华南粮食交易中心有限公司</w:t>
      </w:r>
    </w:p>
    <w:p w14:paraId="6EB608EE">
      <w:pPr>
        <w:spacing w:after="240" w:line="360" w:lineRule="auto"/>
        <w:jc w:val="center"/>
        <w:rPr>
          <w:rFonts w:hint="eastAsia" w:ascii="黑体" w:hAnsi="黑体" w:eastAsia="黑体"/>
          <w:b/>
          <w:color w:val="000000" w:themeColor="text1"/>
          <w:sz w:val="40"/>
          <w:szCs w:val="44"/>
          <w:lang w:eastAsia="zh-CN"/>
          <w14:textFill>
            <w14:solidFill>
              <w14:schemeClr w14:val="tx1"/>
            </w14:solidFill>
          </w14:textFill>
        </w:rPr>
      </w:pPr>
      <w:r>
        <w:rPr>
          <w:rFonts w:hint="eastAsia" w:ascii="黑体" w:hAnsi="黑体" w:eastAsia="黑体"/>
          <w:b/>
          <w:color w:val="000000" w:themeColor="text1"/>
          <w:sz w:val="40"/>
          <w:szCs w:val="44"/>
          <w:lang w:eastAsia="zh-CN"/>
          <w14:textFill>
            <w14:solidFill>
              <w14:schemeClr w14:val="tx1"/>
            </w14:solidFill>
          </w14:textFill>
        </w:rPr>
        <w:t>常平粮库三期工程监理</w:t>
      </w:r>
    </w:p>
    <w:p w14:paraId="1E74850A">
      <w:pPr>
        <w:spacing w:line="400" w:lineRule="exact"/>
        <w:rPr>
          <w:rFonts w:ascii="宋体" w:hAnsi="宋体"/>
          <w:color w:val="000000" w:themeColor="text1"/>
          <w14:textFill>
            <w14:solidFill>
              <w14:schemeClr w14:val="tx1"/>
            </w14:solidFill>
          </w14:textFill>
        </w:rPr>
      </w:pPr>
    </w:p>
    <w:p w14:paraId="77208EAC">
      <w:pPr>
        <w:spacing w:line="400" w:lineRule="exact"/>
        <w:jc w:val="left"/>
        <w:rPr>
          <w:rFonts w:ascii="宋体" w:hAnsi="宋体"/>
          <w:color w:val="000000" w:themeColor="text1"/>
          <w14:textFill>
            <w14:solidFill>
              <w14:schemeClr w14:val="tx1"/>
            </w14:solidFill>
          </w14:textFill>
        </w:rPr>
      </w:pPr>
    </w:p>
    <w:p w14:paraId="370E459C">
      <w:pPr>
        <w:pStyle w:val="22"/>
        <w:ind w:firstLine="210"/>
        <w:rPr>
          <w:color w:val="000000" w:themeColor="text1"/>
          <w14:textFill>
            <w14:solidFill>
              <w14:schemeClr w14:val="tx1"/>
            </w14:solidFill>
          </w14:textFill>
        </w:rPr>
      </w:pPr>
    </w:p>
    <w:p w14:paraId="39914584">
      <w:pPr>
        <w:pStyle w:val="22"/>
        <w:ind w:firstLine="210"/>
        <w:rPr>
          <w:color w:val="000000" w:themeColor="text1"/>
          <w14:textFill>
            <w14:solidFill>
              <w14:schemeClr w14:val="tx1"/>
            </w14:solidFill>
          </w14:textFill>
        </w:rPr>
      </w:pPr>
    </w:p>
    <w:p w14:paraId="1524BC9C">
      <w:pPr>
        <w:spacing w:line="400" w:lineRule="exact"/>
        <w:jc w:val="left"/>
        <w:rPr>
          <w:rFonts w:ascii="宋体" w:hAnsi="宋体"/>
          <w:color w:val="000000" w:themeColor="text1"/>
          <w14:textFill>
            <w14:solidFill>
              <w14:schemeClr w14:val="tx1"/>
            </w14:solidFill>
          </w14:textFill>
        </w:rPr>
      </w:pPr>
    </w:p>
    <w:p w14:paraId="3D64767A">
      <w:pPr>
        <w:rPr>
          <w:rFonts w:ascii="宋体" w:hAnsi="宋体"/>
          <w:color w:val="000000" w:themeColor="text1"/>
          <w:sz w:val="28"/>
          <w:szCs w:val="28"/>
          <w14:textFill>
            <w14:solidFill>
              <w14:schemeClr w14:val="tx1"/>
            </w14:solidFill>
          </w14:textFill>
        </w:rPr>
      </w:pPr>
    </w:p>
    <w:p w14:paraId="5221FCF0">
      <w:pPr>
        <w:rPr>
          <w:rFonts w:ascii="宋体" w:hAnsi="宋体"/>
          <w:color w:val="000000" w:themeColor="text1"/>
          <w:sz w:val="28"/>
          <w:szCs w:val="28"/>
          <w14:textFill>
            <w14:solidFill>
              <w14:schemeClr w14:val="tx1"/>
            </w14:solidFill>
          </w14:textFill>
        </w:rPr>
      </w:pPr>
    </w:p>
    <w:p w14:paraId="7CF15C20">
      <w:pPr>
        <w:jc w:val="center"/>
        <w:rPr>
          <w:rFonts w:ascii="宋体" w:hAnsi="宋体"/>
          <w:b/>
          <w:color w:val="000000" w:themeColor="text1"/>
          <w:sz w:val="96"/>
          <w:szCs w:val="56"/>
          <w14:textFill>
            <w14:solidFill>
              <w14:schemeClr w14:val="tx1"/>
            </w14:solidFill>
          </w14:textFill>
        </w:rPr>
      </w:pPr>
      <w:r>
        <w:rPr>
          <w:rFonts w:hint="eastAsia" w:ascii="宋体" w:hAnsi="宋体"/>
          <w:b/>
          <w:color w:val="000000" w:themeColor="text1"/>
          <w:sz w:val="96"/>
          <w:szCs w:val="56"/>
          <w14:textFill>
            <w14:solidFill>
              <w14:schemeClr w14:val="tx1"/>
            </w14:solidFill>
          </w14:textFill>
        </w:rPr>
        <w:t>招标文件</w:t>
      </w:r>
    </w:p>
    <w:p w14:paraId="526828C4">
      <w:pPr>
        <w:spacing w:line="400" w:lineRule="exact"/>
        <w:rPr>
          <w:rFonts w:ascii="宋体" w:hAnsi="宋体"/>
          <w:color w:val="000000" w:themeColor="text1"/>
          <w14:textFill>
            <w14:solidFill>
              <w14:schemeClr w14:val="tx1"/>
            </w14:solidFill>
          </w14:textFill>
        </w:rPr>
      </w:pPr>
    </w:p>
    <w:p w14:paraId="00F0CBD6">
      <w:pPr>
        <w:spacing w:line="400" w:lineRule="exact"/>
        <w:rPr>
          <w:rFonts w:ascii="宋体" w:hAnsi="宋体"/>
          <w:color w:val="000000" w:themeColor="text1"/>
          <w14:textFill>
            <w14:solidFill>
              <w14:schemeClr w14:val="tx1"/>
            </w14:solidFill>
          </w14:textFill>
        </w:rPr>
      </w:pPr>
    </w:p>
    <w:p w14:paraId="30C8820C">
      <w:pPr>
        <w:spacing w:line="400" w:lineRule="exact"/>
        <w:rPr>
          <w:rFonts w:ascii="宋体" w:hAnsi="宋体"/>
          <w:color w:val="000000" w:themeColor="text1"/>
          <w14:textFill>
            <w14:solidFill>
              <w14:schemeClr w14:val="tx1"/>
            </w14:solidFill>
          </w14:textFill>
        </w:rPr>
      </w:pPr>
    </w:p>
    <w:p w14:paraId="1731CDC5">
      <w:pPr>
        <w:spacing w:line="400" w:lineRule="exact"/>
        <w:rPr>
          <w:rFonts w:ascii="宋体" w:hAnsi="宋体"/>
          <w:color w:val="000000" w:themeColor="text1"/>
          <w14:textFill>
            <w14:solidFill>
              <w14:schemeClr w14:val="tx1"/>
            </w14:solidFill>
          </w14:textFill>
        </w:rPr>
      </w:pPr>
    </w:p>
    <w:p w14:paraId="6CAFC183">
      <w:pPr>
        <w:spacing w:line="400" w:lineRule="exact"/>
        <w:rPr>
          <w:rFonts w:ascii="宋体" w:hAnsi="宋体"/>
          <w:color w:val="000000" w:themeColor="text1"/>
          <w14:textFill>
            <w14:solidFill>
              <w14:schemeClr w14:val="tx1"/>
            </w14:solidFill>
          </w14:textFill>
        </w:rPr>
      </w:pPr>
    </w:p>
    <w:p w14:paraId="2D9FB6F7">
      <w:pPr>
        <w:spacing w:line="400" w:lineRule="exact"/>
        <w:rPr>
          <w:rFonts w:ascii="宋体" w:hAnsi="宋体"/>
          <w:color w:val="000000" w:themeColor="text1"/>
          <w14:textFill>
            <w14:solidFill>
              <w14:schemeClr w14:val="tx1"/>
            </w14:solidFill>
          </w14:textFill>
        </w:rPr>
      </w:pPr>
    </w:p>
    <w:p w14:paraId="633AE10B">
      <w:pPr>
        <w:spacing w:line="400" w:lineRule="exact"/>
        <w:rPr>
          <w:rFonts w:ascii="宋体" w:hAnsi="宋体"/>
          <w:color w:val="000000" w:themeColor="text1"/>
          <w14:textFill>
            <w14:solidFill>
              <w14:schemeClr w14:val="tx1"/>
            </w14:solidFill>
          </w14:textFill>
        </w:rPr>
      </w:pPr>
    </w:p>
    <w:p w14:paraId="64D84F7E">
      <w:pPr>
        <w:spacing w:line="400" w:lineRule="exact"/>
        <w:rPr>
          <w:rFonts w:ascii="宋体" w:hAnsi="宋体"/>
          <w:color w:val="000000" w:themeColor="text1"/>
          <w14:textFill>
            <w14:solidFill>
              <w14:schemeClr w14:val="tx1"/>
            </w14:solidFill>
          </w14:textFill>
        </w:rPr>
      </w:pPr>
    </w:p>
    <w:p w14:paraId="596E6F36">
      <w:pPr>
        <w:spacing w:line="400" w:lineRule="exact"/>
        <w:rPr>
          <w:rFonts w:ascii="宋体" w:hAnsi="宋体"/>
          <w:color w:val="000000" w:themeColor="text1"/>
          <w14:textFill>
            <w14:solidFill>
              <w14:schemeClr w14:val="tx1"/>
            </w14:solidFill>
          </w14:textFill>
        </w:rPr>
      </w:pPr>
    </w:p>
    <w:p w14:paraId="7CAD4DAB">
      <w:pPr>
        <w:spacing w:line="400" w:lineRule="exact"/>
        <w:rPr>
          <w:rFonts w:ascii="宋体" w:hAnsi="宋体"/>
          <w:color w:val="000000" w:themeColor="text1"/>
          <w14:textFill>
            <w14:solidFill>
              <w14:schemeClr w14:val="tx1"/>
            </w14:solidFill>
          </w14:textFill>
        </w:rPr>
      </w:pPr>
    </w:p>
    <w:p w14:paraId="1F899E45">
      <w:pPr>
        <w:spacing w:line="400" w:lineRule="exact"/>
        <w:rPr>
          <w:rFonts w:ascii="宋体" w:hAnsi="宋体"/>
          <w:color w:val="000000" w:themeColor="text1"/>
          <w14:textFill>
            <w14:solidFill>
              <w14:schemeClr w14:val="tx1"/>
            </w14:solidFill>
          </w14:textFill>
        </w:rPr>
      </w:pPr>
    </w:p>
    <w:p w14:paraId="7D898E5C">
      <w:pPr>
        <w:spacing w:line="360" w:lineRule="auto"/>
        <w:jc w:val="center"/>
        <w:rPr>
          <w:rFonts w:hint="eastAsia" w:ascii="宋体" w:hAnsi="宋体" w:eastAsia="宋体"/>
          <w:b/>
          <w:color w:val="000000" w:themeColor="text1"/>
          <w:sz w:val="32"/>
          <w:szCs w:val="28"/>
          <w:lang w:eastAsia="zh-CN"/>
          <w14:textFill>
            <w14:solidFill>
              <w14:schemeClr w14:val="tx1"/>
            </w14:solidFill>
          </w14:textFill>
        </w:rPr>
      </w:pPr>
      <w:bookmarkStart w:id="0" w:name="_Toc144974479"/>
      <w:bookmarkStart w:id="1" w:name="_Toc152042287"/>
      <w:bookmarkStart w:id="2" w:name="_Toc152045511"/>
      <w:r>
        <w:rPr>
          <w:rFonts w:hint="eastAsia" w:ascii="宋体" w:hAnsi="宋体"/>
          <w:b/>
          <w:color w:val="000000" w:themeColor="text1"/>
          <w:sz w:val="32"/>
          <w:szCs w:val="28"/>
          <w14:textFill>
            <w14:solidFill>
              <w14:schemeClr w14:val="tx1"/>
            </w14:solidFill>
          </w14:textFill>
        </w:rPr>
        <w:t>招</w:t>
      </w:r>
      <w:r>
        <w:rPr>
          <w:rFonts w:ascii="宋体" w:hAnsi="宋体"/>
          <w:b/>
          <w:color w:val="000000" w:themeColor="text1"/>
          <w:sz w:val="32"/>
          <w:szCs w:val="28"/>
          <w14:textFill>
            <w14:solidFill>
              <w14:schemeClr w14:val="tx1"/>
            </w14:solidFill>
          </w14:textFill>
        </w:rPr>
        <w:t xml:space="preserve"> </w:t>
      </w:r>
      <w:r>
        <w:rPr>
          <w:rFonts w:hint="eastAsia" w:ascii="宋体" w:hAnsi="宋体"/>
          <w:b/>
          <w:color w:val="000000" w:themeColor="text1"/>
          <w:sz w:val="32"/>
          <w:szCs w:val="28"/>
          <w14:textFill>
            <w14:solidFill>
              <w14:schemeClr w14:val="tx1"/>
            </w14:solidFill>
          </w14:textFill>
        </w:rPr>
        <w:t>标</w:t>
      </w:r>
      <w:r>
        <w:rPr>
          <w:rFonts w:ascii="宋体" w:hAnsi="宋体"/>
          <w:b/>
          <w:color w:val="000000" w:themeColor="text1"/>
          <w:sz w:val="32"/>
          <w:szCs w:val="28"/>
          <w14:textFill>
            <w14:solidFill>
              <w14:schemeClr w14:val="tx1"/>
            </w14:solidFill>
          </w14:textFill>
        </w:rPr>
        <w:t xml:space="preserve"> </w:t>
      </w:r>
      <w:r>
        <w:rPr>
          <w:rFonts w:hint="eastAsia" w:ascii="宋体" w:hAnsi="宋体"/>
          <w:b/>
          <w:color w:val="000000" w:themeColor="text1"/>
          <w:sz w:val="32"/>
          <w:szCs w:val="28"/>
          <w14:textFill>
            <w14:solidFill>
              <w14:schemeClr w14:val="tx1"/>
            </w14:solidFill>
          </w14:textFill>
        </w:rPr>
        <w:t>单</w:t>
      </w:r>
      <w:r>
        <w:rPr>
          <w:rFonts w:ascii="宋体" w:hAnsi="宋体"/>
          <w:b/>
          <w:color w:val="000000" w:themeColor="text1"/>
          <w:sz w:val="32"/>
          <w:szCs w:val="28"/>
          <w14:textFill>
            <w14:solidFill>
              <w14:schemeClr w14:val="tx1"/>
            </w14:solidFill>
          </w14:textFill>
        </w:rPr>
        <w:t xml:space="preserve"> </w:t>
      </w:r>
      <w:r>
        <w:rPr>
          <w:rFonts w:hint="eastAsia" w:ascii="宋体" w:hAnsi="宋体"/>
          <w:b/>
          <w:color w:val="000000" w:themeColor="text1"/>
          <w:sz w:val="32"/>
          <w:szCs w:val="28"/>
          <w14:textFill>
            <w14:solidFill>
              <w14:schemeClr w14:val="tx1"/>
            </w14:solidFill>
          </w14:textFill>
        </w:rPr>
        <w:t>位：</w:t>
      </w:r>
      <w:r>
        <w:rPr>
          <w:rFonts w:hint="eastAsia" w:ascii="宋体" w:hAnsi="宋体"/>
          <w:b/>
          <w:color w:val="000000" w:themeColor="text1"/>
          <w:sz w:val="32"/>
          <w:szCs w:val="28"/>
          <w:lang w:eastAsia="zh-CN"/>
          <w14:textFill>
            <w14:solidFill>
              <w14:schemeClr w14:val="tx1"/>
            </w14:solidFill>
          </w14:textFill>
        </w:rPr>
        <w:t>广东华南粮食交易中心有限公司</w:t>
      </w:r>
    </w:p>
    <w:p w14:paraId="212762B3">
      <w:pPr>
        <w:spacing w:line="360" w:lineRule="auto"/>
        <w:jc w:val="center"/>
        <w:rPr>
          <w:rFonts w:hint="default" w:ascii="宋体" w:hAnsi="宋体" w:eastAsia="宋体"/>
          <w:b/>
          <w:color w:val="000000" w:themeColor="text1"/>
          <w:sz w:val="32"/>
          <w:szCs w:val="28"/>
          <w:lang w:val="en-US" w:eastAsia="zh-CN"/>
          <w14:textFill>
            <w14:solidFill>
              <w14:schemeClr w14:val="tx1"/>
            </w14:solidFill>
          </w14:textFill>
        </w:rPr>
      </w:pPr>
      <w:r>
        <w:rPr>
          <w:rFonts w:hint="eastAsia" w:ascii="宋体" w:hAnsi="宋体"/>
          <w:b/>
          <w:color w:val="000000" w:themeColor="text1"/>
          <w:sz w:val="32"/>
          <w:szCs w:val="28"/>
          <w14:textFill>
            <w14:solidFill>
              <w14:schemeClr w14:val="tx1"/>
            </w14:solidFill>
          </w14:textFill>
        </w:rPr>
        <w:t>招标代理单位：</w:t>
      </w:r>
      <w:r>
        <w:rPr>
          <w:rFonts w:hint="eastAsia" w:ascii="宋体" w:hAnsi="宋体"/>
          <w:b/>
          <w:color w:val="000000" w:themeColor="text1"/>
          <w:sz w:val="32"/>
          <w:szCs w:val="28"/>
          <w:lang w:eastAsia="zh-CN"/>
          <w14:textFill>
            <w14:solidFill>
              <w14:schemeClr w14:val="tx1"/>
            </w14:solidFill>
          </w14:textFill>
        </w:rPr>
        <w:t>广东</w:t>
      </w:r>
      <w:r>
        <w:rPr>
          <w:rFonts w:hint="eastAsia" w:ascii="宋体" w:hAnsi="宋体"/>
          <w:b/>
          <w:color w:val="000000" w:themeColor="text1"/>
          <w:sz w:val="32"/>
          <w:szCs w:val="28"/>
          <w:lang w:val="en-US" w:eastAsia="zh-CN"/>
          <w14:textFill>
            <w14:solidFill>
              <w14:schemeClr w14:val="tx1"/>
            </w14:solidFill>
          </w14:textFill>
        </w:rPr>
        <w:t>省国际工程咨询有限公司</w:t>
      </w:r>
    </w:p>
    <w:p w14:paraId="7F02297E">
      <w:pPr>
        <w:spacing w:line="360" w:lineRule="auto"/>
        <w:jc w:val="center"/>
        <w:rPr>
          <w:rFonts w:ascii="宋体" w:hAnsi="宋体"/>
          <w:b/>
          <w:color w:val="000000" w:themeColor="text1"/>
          <w:sz w:val="32"/>
          <w:szCs w:val="28"/>
          <w14:textFill>
            <w14:solidFill>
              <w14:schemeClr w14:val="tx1"/>
            </w14:solidFill>
          </w14:textFill>
        </w:rPr>
      </w:pPr>
      <w:r>
        <w:rPr>
          <w:rFonts w:hint="eastAsia" w:ascii="宋体" w:hAnsi="宋体"/>
          <w:b/>
          <w:color w:val="000000" w:themeColor="text1"/>
          <w:sz w:val="32"/>
          <w:szCs w:val="28"/>
          <w14:textFill>
            <w14:solidFill>
              <w14:schemeClr w14:val="tx1"/>
            </w14:solidFill>
          </w14:textFill>
        </w:rPr>
        <w:t>日期：</w:t>
      </w:r>
      <w:r>
        <w:rPr>
          <w:rFonts w:ascii="宋体" w:hAnsi="宋体"/>
          <w:b/>
          <w:color w:val="000000" w:themeColor="text1"/>
          <w:sz w:val="32"/>
          <w:szCs w:val="28"/>
          <w14:textFill>
            <w14:solidFill>
              <w14:schemeClr w14:val="tx1"/>
            </w14:solidFill>
          </w14:textFill>
        </w:rPr>
        <w:t>202</w:t>
      </w:r>
      <w:r>
        <w:rPr>
          <w:rFonts w:hint="eastAsia" w:ascii="宋体" w:hAnsi="宋体"/>
          <w:b/>
          <w:color w:val="000000" w:themeColor="text1"/>
          <w:sz w:val="32"/>
          <w:szCs w:val="28"/>
          <w:lang w:val="en-US" w:eastAsia="zh-CN"/>
          <w14:textFill>
            <w14:solidFill>
              <w14:schemeClr w14:val="tx1"/>
            </w14:solidFill>
          </w14:textFill>
        </w:rPr>
        <w:t>5</w:t>
      </w:r>
      <w:r>
        <w:rPr>
          <w:rFonts w:hint="eastAsia" w:ascii="宋体" w:hAnsi="宋体"/>
          <w:b/>
          <w:color w:val="000000" w:themeColor="text1"/>
          <w:sz w:val="32"/>
          <w:szCs w:val="28"/>
          <w14:textFill>
            <w14:solidFill>
              <w14:schemeClr w14:val="tx1"/>
            </w14:solidFill>
          </w14:textFill>
        </w:rPr>
        <w:t>年</w:t>
      </w:r>
      <w:r>
        <w:rPr>
          <w:rFonts w:hint="eastAsia" w:ascii="宋体" w:hAnsi="宋体"/>
          <w:b/>
          <w:color w:val="000000" w:themeColor="text1"/>
          <w:sz w:val="32"/>
          <w:szCs w:val="28"/>
          <w:lang w:val="en-US" w:eastAsia="zh-CN"/>
          <w14:textFill>
            <w14:solidFill>
              <w14:schemeClr w14:val="tx1"/>
            </w14:solidFill>
          </w14:textFill>
        </w:rPr>
        <w:t>10</w:t>
      </w:r>
      <w:r>
        <w:rPr>
          <w:rFonts w:hint="eastAsia" w:ascii="宋体" w:hAnsi="宋体"/>
          <w:b/>
          <w:color w:val="000000" w:themeColor="text1"/>
          <w:sz w:val="32"/>
          <w:szCs w:val="28"/>
          <w14:textFill>
            <w14:solidFill>
              <w14:schemeClr w14:val="tx1"/>
            </w14:solidFill>
          </w14:textFill>
        </w:rPr>
        <w:t>月</w:t>
      </w:r>
    </w:p>
    <w:p w14:paraId="5F97810D">
      <w:pPr>
        <w:spacing w:line="360" w:lineRule="auto"/>
        <w:jc w:val="both"/>
        <w:rPr>
          <w:rFonts w:ascii="宋体" w:hAnsi="宋体"/>
          <w:b/>
          <w:color w:val="000000" w:themeColor="text1"/>
          <w:sz w:val="28"/>
          <w:szCs w:val="24"/>
          <w14:textFill>
            <w14:solidFill>
              <w14:schemeClr w14:val="tx1"/>
            </w14:solidFill>
          </w14:textFill>
        </w:rPr>
        <w:sectPr>
          <w:footerReference r:id="rId5" w:type="first"/>
          <w:headerReference r:id="rId3" w:type="default"/>
          <w:footerReference r:id="rId4" w:type="default"/>
          <w:pgSz w:w="11906" w:h="16838"/>
          <w:pgMar w:top="1440" w:right="1800" w:bottom="1440" w:left="1800" w:header="851" w:footer="992" w:gutter="0"/>
          <w:cols w:space="720" w:num="1"/>
          <w:docGrid w:linePitch="312" w:charSpace="0"/>
        </w:sectPr>
      </w:pPr>
    </w:p>
    <w:p w14:paraId="56D84396">
      <w:pPr>
        <w:pStyle w:val="30"/>
        <w:keepNext w:val="0"/>
        <w:keepLines w:val="0"/>
        <w:widowControl w:val="0"/>
        <w:jc w:val="center"/>
        <w:rPr>
          <w:rFonts w:ascii="宋体" w:hAnsi="宋体"/>
          <w:color w:val="000000" w:themeColor="text1"/>
          <w:sz w:val="32"/>
          <w:szCs w:val="21"/>
          <w:lang w:val="zh-CN"/>
          <w14:textFill>
            <w14:solidFill>
              <w14:schemeClr w14:val="tx1"/>
            </w14:solidFill>
          </w14:textFill>
        </w:rPr>
      </w:pPr>
      <w:r>
        <w:rPr>
          <w:rFonts w:hint="eastAsia" w:ascii="宋体" w:hAnsi="宋体"/>
          <w:color w:val="000000" w:themeColor="text1"/>
          <w:sz w:val="32"/>
          <w:szCs w:val="21"/>
          <w:lang w:val="zh-CN"/>
          <w14:textFill>
            <w14:solidFill>
              <w14:schemeClr w14:val="tx1"/>
            </w14:solidFill>
          </w14:textFill>
        </w:rPr>
        <w:t>目录</w:t>
      </w:r>
    </w:p>
    <w:p w14:paraId="41A5A33D">
      <w:pPr>
        <w:jc w:val="center"/>
        <w:rPr>
          <w:color w:val="000000" w:themeColor="text1"/>
          <w:lang w:val="zh-CN"/>
          <w14:textFill>
            <w14:solidFill>
              <w14:schemeClr w14:val="tx1"/>
            </w14:solidFill>
          </w14:textFill>
        </w:rPr>
      </w:pPr>
    </w:p>
    <w:p w14:paraId="0A743B86">
      <w:pPr>
        <w:pStyle w:val="16"/>
        <w:tabs>
          <w:tab w:val="right" w:leader="dot" w:pos="8296"/>
        </w:tabs>
        <w:spacing w:line="480" w:lineRule="auto"/>
        <w:rPr>
          <w:rFonts w:asciiTheme="minorHAnsi" w:hAnsiTheme="minorHAnsi" w:eastAsiaTheme="minorEastAsia" w:cstheme="minorBidi"/>
          <w:sz w:val="32"/>
          <w:szCs w:val="32"/>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\z \u </w:instrText>
      </w:r>
      <w:r>
        <w:rPr>
          <w:color w:val="000000" w:themeColor="text1"/>
          <w14:textFill>
            <w14:solidFill>
              <w14:schemeClr w14:val="tx1"/>
            </w14:solidFill>
          </w14:textFill>
        </w:rPr>
        <w:fldChar w:fldCharType="separate"/>
      </w:r>
      <w:r>
        <w:fldChar w:fldCharType="begin"/>
      </w:r>
      <w:r>
        <w:instrText xml:space="preserve"> HYPERLINK \l "_Toc171430675" </w:instrText>
      </w:r>
      <w:r>
        <w:fldChar w:fldCharType="separate"/>
      </w:r>
      <w:r>
        <w:rPr>
          <w:rStyle w:val="26"/>
          <w:rFonts w:hint="eastAsia"/>
          <w:b/>
          <w:sz w:val="32"/>
          <w:szCs w:val="32"/>
        </w:rPr>
        <w:t>第一卷</w:t>
      </w:r>
      <w:r>
        <w:rPr>
          <w:sz w:val="32"/>
          <w:szCs w:val="32"/>
        </w:rPr>
        <w:tab/>
      </w:r>
      <w:r>
        <w:rPr>
          <w:sz w:val="32"/>
          <w:szCs w:val="32"/>
        </w:rPr>
        <w:fldChar w:fldCharType="begin"/>
      </w:r>
      <w:r>
        <w:rPr>
          <w:sz w:val="32"/>
          <w:szCs w:val="32"/>
        </w:rPr>
        <w:instrText xml:space="preserve"> PAGEREF _Toc171430675 \h </w:instrText>
      </w:r>
      <w:r>
        <w:rPr>
          <w:sz w:val="32"/>
          <w:szCs w:val="32"/>
        </w:rPr>
        <w:fldChar w:fldCharType="separate"/>
      </w:r>
      <w:r>
        <w:rPr>
          <w:sz w:val="32"/>
          <w:szCs w:val="32"/>
        </w:rPr>
        <w:t>2</w:t>
      </w:r>
      <w:r>
        <w:rPr>
          <w:sz w:val="32"/>
          <w:szCs w:val="32"/>
        </w:rPr>
        <w:fldChar w:fldCharType="end"/>
      </w:r>
      <w:r>
        <w:rPr>
          <w:sz w:val="32"/>
          <w:szCs w:val="32"/>
        </w:rPr>
        <w:fldChar w:fldCharType="end"/>
      </w:r>
    </w:p>
    <w:p w14:paraId="281C276C">
      <w:pPr>
        <w:pStyle w:val="16"/>
        <w:tabs>
          <w:tab w:val="right" w:leader="dot" w:pos="8296"/>
        </w:tabs>
        <w:spacing w:line="480" w:lineRule="auto"/>
        <w:rPr>
          <w:rFonts w:asciiTheme="minorHAnsi" w:hAnsiTheme="minorHAnsi" w:eastAsiaTheme="minorEastAsia" w:cstheme="minorBidi"/>
          <w:sz w:val="32"/>
          <w:szCs w:val="32"/>
        </w:rPr>
      </w:pPr>
      <w:r>
        <w:fldChar w:fldCharType="begin"/>
      </w:r>
      <w:r>
        <w:instrText xml:space="preserve"> HYPERLINK \l "_Toc171430676" </w:instrText>
      </w:r>
      <w:r>
        <w:fldChar w:fldCharType="separate"/>
      </w:r>
      <w:r>
        <w:rPr>
          <w:rStyle w:val="26"/>
          <w:rFonts w:ascii="宋体" w:hAnsi="宋体"/>
          <w:sz w:val="32"/>
          <w:szCs w:val="32"/>
        </w:rPr>
        <w:t>第一章 招标公告</w:t>
      </w:r>
      <w:r>
        <w:rPr>
          <w:sz w:val="32"/>
          <w:szCs w:val="32"/>
        </w:rPr>
        <w:tab/>
      </w:r>
      <w:r>
        <w:rPr>
          <w:sz w:val="32"/>
          <w:szCs w:val="32"/>
        </w:rPr>
        <w:fldChar w:fldCharType="begin"/>
      </w:r>
      <w:r>
        <w:rPr>
          <w:sz w:val="32"/>
          <w:szCs w:val="32"/>
        </w:rPr>
        <w:instrText xml:space="preserve"> PAGEREF _Toc171430676 \h </w:instrText>
      </w:r>
      <w:r>
        <w:rPr>
          <w:sz w:val="32"/>
          <w:szCs w:val="32"/>
        </w:rPr>
        <w:fldChar w:fldCharType="separate"/>
      </w:r>
      <w:r>
        <w:rPr>
          <w:sz w:val="32"/>
          <w:szCs w:val="32"/>
        </w:rPr>
        <w:t>2</w:t>
      </w:r>
      <w:r>
        <w:rPr>
          <w:sz w:val="32"/>
          <w:szCs w:val="32"/>
        </w:rPr>
        <w:fldChar w:fldCharType="end"/>
      </w:r>
      <w:r>
        <w:rPr>
          <w:sz w:val="32"/>
          <w:szCs w:val="32"/>
        </w:rPr>
        <w:fldChar w:fldCharType="end"/>
      </w:r>
    </w:p>
    <w:p w14:paraId="5B21265C">
      <w:pPr>
        <w:pStyle w:val="16"/>
        <w:tabs>
          <w:tab w:val="right" w:leader="dot" w:pos="8296"/>
        </w:tabs>
        <w:spacing w:line="480" w:lineRule="auto"/>
        <w:rPr>
          <w:rFonts w:asciiTheme="minorHAnsi" w:hAnsiTheme="minorHAnsi" w:eastAsiaTheme="minorEastAsia" w:cstheme="minorBidi"/>
          <w:sz w:val="32"/>
          <w:szCs w:val="32"/>
        </w:rPr>
      </w:pPr>
      <w:r>
        <w:fldChar w:fldCharType="begin"/>
      </w:r>
      <w:r>
        <w:instrText xml:space="preserve"> HYPERLINK \l "_Toc171430677" </w:instrText>
      </w:r>
      <w:r>
        <w:fldChar w:fldCharType="separate"/>
      </w:r>
      <w:r>
        <w:rPr>
          <w:rStyle w:val="26"/>
          <w:rFonts w:ascii="宋体" w:hAnsi="宋体"/>
          <w:sz w:val="32"/>
          <w:szCs w:val="32"/>
        </w:rPr>
        <w:t>第二章 投标人须知</w:t>
      </w:r>
      <w:r>
        <w:rPr>
          <w:sz w:val="32"/>
          <w:szCs w:val="32"/>
        </w:rPr>
        <w:tab/>
      </w:r>
      <w:r>
        <w:rPr>
          <w:sz w:val="32"/>
          <w:szCs w:val="32"/>
        </w:rPr>
        <w:fldChar w:fldCharType="begin"/>
      </w:r>
      <w:r>
        <w:rPr>
          <w:sz w:val="32"/>
          <w:szCs w:val="32"/>
        </w:rPr>
        <w:instrText xml:space="preserve"> PAGEREF _Toc171430677 \h </w:instrText>
      </w:r>
      <w:r>
        <w:rPr>
          <w:sz w:val="32"/>
          <w:szCs w:val="32"/>
        </w:rPr>
        <w:fldChar w:fldCharType="separate"/>
      </w:r>
      <w:r>
        <w:rPr>
          <w:sz w:val="32"/>
          <w:szCs w:val="32"/>
        </w:rPr>
        <w:t>2</w:t>
      </w:r>
      <w:r>
        <w:rPr>
          <w:sz w:val="32"/>
          <w:szCs w:val="32"/>
        </w:rPr>
        <w:fldChar w:fldCharType="end"/>
      </w:r>
      <w:r>
        <w:rPr>
          <w:sz w:val="32"/>
          <w:szCs w:val="32"/>
        </w:rPr>
        <w:fldChar w:fldCharType="end"/>
      </w:r>
    </w:p>
    <w:p w14:paraId="21C9863E">
      <w:pPr>
        <w:pStyle w:val="16"/>
        <w:tabs>
          <w:tab w:val="right" w:leader="dot" w:pos="8296"/>
        </w:tabs>
        <w:spacing w:line="480" w:lineRule="auto"/>
        <w:rPr>
          <w:rFonts w:asciiTheme="minorHAnsi" w:hAnsiTheme="minorHAnsi" w:eastAsiaTheme="minorEastAsia" w:cstheme="minorBidi"/>
          <w:sz w:val="32"/>
          <w:szCs w:val="32"/>
        </w:rPr>
      </w:pPr>
      <w:r>
        <w:fldChar w:fldCharType="begin"/>
      </w:r>
      <w:r>
        <w:instrText xml:space="preserve"> HYPERLINK \l "_Toc171430678" </w:instrText>
      </w:r>
      <w:r>
        <w:fldChar w:fldCharType="separate"/>
      </w:r>
      <w:r>
        <w:rPr>
          <w:rStyle w:val="26"/>
          <w:rFonts w:ascii="宋体" w:hAnsi="宋体"/>
          <w:sz w:val="32"/>
          <w:szCs w:val="32"/>
        </w:rPr>
        <w:t>第三章 评标办法（综合评估法）</w:t>
      </w:r>
      <w:r>
        <w:rPr>
          <w:sz w:val="32"/>
          <w:szCs w:val="32"/>
        </w:rPr>
        <w:tab/>
      </w:r>
      <w:r>
        <w:rPr>
          <w:sz w:val="32"/>
          <w:szCs w:val="32"/>
        </w:rPr>
        <w:fldChar w:fldCharType="begin"/>
      </w:r>
      <w:r>
        <w:rPr>
          <w:sz w:val="32"/>
          <w:szCs w:val="32"/>
        </w:rPr>
        <w:instrText xml:space="preserve"> PAGEREF _Toc171430678 \h </w:instrText>
      </w:r>
      <w:r>
        <w:rPr>
          <w:sz w:val="32"/>
          <w:szCs w:val="32"/>
        </w:rPr>
        <w:fldChar w:fldCharType="separate"/>
      </w:r>
      <w:r>
        <w:rPr>
          <w:sz w:val="32"/>
          <w:szCs w:val="32"/>
        </w:rPr>
        <w:t>35</w:t>
      </w:r>
      <w:r>
        <w:rPr>
          <w:sz w:val="32"/>
          <w:szCs w:val="32"/>
        </w:rPr>
        <w:fldChar w:fldCharType="end"/>
      </w:r>
      <w:r>
        <w:rPr>
          <w:sz w:val="32"/>
          <w:szCs w:val="32"/>
        </w:rPr>
        <w:fldChar w:fldCharType="end"/>
      </w:r>
    </w:p>
    <w:p w14:paraId="4B2FC4CD">
      <w:pPr>
        <w:pStyle w:val="16"/>
        <w:tabs>
          <w:tab w:val="right" w:leader="dot" w:pos="8296"/>
        </w:tabs>
        <w:spacing w:line="480" w:lineRule="auto"/>
        <w:rPr>
          <w:rFonts w:asciiTheme="minorHAnsi" w:hAnsiTheme="minorHAnsi" w:eastAsiaTheme="minorEastAsia" w:cstheme="minorBidi"/>
          <w:sz w:val="32"/>
          <w:szCs w:val="32"/>
        </w:rPr>
      </w:pPr>
      <w:r>
        <w:fldChar w:fldCharType="begin"/>
      </w:r>
      <w:r>
        <w:instrText xml:space="preserve"> HYPERLINK \l "_Toc171430679" </w:instrText>
      </w:r>
      <w:r>
        <w:fldChar w:fldCharType="separate"/>
      </w:r>
      <w:r>
        <w:rPr>
          <w:rStyle w:val="26"/>
          <w:rFonts w:ascii="宋体" w:hAnsi="宋体"/>
          <w:sz w:val="32"/>
          <w:szCs w:val="32"/>
        </w:rPr>
        <w:t>第四章 合同条款及格式</w:t>
      </w:r>
      <w:r>
        <w:rPr>
          <w:sz w:val="32"/>
          <w:szCs w:val="32"/>
        </w:rPr>
        <w:tab/>
      </w:r>
      <w:r>
        <w:rPr>
          <w:sz w:val="32"/>
          <w:szCs w:val="32"/>
        </w:rPr>
        <w:fldChar w:fldCharType="begin"/>
      </w:r>
      <w:r>
        <w:rPr>
          <w:sz w:val="32"/>
          <w:szCs w:val="32"/>
        </w:rPr>
        <w:instrText xml:space="preserve"> PAGEREF _Toc171430679 \h </w:instrText>
      </w:r>
      <w:r>
        <w:rPr>
          <w:sz w:val="32"/>
          <w:szCs w:val="32"/>
        </w:rPr>
        <w:fldChar w:fldCharType="separate"/>
      </w:r>
      <w:r>
        <w:rPr>
          <w:sz w:val="32"/>
          <w:szCs w:val="32"/>
        </w:rPr>
        <w:t>41</w:t>
      </w:r>
      <w:r>
        <w:rPr>
          <w:sz w:val="32"/>
          <w:szCs w:val="32"/>
        </w:rPr>
        <w:fldChar w:fldCharType="end"/>
      </w:r>
      <w:r>
        <w:rPr>
          <w:sz w:val="32"/>
          <w:szCs w:val="32"/>
        </w:rPr>
        <w:fldChar w:fldCharType="end"/>
      </w:r>
    </w:p>
    <w:p w14:paraId="029DC2DE">
      <w:pPr>
        <w:pStyle w:val="16"/>
        <w:tabs>
          <w:tab w:val="right" w:leader="dot" w:pos="8296"/>
        </w:tabs>
        <w:spacing w:line="480" w:lineRule="auto"/>
        <w:rPr>
          <w:rFonts w:asciiTheme="minorHAnsi" w:hAnsiTheme="minorHAnsi" w:eastAsiaTheme="minorEastAsia" w:cstheme="minorBidi"/>
          <w:sz w:val="32"/>
          <w:szCs w:val="32"/>
        </w:rPr>
      </w:pPr>
      <w:r>
        <w:fldChar w:fldCharType="begin"/>
      </w:r>
      <w:r>
        <w:instrText xml:space="preserve"> HYPERLINK \l "_Toc171430680" </w:instrText>
      </w:r>
      <w:r>
        <w:fldChar w:fldCharType="separate"/>
      </w:r>
      <w:r>
        <w:rPr>
          <w:rStyle w:val="26"/>
          <w:rFonts w:hint="eastAsia"/>
          <w:b/>
          <w:sz w:val="32"/>
          <w:szCs w:val="32"/>
        </w:rPr>
        <w:t>第二卷</w:t>
      </w:r>
      <w:r>
        <w:rPr>
          <w:sz w:val="32"/>
          <w:szCs w:val="32"/>
        </w:rPr>
        <w:tab/>
      </w:r>
      <w:r>
        <w:rPr>
          <w:sz w:val="32"/>
          <w:szCs w:val="32"/>
        </w:rPr>
        <w:fldChar w:fldCharType="begin"/>
      </w:r>
      <w:r>
        <w:rPr>
          <w:sz w:val="32"/>
          <w:szCs w:val="32"/>
        </w:rPr>
        <w:instrText xml:space="preserve"> PAGEREF _Toc171430680 \h </w:instrText>
      </w:r>
      <w:r>
        <w:rPr>
          <w:sz w:val="32"/>
          <w:szCs w:val="32"/>
        </w:rPr>
        <w:fldChar w:fldCharType="separate"/>
      </w:r>
      <w:r>
        <w:rPr>
          <w:sz w:val="32"/>
          <w:szCs w:val="32"/>
        </w:rPr>
        <w:t>74</w:t>
      </w:r>
      <w:r>
        <w:rPr>
          <w:sz w:val="32"/>
          <w:szCs w:val="32"/>
        </w:rPr>
        <w:fldChar w:fldCharType="end"/>
      </w:r>
      <w:r>
        <w:rPr>
          <w:sz w:val="32"/>
          <w:szCs w:val="32"/>
        </w:rPr>
        <w:fldChar w:fldCharType="end"/>
      </w:r>
    </w:p>
    <w:p w14:paraId="794982AE">
      <w:pPr>
        <w:pStyle w:val="16"/>
        <w:tabs>
          <w:tab w:val="right" w:leader="dot" w:pos="8296"/>
        </w:tabs>
        <w:spacing w:line="480" w:lineRule="auto"/>
        <w:rPr>
          <w:rFonts w:asciiTheme="minorHAnsi" w:hAnsiTheme="minorHAnsi" w:eastAsiaTheme="minorEastAsia" w:cstheme="minorBidi"/>
          <w:sz w:val="32"/>
          <w:szCs w:val="32"/>
        </w:rPr>
      </w:pPr>
      <w:r>
        <w:fldChar w:fldCharType="begin"/>
      </w:r>
      <w:r>
        <w:instrText xml:space="preserve"> HYPERLINK \l "_Toc171430681" </w:instrText>
      </w:r>
      <w:r>
        <w:fldChar w:fldCharType="separate"/>
      </w:r>
      <w:r>
        <w:rPr>
          <w:rStyle w:val="26"/>
          <w:rFonts w:hint="eastAsia"/>
          <w:sz w:val="32"/>
          <w:szCs w:val="32"/>
        </w:rPr>
        <w:t>第五章</w:t>
      </w:r>
      <w:r>
        <w:rPr>
          <w:rStyle w:val="26"/>
          <w:sz w:val="32"/>
          <w:szCs w:val="32"/>
        </w:rPr>
        <w:t xml:space="preserve"> </w:t>
      </w:r>
      <w:r>
        <w:rPr>
          <w:rStyle w:val="26"/>
          <w:rFonts w:hint="eastAsia"/>
          <w:sz w:val="32"/>
          <w:szCs w:val="32"/>
        </w:rPr>
        <w:t>委托人要求</w:t>
      </w:r>
      <w:r>
        <w:rPr>
          <w:sz w:val="32"/>
          <w:szCs w:val="32"/>
        </w:rPr>
        <w:tab/>
      </w:r>
      <w:r>
        <w:rPr>
          <w:sz w:val="32"/>
          <w:szCs w:val="32"/>
        </w:rPr>
        <w:fldChar w:fldCharType="begin"/>
      </w:r>
      <w:r>
        <w:rPr>
          <w:sz w:val="32"/>
          <w:szCs w:val="32"/>
        </w:rPr>
        <w:instrText xml:space="preserve"> PAGEREF _Toc171430681 \h </w:instrText>
      </w:r>
      <w:r>
        <w:rPr>
          <w:sz w:val="32"/>
          <w:szCs w:val="32"/>
        </w:rPr>
        <w:fldChar w:fldCharType="separate"/>
      </w:r>
      <w:r>
        <w:rPr>
          <w:sz w:val="32"/>
          <w:szCs w:val="32"/>
        </w:rPr>
        <w:t>74</w:t>
      </w:r>
      <w:r>
        <w:rPr>
          <w:sz w:val="32"/>
          <w:szCs w:val="32"/>
        </w:rPr>
        <w:fldChar w:fldCharType="end"/>
      </w:r>
      <w:r>
        <w:rPr>
          <w:sz w:val="32"/>
          <w:szCs w:val="32"/>
        </w:rPr>
        <w:fldChar w:fldCharType="end"/>
      </w:r>
    </w:p>
    <w:p w14:paraId="14274AB9">
      <w:pPr>
        <w:pStyle w:val="16"/>
        <w:tabs>
          <w:tab w:val="right" w:leader="dot" w:pos="8296"/>
        </w:tabs>
        <w:spacing w:line="480" w:lineRule="auto"/>
        <w:rPr>
          <w:rFonts w:asciiTheme="minorHAnsi" w:hAnsiTheme="minorHAnsi" w:eastAsiaTheme="minorEastAsia" w:cstheme="minorBidi"/>
          <w:sz w:val="32"/>
          <w:szCs w:val="32"/>
        </w:rPr>
      </w:pPr>
      <w:r>
        <w:fldChar w:fldCharType="begin"/>
      </w:r>
      <w:r>
        <w:instrText xml:space="preserve"> HYPERLINK \l "_Toc171430682" </w:instrText>
      </w:r>
      <w:r>
        <w:fldChar w:fldCharType="separate"/>
      </w:r>
      <w:r>
        <w:rPr>
          <w:rStyle w:val="26"/>
          <w:rFonts w:hint="eastAsia"/>
          <w:b/>
          <w:sz w:val="32"/>
          <w:szCs w:val="32"/>
        </w:rPr>
        <w:t>第三卷</w:t>
      </w:r>
      <w:r>
        <w:rPr>
          <w:sz w:val="32"/>
          <w:szCs w:val="32"/>
        </w:rPr>
        <w:tab/>
      </w:r>
      <w:r>
        <w:rPr>
          <w:sz w:val="32"/>
          <w:szCs w:val="32"/>
        </w:rPr>
        <w:fldChar w:fldCharType="begin"/>
      </w:r>
      <w:r>
        <w:rPr>
          <w:sz w:val="32"/>
          <w:szCs w:val="32"/>
        </w:rPr>
        <w:instrText xml:space="preserve"> PAGEREF _Toc171430682 \h </w:instrText>
      </w:r>
      <w:r>
        <w:rPr>
          <w:sz w:val="32"/>
          <w:szCs w:val="32"/>
        </w:rPr>
        <w:fldChar w:fldCharType="separate"/>
      </w:r>
      <w:r>
        <w:rPr>
          <w:sz w:val="32"/>
          <w:szCs w:val="32"/>
        </w:rPr>
        <w:t>75</w:t>
      </w:r>
      <w:r>
        <w:rPr>
          <w:sz w:val="32"/>
          <w:szCs w:val="32"/>
        </w:rPr>
        <w:fldChar w:fldCharType="end"/>
      </w:r>
      <w:r>
        <w:rPr>
          <w:sz w:val="32"/>
          <w:szCs w:val="32"/>
        </w:rPr>
        <w:fldChar w:fldCharType="end"/>
      </w:r>
    </w:p>
    <w:p w14:paraId="426A48D7">
      <w:pPr>
        <w:pStyle w:val="16"/>
        <w:tabs>
          <w:tab w:val="right" w:leader="dot" w:pos="8296"/>
        </w:tabs>
        <w:spacing w:line="480" w:lineRule="auto"/>
        <w:rPr>
          <w:rFonts w:asciiTheme="minorHAnsi" w:hAnsiTheme="minorHAnsi" w:eastAsiaTheme="minorEastAsia" w:cstheme="minorBidi"/>
          <w:sz w:val="32"/>
          <w:szCs w:val="32"/>
        </w:rPr>
      </w:pPr>
      <w:r>
        <w:fldChar w:fldCharType="begin"/>
      </w:r>
      <w:r>
        <w:instrText xml:space="preserve"> HYPERLINK \l "_Toc171430683" </w:instrText>
      </w:r>
      <w:r>
        <w:fldChar w:fldCharType="separate"/>
      </w:r>
      <w:r>
        <w:rPr>
          <w:rStyle w:val="26"/>
          <w:rFonts w:ascii="宋体" w:hAnsi="宋体"/>
          <w:sz w:val="32"/>
          <w:szCs w:val="32"/>
        </w:rPr>
        <w:t>第六章 投标文件格式</w:t>
      </w:r>
      <w:r>
        <w:rPr>
          <w:sz w:val="32"/>
          <w:szCs w:val="32"/>
        </w:rPr>
        <w:tab/>
      </w:r>
      <w:r>
        <w:rPr>
          <w:sz w:val="32"/>
          <w:szCs w:val="32"/>
        </w:rPr>
        <w:fldChar w:fldCharType="begin"/>
      </w:r>
      <w:r>
        <w:rPr>
          <w:sz w:val="32"/>
          <w:szCs w:val="32"/>
        </w:rPr>
        <w:instrText xml:space="preserve"> PAGEREF _Toc171430683 \h </w:instrText>
      </w:r>
      <w:r>
        <w:rPr>
          <w:sz w:val="32"/>
          <w:szCs w:val="32"/>
        </w:rPr>
        <w:fldChar w:fldCharType="separate"/>
      </w:r>
      <w:r>
        <w:rPr>
          <w:sz w:val="32"/>
          <w:szCs w:val="32"/>
        </w:rPr>
        <w:t>75</w:t>
      </w:r>
      <w:r>
        <w:rPr>
          <w:sz w:val="32"/>
          <w:szCs w:val="32"/>
        </w:rPr>
        <w:fldChar w:fldCharType="end"/>
      </w:r>
      <w:r>
        <w:rPr>
          <w:sz w:val="32"/>
          <w:szCs w:val="32"/>
        </w:rPr>
        <w:fldChar w:fldCharType="end"/>
      </w:r>
    </w:p>
    <w:p w14:paraId="7727BEB4">
      <w:pPr>
        <w:spacing w:line="480" w:lineRule="auto"/>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end"/>
      </w:r>
    </w:p>
    <w:p w14:paraId="2813FCF7">
      <w:pPr>
        <w:widowControl/>
        <w:spacing w:line="480" w:lineRule="auto"/>
        <w:jc w:val="left"/>
        <w:rPr>
          <w:rFonts w:ascii="宋体" w:hAnsi="宋体"/>
          <w:color w:val="000000" w:themeColor="text1"/>
          <w14:textFill>
            <w14:solidFill>
              <w14:schemeClr w14:val="tx1"/>
            </w14:solidFill>
          </w14:textFill>
        </w:rPr>
        <w:sectPr>
          <w:footerReference r:id="rId6" w:type="default"/>
          <w:pgSz w:w="11906" w:h="16838"/>
          <w:pgMar w:top="1440" w:right="1800" w:bottom="1440" w:left="1800" w:header="720" w:footer="720" w:gutter="0"/>
          <w:pgNumType w:fmt="decimal" w:start="1"/>
          <w:cols w:space="720" w:num="1"/>
        </w:sectPr>
      </w:pPr>
    </w:p>
    <w:bookmarkEnd w:id="0"/>
    <w:bookmarkEnd w:id="1"/>
    <w:bookmarkEnd w:id="2"/>
    <w:p w14:paraId="4A084C8F">
      <w:pPr>
        <w:rPr>
          <w:color w:val="000000" w:themeColor="text1"/>
          <w14:textFill>
            <w14:solidFill>
              <w14:schemeClr w14:val="tx1"/>
            </w14:solidFill>
          </w14:textFill>
        </w:rPr>
      </w:pPr>
      <w:bookmarkStart w:id="3" w:name="_Toc511557024"/>
    </w:p>
    <w:p w14:paraId="3B6DDADF">
      <w:pPr>
        <w:jc w:val="center"/>
        <w:outlineLvl w:val="0"/>
        <w:rPr>
          <w:b/>
          <w:color w:val="000000" w:themeColor="text1"/>
          <w:sz w:val="44"/>
          <w:szCs w:val="44"/>
          <w14:textFill>
            <w14:solidFill>
              <w14:schemeClr w14:val="tx1"/>
            </w14:solidFill>
          </w14:textFill>
        </w:rPr>
      </w:pPr>
      <w:bookmarkStart w:id="4" w:name="_Toc171430675"/>
      <w:r>
        <w:rPr>
          <w:rFonts w:hint="eastAsia"/>
          <w:b/>
          <w:color w:val="000000" w:themeColor="text1"/>
          <w:sz w:val="44"/>
          <w:szCs w:val="44"/>
          <w14:textFill>
            <w14:solidFill>
              <w14:schemeClr w14:val="tx1"/>
            </w14:solidFill>
          </w14:textFill>
        </w:rPr>
        <w:t>第</w:t>
      </w:r>
      <w:bookmarkEnd w:id="3"/>
      <w:r>
        <w:rPr>
          <w:rFonts w:hint="eastAsia"/>
          <w:b/>
          <w:color w:val="000000" w:themeColor="text1"/>
          <w:sz w:val="44"/>
          <w:szCs w:val="44"/>
          <w14:textFill>
            <w14:solidFill>
              <w14:schemeClr w14:val="tx1"/>
            </w14:solidFill>
          </w14:textFill>
        </w:rPr>
        <w:t>一卷</w:t>
      </w:r>
      <w:bookmarkEnd w:id="4"/>
    </w:p>
    <w:p w14:paraId="00727D73">
      <w:pPr>
        <w:spacing w:before="120"/>
        <w:jc w:val="center"/>
        <w:rPr>
          <w:rFonts w:ascii="宋体" w:hAnsi="宋体"/>
          <w:color w:val="000000" w:themeColor="text1"/>
          <w14:textFill>
            <w14:solidFill>
              <w14:schemeClr w14:val="tx1"/>
            </w14:solidFill>
          </w14:textFill>
        </w:rPr>
      </w:pPr>
    </w:p>
    <w:p w14:paraId="43434F7D">
      <w:pPr>
        <w:pStyle w:val="5"/>
        <w:keepNext w:val="0"/>
        <w:keepLines w:val="0"/>
        <w:spacing w:before="120" w:line="240" w:lineRule="auto"/>
        <w:jc w:val="center"/>
        <w:rPr>
          <w:rFonts w:ascii="宋体" w:hAnsi="宋体"/>
          <w:color w:val="000000" w:themeColor="text1"/>
          <w14:textFill>
            <w14:solidFill>
              <w14:schemeClr w14:val="tx1"/>
            </w14:solidFill>
          </w14:textFill>
        </w:rPr>
      </w:pPr>
      <w:bookmarkStart w:id="5" w:name="_Toc171430676"/>
      <w:r>
        <w:rPr>
          <w:rFonts w:hint="eastAsia" w:ascii="宋体" w:hAnsi="宋体"/>
          <w:color w:val="000000" w:themeColor="text1"/>
          <w14:textFill>
            <w14:solidFill>
              <w14:schemeClr w14:val="tx1"/>
            </w14:solidFill>
          </w14:textFill>
        </w:rPr>
        <w:t>第一章</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招标公告</w:t>
      </w:r>
      <w:bookmarkEnd w:id="5"/>
    </w:p>
    <w:p w14:paraId="798865EC">
      <w:pPr>
        <w:snapToGrid w:val="0"/>
        <w:spacing w:line="360" w:lineRule="auto"/>
        <w:ind w:left="-283" w:leftChars="-135"/>
        <w:jc w:val="left"/>
        <w:rPr>
          <w:rFonts w:ascii="宋体" w:hAnsi="宋体" w:cs="宋体"/>
          <w:b/>
          <w:sz w:val="48"/>
          <w:szCs w:val="48"/>
        </w:rPr>
      </w:pPr>
      <w:bookmarkStart w:id="6" w:name="_Toc171430677"/>
    </w:p>
    <w:p w14:paraId="77ACBE35">
      <w:pPr>
        <w:snapToGrid w:val="0"/>
        <w:spacing w:line="360" w:lineRule="auto"/>
        <w:ind w:left="-283" w:leftChars="-135"/>
        <w:jc w:val="center"/>
        <w:rPr>
          <w:rStyle w:val="45"/>
          <w:rFonts w:hint="eastAsia" w:ascii="黑体" w:hAnsi="黑体" w:eastAsia="黑体"/>
          <w:sz w:val="44"/>
          <w:szCs w:val="44"/>
          <w:lang w:eastAsia="zh-CN"/>
        </w:rPr>
      </w:pPr>
      <w:r>
        <w:rPr>
          <w:rStyle w:val="45"/>
          <w:rFonts w:hint="eastAsia" w:ascii="黑体" w:hAnsi="黑体" w:eastAsia="黑体"/>
          <w:sz w:val="44"/>
          <w:szCs w:val="44"/>
          <w:lang w:eastAsia="zh-CN"/>
        </w:rPr>
        <w:t>广东华南粮食交易中心有限公司</w:t>
      </w:r>
    </w:p>
    <w:p w14:paraId="031D9CEA">
      <w:pPr>
        <w:snapToGrid w:val="0"/>
        <w:spacing w:line="360" w:lineRule="auto"/>
        <w:ind w:left="-283" w:leftChars="-135"/>
        <w:jc w:val="center"/>
        <w:rPr>
          <w:rFonts w:hint="eastAsia" w:ascii="宋体" w:hAnsi="宋体" w:eastAsia="宋体" w:cs="宋体"/>
          <w:sz w:val="48"/>
          <w:szCs w:val="48"/>
          <w:lang w:eastAsia="zh-CN"/>
        </w:rPr>
      </w:pPr>
      <w:r>
        <w:rPr>
          <w:rStyle w:val="45"/>
          <w:rFonts w:hint="eastAsia" w:ascii="黑体" w:hAnsi="黑体" w:eastAsia="黑体"/>
          <w:sz w:val="44"/>
          <w:szCs w:val="44"/>
          <w:lang w:eastAsia="zh-CN"/>
        </w:rPr>
        <w:t>常平粮库三期工程监理</w:t>
      </w:r>
    </w:p>
    <w:p w14:paraId="605048C4">
      <w:pPr>
        <w:spacing w:line="200" w:lineRule="exact"/>
        <w:rPr>
          <w:rFonts w:eastAsia="Times New Roman"/>
        </w:rPr>
      </w:pPr>
    </w:p>
    <w:p w14:paraId="2B893528">
      <w:pPr>
        <w:spacing w:line="200" w:lineRule="exact"/>
      </w:pPr>
    </w:p>
    <w:p w14:paraId="0B6AF985">
      <w:pPr>
        <w:spacing w:line="200" w:lineRule="exact"/>
      </w:pPr>
    </w:p>
    <w:p w14:paraId="18DB1023">
      <w:pPr>
        <w:spacing w:line="200" w:lineRule="exact"/>
      </w:pPr>
    </w:p>
    <w:p w14:paraId="71B33AF7">
      <w:pPr>
        <w:spacing w:line="200" w:lineRule="exact"/>
        <w:rPr>
          <w:rFonts w:ascii="宋体" w:hAnsi="宋体" w:cs="宋体"/>
        </w:rPr>
      </w:pPr>
    </w:p>
    <w:p w14:paraId="4CBCFB05">
      <w:pPr>
        <w:spacing w:line="200" w:lineRule="exact"/>
        <w:rPr>
          <w:rFonts w:ascii="宋体" w:hAnsi="宋体" w:cs="宋体"/>
        </w:rPr>
      </w:pPr>
    </w:p>
    <w:p w14:paraId="53FCAAD9">
      <w:pPr>
        <w:spacing w:line="200" w:lineRule="exact"/>
        <w:rPr>
          <w:rFonts w:ascii="宋体" w:hAnsi="宋体" w:cs="宋体"/>
        </w:rPr>
      </w:pPr>
    </w:p>
    <w:p w14:paraId="13404F70">
      <w:pPr>
        <w:spacing w:line="200" w:lineRule="exact"/>
        <w:rPr>
          <w:rFonts w:ascii="宋体" w:hAnsi="宋体" w:cs="宋体"/>
        </w:rPr>
      </w:pPr>
    </w:p>
    <w:p w14:paraId="78FBF7BF">
      <w:pPr>
        <w:spacing w:line="200" w:lineRule="exact"/>
        <w:rPr>
          <w:rFonts w:ascii="宋体" w:hAnsi="宋体" w:cs="宋体"/>
        </w:rPr>
      </w:pPr>
    </w:p>
    <w:p w14:paraId="57AB70CC">
      <w:pPr>
        <w:spacing w:line="200" w:lineRule="exact"/>
        <w:rPr>
          <w:rFonts w:ascii="宋体" w:hAnsi="宋体" w:cs="宋体"/>
        </w:rPr>
      </w:pPr>
    </w:p>
    <w:p w14:paraId="05D12C39">
      <w:pPr>
        <w:spacing w:line="269" w:lineRule="exact"/>
        <w:rPr>
          <w:rFonts w:ascii="宋体" w:hAnsi="宋体" w:cs="宋体"/>
        </w:rPr>
      </w:pPr>
    </w:p>
    <w:p w14:paraId="0291BEC1">
      <w:pPr>
        <w:jc w:val="center"/>
        <w:rPr>
          <w:rFonts w:ascii="宋体" w:hAnsi="宋体" w:cs="宋体"/>
          <w:b/>
          <w:sz w:val="72"/>
          <w:szCs w:val="72"/>
        </w:rPr>
      </w:pPr>
      <w:r>
        <w:rPr>
          <w:rFonts w:hint="eastAsia" w:ascii="宋体" w:hAnsi="宋体" w:cs="宋体"/>
          <w:b/>
          <w:sz w:val="72"/>
          <w:szCs w:val="72"/>
        </w:rPr>
        <w:t>招标公告</w:t>
      </w:r>
    </w:p>
    <w:p w14:paraId="227898BD">
      <w:pPr>
        <w:spacing w:line="200" w:lineRule="exact"/>
        <w:rPr>
          <w:rFonts w:ascii="宋体" w:hAnsi="宋体" w:cs="宋体"/>
        </w:rPr>
      </w:pPr>
    </w:p>
    <w:p w14:paraId="0E46CFD2">
      <w:pPr>
        <w:spacing w:line="200" w:lineRule="exact"/>
        <w:rPr>
          <w:rFonts w:ascii="宋体" w:hAnsi="宋体" w:cs="宋体"/>
        </w:rPr>
      </w:pPr>
    </w:p>
    <w:p w14:paraId="06CD8E51">
      <w:pPr>
        <w:spacing w:line="200" w:lineRule="exact"/>
        <w:rPr>
          <w:rFonts w:ascii="宋体" w:hAnsi="宋体" w:cs="宋体"/>
        </w:rPr>
      </w:pPr>
    </w:p>
    <w:p w14:paraId="2AFBBD95">
      <w:pPr>
        <w:spacing w:line="200" w:lineRule="exact"/>
        <w:rPr>
          <w:rFonts w:ascii="宋体" w:hAnsi="宋体" w:cs="宋体"/>
        </w:rPr>
      </w:pPr>
    </w:p>
    <w:p w14:paraId="36B9E732">
      <w:pPr>
        <w:spacing w:line="200" w:lineRule="exact"/>
        <w:rPr>
          <w:rFonts w:ascii="宋体" w:hAnsi="宋体" w:cs="宋体"/>
        </w:rPr>
      </w:pPr>
    </w:p>
    <w:p w14:paraId="04AF3DBE">
      <w:pPr>
        <w:spacing w:line="200" w:lineRule="exact"/>
        <w:rPr>
          <w:rFonts w:ascii="宋体" w:hAnsi="宋体" w:cs="宋体"/>
        </w:rPr>
      </w:pPr>
    </w:p>
    <w:p w14:paraId="7A6206E2">
      <w:pPr>
        <w:spacing w:line="200" w:lineRule="exact"/>
        <w:rPr>
          <w:rFonts w:ascii="宋体" w:hAnsi="宋体" w:cs="宋体"/>
        </w:rPr>
      </w:pPr>
    </w:p>
    <w:p w14:paraId="498C5F59">
      <w:pPr>
        <w:spacing w:line="200" w:lineRule="exact"/>
        <w:rPr>
          <w:rFonts w:ascii="宋体" w:hAnsi="宋体" w:cs="宋体"/>
        </w:rPr>
      </w:pPr>
    </w:p>
    <w:p w14:paraId="347247D3">
      <w:pPr>
        <w:spacing w:line="200" w:lineRule="exact"/>
        <w:rPr>
          <w:rFonts w:ascii="宋体" w:hAnsi="宋体" w:cs="宋体"/>
        </w:rPr>
      </w:pPr>
    </w:p>
    <w:p w14:paraId="687908D2">
      <w:pPr>
        <w:spacing w:line="200" w:lineRule="exact"/>
        <w:rPr>
          <w:rFonts w:ascii="宋体" w:hAnsi="宋体" w:cs="宋体"/>
        </w:rPr>
      </w:pPr>
    </w:p>
    <w:p w14:paraId="0A9F2D71">
      <w:pPr>
        <w:spacing w:line="200" w:lineRule="exact"/>
        <w:rPr>
          <w:rFonts w:ascii="宋体" w:hAnsi="宋体" w:cs="宋体"/>
        </w:rPr>
      </w:pPr>
    </w:p>
    <w:p w14:paraId="11187327">
      <w:pPr>
        <w:spacing w:line="200" w:lineRule="exact"/>
        <w:rPr>
          <w:rFonts w:ascii="宋体" w:hAnsi="宋体" w:cs="宋体"/>
        </w:rPr>
      </w:pPr>
    </w:p>
    <w:p w14:paraId="7B468468">
      <w:pPr>
        <w:spacing w:line="200" w:lineRule="exact"/>
        <w:jc w:val="left"/>
        <w:rPr>
          <w:rFonts w:ascii="宋体" w:hAnsi="宋体" w:cs="宋体"/>
        </w:rPr>
      </w:pPr>
    </w:p>
    <w:p w14:paraId="52332D9A">
      <w:pPr>
        <w:spacing w:line="200" w:lineRule="exact"/>
        <w:rPr>
          <w:rFonts w:ascii="宋体" w:hAnsi="宋体" w:cs="宋体"/>
        </w:rPr>
      </w:pPr>
    </w:p>
    <w:p w14:paraId="6EF43988">
      <w:pPr>
        <w:spacing w:line="200" w:lineRule="exact"/>
        <w:rPr>
          <w:rFonts w:ascii="宋体" w:hAnsi="宋体" w:cs="宋体"/>
        </w:rPr>
      </w:pPr>
    </w:p>
    <w:p w14:paraId="2C312C1B">
      <w:pPr>
        <w:spacing w:line="200" w:lineRule="exact"/>
        <w:rPr>
          <w:rFonts w:ascii="宋体" w:hAnsi="宋体" w:cs="宋体"/>
        </w:rPr>
      </w:pPr>
    </w:p>
    <w:p w14:paraId="77E6754F">
      <w:pPr>
        <w:spacing w:line="200" w:lineRule="exact"/>
        <w:rPr>
          <w:rFonts w:ascii="宋体" w:hAnsi="宋体" w:cs="宋体"/>
        </w:rPr>
      </w:pPr>
    </w:p>
    <w:p w14:paraId="5C205930">
      <w:pPr>
        <w:spacing w:line="200" w:lineRule="exact"/>
        <w:rPr>
          <w:rFonts w:ascii="宋体" w:hAnsi="宋体" w:cs="宋体"/>
        </w:rPr>
      </w:pPr>
    </w:p>
    <w:p w14:paraId="50A4B052">
      <w:pPr>
        <w:spacing w:line="281" w:lineRule="exact"/>
        <w:rPr>
          <w:rFonts w:ascii="宋体" w:hAnsi="宋体" w:cs="宋体"/>
        </w:rPr>
      </w:pPr>
    </w:p>
    <w:p w14:paraId="436E065D">
      <w:pPr>
        <w:ind w:firstLine="1687" w:firstLineChars="600"/>
        <w:rPr>
          <w:rFonts w:hint="eastAsia" w:ascii="宋体" w:hAnsi="宋体" w:eastAsia="宋体" w:cs="宋体"/>
          <w:b/>
          <w:sz w:val="28"/>
          <w:lang w:eastAsia="zh-CN"/>
        </w:rPr>
      </w:pPr>
      <w:r>
        <w:rPr>
          <w:rFonts w:hint="eastAsia" w:ascii="宋体" w:hAnsi="宋体" w:cs="宋体"/>
          <w:b/>
          <w:sz w:val="28"/>
        </w:rPr>
        <w:t>招 标 人：</w:t>
      </w:r>
      <w:r>
        <w:rPr>
          <w:rFonts w:hint="eastAsia" w:ascii="宋体" w:hAnsi="宋体" w:cs="宋体"/>
          <w:b/>
          <w:sz w:val="28"/>
          <w:lang w:eastAsia="zh-CN"/>
        </w:rPr>
        <w:t>广东华南粮食交易中心有限公司</w:t>
      </w:r>
    </w:p>
    <w:p w14:paraId="756B63C5">
      <w:pPr>
        <w:ind w:firstLine="1687" w:firstLineChars="600"/>
        <w:rPr>
          <w:rFonts w:hint="eastAsia" w:ascii="宋体" w:hAnsi="宋体" w:eastAsia="宋体" w:cs="宋体"/>
          <w:lang w:eastAsia="zh-CN"/>
        </w:rPr>
      </w:pPr>
      <w:r>
        <w:rPr>
          <w:rFonts w:hint="eastAsia" w:ascii="宋体" w:hAnsi="宋体" w:cs="宋体"/>
          <w:b/>
          <w:sz w:val="28"/>
        </w:rPr>
        <w:t>招标代理：</w:t>
      </w:r>
      <w:r>
        <w:rPr>
          <w:rFonts w:hint="eastAsia" w:ascii="宋体" w:hAnsi="宋体" w:cs="宋体"/>
          <w:b/>
          <w:sz w:val="28"/>
          <w:lang w:eastAsia="zh-CN"/>
        </w:rPr>
        <w:t>广东省国际工程咨询有限公司</w:t>
      </w:r>
    </w:p>
    <w:p w14:paraId="55D7F37C">
      <w:pPr>
        <w:tabs>
          <w:tab w:val="right" w:pos="7340"/>
        </w:tabs>
        <w:ind w:firstLine="1687" w:firstLineChars="600"/>
        <w:rPr>
          <w:rFonts w:hint="eastAsia" w:eastAsia="宋体"/>
          <w:sz w:val="24"/>
          <w:lang w:eastAsia="zh-CN"/>
        </w:rPr>
        <w:sectPr>
          <w:headerReference r:id="rId8" w:type="first"/>
          <w:headerReference r:id="rId7" w:type="default"/>
          <w:footerReference r:id="rId9" w:type="default"/>
          <w:pgSz w:w="11906" w:h="16838"/>
          <w:pgMar w:top="1440" w:right="1440" w:bottom="1440" w:left="1440" w:header="851" w:footer="992" w:gutter="0"/>
          <w:pgNumType w:fmt="decimal"/>
          <w:cols w:space="720" w:num="1"/>
          <w:titlePg/>
          <w:docGrid w:type="lines" w:linePitch="312" w:charSpace="0"/>
        </w:sectPr>
      </w:pPr>
      <w:r>
        <w:rPr>
          <w:rFonts w:hint="eastAsia" w:ascii="宋体" w:hAnsi="宋体" w:cs="宋体"/>
          <w:b/>
          <w:sz w:val="28"/>
          <w:szCs w:val="28"/>
        </w:rPr>
        <w:t>日    期：202</w:t>
      </w:r>
      <w:r>
        <w:rPr>
          <w:rFonts w:hint="eastAsia" w:ascii="宋体" w:hAnsi="宋体" w:cs="宋体"/>
          <w:b/>
          <w:sz w:val="28"/>
          <w:szCs w:val="28"/>
          <w:lang w:val="en-US" w:eastAsia="zh-CN"/>
        </w:rPr>
        <w:t>5</w:t>
      </w:r>
      <w:r>
        <w:rPr>
          <w:rFonts w:hint="eastAsia" w:ascii="宋体" w:hAnsi="宋体" w:cs="宋体"/>
          <w:b/>
          <w:sz w:val="28"/>
          <w:szCs w:val="28"/>
        </w:rPr>
        <w:t>年</w:t>
      </w:r>
      <w:r>
        <w:rPr>
          <w:rFonts w:hint="eastAsia" w:ascii="宋体" w:hAnsi="宋体" w:cs="宋体"/>
          <w:b/>
          <w:sz w:val="28"/>
          <w:szCs w:val="28"/>
          <w:lang w:val="en-US" w:eastAsia="zh-CN"/>
        </w:rPr>
        <w:t>10</w:t>
      </w:r>
      <w:r>
        <w:rPr>
          <w:rFonts w:hint="eastAsia" w:ascii="宋体" w:hAnsi="宋体" w:cs="宋体"/>
          <w:b/>
          <w:sz w:val="28"/>
          <w:szCs w:val="28"/>
        </w:rPr>
        <w:t>月</w:t>
      </w:r>
      <w:r>
        <w:rPr>
          <w:rFonts w:hint="eastAsia" w:ascii="宋体" w:hAnsi="宋体" w:cs="宋体"/>
          <w:b/>
          <w:sz w:val="28"/>
          <w:szCs w:val="28"/>
          <w:lang w:eastAsia="zh-CN"/>
        </w:rPr>
        <w:tab/>
      </w:r>
    </w:p>
    <w:p w14:paraId="6218DA97">
      <w:pPr>
        <w:widowControl/>
        <w:spacing w:line="360" w:lineRule="auto"/>
        <w:jc w:val="center"/>
        <w:rPr>
          <w:rFonts w:hint="eastAsia" w:ascii="宋体" w:hAnsi="宋体"/>
          <w:b/>
          <w:kern w:val="44"/>
          <w:sz w:val="36"/>
          <w:szCs w:val="36"/>
          <w:lang w:eastAsia="zh-CN"/>
        </w:rPr>
      </w:pPr>
      <w:r>
        <w:rPr>
          <w:rFonts w:hint="eastAsia" w:ascii="宋体" w:hAnsi="宋体"/>
          <w:b/>
          <w:kern w:val="44"/>
          <w:sz w:val="36"/>
          <w:szCs w:val="36"/>
          <w:lang w:eastAsia="zh-CN"/>
        </w:rPr>
        <w:t>广东华南粮食交易中心有限公司常平粮库三期工程监理</w:t>
      </w:r>
    </w:p>
    <w:p w14:paraId="2EC848DE">
      <w:pPr>
        <w:widowControl/>
        <w:spacing w:line="360" w:lineRule="auto"/>
        <w:jc w:val="center"/>
        <w:rPr>
          <w:rFonts w:ascii="宋体" w:hAnsi="宋体"/>
          <w:b/>
          <w:kern w:val="44"/>
          <w:sz w:val="36"/>
          <w:szCs w:val="36"/>
        </w:rPr>
      </w:pPr>
      <w:r>
        <w:rPr>
          <w:rFonts w:hint="eastAsia" w:ascii="宋体" w:hAnsi="宋体"/>
          <w:b/>
          <w:kern w:val="44"/>
          <w:sz w:val="36"/>
          <w:szCs w:val="36"/>
        </w:rPr>
        <w:t>招标公告</w:t>
      </w:r>
    </w:p>
    <w:p w14:paraId="4ED954B4">
      <w:pPr>
        <w:pStyle w:val="6"/>
        <w:spacing w:before="156" w:beforeLines="50" w:line="360" w:lineRule="auto"/>
        <w:rPr>
          <w:color w:val="auto"/>
        </w:rPr>
      </w:pPr>
      <w:bookmarkStart w:id="7" w:name="_Toc529196504"/>
      <w:bookmarkStart w:id="8" w:name="_Toc511557025"/>
      <w:bookmarkStart w:id="9" w:name="_Toc535938695"/>
      <w:bookmarkStart w:id="10" w:name="_Toc511557028"/>
      <w:bookmarkStart w:id="11" w:name="_Toc529196507"/>
      <w:r>
        <w:rPr>
          <w:rFonts w:hint="eastAsia"/>
          <w:color w:val="auto"/>
        </w:rPr>
        <w:t>1. 招标条件</w:t>
      </w:r>
      <w:bookmarkEnd w:id="7"/>
      <w:bookmarkEnd w:id="8"/>
      <w:bookmarkEnd w:id="9"/>
    </w:p>
    <w:p w14:paraId="39699718">
      <w:pPr>
        <w:tabs>
          <w:tab w:val="left" w:pos="7513"/>
        </w:tabs>
        <w:spacing w:line="440" w:lineRule="exact"/>
        <w:ind w:firstLine="480" w:firstLineChars="200"/>
        <w:rPr>
          <w:rFonts w:ascii="宋体" w:hAnsi="宋体" w:cs="宋体"/>
          <w:sz w:val="24"/>
          <w:szCs w:val="24"/>
        </w:rPr>
      </w:pPr>
      <w:bookmarkStart w:id="12" w:name="_Toc511557026"/>
      <w:r>
        <w:rPr>
          <w:rFonts w:hint="eastAsia" w:ascii="宋体" w:hAnsi="宋体" w:cs="宋体"/>
          <w:sz w:val="24"/>
          <w:szCs w:val="24"/>
        </w:rPr>
        <w:t>本招标项目</w:t>
      </w:r>
      <w:r>
        <w:rPr>
          <w:rFonts w:hint="eastAsia" w:ascii="宋体" w:hAnsi="宋体" w:eastAsia="宋体" w:cs="Times New Roman"/>
          <w:color w:val="auto"/>
          <w:sz w:val="24"/>
          <w:szCs w:val="24"/>
          <w:highlight w:val="none"/>
          <w:u w:val="single"/>
        </w:rPr>
        <w:t>广东省企业投资项目备案证（项目代码：</w:t>
      </w:r>
      <w:r>
        <w:rPr>
          <w:rFonts w:hint="eastAsia" w:ascii="宋体" w:hAnsi="宋体" w:cs="宋体"/>
          <w:sz w:val="24"/>
          <w:szCs w:val="24"/>
          <w:u w:val="single"/>
          <w:lang w:val="en-US" w:eastAsia="zh-CN"/>
        </w:rPr>
        <w:t>2405-441900-04-01-967739</w:t>
      </w:r>
      <w:r>
        <w:rPr>
          <w:rFonts w:hint="eastAsia" w:ascii="宋体" w:hAnsi="宋体" w:eastAsia="宋体" w:cs="Times New Roman"/>
          <w:color w:val="auto"/>
          <w:sz w:val="24"/>
          <w:szCs w:val="24"/>
          <w:highlight w:val="none"/>
          <w:u w:val="single"/>
        </w:rPr>
        <w:t>）</w:t>
      </w:r>
      <w:r>
        <w:rPr>
          <w:rFonts w:hint="eastAsia" w:ascii="宋体" w:hAnsi="宋体"/>
          <w:color w:val="auto"/>
          <w:sz w:val="24"/>
          <w:szCs w:val="24"/>
          <w:highlight w:val="none"/>
        </w:rPr>
        <w:t>批准建设且</w:t>
      </w:r>
      <w:r>
        <w:rPr>
          <w:rFonts w:ascii="宋体" w:hAnsi="宋体"/>
          <w:color w:val="auto"/>
          <w:sz w:val="24"/>
          <w:szCs w:val="24"/>
          <w:highlight w:val="none"/>
        </w:rPr>
        <w:t>建设资金</w:t>
      </w:r>
      <w:r>
        <w:rPr>
          <w:rFonts w:hint="eastAsia" w:ascii="宋体" w:hAnsi="宋体"/>
          <w:color w:val="auto"/>
          <w:sz w:val="24"/>
          <w:szCs w:val="24"/>
          <w:highlight w:val="none"/>
        </w:rPr>
        <w:t>已落实</w:t>
      </w:r>
      <w:r>
        <w:rPr>
          <w:rFonts w:hint="eastAsia" w:ascii="宋体" w:hAnsi="宋体" w:cs="宋体"/>
          <w:sz w:val="24"/>
          <w:szCs w:val="24"/>
        </w:rPr>
        <w:t>，招标人为</w:t>
      </w:r>
      <w:r>
        <w:rPr>
          <w:rFonts w:hint="eastAsia" w:ascii="宋体" w:hAnsi="宋体" w:cs="宋体"/>
          <w:sz w:val="24"/>
          <w:szCs w:val="24"/>
          <w:u w:val="single"/>
          <w:lang w:eastAsia="zh-CN"/>
        </w:rPr>
        <w:t>广东华南粮食交易中心有限公司，</w:t>
      </w:r>
      <w:r>
        <w:rPr>
          <w:rFonts w:hint="eastAsia" w:ascii="宋体" w:hAnsi="宋体" w:cs="宋体"/>
          <w:sz w:val="24"/>
          <w:szCs w:val="24"/>
          <w:u w:val="single"/>
          <w:lang w:val="en-US" w:eastAsia="zh-CN"/>
        </w:rPr>
        <w:t>监理项目</w:t>
      </w:r>
      <w:r>
        <w:rPr>
          <w:rFonts w:hint="eastAsia" w:ascii="宋体" w:hAnsi="宋体" w:cs="宋体"/>
          <w:sz w:val="24"/>
          <w:szCs w:val="24"/>
        </w:rPr>
        <w:t>资金来自</w:t>
      </w:r>
      <w:r>
        <w:rPr>
          <w:rFonts w:hint="eastAsia" w:ascii="宋体" w:hAnsi="宋体" w:cs="宋体"/>
          <w:color w:val="auto"/>
          <w:sz w:val="24"/>
          <w:highlight w:val="none"/>
          <w:u w:val="single"/>
          <w:lang w:eastAsia="zh-CN"/>
        </w:rPr>
        <w:t>企业自筹资金</w:t>
      </w:r>
      <w:r>
        <w:rPr>
          <w:rFonts w:hint="eastAsia" w:ascii="宋体" w:hAnsi="宋体" w:cs="宋体"/>
          <w:color w:val="auto"/>
          <w:sz w:val="24"/>
          <w:highlight w:val="none"/>
          <w:u w:val="single"/>
          <w:lang w:val="en-US" w:eastAsia="zh-CN"/>
        </w:rPr>
        <w:t>和财政资金</w:t>
      </w:r>
      <w:r>
        <w:rPr>
          <w:rFonts w:hint="eastAsia" w:ascii="宋体" w:hAnsi="宋体" w:cs="宋体"/>
          <w:sz w:val="24"/>
          <w:szCs w:val="24"/>
        </w:rPr>
        <w:t>，项目已具备招标条件，现对该项目进行公开招标。</w:t>
      </w:r>
    </w:p>
    <w:p w14:paraId="428ACBF8">
      <w:pPr>
        <w:pStyle w:val="6"/>
        <w:spacing w:before="156" w:beforeLines="50" w:line="360" w:lineRule="auto"/>
        <w:rPr>
          <w:color w:val="auto"/>
        </w:rPr>
      </w:pPr>
      <w:bookmarkStart w:id="13" w:name="_Toc535938696"/>
      <w:bookmarkStart w:id="14" w:name="_Toc529196505"/>
      <w:r>
        <w:rPr>
          <w:rFonts w:hint="eastAsia"/>
          <w:color w:val="auto"/>
        </w:rPr>
        <w:t>2. 项目概况与招标范围</w:t>
      </w:r>
      <w:bookmarkEnd w:id="12"/>
      <w:bookmarkEnd w:id="13"/>
      <w:bookmarkEnd w:id="14"/>
    </w:p>
    <w:p w14:paraId="76BB8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2.1招标项目概况</w:t>
      </w:r>
    </w:p>
    <w:p w14:paraId="5FA5F0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2.1.1招标项目名称：</w:t>
      </w:r>
      <w:r>
        <w:rPr>
          <w:rFonts w:hint="eastAsia" w:ascii="宋体" w:hAnsi="宋体" w:cs="宋体"/>
          <w:sz w:val="24"/>
          <w:szCs w:val="24"/>
          <w:lang w:eastAsia="zh-CN"/>
        </w:rPr>
        <w:t>广东华南粮食交易中心有限公司常平粮库三期工程监理</w:t>
      </w:r>
      <w:r>
        <w:rPr>
          <w:rFonts w:hint="eastAsia" w:ascii="宋体" w:hAnsi="宋体" w:cs="宋体"/>
          <w:sz w:val="24"/>
          <w:szCs w:val="24"/>
        </w:rPr>
        <w:t>。</w:t>
      </w:r>
    </w:p>
    <w:p w14:paraId="4C6AB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ascii="宋体" w:hAnsi="宋体" w:cs="宋体"/>
          <w:sz w:val="24"/>
          <w:szCs w:val="24"/>
        </w:rPr>
        <w:t>2.</w:t>
      </w:r>
      <w:r>
        <w:rPr>
          <w:rFonts w:hint="eastAsia" w:ascii="宋体" w:hAnsi="宋体" w:cs="宋体"/>
          <w:sz w:val="24"/>
          <w:szCs w:val="24"/>
        </w:rPr>
        <w:t>1.2工程建设地点：</w:t>
      </w:r>
      <w:r>
        <w:rPr>
          <w:rFonts w:hint="eastAsia" w:ascii="宋体" w:hAnsi="宋体" w:cs="宋体"/>
          <w:sz w:val="24"/>
          <w:szCs w:val="24"/>
          <w:lang w:eastAsia="zh-CN"/>
        </w:rPr>
        <w:t>广东省东莞市常平镇江霞南路6号</w:t>
      </w:r>
      <w:r>
        <w:rPr>
          <w:rFonts w:hint="eastAsia" w:ascii="宋体" w:hAnsi="宋体" w:cs="宋体"/>
          <w:sz w:val="24"/>
          <w:szCs w:val="24"/>
        </w:rPr>
        <w:t>。</w:t>
      </w:r>
    </w:p>
    <w:p w14:paraId="0AF30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ascii="宋体" w:hAnsi="宋体" w:cs="宋体"/>
          <w:sz w:val="24"/>
          <w:szCs w:val="24"/>
        </w:rPr>
        <w:t>2.</w:t>
      </w:r>
      <w:r>
        <w:rPr>
          <w:rFonts w:hint="eastAsia" w:ascii="宋体" w:hAnsi="宋体" w:cs="宋体"/>
          <w:sz w:val="24"/>
          <w:szCs w:val="24"/>
        </w:rPr>
        <w:t>1.3工程建设规模</w:t>
      </w:r>
      <w:bookmarkStart w:id="15" w:name="OLE_LINK1"/>
      <w:r>
        <w:rPr>
          <w:rFonts w:hint="eastAsia" w:ascii="宋体" w:hAnsi="宋体" w:cs="宋体"/>
          <w:sz w:val="24"/>
          <w:szCs w:val="24"/>
        </w:rPr>
        <w:t>：</w:t>
      </w:r>
      <w:bookmarkEnd w:id="15"/>
      <w:r>
        <w:rPr>
          <w:rFonts w:hint="eastAsia" w:ascii="宋体" w:hAnsi="宋体" w:cs="宋体"/>
          <w:sz w:val="24"/>
          <w:szCs w:val="24"/>
          <w:u w:val="single"/>
        </w:rPr>
        <w:t>扩建仓容20</w:t>
      </w:r>
      <w:r>
        <w:rPr>
          <w:rFonts w:hint="eastAsia" w:ascii="宋体" w:hAnsi="宋体" w:cs="宋体"/>
          <w:sz w:val="24"/>
          <w:szCs w:val="24"/>
          <w:u w:val="single"/>
          <w:lang w:val="en-US" w:eastAsia="zh-CN"/>
        </w:rPr>
        <w:t>.5</w:t>
      </w:r>
      <w:r>
        <w:rPr>
          <w:rFonts w:hint="eastAsia" w:ascii="宋体" w:hAnsi="宋体" w:cs="宋体"/>
          <w:sz w:val="24"/>
          <w:szCs w:val="24"/>
          <w:u w:val="single"/>
        </w:rPr>
        <w:t>万吨，主要包括20</w:t>
      </w:r>
      <w:r>
        <w:rPr>
          <w:rFonts w:hint="eastAsia" w:ascii="宋体" w:hAnsi="宋体" w:cs="宋体"/>
          <w:sz w:val="24"/>
          <w:szCs w:val="24"/>
          <w:u w:val="single"/>
          <w:lang w:val="en-US" w:eastAsia="zh-CN"/>
        </w:rPr>
        <w:t>.5</w:t>
      </w:r>
      <w:r>
        <w:rPr>
          <w:rFonts w:hint="eastAsia" w:ascii="宋体" w:hAnsi="宋体" w:cs="宋体"/>
          <w:sz w:val="24"/>
          <w:szCs w:val="24"/>
          <w:u w:val="single"/>
        </w:rPr>
        <w:t>万吨钢筋混凝土大直径筒仓。</w:t>
      </w:r>
      <w:r>
        <w:rPr>
          <w:rFonts w:hint="eastAsia" w:ascii="宋体" w:hAnsi="宋体" w:eastAsia="宋体" w:cs="宋体"/>
          <w:sz w:val="24"/>
          <w:szCs w:val="24"/>
          <w:u w:val="single"/>
        </w:rPr>
        <w:t>建筑面积约</w:t>
      </w:r>
      <w:r>
        <w:rPr>
          <w:rFonts w:hint="eastAsia" w:ascii="宋体" w:hAnsi="宋体" w:eastAsia="宋体" w:cs="宋体"/>
          <w:sz w:val="24"/>
          <w:szCs w:val="24"/>
          <w:u w:val="single"/>
          <w:lang w:val="en-US" w:eastAsia="zh-CN"/>
        </w:rPr>
        <w:t>16380.12</w:t>
      </w:r>
      <w:r>
        <w:rPr>
          <w:rFonts w:hint="eastAsia" w:ascii="宋体" w:hAnsi="宋体" w:eastAsia="宋体" w:cs="宋体"/>
          <w:sz w:val="24"/>
          <w:szCs w:val="24"/>
          <w:u w:val="single"/>
        </w:rPr>
        <w:t>平方米</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建筑占地面积7561.03平方米，</w:t>
      </w:r>
      <w:r>
        <w:rPr>
          <w:rFonts w:hint="eastAsia" w:ascii="宋体" w:hAnsi="宋体" w:eastAsia="宋体" w:cs="宋体"/>
          <w:sz w:val="24"/>
          <w:szCs w:val="24"/>
          <w:u w:val="single"/>
        </w:rPr>
        <w:t>建筑高度</w:t>
      </w:r>
      <w:r>
        <w:rPr>
          <w:rFonts w:hint="eastAsia" w:ascii="宋体" w:hAnsi="宋体" w:eastAsia="宋体" w:cs="宋体"/>
          <w:sz w:val="24"/>
          <w:szCs w:val="24"/>
          <w:u w:val="single"/>
          <w:lang w:val="en-US" w:eastAsia="zh-CN"/>
        </w:rPr>
        <w:t>57.9</w:t>
      </w:r>
      <w:r>
        <w:rPr>
          <w:rFonts w:hint="eastAsia" w:ascii="宋体" w:hAnsi="宋体" w:eastAsia="宋体" w:cs="宋体"/>
          <w:sz w:val="24"/>
          <w:szCs w:val="24"/>
          <w:u w:val="single"/>
        </w:rPr>
        <w:t>米，建筑单体内径28米。包括建设20</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万吨钢筋混凝土大直径筒仓</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并配套提升塔、</w:t>
      </w:r>
      <w:r>
        <w:rPr>
          <w:rFonts w:hint="eastAsia" w:ascii="宋体" w:hAnsi="宋体" w:eastAsia="宋体" w:cs="宋体"/>
          <w:sz w:val="24"/>
          <w:szCs w:val="24"/>
          <w:u w:val="single"/>
          <w:lang w:val="en-US" w:eastAsia="zh-CN"/>
        </w:rPr>
        <w:t>辅助用房、消防水罐等项目设施，工程项目估算费用约23</w:t>
      </w:r>
      <w:r>
        <w:rPr>
          <w:rFonts w:hint="eastAsia" w:ascii="宋体" w:hAnsi="宋体" w:cs="宋体"/>
          <w:sz w:val="24"/>
          <w:szCs w:val="24"/>
          <w:u w:val="single"/>
          <w:lang w:val="en-US" w:eastAsia="zh-CN"/>
        </w:rPr>
        <w:t>5</w:t>
      </w:r>
      <w:r>
        <w:rPr>
          <w:rFonts w:hint="eastAsia" w:ascii="宋体" w:hAnsi="宋体" w:eastAsia="宋体" w:cs="宋体"/>
          <w:sz w:val="24"/>
          <w:szCs w:val="24"/>
          <w:u w:val="single"/>
          <w:lang w:val="en-US" w:eastAsia="zh-CN"/>
        </w:rPr>
        <w:t>00万元</w:t>
      </w:r>
      <w:r>
        <w:rPr>
          <w:rFonts w:ascii="宋体" w:hAnsi="宋体" w:cs="宋体"/>
          <w:sz w:val="24"/>
          <w:szCs w:val="24"/>
          <w:u w:val="single"/>
        </w:rPr>
        <w:t>。</w:t>
      </w:r>
    </w:p>
    <w:p w14:paraId="48C266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2招标范围：</w:t>
      </w:r>
    </w:p>
    <w:p w14:paraId="76C6E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2.2.1标段划分：本项目设1个标段。</w:t>
      </w:r>
    </w:p>
    <w:p w14:paraId="6DD492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rPr>
        <w:t>2.2.2监理范围及内容：</w:t>
      </w:r>
      <w:r>
        <w:rPr>
          <w:rFonts w:hint="eastAsia" w:ascii="宋体" w:hAnsi="宋体" w:cs="宋体"/>
          <w:sz w:val="24"/>
          <w:szCs w:val="24"/>
          <w:u w:val="single"/>
        </w:rPr>
        <w:t>监理范围包括但不限于土建施工、管网布置</w:t>
      </w:r>
      <w:r>
        <w:rPr>
          <w:rFonts w:hint="eastAsia" w:ascii="宋体" w:hAnsi="宋体" w:cs="宋体"/>
          <w:sz w:val="24"/>
          <w:szCs w:val="24"/>
          <w:u w:val="single"/>
          <w:lang w:eastAsia="zh-CN"/>
        </w:rPr>
        <w:t>、</w:t>
      </w:r>
      <w:r>
        <w:rPr>
          <w:rFonts w:hint="eastAsia" w:ascii="宋体" w:hAnsi="宋体" w:cs="宋体"/>
          <w:sz w:val="24"/>
          <w:szCs w:val="24"/>
          <w:u w:val="single"/>
        </w:rPr>
        <w:t>供电照明系统</w:t>
      </w:r>
      <w:r>
        <w:rPr>
          <w:rFonts w:hint="eastAsia" w:ascii="宋体" w:hAnsi="宋体" w:cs="宋体"/>
          <w:sz w:val="24"/>
          <w:szCs w:val="24"/>
          <w:u w:val="single"/>
          <w:lang w:eastAsia="zh-CN"/>
        </w:rPr>
        <w:t>、</w:t>
      </w:r>
      <w:r>
        <w:rPr>
          <w:rFonts w:hint="eastAsia" w:ascii="宋体" w:hAnsi="宋体" w:cs="宋体"/>
          <w:sz w:val="24"/>
          <w:szCs w:val="24"/>
          <w:u w:val="single"/>
        </w:rPr>
        <w:t>给排水系统</w:t>
      </w:r>
      <w:r>
        <w:rPr>
          <w:rFonts w:hint="eastAsia" w:ascii="宋体" w:hAnsi="宋体" w:cs="宋体"/>
          <w:sz w:val="24"/>
          <w:szCs w:val="24"/>
          <w:u w:val="single"/>
          <w:lang w:eastAsia="zh-CN"/>
        </w:rPr>
        <w:t>、</w:t>
      </w:r>
      <w:r>
        <w:rPr>
          <w:rFonts w:hint="eastAsia" w:ascii="宋体" w:hAnsi="宋体" w:cs="宋体"/>
          <w:sz w:val="24"/>
          <w:szCs w:val="24"/>
          <w:u w:val="single"/>
        </w:rPr>
        <w:t>安控系统</w:t>
      </w:r>
      <w:r>
        <w:rPr>
          <w:rFonts w:hint="eastAsia" w:ascii="宋体" w:hAnsi="宋体" w:cs="宋体"/>
          <w:sz w:val="24"/>
          <w:szCs w:val="24"/>
          <w:u w:val="single"/>
          <w:lang w:eastAsia="zh-CN"/>
        </w:rPr>
        <w:t>、</w:t>
      </w:r>
      <w:r>
        <w:rPr>
          <w:rFonts w:hint="eastAsia" w:ascii="宋体" w:hAnsi="宋体" w:cs="宋体"/>
          <w:sz w:val="24"/>
          <w:szCs w:val="24"/>
          <w:u w:val="single"/>
        </w:rPr>
        <w:t>道路交通</w:t>
      </w:r>
      <w:r>
        <w:rPr>
          <w:rFonts w:hint="eastAsia" w:ascii="宋体" w:hAnsi="宋体" w:cs="宋体"/>
          <w:sz w:val="24"/>
          <w:szCs w:val="24"/>
          <w:u w:val="single"/>
          <w:lang w:eastAsia="zh-CN"/>
        </w:rPr>
        <w:t>、</w:t>
      </w:r>
      <w:r>
        <w:rPr>
          <w:rFonts w:hint="eastAsia" w:ascii="宋体" w:hAnsi="宋体" w:cs="宋体"/>
          <w:sz w:val="24"/>
          <w:szCs w:val="24"/>
          <w:u w:val="single"/>
        </w:rPr>
        <w:t>环境保护</w:t>
      </w:r>
      <w:r>
        <w:rPr>
          <w:rFonts w:hint="eastAsia" w:ascii="宋体" w:hAnsi="宋体" w:cs="宋体"/>
          <w:sz w:val="24"/>
          <w:szCs w:val="24"/>
          <w:u w:val="single"/>
          <w:lang w:eastAsia="zh-CN"/>
        </w:rPr>
        <w:t>、</w:t>
      </w:r>
      <w:r>
        <w:rPr>
          <w:rFonts w:hint="eastAsia" w:ascii="宋体" w:hAnsi="宋体" w:cs="宋体"/>
          <w:sz w:val="24"/>
          <w:szCs w:val="24"/>
          <w:u w:val="single"/>
        </w:rPr>
        <w:t>总体消防</w:t>
      </w:r>
      <w:r>
        <w:rPr>
          <w:rFonts w:hint="eastAsia" w:ascii="宋体" w:hAnsi="宋体" w:cs="宋体"/>
          <w:sz w:val="24"/>
          <w:szCs w:val="24"/>
          <w:u w:val="single"/>
          <w:lang w:eastAsia="zh-CN"/>
        </w:rPr>
        <w:t>、</w:t>
      </w:r>
      <w:r>
        <w:rPr>
          <w:rFonts w:hint="eastAsia" w:ascii="宋体" w:hAnsi="宋体" w:cs="宋体"/>
          <w:sz w:val="24"/>
          <w:szCs w:val="24"/>
          <w:u w:val="single"/>
        </w:rPr>
        <w:t>总体绿化</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电控系统、</w:t>
      </w:r>
      <w:r>
        <w:rPr>
          <w:rFonts w:hint="eastAsia" w:ascii="宋体" w:hAnsi="宋体" w:cs="宋体"/>
          <w:sz w:val="24"/>
          <w:szCs w:val="24"/>
          <w:u w:val="single"/>
        </w:rPr>
        <w:t>MEC</w:t>
      </w:r>
      <w:r>
        <w:rPr>
          <w:rFonts w:hint="eastAsia" w:ascii="宋体" w:hAnsi="宋体" w:cs="宋体"/>
          <w:sz w:val="24"/>
          <w:szCs w:val="24"/>
          <w:u w:val="single"/>
          <w:lang w:val="en-US" w:eastAsia="zh-CN"/>
        </w:rPr>
        <w:t>厂内监造及现场</w:t>
      </w:r>
      <w:r>
        <w:rPr>
          <w:rFonts w:hint="eastAsia" w:ascii="宋体" w:hAnsi="宋体" w:cs="宋体"/>
          <w:sz w:val="24"/>
          <w:szCs w:val="24"/>
          <w:u w:val="single"/>
        </w:rPr>
        <w:t>安装</w:t>
      </w:r>
      <w:r>
        <w:rPr>
          <w:rFonts w:hint="eastAsia" w:ascii="宋体" w:hAnsi="宋体" w:cs="宋体"/>
          <w:sz w:val="24"/>
          <w:szCs w:val="24"/>
          <w:u w:val="single"/>
          <w:lang w:val="en-US" w:eastAsia="zh-CN"/>
        </w:rPr>
        <w:t>、智能化系统建设</w:t>
      </w:r>
      <w:r>
        <w:rPr>
          <w:rFonts w:hint="eastAsia" w:ascii="宋体" w:hAnsi="宋体" w:cs="宋体"/>
          <w:sz w:val="24"/>
          <w:szCs w:val="24"/>
          <w:u w:val="single"/>
        </w:rPr>
        <w:t>及后续零星工程，</w:t>
      </w:r>
      <w:r>
        <w:rPr>
          <w:rFonts w:hint="eastAsia" w:ascii="宋体" w:hAnsi="宋体" w:cs="宋体"/>
          <w:sz w:val="24"/>
          <w:szCs w:val="24"/>
          <w:u w:val="single"/>
          <w:lang w:val="en-US" w:eastAsia="zh-CN"/>
        </w:rPr>
        <w:t>不包含已招标的护坡建设相关工程，</w:t>
      </w:r>
      <w:r>
        <w:rPr>
          <w:rFonts w:hint="eastAsia" w:ascii="宋体" w:hAnsi="宋体" w:cs="宋体"/>
          <w:sz w:val="24"/>
          <w:szCs w:val="24"/>
          <w:u w:val="single"/>
        </w:rPr>
        <w:t>含施工准备阶段、施工阶段、工程收尾阶段（包括：预验收、竣工验收及竣工验收资料移交城建档案、整改、工程移交及实物移交、审核工程结算、竣工备案等）及工程质量保修阶段全过程的质量、进度、费用控制、安全生产监督管理、合同、信息等方面的协调管理；设备、材料进场检查；组织协调、安全文明施工管理、组织各类验收；组织、审核竣工资料；对工程施工的投资、质量和工期采用科学的方法和手段进行控制；工程款拨付审核、工程变更和现场签证的审核与控制；协助招标人完成工程各阶段招标及合同谈判；协助招标人或其委托的工程各阶段中标人完成工程报建工作；在项目建设过程中就有关问题向招标人提出合理化建议；向招标人提交完整的监理档案资料；协助招标人参与工程的专项验收、竣工验收、工程结算、财务决算及交付使用；其他法律法规规章要求须由监理单位完成的工作和招标人安排的属监理工作范围的其他工作；各参建单位相关部门的协调；按委托人的要求提前进场参与开工前期的准备和筹划工作，协助委托人制定各参建方职责及有关事务性工作；委托人要求的与本项目相关的其他合理工作；</w:t>
      </w:r>
      <w:r>
        <w:rPr>
          <w:rFonts w:hint="eastAsia" w:ascii="宋体" w:hAnsi="宋体" w:cs="宋体"/>
          <w:sz w:val="24"/>
          <w:szCs w:val="24"/>
          <w:highlight w:val="none"/>
        </w:rPr>
        <w:t>及机电设备的检测工作。其中机电设备的检测工作包括但不限于以下内容：</w:t>
      </w:r>
    </w:p>
    <w:p w14:paraId="639CE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⑴输送及提升设备的头部驱动及平台振动检测，抽测比例为30%。</w:t>
      </w:r>
    </w:p>
    <w:p w14:paraId="67F15C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⑵漆膜厚度检测，检测桁架及设备钢结构主体，比例为每米2个点。</w:t>
      </w:r>
    </w:p>
    <w:p w14:paraId="1846D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⑶设备及电气器件运行温度，检测范围：电房开关、变压器，主要输送设备电机及减速机。</w:t>
      </w:r>
    </w:p>
    <w:p w14:paraId="16CED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⑷电缆绝缘检测，采取抽测形式，比例为30%。</w:t>
      </w:r>
    </w:p>
    <w:p w14:paraId="4B463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⑸设备接地情况检测，采取抽测形式，按照等电位接地点的30%。</w:t>
      </w:r>
    </w:p>
    <w:p w14:paraId="644A8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⑹输送设备运行达产情况判定。</w:t>
      </w:r>
    </w:p>
    <w:p w14:paraId="3555F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⑺输送设备安装定位及对中情况检测。</w:t>
      </w:r>
    </w:p>
    <w:p w14:paraId="5EA80E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工程建设内容以工程最终整体竣工验收内容为准。投标人的投标报价，应至少包括完成上述建设内容的监理，且应包括招标文件、合同条款所列监理范围及工期的全部内容。</w:t>
      </w:r>
    </w:p>
    <w:p w14:paraId="3D96B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sz w:val="24"/>
          <w:szCs w:val="24"/>
        </w:rPr>
        <w:t>招标人提醒：该项目总监理工程师及监理人员必须按规定常驻现场，服务期</w:t>
      </w:r>
      <w:r>
        <w:rPr>
          <w:rFonts w:hint="eastAsia" w:ascii="宋体" w:hAnsi="宋体" w:cs="宋体"/>
          <w:sz w:val="24"/>
          <w:szCs w:val="24"/>
          <w:lang w:val="en-US" w:eastAsia="zh-CN"/>
        </w:rPr>
        <w:t>约</w:t>
      </w:r>
      <w:r>
        <w:rPr>
          <w:rFonts w:hint="default" w:ascii="宋体" w:hAnsi="宋体" w:cs="宋体"/>
          <w:sz w:val="24"/>
          <w:szCs w:val="24"/>
          <w:lang w:val="en-US" w:eastAsia="zh-CN"/>
        </w:rPr>
        <w:t>720</w:t>
      </w:r>
      <w:r>
        <w:rPr>
          <w:rFonts w:hint="eastAsia" w:ascii="宋体" w:hAnsi="宋体" w:cs="宋体"/>
          <w:sz w:val="24"/>
          <w:szCs w:val="24"/>
          <w:lang w:val="en-US" w:eastAsia="zh-CN"/>
        </w:rPr>
        <w:t>天，现场服务从土建工程开</w:t>
      </w:r>
      <w:r>
        <w:rPr>
          <w:rFonts w:hint="eastAsia" w:ascii="宋体" w:hAnsi="宋体" w:cs="宋体"/>
          <w:color w:val="auto"/>
          <w:sz w:val="24"/>
          <w:szCs w:val="24"/>
          <w:lang w:val="en-US" w:eastAsia="zh-CN"/>
        </w:rPr>
        <w:t>工日起至通过竣工预验收并移交装粮压仓为止</w:t>
      </w:r>
      <w:r>
        <w:rPr>
          <w:rFonts w:hint="eastAsia" w:ascii="宋体" w:hAnsi="宋体" w:cs="宋体"/>
          <w:color w:val="auto"/>
          <w:sz w:val="24"/>
          <w:szCs w:val="24"/>
        </w:rPr>
        <w:t>。</w:t>
      </w:r>
    </w:p>
    <w:p w14:paraId="59E2B1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2.2.4最高投标限价：人民币263万元</w:t>
      </w:r>
      <w:r>
        <w:rPr>
          <w:rFonts w:hint="eastAsia" w:ascii="宋体" w:hAnsi="宋体" w:cs="宋体"/>
          <w:color w:val="auto"/>
          <w:sz w:val="24"/>
          <w:szCs w:val="24"/>
          <w:lang w:val="en-US" w:eastAsia="zh-CN"/>
        </w:rPr>
        <w:t>。</w:t>
      </w:r>
    </w:p>
    <w:p w14:paraId="636C6D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注：投标报价不得超过最高投标限价。</w:t>
      </w:r>
    </w:p>
    <w:p w14:paraId="18E7FEBD">
      <w:pPr>
        <w:pStyle w:val="6"/>
        <w:spacing w:before="312" w:beforeLines="100" w:line="360" w:lineRule="auto"/>
        <w:rPr>
          <w:color w:val="auto"/>
        </w:rPr>
      </w:pPr>
      <w:bookmarkStart w:id="16" w:name="_Toc529196506"/>
      <w:bookmarkStart w:id="17" w:name="_Toc535938697"/>
      <w:bookmarkStart w:id="18" w:name="_Toc511557027"/>
      <w:r>
        <w:rPr>
          <w:rFonts w:hint="eastAsia"/>
          <w:color w:val="auto"/>
        </w:rPr>
        <w:t>3. 投标人资格要求</w:t>
      </w:r>
      <w:bookmarkEnd w:id="16"/>
      <w:bookmarkEnd w:id="17"/>
      <w:bookmarkEnd w:id="18"/>
    </w:p>
    <w:p w14:paraId="7BAFA19C">
      <w:pPr>
        <w:spacing w:line="360" w:lineRule="auto"/>
        <w:ind w:firstLine="480" w:firstLineChars="200"/>
        <w:rPr>
          <w:rFonts w:hint="eastAsia" w:ascii="宋体" w:hAnsi="宋体" w:cs="宋体"/>
          <w:color w:val="auto"/>
          <w:sz w:val="24"/>
          <w:highlight w:val="none"/>
          <w:u w:val="single"/>
          <w:lang w:bidi="ar"/>
        </w:rPr>
      </w:pPr>
      <w:bookmarkStart w:id="19" w:name="_Toc535938699"/>
      <w:r>
        <w:rPr>
          <w:rFonts w:hint="eastAsia" w:ascii="宋体" w:hAnsi="宋体" w:cs="宋体"/>
          <w:color w:val="auto"/>
          <w:sz w:val="24"/>
          <w:highlight w:val="none"/>
        </w:rPr>
        <w:t xml:space="preserve">3.1 </w:t>
      </w:r>
      <w:r>
        <w:rPr>
          <w:rFonts w:hint="eastAsia" w:ascii="宋体" w:hAnsi="宋体" w:cs="宋体"/>
          <w:color w:val="auto"/>
          <w:sz w:val="24"/>
          <w:highlight w:val="none"/>
          <w:u w:val="single"/>
          <w:lang w:bidi="ar"/>
        </w:rPr>
        <w:t>投标人须具有承接本工程所需的以下资质：</w:t>
      </w:r>
    </w:p>
    <w:p w14:paraId="13384575">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olor w:val="auto"/>
          <w:sz w:val="24"/>
          <w:highlight w:val="none"/>
        </w:rPr>
        <w:t>投标人均须具备</w:t>
      </w:r>
      <w:r>
        <w:rPr>
          <w:rFonts w:hint="eastAsia"/>
          <w:color w:val="auto"/>
          <w:sz w:val="24"/>
          <w:szCs w:val="24"/>
          <w:highlight w:val="none"/>
          <w:u w:val="single"/>
        </w:rPr>
        <w:t>工程监理综合资质或房屋建筑工程监理</w:t>
      </w:r>
      <w:r>
        <w:rPr>
          <w:rFonts w:hint="eastAsia"/>
          <w:color w:val="auto"/>
          <w:sz w:val="24"/>
          <w:szCs w:val="24"/>
          <w:highlight w:val="none"/>
          <w:u w:val="single"/>
          <w:lang w:val="en-US" w:eastAsia="zh-CN"/>
        </w:rPr>
        <w:t>乙级或以上</w:t>
      </w:r>
      <w:r>
        <w:rPr>
          <w:rFonts w:hint="eastAsia"/>
          <w:color w:val="auto"/>
          <w:sz w:val="24"/>
          <w:szCs w:val="24"/>
          <w:highlight w:val="none"/>
          <w:u w:val="single"/>
        </w:rPr>
        <w:t>资质</w:t>
      </w:r>
      <w:r>
        <w:rPr>
          <w:rFonts w:hint="eastAsia"/>
          <w:color w:val="auto"/>
          <w:sz w:val="24"/>
          <w:szCs w:val="24"/>
          <w:highlight w:val="none"/>
          <w:u w:val="single"/>
          <w:lang w:eastAsia="zh-CN"/>
        </w:rPr>
        <w:t>。</w:t>
      </w:r>
    </w:p>
    <w:p w14:paraId="0AA05CFF">
      <w:pPr>
        <w:spacing w:line="360" w:lineRule="auto"/>
        <w:ind w:firstLine="424" w:firstLineChars="177"/>
        <w:rPr>
          <w:rFonts w:hint="eastAsia" w:ascii="宋体" w:hAnsi="宋体" w:cs="宋体"/>
          <w:color w:val="auto"/>
          <w:sz w:val="24"/>
          <w:highlight w:val="none"/>
          <w:u w:val="single"/>
        </w:rPr>
      </w:pPr>
      <w:r>
        <w:rPr>
          <w:rFonts w:hint="eastAsia" w:ascii="宋体" w:hAnsi="宋体" w:cs="宋体"/>
          <w:color w:val="auto"/>
          <w:sz w:val="24"/>
          <w:highlight w:val="none"/>
          <w:u w:val="single"/>
          <w:lang w:bidi="ar"/>
        </w:rPr>
        <w:t>注：</w:t>
      </w:r>
      <w:r>
        <w:rPr>
          <w:rFonts w:hint="eastAsia" w:ascii="宋体" w:hAnsi="宋体" w:cs="宋体"/>
          <w:color w:val="auto"/>
          <w:sz w:val="24"/>
          <w:highlight w:val="none"/>
        </w:rPr>
        <w:t>工程监理企业资质证书有效期按《住房和城乡建设部办公厅关于做好建筑业“证照分离”改革衔接有关工作的通知》（建办市〔2021〕30号）、《住房和城乡建设部办公厅关于建设工程企业资质有关事宜的通知》（建办市函〔2022〕361号）、《住房城乡建设部建筑市场监管司关于建设工程企业资质延续有关事项的通知》（建司局函市〔2023〕116号）、《广东省住房和城乡建设厅关于建设工程企业资质有关事宜的通知》（粤建许函〔2022〕846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执行。</w:t>
      </w:r>
      <w:r>
        <w:rPr>
          <w:rFonts w:hint="eastAsia" w:ascii="宋体" w:hAnsi="宋体"/>
          <w:color w:val="auto"/>
          <w:kern w:val="0"/>
          <w:sz w:val="24"/>
          <w:highlight w:val="none"/>
        </w:rPr>
        <w:t>根据上述文件的要求，投标人需办理企业资质有效期延续的，应当按照相关规定及时办理。</w:t>
      </w:r>
      <w:r>
        <w:rPr>
          <w:rFonts w:hint="eastAsia" w:ascii="宋体" w:hAnsi="宋体" w:cs="宋体"/>
          <w:color w:val="auto"/>
          <w:sz w:val="24"/>
          <w:highlight w:val="none"/>
          <w:u w:val="single"/>
        </w:rPr>
        <w:t>相关注意事项如下</w:t>
      </w:r>
      <w:r>
        <w:rPr>
          <w:rFonts w:hint="eastAsia" w:ascii="宋体" w:hAnsi="宋体"/>
          <w:color w:val="auto"/>
          <w:kern w:val="0"/>
          <w:sz w:val="24"/>
          <w:highlight w:val="none"/>
          <w:u w:val="single"/>
        </w:rPr>
        <w:t>：</w:t>
      </w:r>
    </w:p>
    <w:p w14:paraId="1A72C4FD">
      <w:pPr>
        <w:spacing w:line="360" w:lineRule="auto"/>
        <w:ind w:firstLine="537" w:firstLineChars="224"/>
        <w:rPr>
          <w:rFonts w:hint="eastAsia" w:ascii="宋体" w:hAnsi="宋体" w:cs="宋体"/>
          <w:color w:val="auto"/>
          <w:sz w:val="24"/>
          <w:highlight w:val="none"/>
          <w:u w:val="single"/>
        </w:rPr>
      </w:pPr>
      <w:r>
        <w:rPr>
          <w:rFonts w:ascii="宋体" w:hAnsi="宋体" w:cs="宋体"/>
          <w:color w:val="auto"/>
          <w:sz w:val="24"/>
          <w:highlight w:val="none"/>
          <w:u w:val="single"/>
        </w:rPr>
        <w:t>（一）投标人按照上述规定办理了资质延期或换领新证，在投标截止前已取得新证的，投标人须在投标文件中提供经核准延期后的新资质证书。</w:t>
      </w:r>
    </w:p>
    <w:p w14:paraId="43630418">
      <w:pPr>
        <w:spacing w:line="360" w:lineRule="auto"/>
        <w:ind w:firstLine="537" w:firstLineChars="224"/>
        <w:rPr>
          <w:rFonts w:hint="eastAsia" w:ascii="宋体" w:hAnsi="宋体" w:cs="宋体"/>
          <w:color w:val="auto"/>
          <w:sz w:val="24"/>
          <w:highlight w:val="none"/>
          <w:u w:val="single"/>
        </w:rPr>
      </w:pPr>
      <w:r>
        <w:rPr>
          <w:rFonts w:ascii="宋体" w:hAnsi="宋体" w:cs="宋体"/>
          <w:color w:val="auto"/>
          <w:sz w:val="24"/>
          <w:highlight w:val="none"/>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71A9A247">
      <w:pPr>
        <w:spacing w:line="360" w:lineRule="auto"/>
        <w:ind w:firstLine="537" w:firstLineChars="224"/>
        <w:rPr>
          <w:rFonts w:hint="eastAsia" w:ascii="宋体" w:hAnsi="宋体" w:cs="宋体"/>
          <w:color w:val="auto"/>
          <w:sz w:val="24"/>
          <w:highlight w:val="none"/>
          <w:u w:val="single"/>
        </w:rPr>
      </w:pPr>
      <w:r>
        <w:rPr>
          <w:rFonts w:ascii="宋体" w:hAnsi="宋体" w:cs="宋体"/>
          <w:color w:val="auto"/>
          <w:sz w:val="24"/>
          <w:highlight w:val="none"/>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62B6B7D4">
      <w:pPr>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6F4FB55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3.2 总监理工程师：项目总监理工程师必须具有中华人民共和国住房和城乡建设部2006年4月1日后颁发的中华人民共和国</w:t>
      </w:r>
      <w:r>
        <w:rPr>
          <w:rFonts w:hint="eastAsia" w:ascii="宋体" w:hAnsi="宋体" w:cs="宋体"/>
          <w:color w:val="auto"/>
          <w:sz w:val="24"/>
          <w:highlight w:val="none"/>
          <w:u w:val="none"/>
        </w:rPr>
        <w:t>注册监理工程师注册执业证书</w:t>
      </w:r>
      <w:r>
        <w:rPr>
          <w:rFonts w:hint="eastAsia" w:ascii="宋体" w:hAnsi="宋体" w:cs="宋体"/>
          <w:color w:val="auto"/>
          <w:sz w:val="24"/>
          <w:highlight w:val="none"/>
        </w:rPr>
        <w:t>，且其注册证书专业为</w:t>
      </w:r>
      <w:r>
        <w:rPr>
          <w:rFonts w:hint="eastAsia" w:ascii="宋体" w:hAnsi="宋体" w:cs="宋体"/>
          <w:color w:val="auto"/>
          <w:sz w:val="24"/>
          <w:highlight w:val="none"/>
          <w:u w:val="single"/>
        </w:rPr>
        <w:t>房屋建筑工程</w:t>
      </w:r>
      <w:r>
        <w:rPr>
          <w:rFonts w:hint="eastAsia" w:ascii="宋体" w:hAnsi="宋体" w:cs="宋体"/>
          <w:color w:val="auto"/>
          <w:sz w:val="24"/>
          <w:highlight w:val="none"/>
        </w:rPr>
        <w:t>，注册执业单位为本公司</w:t>
      </w:r>
      <w:r>
        <w:rPr>
          <w:rFonts w:hint="eastAsia" w:ascii="宋体" w:hAnsi="宋体" w:cs="宋体"/>
          <w:color w:val="auto"/>
          <w:sz w:val="24"/>
          <w:highlight w:val="none"/>
          <w:u w:val="single"/>
        </w:rPr>
        <w:t>。并需提供近</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个月</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2025年7月-9月）</w:t>
      </w:r>
      <w:r>
        <w:rPr>
          <w:rFonts w:hint="eastAsia" w:ascii="宋体" w:hAnsi="宋体" w:cs="宋体"/>
          <w:color w:val="auto"/>
          <w:sz w:val="24"/>
          <w:highlight w:val="none"/>
          <w:u w:val="none"/>
        </w:rPr>
        <w:t>在本</w:t>
      </w:r>
      <w:r>
        <w:rPr>
          <w:rFonts w:hint="eastAsia" w:ascii="宋体" w:hAnsi="宋体" w:cs="宋体"/>
          <w:color w:val="auto"/>
          <w:sz w:val="24"/>
          <w:highlight w:val="none"/>
          <w:u w:val="single"/>
        </w:rPr>
        <w:t>单位（不含子公司）购买的社保证明，社保证明需能反映参保人在相应单位（不含子公司）缴纳。若发现弄虚作假的，则将其行为纳入不诚信名单，招标人保留上报给行政主管部门的权力。</w:t>
      </w:r>
    </w:p>
    <w:p w14:paraId="65FEFC6E">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color w:val="auto"/>
          <w:sz w:val="24"/>
          <w:highlight w:val="none"/>
        </w:rPr>
        <w:t>投标人完成过</w:t>
      </w:r>
      <w:r>
        <w:rPr>
          <w:rFonts w:hint="eastAsia" w:ascii="宋体" w:hAnsi="宋体" w:cs="宋体"/>
          <w:color w:val="auto"/>
          <w:sz w:val="24"/>
          <w:highlight w:val="none"/>
          <w:lang w:val="en-US" w:eastAsia="zh-CN"/>
        </w:rPr>
        <w:t>以下（1）、（2）、（3）其中之一的</w:t>
      </w: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监理业绩</w:t>
      </w:r>
    </w:p>
    <w:p w14:paraId="5ADD854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投标人自</w:t>
      </w:r>
      <w:r>
        <w:rPr>
          <w:rFonts w:hint="eastAsia" w:ascii="宋体" w:hAnsi="宋体" w:cs="宋体"/>
          <w:color w:val="auto"/>
          <w:sz w:val="24"/>
          <w:highlight w:val="none"/>
          <w:lang w:eastAsia="zh-CN"/>
        </w:rPr>
        <w:t>2020</w:t>
      </w:r>
      <w:r>
        <w:rPr>
          <w:rFonts w:hint="eastAsia" w:ascii="宋体" w:hAnsi="宋体" w:eastAsia="宋体" w:cs="宋体"/>
          <w:color w:val="auto"/>
          <w:sz w:val="24"/>
          <w:highlight w:val="none"/>
        </w:rPr>
        <w:t>年1月1日</w:t>
      </w:r>
      <w:r>
        <w:rPr>
          <w:rFonts w:hint="eastAsia" w:ascii="宋体" w:hAnsi="宋体" w:cs="宋体"/>
          <w:color w:val="auto"/>
          <w:sz w:val="24"/>
          <w:highlight w:val="none"/>
          <w:lang w:eastAsia="zh-CN"/>
        </w:rPr>
        <w:t>至投标截止日</w:t>
      </w:r>
      <w:r>
        <w:rPr>
          <w:rFonts w:hint="eastAsia" w:ascii="宋体" w:hAnsi="宋体" w:eastAsia="宋体" w:cs="宋体"/>
          <w:color w:val="auto"/>
          <w:sz w:val="24"/>
          <w:highlight w:val="none"/>
        </w:rPr>
        <w:t>完成过质量合格</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szCs w:val="24"/>
          <w:highlight w:val="none"/>
        </w:rPr>
        <w:t>单项合同规模</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万吨（</w:t>
      </w:r>
      <w:r>
        <w:rPr>
          <w:rFonts w:hint="eastAsia" w:ascii="宋体" w:hAnsi="宋体" w:eastAsia="宋体" w:cs="宋体"/>
          <w:color w:val="auto"/>
          <w:sz w:val="24"/>
          <w:szCs w:val="24"/>
          <w:highlight w:val="none"/>
        </w:rPr>
        <w:t>或以上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的钢筋混凝土</w:t>
      </w:r>
      <w:r>
        <w:rPr>
          <w:rFonts w:hint="eastAsia" w:ascii="宋体" w:hAnsi="宋体" w:eastAsia="宋体" w:cs="宋体"/>
          <w:color w:val="auto"/>
          <w:sz w:val="24"/>
          <w:szCs w:val="24"/>
          <w:highlight w:val="none"/>
          <w:lang w:val="en-US" w:eastAsia="zh-CN"/>
        </w:rPr>
        <w:t>粮食</w:t>
      </w:r>
      <w:r>
        <w:rPr>
          <w:rFonts w:hint="eastAsia" w:ascii="宋体" w:hAnsi="宋体" w:eastAsia="宋体" w:cs="宋体"/>
          <w:color w:val="auto"/>
          <w:sz w:val="24"/>
          <w:szCs w:val="24"/>
          <w:highlight w:val="none"/>
        </w:rPr>
        <w:t>筒仓（浅圆仓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大直径筒仓</w:t>
      </w:r>
      <w:r>
        <w:rPr>
          <w:rFonts w:hint="eastAsia" w:ascii="宋体" w:hAnsi="宋体" w:eastAsia="宋体" w:cs="宋体"/>
          <w:color w:val="auto"/>
          <w:sz w:val="24"/>
          <w:szCs w:val="24"/>
          <w:highlight w:val="none"/>
        </w:rPr>
        <w:t>或立筒仓）工程</w:t>
      </w:r>
      <w:r>
        <w:rPr>
          <w:rFonts w:hint="eastAsia" w:ascii="宋体" w:hAnsi="宋体" w:eastAsia="宋体" w:cs="宋体"/>
          <w:color w:val="auto"/>
          <w:sz w:val="24"/>
          <w:szCs w:val="24"/>
          <w:highlight w:val="none"/>
          <w:lang w:eastAsia="zh-CN"/>
        </w:rPr>
        <w:t>的监理业绩</w:t>
      </w:r>
      <w:r>
        <w:rPr>
          <w:rFonts w:hint="eastAsia" w:ascii="宋体" w:hAnsi="宋体" w:eastAsia="宋体" w:cs="宋体"/>
          <w:color w:val="auto"/>
          <w:sz w:val="24"/>
          <w:highlight w:val="none"/>
        </w:rPr>
        <w:t>（完成时间以竣工验收时间为准）</w:t>
      </w:r>
      <w:r>
        <w:rPr>
          <w:rFonts w:hint="eastAsia" w:ascii="宋体" w:hAnsi="宋体" w:cs="宋体"/>
          <w:color w:val="auto"/>
          <w:sz w:val="24"/>
          <w:szCs w:val="24"/>
          <w:highlight w:val="none"/>
          <w:lang w:eastAsia="zh-CN"/>
        </w:rPr>
        <w:t>。</w:t>
      </w:r>
    </w:p>
    <w:p w14:paraId="6C6FF593">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投标人自</w:t>
      </w:r>
      <w:r>
        <w:rPr>
          <w:rFonts w:hint="eastAsia" w:ascii="宋体" w:hAnsi="宋体" w:cs="宋体"/>
          <w:color w:val="auto"/>
          <w:sz w:val="24"/>
          <w:highlight w:val="none"/>
          <w:lang w:eastAsia="zh-CN"/>
        </w:rPr>
        <w:t>2020</w:t>
      </w:r>
      <w:r>
        <w:rPr>
          <w:rFonts w:hint="eastAsia" w:ascii="宋体" w:hAnsi="宋体" w:eastAsia="宋体" w:cs="宋体"/>
          <w:color w:val="auto"/>
          <w:sz w:val="24"/>
          <w:highlight w:val="none"/>
        </w:rPr>
        <w:t>年1月1日</w:t>
      </w:r>
      <w:r>
        <w:rPr>
          <w:rFonts w:hint="eastAsia" w:ascii="宋体" w:hAnsi="宋体" w:cs="宋体"/>
          <w:color w:val="auto"/>
          <w:sz w:val="24"/>
          <w:highlight w:val="none"/>
          <w:lang w:eastAsia="zh-CN"/>
        </w:rPr>
        <w:t>至投标截止日</w:t>
      </w:r>
      <w:r>
        <w:rPr>
          <w:rFonts w:hint="eastAsia" w:ascii="宋体" w:hAnsi="宋体" w:eastAsia="宋体" w:cs="宋体"/>
          <w:color w:val="auto"/>
          <w:sz w:val="24"/>
          <w:highlight w:val="none"/>
        </w:rPr>
        <w:t>完成过质量合格</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szCs w:val="24"/>
          <w:highlight w:val="none"/>
          <w:lang w:val="en-US" w:eastAsia="zh-CN"/>
        </w:rPr>
        <w:t>单项合同规模容积</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万立方米（或以上）的非粮食钢筋混凝土筒仓工程（含</w:t>
      </w:r>
      <w:r>
        <w:rPr>
          <w:rFonts w:hint="eastAsia" w:ascii="宋体" w:hAnsi="宋体" w:cs="宋体"/>
          <w:color w:val="auto"/>
          <w:sz w:val="24"/>
          <w:szCs w:val="24"/>
          <w:highlight w:val="none"/>
          <w:lang w:val="en-US" w:eastAsia="zh-CN"/>
        </w:rPr>
        <w:t>水泥仓或面粉仓或高层建筑中心塔或麦芽生产塔或混凝土油罐或混凝土烟囱等</w:t>
      </w:r>
      <w:r>
        <w:rPr>
          <w:rFonts w:hint="eastAsia" w:ascii="宋体" w:hAnsi="宋体" w:eastAsia="宋体" w:cs="宋体"/>
          <w:color w:val="auto"/>
          <w:sz w:val="24"/>
          <w:szCs w:val="24"/>
          <w:highlight w:val="none"/>
          <w:lang w:val="en-US" w:eastAsia="zh-CN"/>
        </w:rPr>
        <w:t>）的监理业绩</w:t>
      </w:r>
      <w:r>
        <w:rPr>
          <w:rFonts w:hint="eastAsia" w:ascii="宋体" w:hAnsi="宋体" w:eastAsia="宋体" w:cs="宋体"/>
          <w:color w:val="auto"/>
          <w:sz w:val="24"/>
          <w:highlight w:val="none"/>
        </w:rPr>
        <w:t>（完成时间以竣工验收时间为准）。</w:t>
      </w:r>
    </w:p>
    <w:p w14:paraId="561DC7D9">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投标人2020年1月1日至投标截止日完成过质量合格的单个项目投资 20000 万元(含)以上房屋建筑工程项目的监理业绩</w:t>
      </w:r>
      <w:r>
        <w:rPr>
          <w:rFonts w:hint="eastAsia" w:ascii="宋体" w:hAnsi="宋体" w:eastAsia="宋体" w:cs="宋体"/>
          <w:color w:val="auto"/>
          <w:sz w:val="24"/>
          <w:highlight w:val="none"/>
        </w:rPr>
        <w:t>（完成时间以竣工验收时间为准）</w:t>
      </w:r>
      <w:r>
        <w:rPr>
          <w:rFonts w:hint="eastAsia" w:ascii="宋体" w:hAnsi="宋体" w:cs="宋体"/>
          <w:color w:val="auto"/>
          <w:sz w:val="24"/>
          <w:szCs w:val="24"/>
          <w:highlight w:val="none"/>
          <w:lang w:eastAsia="zh-CN"/>
        </w:rPr>
        <w:t>。</w:t>
      </w:r>
    </w:p>
    <w:p w14:paraId="2493F1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备注：1.每项业绩需同时提供：中标通知书或免招标的相关证明、监理合同等能证明</w:t>
      </w:r>
      <w:r>
        <w:rPr>
          <w:rFonts w:hint="eastAsia" w:ascii="宋体" w:hAnsi="宋体" w:eastAsia="宋体" w:cs="宋体"/>
          <w:color w:val="auto"/>
          <w:sz w:val="24"/>
          <w:szCs w:val="24"/>
          <w:highlight w:val="none"/>
        </w:rPr>
        <w:t>合同规模</w:t>
      </w:r>
      <w:r>
        <w:rPr>
          <w:rFonts w:hint="eastAsia" w:ascii="宋体" w:hAnsi="宋体" w:eastAsia="宋体" w:cs="宋体"/>
          <w:color w:val="auto"/>
          <w:sz w:val="24"/>
          <w:highlight w:val="none"/>
        </w:rPr>
        <w:t>的材料、竣工验收证明材料或质监部门验收证明材料。</w:t>
      </w:r>
    </w:p>
    <w:p w14:paraId="6EC9BA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第(1)、（2）项</w:t>
      </w:r>
      <w:r>
        <w:rPr>
          <w:rFonts w:hint="eastAsia" w:ascii="宋体" w:hAnsi="宋体" w:eastAsia="宋体" w:cs="宋体"/>
          <w:color w:val="auto"/>
          <w:sz w:val="24"/>
          <w:highlight w:val="none"/>
        </w:rPr>
        <w:t>工程监理业绩应提供含仓身平面图、立面图等关键施工图纸两张。</w:t>
      </w:r>
    </w:p>
    <w:p w14:paraId="1D7D26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w:t>
      </w:r>
      <w:r>
        <w:rPr>
          <w:rFonts w:hint="eastAsia" w:ascii="宋体" w:hAnsi="宋体" w:cs="宋体"/>
          <w:color w:val="auto"/>
          <w:sz w:val="24"/>
          <w:highlight w:val="none"/>
          <w:lang w:val="en-US" w:eastAsia="zh-CN"/>
        </w:rPr>
        <w:t>拟派</w:t>
      </w:r>
      <w:r>
        <w:rPr>
          <w:rFonts w:hint="eastAsia" w:ascii="宋体" w:hAnsi="宋体" w:eastAsia="宋体" w:cs="宋体"/>
          <w:color w:val="auto"/>
          <w:sz w:val="24"/>
          <w:highlight w:val="none"/>
        </w:rPr>
        <w:t>项目总监理工程师完成过</w:t>
      </w:r>
      <w:r>
        <w:rPr>
          <w:rFonts w:hint="eastAsia" w:ascii="宋体" w:hAnsi="宋体" w:cs="宋体"/>
          <w:color w:val="auto"/>
          <w:sz w:val="24"/>
          <w:highlight w:val="none"/>
          <w:lang w:val="en-US" w:eastAsia="zh-CN"/>
        </w:rPr>
        <w:t>以下（1）、（2）、（3）其中之一的</w:t>
      </w: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监理业绩</w:t>
      </w:r>
      <w:r>
        <w:rPr>
          <w:rFonts w:hint="eastAsia" w:ascii="宋体" w:hAnsi="宋体" w:cs="宋体"/>
          <w:color w:val="auto"/>
          <w:sz w:val="24"/>
          <w:szCs w:val="24"/>
          <w:highlight w:val="none"/>
          <w:lang w:eastAsia="zh-CN"/>
        </w:rPr>
        <w:t>：</w:t>
      </w:r>
    </w:p>
    <w:p w14:paraId="6C104C1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自</w:t>
      </w:r>
      <w:r>
        <w:rPr>
          <w:rFonts w:hint="eastAsia" w:ascii="宋体" w:hAnsi="宋体" w:cs="宋体"/>
          <w:color w:val="auto"/>
          <w:sz w:val="24"/>
          <w:highlight w:val="none"/>
          <w:lang w:eastAsia="zh-CN"/>
        </w:rPr>
        <w:t>2020</w:t>
      </w:r>
      <w:r>
        <w:rPr>
          <w:rFonts w:hint="eastAsia" w:ascii="宋体" w:hAnsi="宋体" w:eastAsia="宋体" w:cs="宋体"/>
          <w:color w:val="auto"/>
          <w:sz w:val="24"/>
          <w:highlight w:val="none"/>
        </w:rPr>
        <w:t>年1月1日</w:t>
      </w:r>
      <w:r>
        <w:rPr>
          <w:rFonts w:hint="eastAsia" w:ascii="宋体" w:hAnsi="宋体" w:cs="宋体"/>
          <w:color w:val="auto"/>
          <w:sz w:val="24"/>
          <w:highlight w:val="none"/>
          <w:lang w:val="en-US" w:eastAsia="zh-CN"/>
        </w:rPr>
        <w:t>至投标截止日担任</w:t>
      </w:r>
      <w:r>
        <w:rPr>
          <w:rFonts w:hint="eastAsia" w:ascii="宋体" w:hAnsi="宋体" w:eastAsia="宋体" w:cs="宋体"/>
          <w:color w:val="auto"/>
          <w:sz w:val="24"/>
          <w:highlight w:val="none"/>
        </w:rPr>
        <w:t>过质量合格的</w:t>
      </w:r>
      <w:r>
        <w:rPr>
          <w:rFonts w:hint="eastAsia" w:ascii="宋体" w:hAnsi="宋体" w:eastAsia="宋体" w:cs="宋体"/>
          <w:color w:val="auto"/>
          <w:sz w:val="24"/>
          <w:szCs w:val="24"/>
          <w:highlight w:val="none"/>
        </w:rPr>
        <w:t>单项合同规模</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万吨（</w:t>
      </w:r>
      <w:r>
        <w:rPr>
          <w:rFonts w:hint="eastAsia" w:ascii="宋体" w:hAnsi="宋体" w:eastAsia="宋体" w:cs="宋体"/>
          <w:color w:val="auto"/>
          <w:sz w:val="24"/>
          <w:szCs w:val="24"/>
          <w:highlight w:val="none"/>
        </w:rPr>
        <w:t>或以上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的钢筋混凝土粮食筒仓（浅圆仓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大直径筒仓</w:t>
      </w:r>
      <w:r>
        <w:rPr>
          <w:rFonts w:hint="eastAsia" w:ascii="宋体" w:hAnsi="宋体" w:eastAsia="宋体" w:cs="宋体"/>
          <w:color w:val="auto"/>
          <w:sz w:val="24"/>
          <w:szCs w:val="24"/>
          <w:highlight w:val="none"/>
        </w:rPr>
        <w:t>或立筒仓）工程</w:t>
      </w:r>
      <w:r>
        <w:rPr>
          <w:rFonts w:hint="eastAsia" w:ascii="宋体" w:hAnsi="宋体" w:eastAsia="宋体" w:cs="宋体"/>
          <w:color w:val="auto"/>
          <w:sz w:val="24"/>
          <w:szCs w:val="24"/>
          <w:highlight w:val="none"/>
          <w:lang w:eastAsia="zh-CN"/>
        </w:rPr>
        <w:t>的监理业绩</w:t>
      </w:r>
      <w:r>
        <w:rPr>
          <w:rFonts w:hint="eastAsia" w:ascii="宋体" w:hAnsi="宋体" w:cs="宋体"/>
          <w:color w:val="auto"/>
          <w:sz w:val="24"/>
          <w:szCs w:val="24"/>
          <w:highlight w:val="none"/>
          <w:lang w:val="en-US" w:eastAsia="zh-CN"/>
        </w:rPr>
        <w:t>的总监理工程师</w:t>
      </w:r>
      <w:r>
        <w:rPr>
          <w:rFonts w:hint="eastAsia" w:ascii="宋体" w:hAnsi="宋体" w:eastAsia="宋体" w:cs="宋体"/>
          <w:color w:val="auto"/>
          <w:sz w:val="24"/>
          <w:highlight w:val="none"/>
        </w:rPr>
        <w:t>（完成时间以竣工验收时间为准）</w:t>
      </w:r>
      <w:r>
        <w:rPr>
          <w:rFonts w:hint="eastAsia" w:ascii="宋体" w:hAnsi="宋体" w:cs="宋体"/>
          <w:color w:val="auto"/>
          <w:sz w:val="24"/>
          <w:highlight w:val="none"/>
          <w:lang w:eastAsia="zh-CN"/>
        </w:rPr>
        <w:t>。</w:t>
      </w:r>
    </w:p>
    <w:p w14:paraId="3ABBB9F5">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highlight w:val="none"/>
        </w:rPr>
        <w:t>自</w:t>
      </w:r>
      <w:r>
        <w:rPr>
          <w:rFonts w:hint="eastAsia" w:ascii="宋体" w:hAnsi="宋体" w:cs="宋体"/>
          <w:color w:val="auto"/>
          <w:sz w:val="24"/>
          <w:highlight w:val="none"/>
          <w:lang w:eastAsia="zh-CN"/>
        </w:rPr>
        <w:t>2020</w:t>
      </w:r>
      <w:r>
        <w:rPr>
          <w:rFonts w:hint="eastAsia" w:ascii="宋体" w:hAnsi="宋体" w:eastAsia="宋体" w:cs="宋体"/>
          <w:color w:val="auto"/>
          <w:sz w:val="24"/>
          <w:highlight w:val="none"/>
        </w:rPr>
        <w:t>年1月1日</w:t>
      </w:r>
      <w:r>
        <w:rPr>
          <w:rFonts w:hint="eastAsia" w:ascii="宋体" w:hAnsi="宋体" w:cs="宋体"/>
          <w:color w:val="auto"/>
          <w:sz w:val="24"/>
          <w:highlight w:val="none"/>
          <w:lang w:val="en-US" w:eastAsia="zh-CN"/>
        </w:rPr>
        <w:t>至投标截止日</w:t>
      </w:r>
      <w:r>
        <w:rPr>
          <w:rFonts w:hint="eastAsia" w:ascii="宋体" w:hAnsi="宋体" w:eastAsia="宋体" w:cs="宋体"/>
          <w:color w:val="auto"/>
          <w:sz w:val="24"/>
          <w:highlight w:val="none"/>
        </w:rPr>
        <w:t>质量合格的</w:t>
      </w:r>
      <w:r>
        <w:rPr>
          <w:rFonts w:hint="eastAsia" w:ascii="宋体" w:hAnsi="宋体" w:eastAsia="宋体" w:cs="宋体"/>
          <w:color w:val="auto"/>
          <w:sz w:val="24"/>
          <w:szCs w:val="24"/>
          <w:highlight w:val="none"/>
          <w:lang w:eastAsia="zh-CN"/>
        </w:rPr>
        <w:t>单项合同规模容积</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万立方米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或以上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val="en-US" w:eastAsia="zh-CN"/>
        </w:rPr>
        <w:t>非粮食</w:t>
      </w:r>
      <w:r>
        <w:rPr>
          <w:rFonts w:hint="eastAsia" w:ascii="宋体" w:hAnsi="宋体" w:eastAsia="宋体" w:cs="宋体"/>
          <w:color w:val="auto"/>
          <w:sz w:val="24"/>
          <w:szCs w:val="24"/>
          <w:highlight w:val="none"/>
          <w:lang w:eastAsia="zh-CN"/>
        </w:rPr>
        <w:t>钢筋混凝土筒仓工程（含</w:t>
      </w:r>
      <w:r>
        <w:rPr>
          <w:rFonts w:hint="eastAsia" w:ascii="宋体" w:hAnsi="宋体" w:cs="宋体"/>
          <w:color w:val="auto"/>
          <w:sz w:val="24"/>
          <w:szCs w:val="24"/>
          <w:highlight w:val="none"/>
          <w:lang w:eastAsia="zh-CN"/>
        </w:rPr>
        <w:t>水泥仓或面粉仓或高层建筑中心塔或麦芽生产塔或混凝土油罐或混凝土烟囱等</w:t>
      </w:r>
      <w:r>
        <w:rPr>
          <w:rFonts w:hint="eastAsia" w:ascii="宋体" w:hAnsi="宋体" w:eastAsia="宋体" w:cs="宋体"/>
          <w:color w:val="auto"/>
          <w:sz w:val="24"/>
          <w:szCs w:val="24"/>
          <w:highlight w:val="none"/>
          <w:lang w:eastAsia="zh-CN"/>
        </w:rPr>
        <w:t>）的监理业绩</w:t>
      </w:r>
      <w:r>
        <w:rPr>
          <w:rFonts w:hint="eastAsia" w:ascii="宋体" w:hAnsi="宋体" w:cs="宋体"/>
          <w:color w:val="auto"/>
          <w:sz w:val="24"/>
          <w:szCs w:val="24"/>
          <w:highlight w:val="none"/>
          <w:lang w:val="en-US" w:eastAsia="zh-CN"/>
        </w:rPr>
        <w:t>的总监理工程师</w:t>
      </w:r>
      <w:r>
        <w:rPr>
          <w:rFonts w:hint="eastAsia" w:ascii="宋体" w:hAnsi="宋体" w:eastAsia="宋体" w:cs="宋体"/>
          <w:color w:val="auto"/>
          <w:sz w:val="24"/>
          <w:highlight w:val="none"/>
        </w:rPr>
        <w:t>（完成时间以竣工验收时间为准）。</w:t>
      </w:r>
    </w:p>
    <w:p w14:paraId="6AB98F85">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自</w:t>
      </w:r>
      <w:r>
        <w:rPr>
          <w:rFonts w:hint="eastAsia" w:ascii="宋体" w:hAnsi="宋体" w:cs="宋体"/>
          <w:color w:val="auto"/>
          <w:sz w:val="24"/>
          <w:highlight w:val="none"/>
          <w:lang w:eastAsia="zh-CN"/>
        </w:rPr>
        <w:t>2020</w:t>
      </w:r>
      <w:r>
        <w:rPr>
          <w:rFonts w:hint="eastAsia" w:ascii="宋体" w:hAnsi="宋体" w:eastAsia="宋体" w:cs="宋体"/>
          <w:color w:val="auto"/>
          <w:sz w:val="24"/>
          <w:highlight w:val="none"/>
        </w:rPr>
        <w:t>年1月1日</w:t>
      </w:r>
      <w:r>
        <w:rPr>
          <w:rFonts w:hint="eastAsia" w:ascii="宋体" w:hAnsi="宋体" w:cs="宋体"/>
          <w:color w:val="auto"/>
          <w:sz w:val="24"/>
          <w:highlight w:val="none"/>
          <w:lang w:eastAsia="zh-CN"/>
        </w:rPr>
        <w:t>至投标截止日</w:t>
      </w:r>
      <w:r>
        <w:rPr>
          <w:rFonts w:hint="eastAsia" w:ascii="宋体" w:hAnsi="宋体" w:eastAsia="宋体" w:cs="宋体"/>
          <w:color w:val="auto"/>
          <w:sz w:val="24"/>
          <w:highlight w:val="none"/>
        </w:rPr>
        <w:t>担任过质量合格的</w:t>
      </w:r>
      <w:r>
        <w:rPr>
          <w:rFonts w:hint="eastAsia" w:ascii="宋体" w:hAnsi="宋体" w:eastAsia="宋体" w:cs="宋体"/>
          <w:color w:val="auto"/>
          <w:sz w:val="24"/>
          <w:highlight w:val="none"/>
          <w:lang w:val="en-US" w:eastAsia="zh-CN"/>
        </w:rPr>
        <w:t>单个项目投资 20000 万元(含)以上房屋建筑工程项目的监理业绩</w:t>
      </w:r>
      <w:r>
        <w:rPr>
          <w:rFonts w:hint="eastAsia" w:ascii="宋体" w:hAnsi="宋体" w:cs="宋体"/>
          <w:color w:val="auto"/>
          <w:sz w:val="24"/>
          <w:szCs w:val="24"/>
          <w:highlight w:val="none"/>
          <w:lang w:val="en-US" w:eastAsia="zh-CN"/>
        </w:rPr>
        <w:t>的总监理工程师</w:t>
      </w:r>
      <w:r>
        <w:rPr>
          <w:rFonts w:hint="eastAsia" w:ascii="宋体" w:hAnsi="宋体" w:eastAsia="宋体" w:cs="宋体"/>
          <w:color w:val="auto"/>
          <w:sz w:val="24"/>
          <w:highlight w:val="none"/>
        </w:rPr>
        <w:t>（完成时间以竣工验收时间为准）</w:t>
      </w:r>
      <w:r>
        <w:rPr>
          <w:rFonts w:hint="eastAsia" w:ascii="宋体" w:hAnsi="宋体" w:cs="宋体"/>
          <w:color w:val="auto"/>
          <w:sz w:val="24"/>
          <w:szCs w:val="24"/>
          <w:highlight w:val="none"/>
          <w:lang w:eastAsia="zh-CN"/>
        </w:rPr>
        <w:t>。</w:t>
      </w:r>
    </w:p>
    <w:p w14:paraId="3C7F2A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1.每项业绩需同时提供：监理合同等能证明总监职务及</w:t>
      </w:r>
      <w:r>
        <w:rPr>
          <w:rFonts w:hint="eastAsia" w:ascii="宋体" w:hAnsi="宋体" w:eastAsia="宋体" w:cs="宋体"/>
          <w:color w:val="auto"/>
          <w:sz w:val="24"/>
          <w:szCs w:val="24"/>
          <w:highlight w:val="none"/>
        </w:rPr>
        <w:t>合同规模</w:t>
      </w:r>
      <w:r>
        <w:rPr>
          <w:rFonts w:hint="eastAsia" w:ascii="宋体" w:hAnsi="宋体" w:eastAsia="宋体" w:cs="宋体"/>
          <w:color w:val="auto"/>
          <w:sz w:val="24"/>
          <w:highlight w:val="none"/>
        </w:rPr>
        <w:t>的材料、竣工验收证明材料或质监部门验收证明材料。</w:t>
      </w:r>
    </w:p>
    <w:p w14:paraId="4CAB7F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第(1)、（2）项</w:t>
      </w:r>
      <w:r>
        <w:rPr>
          <w:rFonts w:hint="eastAsia" w:ascii="宋体" w:hAnsi="宋体" w:eastAsia="宋体" w:cs="宋体"/>
          <w:color w:val="auto"/>
          <w:sz w:val="24"/>
          <w:highlight w:val="none"/>
        </w:rPr>
        <w:t>工程监理业绩应提供含仓身平面图、立面图等关键施工图纸两张。</w:t>
      </w:r>
    </w:p>
    <w:p w14:paraId="5961CE63">
      <w:pPr>
        <w:spacing w:line="440" w:lineRule="exact"/>
        <w:ind w:firstLine="480" w:firstLineChars="200"/>
        <w:rPr>
          <w:rFonts w:ascii="宋体" w:hAnsi="宋体" w:cs="宋体"/>
          <w:sz w:val="24"/>
          <w:szCs w:val="24"/>
          <w:u w:val="single"/>
        </w:rPr>
      </w:pPr>
      <w:r>
        <w:rPr>
          <w:rFonts w:hint="eastAsia" w:ascii="宋体" w:hAnsi="宋体" w:cs="宋体"/>
          <w:sz w:val="24"/>
          <w:szCs w:val="24"/>
        </w:rPr>
        <w:t>3.</w:t>
      </w:r>
      <w:r>
        <w:rPr>
          <w:rFonts w:hint="default" w:ascii="宋体" w:hAnsi="宋体" w:cs="宋体"/>
          <w:sz w:val="24"/>
          <w:szCs w:val="24"/>
        </w:rPr>
        <w:t>5</w:t>
      </w:r>
      <w:r>
        <w:rPr>
          <w:rFonts w:hint="eastAsia" w:ascii="宋体" w:hAnsi="宋体" w:cs="宋体"/>
          <w:sz w:val="24"/>
          <w:szCs w:val="24"/>
        </w:rPr>
        <w:t>本次招标</w:t>
      </w:r>
      <w:r>
        <w:rPr>
          <w:rFonts w:hint="eastAsia" w:ascii="宋体" w:hAnsi="宋体" w:cs="宋体"/>
          <w:sz w:val="24"/>
          <w:szCs w:val="24"/>
          <w:u w:val="single"/>
        </w:rPr>
        <w:t>不接受</w:t>
      </w:r>
      <w:r>
        <w:rPr>
          <w:rFonts w:hint="eastAsia" w:ascii="宋体" w:hAnsi="宋体" w:cs="宋体"/>
          <w:sz w:val="24"/>
          <w:szCs w:val="24"/>
        </w:rPr>
        <w:t>联合体投标。</w:t>
      </w:r>
    </w:p>
    <w:p w14:paraId="6FCABEDA">
      <w:pPr>
        <w:spacing w:line="440" w:lineRule="exact"/>
        <w:ind w:firstLine="480" w:firstLineChars="200"/>
        <w:rPr>
          <w:rFonts w:ascii="宋体" w:hAnsi="宋体" w:cs="宋体"/>
          <w:sz w:val="24"/>
          <w:szCs w:val="24"/>
        </w:rPr>
      </w:pPr>
      <w:r>
        <w:rPr>
          <w:rFonts w:hint="eastAsia" w:ascii="宋体" w:hAnsi="宋体" w:cs="宋体"/>
          <w:sz w:val="24"/>
          <w:szCs w:val="24"/>
        </w:rPr>
        <w:t>3.</w:t>
      </w:r>
      <w:r>
        <w:rPr>
          <w:rFonts w:hint="default" w:ascii="宋体" w:hAnsi="宋体" w:cs="宋体"/>
          <w:sz w:val="24"/>
          <w:szCs w:val="24"/>
        </w:rPr>
        <w:t>6</w:t>
      </w:r>
      <w:r>
        <w:rPr>
          <w:rFonts w:hint="eastAsia" w:ascii="宋体" w:hAnsi="宋体" w:cs="宋体"/>
          <w:sz w:val="24"/>
          <w:szCs w:val="24"/>
        </w:rPr>
        <w:t xml:space="preserve">其他要求： </w:t>
      </w:r>
    </w:p>
    <w:p w14:paraId="101F935B">
      <w:pPr>
        <w:spacing w:line="440" w:lineRule="exact"/>
        <w:ind w:firstLine="480" w:firstLineChars="200"/>
        <w:rPr>
          <w:rFonts w:ascii="宋体" w:hAnsi="宋体" w:cs="宋体"/>
          <w:sz w:val="24"/>
          <w:szCs w:val="24"/>
          <w:u w:val="single"/>
        </w:rPr>
      </w:pPr>
      <w:r>
        <w:rPr>
          <w:rFonts w:hint="eastAsia" w:ascii="宋体" w:hAnsi="宋体" w:cs="宋体"/>
          <w:sz w:val="24"/>
          <w:szCs w:val="24"/>
          <w:u w:val="single"/>
        </w:rPr>
        <w:t>①投标人参加投标的意思表达清楚，投标人代表被授权有效。</w:t>
      </w:r>
    </w:p>
    <w:p w14:paraId="07436994">
      <w:pPr>
        <w:spacing w:line="440" w:lineRule="exact"/>
        <w:ind w:firstLine="480" w:firstLineChars="200"/>
        <w:rPr>
          <w:rFonts w:ascii="宋体" w:hAnsi="宋体" w:cs="宋体"/>
          <w:sz w:val="24"/>
          <w:szCs w:val="24"/>
          <w:u w:val="single"/>
        </w:rPr>
      </w:pPr>
      <w:r>
        <w:rPr>
          <w:rFonts w:hint="eastAsia" w:ascii="宋体" w:hAnsi="宋体" w:cs="宋体"/>
          <w:sz w:val="24"/>
          <w:szCs w:val="24"/>
          <w:u w:val="single"/>
        </w:rPr>
        <w:t>②投标人具有独立法人资格，在中华人民共和国境内注册的能独立承担民事责任的法人，取得合法有效的营业执照、税务登记证、组织机构代码证（若投标人已办理三证合一，则只需提供营业执照）。</w:t>
      </w:r>
    </w:p>
    <w:p w14:paraId="1E24C2EF">
      <w:pPr>
        <w:spacing w:line="440" w:lineRule="exact"/>
        <w:ind w:firstLine="480" w:firstLineChars="200"/>
        <w:rPr>
          <w:rFonts w:ascii="宋体" w:hAnsi="宋体" w:cs="宋体"/>
          <w:sz w:val="24"/>
          <w:szCs w:val="24"/>
          <w:u w:val="single"/>
        </w:rPr>
      </w:pPr>
      <w:r>
        <w:rPr>
          <w:rFonts w:hint="eastAsia" w:ascii="宋体" w:hAnsi="宋体" w:cs="宋体"/>
          <w:sz w:val="24"/>
          <w:szCs w:val="24"/>
          <w:u w:val="single"/>
        </w:rPr>
        <w:t>③投标人已按规定格式签名盖章《投标人声明》（详见附件一）。</w:t>
      </w:r>
    </w:p>
    <w:p w14:paraId="048FDCCC">
      <w:pPr>
        <w:spacing w:line="440" w:lineRule="exact"/>
        <w:ind w:firstLine="480" w:firstLineChars="200"/>
        <w:rPr>
          <w:rFonts w:hint="eastAsia" w:ascii="宋体" w:hAnsi="宋体" w:eastAsia="宋体" w:cs="楷体"/>
          <w:sz w:val="24"/>
          <w:szCs w:val="24"/>
          <w:highlight w:val="none"/>
          <w:u w:val="single"/>
          <w:lang w:eastAsia="zh-CN"/>
        </w:rPr>
      </w:pPr>
      <w:r>
        <w:rPr>
          <w:rFonts w:hint="eastAsia" w:ascii="宋体" w:hAnsi="宋体" w:cs="宋体"/>
          <w:sz w:val="24"/>
          <w:szCs w:val="24"/>
          <w:highlight w:val="none"/>
          <w:u w:val="single"/>
        </w:rPr>
        <w:t>④</w:t>
      </w:r>
      <w:r>
        <w:rPr>
          <w:rFonts w:hint="eastAsia" w:ascii="宋体" w:hAnsi="宋体" w:cs="楷体"/>
          <w:sz w:val="24"/>
          <w:szCs w:val="24"/>
          <w:highlight w:val="none"/>
          <w:u w:val="single"/>
        </w:rPr>
        <w:t>投标人未被列入</w:t>
      </w:r>
      <w:r>
        <w:rPr>
          <w:rFonts w:hint="eastAsia" w:ascii="宋体" w:hAnsi="宋体" w:cs="宋体"/>
          <w:sz w:val="24"/>
          <w:highlight w:val="none"/>
          <w:u w:val="dotted"/>
          <w:lang w:val="en-US" w:eastAsia="zh-CN"/>
        </w:rPr>
        <w:t>拖欠农民工工资失信联合惩戒对象名单。需</w:t>
      </w:r>
      <w:r>
        <w:rPr>
          <w:rFonts w:hint="eastAsia" w:ascii="宋体" w:hAnsi="宋体" w:cs="楷体"/>
          <w:sz w:val="24"/>
          <w:szCs w:val="24"/>
          <w:highlight w:val="none"/>
          <w:u w:val="single"/>
          <w:lang w:val="en-US" w:eastAsia="zh-CN"/>
        </w:rPr>
        <w:t>提供</w:t>
      </w:r>
      <w:r>
        <w:rPr>
          <w:rFonts w:hint="eastAsia" w:ascii="宋体" w:hAnsi="宋体" w:cs="宋体"/>
          <w:sz w:val="24"/>
          <w:highlight w:val="none"/>
          <w:u w:val="single"/>
        </w:rPr>
        <w:t>“信用</w:t>
      </w:r>
      <w:r>
        <w:rPr>
          <w:rFonts w:hint="eastAsia" w:ascii="宋体" w:hAnsi="宋体" w:cs="宋体"/>
          <w:sz w:val="24"/>
          <w:highlight w:val="none"/>
          <w:u w:val="single"/>
          <w:lang w:val="en-US" w:eastAsia="zh-CN"/>
        </w:rPr>
        <w:t>中国</w:t>
      </w:r>
      <w:r>
        <w:rPr>
          <w:rFonts w:hint="eastAsia" w:ascii="宋体" w:hAnsi="宋体" w:cs="宋体"/>
          <w:sz w:val="24"/>
          <w:highlight w:val="none"/>
          <w:u w:val="single"/>
        </w:rPr>
        <w:t>”</w:t>
      </w:r>
      <w:r>
        <w:rPr>
          <w:rFonts w:hint="eastAsia" w:ascii="宋体" w:hAnsi="宋体" w:cs="楷体"/>
          <w:sz w:val="24"/>
          <w:szCs w:val="24"/>
          <w:highlight w:val="none"/>
          <w:u w:val="single"/>
          <w:lang w:val="en-US" w:eastAsia="zh-CN"/>
        </w:rPr>
        <w:t>查询截图证明，最终以招标代理在开标当天查询为准</w:t>
      </w:r>
      <w:r>
        <w:rPr>
          <w:rFonts w:hint="eastAsia" w:ascii="宋体" w:hAnsi="宋体" w:cs="宋体"/>
          <w:sz w:val="24"/>
          <w:highlight w:val="none"/>
          <w:u w:val="single"/>
        </w:rPr>
        <w:t>。（具体名单以递交投标文件截止时间“信用</w:t>
      </w:r>
      <w:r>
        <w:rPr>
          <w:rFonts w:hint="eastAsia" w:ascii="宋体" w:hAnsi="宋体" w:cs="宋体"/>
          <w:sz w:val="24"/>
          <w:highlight w:val="none"/>
          <w:u w:val="single"/>
          <w:lang w:val="en-US" w:eastAsia="zh-CN"/>
        </w:rPr>
        <w:t>中国</w:t>
      </w:r>
      <w:r>
        <w:rPr>
          <w:rFonts w:hint="eastAsia" w:ascii="宋体" w:hAnsi="宋体" w:cs="宋体"/>
          <w:sz w:val="24"/>
          <w:highlight w:val="none"/>
          <w:u w:val="single"/>
        </w:rPr>
        <w:t>”</w:t>
      </w:r>
      <w:r>
        <w:rPr>
          <w:rFonts w:hint="eastAsia" w:ascii="宋体" w:hAnsi="宋体" w:cs="宋体"/>
          <w:sz w:val="24"/>
          <w:highlight w:val="none"/>
          <w:u w:val="single"/>
          <w:lang w:eastAsia="zh-CN"/>
        </w:rPr>
        <w:t>（</w:t>
      </w:r>
      <w:r>
        <w:rPr>
          <w:rFonts w:hint="eastAsia" w:ascii="宋体" w:hAnsi="宋体" w:cs="宋体"/>
          <w:sz w:val="24"/>
          <w:highlight w:val="none"/>
          <w:u w:val="single"/>
        </w:rPr>
        <w:t>https://www.creditchina.gov.cn/</w:t>
      </w:r>
      <w:r>
        <w:rPr>
          <w:rFonts w:hint="eastAsia" w:ascii="宋体" w:hAnsi="宋体" w:cs="宋体"/>
          <w:sz w:val="24"/>
          <w:highlight w:val="none"/>
          <w:u w:val="single"/>
          <w:lang w:eastAsia="zh-CN"/>
        </w:rPr>
        <w:t>）首页 &gt;专项査询 &gt;重点领域査询&gt;</w:t>
      </w:r>
      <w:r>
        <w:rPr>
          <w:rFonts w:hint="eastAsia" w:ascii="宋体" w:hAnsi="宋体" w:cs="宋体"/>
          <w:sz w:val="24"/>
          <w:highlight w:val="none"/>
          <w:u w:val="single"/>
          <w:lang w:val="en-US" w:eastAsia="zh-CN"/>
        </w:rPr>
        <w:t>查</w:t>
      </w:r>
      <w:r>
        <w:rPr>
          <w:rFonts w:hint="eastAsia" w:ascii="宋体" w:hAnsi="宋体" w:cs="宋体"/>
          <w:sz w:val="24"/>
          <w:highlight w:val="none"/>
          <w:u w:val="dotted"/>
          <w:lang w:val="en-US" w:eastAsia="zh-CN"/>
        </w:rPr>
        <w:t>询的拖欠农民工工资失信联合惩戒对象名单</w:t>
      </w:r>
      <w:r>
        <w:rPr>
          <w:rFonts w:hint="eastAsia" w:ascii="宋体" w:hAnsi="宋体" w:cs="宋体"/>
          <w:sz w:val="24"/>
          <w:highlight w:val="none"/>
          <w:u w:val="single"/>
        </w:rPr>
        <w:t>的为准）</w:t>
      </w:r>
      <w:r>
        <w:rPr>
          <w:rFonts w:hint="eastAsia"/>
          <w:lang w:eastAsia="zh-CN"/>
        </w:rPr>
        <w:t>。</w:t>
      </w:r>
    </w:p>
    <w:p w14:paraId="743AEC79">
      <w:pPr>
        <w:spacing w:line="440" w:lineRule="exact"/>
        <w:ind w:firstLine="480" w:firstLineChars="200"/>
        <w:rPr>
          <w:rFonts w:hint="eastAsia" w:ascii="宋体" w:hAnsi="宋体" w:cs="楷体"/>
          <w:sz w:val="24"/>
          <w:szCs w:val="24"/>
          <w:u w:val="single"/>
        </w:rPr>
      </w:pPr>
      <w:r>
        <w:rPr>
          <w:rFonts w:hint="eastAsia" w:ascii="宋体" w:hAnsi="宋体" w:cs="楷体"/>
          <w:sz w:val="24"/>
          <w:szCs w:val="24"/>
          <w:u w:val="single"/>
        </w:rPr>
        <w:t>⑤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0F09B5CD">
      <w:pPr>
        <w:spacing w:line="440" w:lineRule="exact"/>
        <w:ind w:firstLine="480" w:firstLineChars="200"/>
        <w:rPr>
          <w:rFonts w:hint="eastAsia" w:ascii="宋体" w:hAnsi="宋体" w:eastAsia="宋体" w:cs="宋体"/>
          <w:color w:val="auto"/>
          <w:sz w:val="24"/>
          <w:highlight w:val="none"/>
          <w:u w:val="single"/>
          <w:lang w:val="en-US" w:eastAsia="zh-CN"/>
        </w:rPr>
      </w:pPr>
      <w:r>
        <w:rPr>
          <w:rFonts w:hint="default" w:ascii="宋体" w:hAnsi="宋体" w:cs="楷体"/>
          <w:sz w:val="24"/>
          <w:szCs w:val="24"/>
          <w:highlight w:val="none"/>
          <w:u w:val="single"/>
        </w:rPr>
        <w:t>⑥</w:t>
      </w:r>
      <w:r>
        <w:rPr>
          <w:rFonts w:hint="eastAsia"/>
          <w:lang w:val="en-US" w:eastAsia="zh-CN"/>
        </w:rPr>
        <w:t xml:space="preserve"> </w:t>
      </w:r>
      <w:r>
        <w:rPr>
          <w:rFonts w:hint="eastAsia" w:ascii="宋体" w:hAnsi="宋体" w:eastAsia="宋体" w:cs="楷体"/>
          <w:sz w:val="24"/>
          <w:szCs w:val="24"/>
          <w:u w:val="single"/>
          <w:lang w:val="en-US" w:eastAsia="zh-CN"/>
        </w:rPr>
        <w:t>专业监理人员最低配套要求：具备土建、电气、给排水、</w:t>
      </w:r>
      <w:r>
        <w:rPr>
          <w:rFonts w:hint="eastAsia" w:ascii="宋体" w:hAnsi="宋体" w:cs="楷体"/>
          <w:sz w:val="24"/>
          <w:szCs w:val="24"/>
          <w:u w:val="single"/>
          <w:lang w:val="en-US" w:eastAsia="zh-CN"/>
        </w:rPr>
        <w:t>机电安装、</w:t>
      </w:r>
      <w:r>
        <w:rPr>
          <w:rFonts w:hint="eastAsia" w:ascii="宋体" w:hAnsi="宋体" w:eastAsia="宋体" w:cs="楷体"/>
          <w:sz w:val="24"/>
          <w:szCs w:val="24"/>
          <w:u w:val="single"/>
          <w:lang w:val="en-US" w:eastAsia="zh-CN"/>
        </w:rPr>
        <w:t>安全等监理工程师（最少6人,其中至少配置</w:t>
      </w:r>
      <w:r>
        <w:rPr>
          <w:rFonts w:hint="eastAsia" w:ascii="宋体" w:hAnsi="宋体" w:cs="楷体"/>
          <w:sz w:val="24"/>
          <w:szCs w:val="24"/>
          <w:u w:val="single"/>
          <w:lang w:val="en-US" w:eastAsia="zh-CN"/>
        </w:rPr>
        <w:t>2</w:t>
      </w:r>
      <w:r>
        <w:rPr>
          <w:rFonts w:hint="eastAsia" w:ascii="宋体" w:hAnsi="宋体" w:eastAsia="宋体" w:cs="楷体"/>
          <w:sz w:val="24"/>
          <w:szCs w:val="24"/>
          <w:u w:val="single"/>
          <w:lang w:val="en-US" w:eastAsia="zh-CN"/>
        </w:rPr>
        <w:t>名土建专业工程师，电气、给排水、</w:t>
      </w:r>
      <w:r>
        <w:rPr>
          <w:rFonts w:hint="eastAsia" w:ascii="宋体" w:hAnsi="宋体" w:cs="楷体"/>
          <w:sz w:val="24"/>
          <w:szCs w:val="24"/>
          <w:u w:val="single"/>
          <w:lang w:val="en-US" w:eastAsia="zh-CN"/>
        </w:rPr>
        <w:t>机电安装、</w:t>
      </w:r>
      <w:r>
        <w:rPr>
          <w:rFonts w:hint="eastAsia" w:ascii="宋体" w:hAnsi="宋体" w:eastAsia="宋体" w:cs="楷体"/>
          <w:sz w:val="24"/>
          <w:szCs w:val="24"/>
          <w:u w:val="single"/>
          <w:lang w:val="en-US" w:eastAsia="zh-CN"/>
        </w:rPr>
        <w:t>安全专业至少各1人）。且需满足东莞市建设行政主管部门的配置要求。</w:t>
      </w:r>
    </w:p>
    <w:p w14:paraId="092BC286">
      <w:pPr>
        <w:spacing w:line="440" w:lineRule="exact"/>
        <w:ind w:firstLine="480" w:firstLineChars="2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⑦</w:t>
      </w:r>
      <w:r>
        <w:rPr>
          <w:rFonts w:hint="eastAsia" w:ascii="宋体" w:hAnsi="宋体" w:eastAsia="宋体" w:cs="Times New Roman"/>
          <w:b w:val="0"/>
          <w:bCs w:val="0"/>
          <w:color w:val="auto"/>
          <w:sz w:val="24"/>
          <w:szCs w:val="24"/>
          <w:highlight w:val="none"/>
          <w:u w:val="single"/>
          <w:lang w:val="en-US" w:eastAsia="zh-CN"/>
        </w:rPr>
        <w:t>投标人自</w:t>
      </w:r>
      <w:r>
        <w:rPr>
          <w:rFonts w:hint="eastAsia" w:ascii="宋体" w:hAnsi="宋体" w:cs="Times New Roman"/>
          <w:b w:val="0"/>
          <w:bCs w:val="0"/>
          <w:color w:val="auto"/>
          <w:sz w:val="24"/>
          <w:szCs w:val="24"/>
          <w:highlight w:val="none"/>
          <w:u w:val="single"/>
          <w:lang w:val="en-US" w:eastAsia="zh-CN"/>
        </w:rPr>
        <w:t>2020</w:t>
      </w:r>
      <w:r>
        <w:rPr>
          <w:rFonts w:hint="eastAsia" w:ascii="宋体" w:hAnsi="宋体" w:eastAsia="宋体" w:cs="Times New Roman"/>
          <w:b w:val="0"/>
          <w:bCs w:val="0"/>
          <w:color w:val="auto"/>
          <w:sz w:val="24"/>
          <w:szCs w:val="24"/>
          <w:highlight w:val="none"/>
          <w:u w:val="single"/>
          <w:lang w:val="en-US" w:eastAsia="zh-CN"/>
        </w:rPr>
        <w:t>年</w:t>
      </w:r>
      <w:r>
        <w:rPr>
          <w:rFonts w:hint="eastAsia" w:ascii="宋体" w:hAnsi="宋体" w:cs="Times New Roman"/>
          <w:b w:val="0"/>
          <w:bCs w:val="0"/>
          <w:color w:val="auto"/>
          <w:sz w:val="24"/>
          <w:szCs w:val="24"/>
          <w:highlight w:val="none"/>
          <w:u w:val="single"/>
          <w:lang w:val="en-US" w:eastAsia="zh-CN"/>
        </w:rPr>
        <w:t>至投标截止日</w:t>
      </w:r>
      <w:r>
        <w:rPr>
          <w:rFonts w:hint="eastAsia" w:ascii="宋体" w:hAnsi="宋体" w:eastAsia="宋体" w:cs="Times New Roman"/>
          <w:b w:val="0"/>
          <w:bCs w:val="0"/>
          <w:color w:val="auto"/>
          <w:sz w:val="24"/>
          <w:szCs w:val="24"/>
          <w:highlight w:val="none"/>
          <w:u w:val="single"/>
          <w:lang w:val="en-US" w:eastAsia="zh-CN"/>
        </w:rPr>
        <w:t>未因在工程招投标或工程建设活动中有违法、违规行为或安全事故、质量事故等不良记录而受到招标或建设主管部门处罚（至本项目发出公告之日止，通报或处罚有效期已经期满的除外），需提交未受到相关部门处罚的承诺书（承诺书须由法定代表人签字或签章及加盖投标人单位公章才有效）。</w:t>
      </w:r>
    </w:p>
    <w:p w14:paraId="5894932E">
      <w:pPr>
        <w:spacing w:line="360" w:lineRule="auto"/>
        <w:ind w:firstLine="480" w:firstLineChars="200"/>
        <w:rPr>
          <w:rFonts w:ascii="宋体" w:hAnsi="宋体" w:cs="楷体"/>
          <w:sz w:val="24"/>
          <w:szCs w:val="24"/>
          <w:u w:val="single"/>
        </w:rPr>
      </w:pPr>
      <w:r>
        <w:rPr>
          <w:rFonts w:hint="eastAsia" w:ascii="宋体" w:hAnsi="宋体" w:cs="宋体"/>
          <w:kern w:val="0"/>
          <w:sz w:val="24"/>
          <w:u w:val="single"/>
        </w:rPr>
        <w:t>注：未在招标公告第3条单列的投标人资格要求条件，不作为资审不合格的依据。</w:t>
      </w:r>
    </w:p>
    <w:p w14:paraId="018676A0">
      <w:pPr>
        <w:pStyle w:val="6"/>
        <w:spacing w:before="312" w:beforeLines="100" w:line="360" w:lineRule="auto"/>
        <w:rPr>
          <w:color w:val="auto"/>
        </w:rPr>
      </w:pPr>
      <w:r>
        <w:rPr>
          <w:rFonts w:hint="eastAsia"/>
          <w:color w:val="auto"/>
        </w:rPr>
        <w:t>4.招标文件的获取</w:t>
      </w:r>
    </w:p>
    <w:p w14:paraId="3F718856">
      <w:pPr>
        <w:spacing w:line="440" w:lineRule="exact"/>
        <w:ind w:left="0" w:leftChars="0" w:firstLine="480" w:firstLineChars="200"/>
        <w:jc w:val="left"/>
        <w:rPr>
          <w:rFonts w:ascii="宋体" w:cs="宋体"/>
          <w:sz w:val="24"/>
          <w:szCs w:val="24"/>
        </w:rPr>
      </w:pPr>
      <w:bookmarkStart w:id="20" w:name="_Toc3471142"/>
      <w:bookmarkStart w:id="21" w:name="_Toc514099628"/>
      <w:r>
        <w:rPr>
          <w:rFonts w:hint="eastAsia" w:ascii="宋体" w:cs="宋体"/>
          <w:sz w:val="24"/>
          <w:szCs w:val="24"/>
        </w:rPr>
        <w:t>4.1凡有意参加投标者，请于202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10</w:t>
      </w:r>
      <w:r>
        <w:rPr>
          <w:rFonts w:hint="eastAsia" w:ascii="宋体" w:cs="宋体"/>
          <w:sz w:val="24"/>
          <w:szCs w:val="24"/>
        </w:rPr>
        <w:t>月</w:t>
      </w:r>
      <w:r>
        <w:rPr>
          <w:rFonts w:hint="eastAsia" w:ascii="宋体" w:cs="宋体"/>
          <w:sz w:val="24"/>
          <w:szCs w:val="24"/>
          <w:lang w:val="en-US" w:eastAsia="zh-CN"/>
        </w:rPr>
        <w:t>25</w:t>
      </w:r>
      <w:r>
        <w:rPr>
          <w:rFonts w:hint="eastAsia" w:ascii="宋体" w:cs="宋体"/>
          <w:sz w:val="24"/>
          <w:szCs w:val="24"/>
        </w:rPr>
        <w:t>日</w:t>
      </w:r>
      <w:r>
        <w:rPr>
          <w:rFonts w:hint="eastAsia" w:ascii="宋体" w:cs="宋体"/>
          <w:sz w:val="24"/>
          <w:szCs w:val="24"/>
          <w:lang w:val="en-US" w:eastAsia="zh-CN"/>
        </w:rPr>
        <w:t>00</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分至202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9</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分（北京时间，下同），登录广州交易集团有限公司（广州公共资源交易中心）网站（网址：http://www.gzggzy.cn）下载电子招标文件。</w:t>
      </w:r>
    </w:p>
    <w:p w14:paraId="57E992E4">
      <w:pPr>
        <w:spacing w:line="440" w:lineRule="exact"/>
        <w:ind w:firstLine="480" w:firstLineChars="200"/>
        <w:jc w:val="left"/>
        <w:rPr>
          <w:rFonts w:ascii="宋体" w:cs="宋体"/>
          <w:sz w:val="24"/>
          <w:szCs w:val="24"/>
        </w:rPr>
      </w:pPr>
      <w:bookmarkStart w:id="22" w:name="_Toc511557030"/>
      <w:r>
        <w:rPr>
          <w:rFonts w:hint="eastAsia" w:ascii="宋体" w:cs="宋体"/>
          <w:sz w:val="24"/>
          <w:szCs w:val="24"/>
        </w:rPr>
        <w:t>4.2发布招标公告时间（含本日）202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10</w:t>
      </w:r>
      <w:r>
        <w:rPr>
          <w:rFonts w:hint="eastAsia" w:ascii="宋体" w:cs="宋体"/>
          <w:sz w:val="24"/>
          <w:szCs w:val="24"/>
        </w:rPr>
        <w:t>月</w:t>
      </w:r>
      <w:r>
        <w:rPr>
          <w:rFonts w:hint="eastAsia" w:ascii="宋体" w:cs="宋体"/>
          <w:sz w:val="24"/>
          <w:szCs w:val="24"/>
          <w:lang w:val="en-US" w:eastAsia="zh-CN"/>
        </w:rPr>
        <w:t>25</w:t>
      </w:r>
      <w:r>
        <w:rPr>
          <w:rFonts w:hint="eastAsia" w:ascii="宋体" w:cs="宋体"/>
          <w:sz w:val="24"/>
          <w:szCs w:val="24"/>
        </w:rPr>
        <w:t>日</w:t>
      </w:r>
      <w:r>
        <w:rPr>
          <w:rFonts w:hint="eastAsia" w:ascii="宋体" w:cs="宋体"/>
          <w:sz w:val="24"/>
          <w:szCs w:val="24"/>
          <w:lang w:val="en-US" w:eastAsia="zh-CN"/>
        </w:rPr>
        <w:t>00</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分至202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9</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w:t>
      </w:r>
    </w:p>
    <w:p w14:paraId="386EDE3A">
      <w:pPr>
        <w:spacing w:line="360" w:lineRule="auto"/>
        <w:ind w:left="-238" w:firstLine="566" w:firstLineChars="235"/>
        <w:rPr>
          <w:rFonts w:ascii="宋体" w:hAnsi="宋体" w:cs="楷体"/>
          <w:b/>
          <w:bCs/>
          <w:sz w:val="24"/>
          <w:szCs w:val="24"/>
          <w:u w:val="single"/>
        </w:rPr>
      </w:pPr>
      <w:r>
        <w:rPr>
          <w:rFonts w:hint="eastAsia" w:ascii="宋体" w:hAnsi="宋体" w:cs="楷体"/>
          <w:b/>
          <w:bCs/>
          <w:sz w:val="24"/>
          <w:szCs w:val="24"/>
          <w:u w:val="single"/>
        </w:rPr>
        <w:t>注：发布招标公告的时间为招标公告发出之日起至递交投标文件截止时间止。</w:t>
      </w:r>
    </w:p>
    <w:bookmarkEnd w:id="20"/>
    <w:bookmarkEnd w:id="21"/>
    <w:bookmarkEnd w:id="22"/>
    <w:p w14:paraId="7436FED5">
      <w:pPr>
        <w:spacing w:line="440" w:lineRule="exact"/>
        <w:ind w:firstLine="480" w:firstLineChars="200"/>
        <w:rPr>
          <w:rFonts w:ascii="宋体" w:hAnsi="宋体" w:cs="宋体"/>
          <w:kern w:val="0"/>
          <w:sz w:val="24"/>
          <w:szCs w:val="24"/>
        </w:rPr>
      </w:pPr>
      <w:r>
        <w:rPr>
          <w:rFonts w:hint="eastAsia" w:ascii="宋体" w:hAnsi="宋体" w:cs="宋体"/>
          <w:sz w:val="24"/>
          <w:szCs w:val="24"/>
        </w:rPr>
        <w:t>4.3</w:t>
      </w:r>
      <w:r>
        <w:rPr>
          <w:rFonts w:hint="eastAsia" w:ascii="宋体" w:hAnsi="宋体" w:cs="宋体"/>
          <w:sz w:val="24"/>
          <w:szCs w:val="24"/>
          <w:lang w:val="en-US" w:eastAsia="zh-CN"/>
        </w:rPr>
        <w:t xml:space="preserve"> 本项目采用资格后审方式。</w:t>
      </w:r>
    </w:p>
    <w:p w14:paraId="2401FA8D">
      <w:pPr>
        <w:pStyle w:val="6"/>
        <w:spacing w:before="312" w:beforeLines="100" w:line="360" w:lineRule="auto"/>
        <w:rPr>
          <w:color w:val="auto"/>
        </w:rPr>
      </w:pPr>
      <w:r>
        <w:rPr>
          <w:rFonts w:hint="eastAsia"/>
          <w:color w:val="auto"/>
        </w:rPr>
        <w:t>5. 投标文件的递交</w:t>
      </w:r>
      <w:bookmarkEnd w:id="19"/>
    </w:p>
    <w:p w14:paraId="4F731D0B">
      <w:pPr>
        <w:wordWrap/>
        <w:spacing w:line="440" w:lineRule="exact"/>
        <w:ind w:firstLine="480" w:firstLineChars="200"/>
        <w:rPr>
          <w:rFonts w:hint="eastAsia" w:ascii="宋体" w:hAnsi="宋体" w:cs="宋体"/>
          <w:kern w:val="0"/>
          <w:sz w:val="24"/>
          <w:szCs w:val="24"/>
        </w:rPr>
      </w:pPr>
      <w:bookmarkStart w:id="23" w:name="_Toc535938700"/>
      <w:r>
        <w:rPr>
          <w:rFonts w:hint="eastAsia" w:ascii="宋体" w:hAnsi="宋体" w:cs="宋体"/>
          <w:kern w:val="0"/>
          <w:sz w:val="24"/>
          <w:szCs w:val="24"/>
        </w:rPr>
        <w:t>5.1 递交投标文件时间：</w:t>
      </w:r>
      <w:r>
        <w:rPr>
          <w:rFonts w:hint="eastAsia" w:ascii="宋体" w:cs="宋体"/>
          <w:sz w:val="24"/>
          <w:szCs w:val="24"/>
        </w:rPr>
        <w:t>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10</w:t>
      </w:r>
      <w:r>
        <w:rPr>
          <w:rFonts w:hint="eastAsia" w:ascii="宋体" w:cs="宋体"/>
          <w:sz w:val="24"/>
          <w:szCs w:val="24"/>
        </w:rPr>
        <w:t>月</w:t>
      </w:r>
      <w:r>
        <w:rPr>
          <w:rFonts w:hint="eastAsia" w:ascii="宋体" w:cs="宋体"/>
          <w:sz w:val="24"/>
          <w:szCs w:val="24"/>
          <w:lang w:val="en-US" w:eastAsia="zh-CN"/>
        </w:rPr>
        <w:t>25</w:t>
      </w:r>
      <w:r>
        <w:rPr>
          <w:rFonts w:hint="eastAsia" w:ascii="宋体" w:cs="宋体"/>
          <w:sz w:val="24"/>
          <w:szCs w:val="24"/>
        </w:rPr>
        <w:t>日</w:t>
      </w:r>
      <w:r>
        <w:rPr>
          <w:rFonts w:hint="eastAsia" w:ascii="宋体" w:cs="宋体"/>
          <w:sz w:val="24"/>
          <w:szCs w:val="24"/>
          <w:lang w:val="en-US" w:eastAsia="zh-CN"/>
        </w:rPr>
        <w:t>00</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w:t>
      </w:r>
      <w:r>
        <w:rPr>
          <w:rFonts w:hint="eastAsia" w:ascii="宋体" w:hAnsi="宋体" w:cs="宋体"/>
          <w:kern w:val="0"/>
          <w:sz w:val="24"/>
          <w:szCs w:val="24"/>
        </w:rPr>
        <w:t>至</w:t>
      </w:r>
      <w:r>
        <w:rPr>
          <w:rFonts w:hint="eastAsia" w:ascii="宋体" w:cs="宋体"/>
          <w:sz w:val="24"/>
          <w:szCs w:val="24"/>
        </w:rPr>
        <w:t>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9</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w:t>
      </w:r>
      <w:r>
        <w:rPr>
          <w:rFonts w:hint="eastAsia" w:ascii="宋体" w:hAnsi="宋体" w:cs="宋体"/>
          <w:kern w:val="0"/>
          <w:sz w:val="24"/>
          <w:szCs w:val="24"/>
        </w:rPr>
        <w:t>。投标人通过</w:t>
      </w:r>
      <w:r>
        <w:rPr>
          <w:rFonts w:hint="eastAsia" w:ascii="宋体" w:hAnsi="宋体" w:cs="宋体"/>
          <w:kern w:val="0"/>
          <w:sz w:val="24"/>
          <w:szCs w:val="24"/>
          <w:u w:val="none"/>
        </w:rPr>
        <w:t>广州交易集团有限公司（广州公共资源交易中心）网站（网址：http://www.gzggzy.cn）</w:t>
      </w:r>
      <w:r>
        <w:rPr>
          <w:rFonts w:hint="eastAsia" w:ascii="宋体" w:hAnsi="宋体" w:cs="宋体"/>
          <w:kern w:val="0"/>
          <w:sz w:val="24"/>
          <w:szCs w:val="24"/>
        </w:rPr>
        <w:t>交易平台递交电子投标文件。投标人应在递交投标文件截止时间前，登录</w:t>
      </w:r>
      <w:r>
        <w:rPr>
          <w:rFonts w:hint="eastAsia" w:ascii="宋体" w:hAnsi="宋体" w:cs="宋体"/>
          <w:kern w:val="0"/>
          <w:sz w:val="24"/>
          <w:szCs w:val="24"/>
          <w:u w:val="none"/>
        </w:rPr>
        <w:t>广州交易集团有限公司（广州公共资源交易中心）网站</w:t>
      </w:r>
      <w:r>
        <w:rPr>
          <w:rFonts w:hint="eastAsia" w:ascii="宋体" w:hAnsi="宋体" w:cs="宋体"/>
          <w:kern w:val="0"/>
          <w:sz w:val="24"/>
          <w:szCs w:val="24"/>
        </w:rPr>
        <w:t>交易平台网站办理网上投标登记手续。按照交易平台关于全流程电子化项目的相关指南进行操作。详见：</w:t>
      </w:r>
      <w:r>
        <w:rPr>
          <w:rFonts w:hint="eastAsia" w:ascii="宋体" w:hAnsi="宋体" w:cs="宋体"/>
          <w:kern w:val="0"/>
          <w:sz w:val="24"/>
          <w:szCs w:val="24"/>
          <w:u w:val="none"/>
        </w:rPr>
        <w:t>广州交易集团有限公司（广州公共资源交易中心）网站首页-服务指南。</w:t>
      </w:r>
    </w:p>
    <w:p w14:paraId="168BD1A0">
      <w:pPr>
        <w:wordWrap/>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5.3递交备用投标文件电子光盘或U盘时间为：</w:t>
      </w:r>
      <w:r>
        <w:rPr>
          <w:rFonts w:hint="eastAsia" w:ascii="宋体" w:cs="宋体"/>
          <w:sz w:val="24"/>
          <w:szCs w:val="24"/>
        </w:rPr>
        <w:t>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8</w:t>
      </w:r>
      <w:r>
        <w:rPr>
          <w:rFonts w:hint="eastAsia" w:ascii="宋体" w:cs="宋体"/>
          <w:sz w:val="24"/>
          <w:szCs w:val="24"/>
        </w:rPr>
        <w:t>时</w:t>
      </w:r>
      <w:r>
        <w:rPr>
          <w:rFonts w:hint="eastAsia" w:ascii="宋体" w:cs="宋体"/>
          <w:sz w:val="24"/>
          <w:szCs w:val="24"/>
          <w:lang w:val="en-US" w:eastAsia="zh-CN"/>
        </w:rPr>
        <w:t>30</w:t>
      </w:r>
      <w:r>
        <w:rPr>
          <w:rFonts w:hint="eastAsia" w:ascii="宋体" w:cs="宋体"/>
          <w:sz w:val="24"/>
          <w:szCs w:val="24"/>
        </w:rPr>
        <w:t>分</w:t>
      </w:r>
      <w:r>
        <w:rPr>
          <w:rFonts w:hint="eastAsia" w:ascii="宋体" w:hAnsi="宋体" w:cs="宋体"/>
          <w:kern w:val="0"/>
          <w:sz w:val="24"/>
          <w:szCs w:val="24"/>
        </w:rPr>
        <w:t>至</w:t>
      </w:r>
      <w:r>
        <w:rPr>
          <w:rFonts w:hint="eastAsia" w:ascii="宋体" w:cs="宋体"/>
          <w:sz w:val="24"/>
          <w:szCs w:val="24"/>
        </w:rPr>
        <w:t>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9</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w:t>
      </w:r>
      <w:r>
        <w:rPr>
          <w:rFonts w:hint="eastAsia" w:ascii="宋体" w:hAnsi="宋体" w:cs="宋体"/>
          <w:kern w:val="0"/>
          <w:sz w:val="24"/>
          <w:szCs w:val="24"/>
        </w:rPr>
        <w:t>；地点：</w:t>
      </w:r>
      <w:r>
        <w:rPr>
          <w:rFonts w:hint="eastAsia" w:ascii="宋体" w:hAnsi="宋体" w:cs="宋体"/>
          <w:kern w:val="0"/>
          <w:sz w:val="24"/>
          <w:szCs w:val="24"/>
          <w:u w:val="none"/>
        </w:rPr>
        <w:t>广州交易集团有限公司（广州公共资源交易中心</w:t>
      </w:r>
      <w:r>
        <w:rPr>
          <w:rFonts w:hint="eastAsia" w:ascii="宋体" w:hAnsi="宋体" w:cs="宋体"/>
          <w:kern w:val="0"/>
          <w:sz w:val="24"/>
          <w:szCs w:val="24"/>
        </w:rPr>
        <w:t>开标室</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具体以日程安排内容为准）</w:t>
      </w:r>
      <w:r>
        <w:rPr>
          <w:rFonts w:hint="eastAsia" w:ascii="宋体" w:hAnsi="宋体" w:cs="宋体"/>
          <w:kern w:val="0"/>
          <w:sz w:val="24"/>
          <w:szCs w:val="24"/>
        </w:rPr>
        <w:t>。</w:t>
      </w:r>
    </w:p>
    <w:p w14:paraId="0CF5A026">
      <w:pPr>
        <w:wordWrap/>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5.4 逾期送达的投标文件，电子招标投标交易平台将予以拒收。逾期未上传成功的电子投标文件，招标人拒绝接收。逾期或未在指定地点递交投标文件光盘或U盘的，招标人拒绝接收其投标文件光盘或U盘。</w:t>
      </w:r>
    </w:p>
    <w:p w14:paraId="460D8E0C">
      <w:pPr>
        <w:wordWrap/>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5.5 开标时间：</w:t>
      </w:r>
      <w:r>
        <w:rPr>
          <w:rFonts w:hint="eastAsia" w:ascii="宋体" w:cs="宋体"/>
          <w:sz w:val="24"/>
          <w:szCs w:val="24"/>
        </w:rPr>
        <w:t>202</w:t>
      </w:r>
      <w:r>
        <w:rPr>
          <w:rFonts w:hint="eastAsia" w:ascii="宋体" w:cs="宋体"/>
          <w:sz w:val="24"/>
          <w:szCs w:val="24"/>
          <w:lang w:val="en-US" w:eastAsia="zh-CN"/>
        </w:rPr>
        <w:t>5</w:t>
      </w:r>
      <w:r>
        <w:rPr>
          <w:rFonts w:hint="eastAsia" w:ascii="宋体" w:cs="宋体"/>
          <w:sz w:val="24"/>
          <w:szCs w:val="24"/>
        </w:rPr>
        <w:t>年</w:t>
      </w:r>
      <w:r>
        <w:rPr>
          <w:rFonts w:hint="eastAsia" w:ascii="宋体" w:cs="宋体"/>
          <w:sz w:val="24"/>
          <w:szCs w:val="24"/>
          <w:lang w:val="en-US" w:eastAsia="zh-CN"/>
        </w:rPr>
        <w:t>11</w:t>
      </w:r>
      <w:r>
        <w:rPr>
          <w:rFonts w:hint="eastAsia" w:ascii="宋体" w:cs="宋体"/>
          <w:sz w:val="24"/>
          <w:szCs w:val="24"/>
        </w:rPr>
        <w:t>月</w:t>
      </w:r>
      <w:r>
        <w:rPr>
          <w:rFonts w:hint="eastAsia" w:ascii="宋体" w:cs="宋体"/>
          <w:sz w:val="24"/>
          <w:szCs w:val="24"/>
          <w:lang w:val="en-US" w:eastAsia="zh-CN"/>
        </w:rPr>
        <w:t>17</w:t>
      </w:r>
      <w:r>
        <w:rPr>
          <w:rFonts w:hint="eastAsia" w:ascii="宋体" w:cs="宋体"/>
          <w:sz w:val="24"/>
          <w:szCs w:val="24"/>
        </w:rPr>
        <w:t>日</w:t>
      </w:r>
      <w:r>
        <w:rPr>
          <w:rFonts w:hint="eastAsia" w:ascii="宋体" w:cs="宋体"/>
          <w:sz w:val="24"/>
          <w:szCs w:val="24"/>
          <w:lang w:val="en-US" w:eastAsia="zh-CN"/>
        </w:rPr>
        <w:t>9</w:t>
      </w:r>
      <w:r>
        <w:rPr>
          <w:rFonts w:hint="eastAsia" w:ascii="宋体" w:cs="宋体"/>
          <w:sz w:val="24"/>
          <w:szCs w:val="24"/>
        </w:rPr>
        <w:t>时</w:t>
      </w:r>
      <w:r>
        <w:rPr>
          <w:rFonts w:hint="eastAsia" w:ascii="宋体" w:cs="宋体"/>
          <w:sz w:val="24"/>
          <w:szCs w:val="24"/>
          <w:lang w:val="en-US" w:eastAsia="zh-CN"/>
        </w:rPr>
        <w:t>00</w:t>
      </w:r>
      <w:r>
        <w:rPr>
          <w:rFonts w:hint="eastAsia" w:ascii="宋体" w:cs="宋体"/>
          <w:sz w:val="24"/>
          <w:szCs w:val="24"/>
        </w:rPr>
        <w:t>分</w:t>
      </w:r>
      <w:r>
        <w:rPr>
          <w:rFonts w:hint="eastAsia" w:ascii="宋体" w:hAnsi="宋体" w:cs="宋体"/>
          <w:kern w:val="0"/>
          <w:sz w:val="24"/>
          <w:szCs w:val="24"/>
        </w:rPr>
        <w:t>。地点：</w:t>
      </w:r>
      <w:r>
        <w:rPr>
          <w:rFonts w:hint="eastAsia" w:ascii="宋体" w:hAnsi="宋体" w:cs="宋体"/>
          <w:kern w:val="0"/>
          <w:sz w:val="24"/>
          <w:szCs w:val="24"/>
          <w:u w:val="none"/>
        </w:rPr>
        <w:t>广州交易集团有限公司（广州公共资源交易中心）</w:t>
      </w:r>
      <w:r>
        <w:rPr>
          <w:rFonts w:hint="eastAsia" w:ascii="宋体" w:hAnsi="宋体" w:cs="宋体"/>
          <w:kern w:val="0"/>
          <w:sz w:val="24"/>
          <w:szCs w:val="24"/>
        </w:rPr>
        <w:t>开标室</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具体以日程安排内容为准）</w:t>
      </w:r>
      <w:r>
        <w:rPr>
          <w:rFonts w:hint="eastAsia" w:ascii="宋体" w:hAnsi="宋体" w:cs="宋体"/>
          <w:kern w:val="0"/>
          <w:sz w:val="24"/>
          <w:szCs w:val="24"/>
        </w:rPr>
        <w:t>。投标人也可选择参加在线开标，具体按照</w:t>
      </w:r>
      <w:r>
        <w:rPr>
          <w:rFonts w:hint="eastAsia" w:ascii="宋体" w:hAnsi="宋体" w:cs="宋体"/>
          <w:kern w:val="0"/>
          <w:sz w:val="24"/>
          <w:szCs w:val="24"/>
          <w:u w:val="none"/>
        </w:rPr>
        <w:t>广州交易集团有限公司（广州公共资源交易中心）</w:t>
      </w:r>
      <w:r>
        <w:rPr>
          <w:rFonts w:hint="eastAsia" w:ascii="宋体" w:hAnsi="宋体" w:cs="宋体"/>
          <w:kern w:val="0"/>
          <w:sz w:val="24"/>
          <w:szCs w:val="24"/>
        </w:rPr>
        <w:t>相关指南进行操作。详见：http://www.gzggzy.cn/fwznbszyjsgc/index.jhtml。</w:t>
      </w:r>
    </w:p>
    <w:p w14:paraId="6ED8C401">
      <w:pPr>
        <w:pStyle w:val="6"/>
        <w:spacing w:before="312" w:beforeLines="100" w:line="360" w:lineRule="auto"/>
        <w:rPr>
          <w:color w:val="auto"/>
        </w:rPr>
      </w:pPr>
      <w:r>
        <w:rPr>
          <w:rFonts w:hint="eastAsia"/>
          <w:color w:val="auto"/>
        </w:rPr>
        <w:t>6.</w:t>
      </w:r>
      <w:bookmarkEnd w:id="23"/>
      <w:bookmarkStart w:id="24" w:name="_Toc535938701"/>
      <w:r>
        <w:rPr>
          <w:rFonts w:hint="eastAsia"/>
          <w:color w:val="auto"/>
        </w:rPr>
        <w:t>发布公告的媒介</w:t>
      </w:r>
      <w:bookmarkEnd w:id="24"/>
    </w:p>
    <w:p w14:paraId="552EF435">
      <w:pPr>
        <w:wordWrap w:val="0"/>
        <w:spacing w:line="360" w:lineRule="auto"/>
        <w:ind w:firstLine="480" w:firstLineChars="200"/>
        <w:rPr>
          <w:rFonts w:ascii="宋体" w:hAnsi="宋体" w:cs="宋体"/>
          <w:sz w:val="24"/>
          <w:szCs w:val="24"/>
        </w:rPr>
      </w:pPr>
      <w:r>
        <w:rPr>
          <w:rFonts w:hint="eastAsia" w:ascii="宋体" w:hAnsi="宋体" w:cs="宋体"/>
          <w:sz w:val="24"/>
          <w:szCs w:val="24"/>
        </w:rPr>
        <w:t>本次招标公告同时在广州交易集团有限公司（广州公共资源交易中心）网站（网址：http://www.gzggzy.cn）、广东省招标投标监管网（网址：http://zbtb.gd.gov.cn/）和中国招标投标公共服务平台（网址：http://www.cebpubservice.com/）发布，本公告的修改、补充，在广州交易集团有限公司（广州公共资源交易中心）、广东省招标投标监管网网站上发布。</w:t>
      </w:r>
    </w:p>
    <w:bookmarkEnd w:id="10"/>
    <w:bookmarkEnd w:id="11"/>
    <w:p w14:paraId="731020F1">
      <w:pPr>
        <w:pStyle w:val="6"/>
        <w:spacing w:before="312" w:beforeLines="100" w:line="360" w:lineRule="auto"/>
        <w:rPr>
          <w:color w:val="auto"/>
        </w:rPr>
      </w:pPr>
      <w:bookmarkStart w:id="25" w:name="_Toc516170523"/>
      <w:bookmarkStart w:id="26" w:name="_Toc529196510"/>
      <w:bookmarkStart w:id="27" w:name="_Toc511557031"/>
      <w:bookmarkStart w:id="28" w:name="_Toc535938702"/>
      <w:bookmarkStart w:id="29" w:name="_Toc384308189"/>
      <w:bookmarkStart w:id="30" w:name="_Toc152042290"/>
      <w:bookmarkStart w:id="31" w:name="_Toc352691457"/>
      <w:bookmarkStart w:id="32" w:name="_Toc361508564"/>
      <w:bookmarkStart w:id="33" w:name="_Toc369531499"/>
      <w:bookmarkStart w:id="34" w:name="_Toc2312"/>
      <w:bookmarkStart w:id="35" w:name="_Toc144974482"/>
      <w:bookmarkStart w:id="36" w:name="_Toc300834931"/>
      <w:bookmarkStart w:id="37" w:name="_Toc247527537"/>
      <w:bookmarkStart w:id="38" w:name="_Toc247513936"/>
      <w:bookmarkStart w:id="39" w:name="_Toc152045514"/>
      <w:r>
        <w:rPr>
          <w:rFonts w:hint="eastAsia"/>
          <w:color w:val="auto"/>
        </w:rPr>
        <w:t>7.联系方式</w:t>
      </w:r>
      <w:bookmarkEnd w:id="25"/>
      <w:bookmarkEnd w:id="26"/>
      <w:bookmarkEnd w:id="27"/>
      <w:bookmarkEnd w:id="28"/>
    </w:p>
    <w:bookmarkEnd w:id="29"/>
    <w:bookmarkEnd w:id="30"/>
    <w:bookmarkEnd w:id="31"/>
    <w:bookmarkEnd w:id="32"/>
    <w:bookmarkEnd w:id="33"/>
    <w:bookmarkEnd w:id="34"/>
    <w:bookmarkEnd w:id="35"/>
    <w:bookmarkEnd w:id="36"/>
    <w:bookmarkEnd w:id="37"/>
    <w:bookmarkEnd w:id="38"/>
    <w:bookmarkEnd w:id="39"/>
    <w:p w14:paraId="05B4A07A">
      <w:pPr>
        <w:wordWrap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招标人：</w:t>
      </w:r>
      <w:r>
        <w:rPr>
          <w:rFonts w:hint="eastAsia" w:ascii="宋体" w:hAnsi="宋体" w:cs="宋体"/>
          <w:sz w:val="24"/>
          <w:szCs w:val="24"/>
          <w:lang w:eastAsia="zh-CN"/>
        </w:rPr>
        <w:t>广东华南粮食交易中心有限公司</w:t>
      </w:r>
    </w:p>
    <w:p w14:paraId="7EC3F83E">
      <w:pPr>
        <w:wordWrap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rPr>
        <w:t>地</w:t>
      </w:r>
      <w:r>
        <w:rPr>
          <w:rFonts w:hint="eastAsia" w:ascii="宋体" w:hAnsi="宋体" w:cs="宋体"/>
          <w:sz w:val="24"/>
          <w:szCs w:val="24"/>
          <w:highlight w:val="none"/>
        </w:rPr>
        <w:t>址：</w:t>
      </w:r>
      <w:r>
        <w:rPr>
          <w:rFonts w:hint="eastAsia" w:ascii="宋体" w:hAnsi="宋体" w:cs="宋体"/>
          <w:sz w:val="24"/>
          <w:szCs w:val="24"/>
          <w:highlight w:val="none"/>
          <w:lang w:eastAsia="zh-CN"/>
        </w:rPr>
        <w:t>广东省东莞市常平镇江霞南路6号</w:t>
      </w:r>
    </w:p>
    <w:p w14:paraId="480B9C6E">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尹</w:t>
      </w:r>
      <w:r>
        <w:rPr>
          <w:rFonts w:hint="eastAsia" w:ascii="宋体" w:hAnsi="宋体" w:cs="宋体"/>
          <w:sz w:val="24"/>
          <w:szCs w:val="24"/>
          <w:highlight w:val="none"/>
        </w:rPr>
        <w:t>先生</w:t>
      </w:r>
    </w:p>
    <w:p w14:paraId="0E8E00F4">
      <w:pPr>
        <w:wordWrap w:val="0"/>
        <w:spacing w:line="360" w:lineRule="auto"/>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电话：</w:t>
      </w:r>
      <w:r>
        <w:rPr>
          <w:rFonts w:hint="eastAsia" w:ascii="宋体" w:hAnsi="宋体" w:eastAsia="宋体" w:cs="宋体"/>
          <w:sz w:val="24"/>
          <w:szCs w:val="24"/>
          <w:lang w:eastAsia="zh-CN"/>
        </w:rPr>
        <w:t>07</w:t>
      </w:r>
      <w:r>
        <w:rPr>
          <w:rFonts w:hint="eastAsia" w:ascii="宋体" w:hAnsi="宋体" w:eastAsia="宋体" w:cs="宋体"/>
          <w:sz w:val="24"/>
          <w:szCs w:val="24"/>
          <w:lang w:val="en-US" w:eastAsia="zh-CN"/>
        </w:rPr>
        <w:t>69</w:t>
      </w:r>
      <w:r>
        <w:rPr>
          <w:rFonts w:hint="eastAsia" w:ascii="宋体" w:hAnsi="宋体" w:eastAsia="宋体" w:cs="宋体"/>
          <w:sz w:val="24"/>
          <w:szCs w:val="24"/>
          <w:lang w:eastAsia="zh-CN"/>
        </w:rPr>
        <w:t>-8</w:t>
      </w:r>
      <w:r>
        <w:rPr>
          <w:rFonts w:hint="eastAsia" w:ascii="宋体" w:hAnsi="宋体" w:eastAsia="宋体" w:cs="宋体"/>
          <w:sz w:val="24"/>
          <w:szCs w:val="24"/>
          <w:lang w:val="en-US" w:eastAsia="zh-CN"/>
        </w:rPr>
        <w:t>3906107</w:t>
      </w:r>
    </w:p>
    <w:p w14:paraId="5602DFFD">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邮箱：</w:t>
      </w:r>
      <w:r>
        <w:rPr>
          <w:rFonts w:hint="eastAsia" w:ascii="宋体" w:hAnsi="宋体" w:cs="宋体"/>
          <w:sz w:val="24"/>
          <w:szCs w:val="24"/>
          <w:highlight w:val="none"/>
          <w:lang w:val="en-US" w:eastAsia="zh-CN"/>
        </w:rPr>
        <w:t>2041013267@qq</w:t>
      </w:r>
      <w:r>
        <w:rPr>
          <w:rFonts w:hint="eastAsia" w:ascii="宋体" w:hAnsi="宋体" w:cs="宋体"/>
          <w:sz w:val="24"/>
          <w:szCs w:val="24"/>
          <w:highlight w:val="none"/>
        </w:rPr>
        <w:t>.com</w:t>
      </w:r>
    </w:p>
    <w:p w14:paraId="6E496C6C">
      <w:pPr>
        <w:wordWrap w:val="0"/>
        <w:spacing w:line="360" w:lineRule="auto"/>
        <w:ind w:firstLine="480" w:firstLineChars="200"/>
        <w:rPr>
          <w:rFonts w:ascii="宋体" w:hAnsi="宋体" w:cs="宋体"/>
          <w:sz w:val="24"/>
          <w:szCs w:val="24"/>
        </w:rPr>
      </w:pPr>
    </w:p>
    <w:p w14:paraId="27C02C1C">
      <w:pPr>
        <w:wordWrap w:val="0"/>
        <w:spacing w:line="360" w:lineRule="auto"/>
        <w:ind w:firstLine="0" w:firstLineChars="0"/>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ascii="宋体" w:hAnsi="宋体" w:cs="宋体"/>
          <w:sz w:val="24"/>
          <w:szCs w:val="24"/>
        </w:rPr>
        <w:t>招标代理机构：</w:t>
      </w:r>
      <w:r>
        <w:rPr>
          <w:rFonts w:hint="eastAsia" w:ascii="宋体" w:hAnsi="宋体" w:cs="宋体"/>
          <w:sz w:val="24"/>
          <w:szCs w:val="24"/>
          <w:lang w:eastAsia="zh-CN"/>
        </w:rPr>
        <w:t>广东省国际工程咨询有限公司</w:t>
      </w:r>
    </w:p>
    <w:p w14:paraId="0957C96F">
      <w:pPr>
        <w:wordWrap w:val="0"/>
        <w:spacing w:line="360" w:lineRule="auto"/>
        <w:ind w:firstLine="480" w:firstLineChars="200"/>
        <w:rPr>
          <w:rFonts w:hint="default" w:ascii="宋体" w:hAnsi="宋体" w:eastAsia="宋体" w:cs="宋体"/>
          <w:sz w:val="24"/>
          <w:szCs w:val="24"/>
          <w:lang w:val="en-US" w:eastAsia="zh-CN"/>
        </w:rPr>
      </w:pPr>
      <w:r>
        <w:rPr>
          <w:rFonts w:ascii="宋体" w:hAnsi="宋体" w:cs="宋体"/>
          <w:sz w:val="24"/>
          <w:szCs w:val="24"/>
        </w:rPr>
        <w:t>地    址：</w:t>
      </w:r>
      <w:r>
        <w:rPr>
          <w:rFonts w:hint="eastAsia" w:ascii="宋体" w:hAnsi="宋体" w:cs="宋体"/>
          <w:sz w:val="24"/>
          <w:szCs w:val="24"/>
        </w:rPr>
        <w:t>广州市越秀区环市中路316号金鹰大厦10楼</w:t>
      </w:r>
    </w:p>
    <w:p w14:paraId="25242A99">
      <w:pPr>
        <w:wordWrap w:val="0"/>
        <w:spacing w:line="360" w:lineRule="auto"/>
        <w:ind w:firstLine="480" w:firstLineChars="200"/>
        <w:rPr>
          <w:rFonts w:hint="eastAsia" w:ascii="宋体" w:hAnsi="宋体" w:eastAsia="宋体" w:cs="宋体"/>
          <w:sz w:val="24"/>
          <w:szCs w:val="24"/>
          <w:lang w:val="en-US" w:eastAsia="zh-CN"/>
        </w:rPr>
      </w:pPr>
      <w:r>
        <w:rPr>
          <w:rFonts w:ascii="宋体" w:hAnsi="宋体" w:cs="宋体"/>
          <w:sz w:val="24"/>
          <w:szCs w:val="24"/>
        </w:rPr>
        <w:t>联 系 人：</w:t>
      </w:r>
      <w:r>
        <w:rPr>
          <w:rFonts w:hint="eastAsia" w:ascii="宋体" w:hAnsi="宋体" w:cs="宋体"/>
          <w:sz w:val="24"/>
          <w:szCs w:val="24"/>
          <w:lang w:val="en-US" w:eastAsia="zh-CN"/>
        </w:rPr>
        <w:t>陈工</w:t>
      </w:r>
    </w:p>
    <w:p w14:paraId="6D9B474D">
      <w:pPr>
        <w:wordWrap w:val="0"/>
        <w:spacing w:line="360" w:lineRule="auto"/>
        <w:ind w:firstLine="480" w:firstLineChars="200"/>
        <w:rPr>
          <w:rFonts w:hint="default" w:ascii="宋体" w:hAnsi="宋体" w:cs="宋体"/>
          <w:sz w:val="24"/>
          <w:szCs w:val="24"/>
          <w:lang w:val="en-US"/>
        </w:rPr>
      </w:pPr>
      <w:r>
        <w:rPr>
          <w:rFonts w:ascii="宋体" w:hAnsi="宋体" w:cs="宋体"/>
          <w:sz w:val="24"/>
          <w:szCs w:val="24"/>
        </w:rPr>
        <w:t>电    话：</w:t>
      </w:r>
      <w:r>
        <w:rPr>
          <w:rFonts w:hint="eastAsia" w:ascii="宋体" w:hAnsi="宋体" w:cs="宋体"/>
          <w:color w:val="auto"/>
          <w:kern w:val="0"/>
          <w:sz w:val="24"/>
          <w:szCs w:val="24"/>
          <w:highlight w:val="none"/>
          <w:lang w:eastAsia="zh-CN"/>
        </w:rPr>
        <w:t>020-83543598</w:t>
      </w:r>
    </w:p>
    <w:p w14:paraId="10CDFDD3">
      <w:pPr>
        <w:wordWrap w:val="0"/>
        <w:spacing w:line="360" w:lineRule="auto"/>
        <w:ind w:firstLine="480" w:firstLineChars="200"/>
        <w:rPr>
          <w:rFonts w:hint="default" w:ascii="宋体" w:hAnsi="宋体" w:cs="宋体"/>
          <w:sz w:val="24"/>
          <w:szCs w:val="24"/>
          <w:lang w:val="en-US"/>
        </w:rPr>
      </w:pPr>
      <w:r>
        <w:rPr>
          <w:rFonts w:ascii="宋体" w:hAnsi="宋体" w:cs="宋体"/>
          <w:sz w:val="24"/>
          <w:szCs w:val="24"/>
        </w:rPr>
        <w:t>电子邮箱：</w:t>
      </w:r>
      <w:r>
        <w:rPr>
          <w:rFonts w:hint="eastAsia" w:ascii="宋体" w:hAnsi="宋体" w:cs="宋体"/>
          <w:sz w:val="24"/>
          <w:szCs w:val="24"/>
        </w:rPr>
        <w:t>gzxmglzb@163.com</w:t>
      </w:r>
    </w:p>
    <w:p w14:paraId="5C914D69">
      <w:pPr>
        <w:wordWrap w:val="0"/>
        <w:ind w:firstLine="480"/>
        <w:rPr>
          <w:rFonts w:hint="eastAsia"/>
          <w:u w:val="single"/>
        </w:rPr>
      </w:pPr>
    </w:p>
    <w:p w14:paraId="00B8BDA1">
      <w:pPr>
        <w:wordWrap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异议受理部门：</w:t>
      </w:r>
      <w:r>
        <w:rPr>
          <w:rFonts w:hint="eastAsia" w:ascii="宋体" w:hAnsi="宋体" w:cs="宋体"/>
          <w:sz w:val="24"/>
          <w:szCs w:val="24"/>
          <w:lang w:eastAsia="zh-CN"/>
        </w:rPr>
        <w:t>广东华南粮食交易中心有限公司</w:t>
      </w:r>
    </w:p>
    <w:p w14:paraId="358396CA">
      <w:pPr>
        <w:wordWrap w:val="0"/>
        <w:spacing w:line="360" w:lineRule="auto"/>
        <w:ind w:firstLine="480" w:firstLineChars="200"/>
        <w:rPr>
          <w:rFonts w:hint="eastAsia" w:ascii="宋体" w:hAnsi="宋体" w:cs="宋体"/>
          <w:sz w:val="24"/>
          <w:szCs w:val="24"/>
          <w:lang w:val="en-US" w:eastAsia="zh-CN"/>
        </w:rPr>
      </w:pPr>
      <w:r>
        <w:rPr>
          <w:rFonts w:hint="eastAsia" w:ascii="宋体" w:hAnsi="宋体"/>
          <w:color w:val="auto"/>
          <w:sz w:val="24"/>
          <w:highlight w:val="none"/>
          <w:u w:val="none"/>
        </w:rPr>
        <w:t>异议受理电话：</w:t>
      </w:r>
      <w:r>
        <w:rPr>
          <w:rFonts w:hint="eastAsia" w:ascii="宋体" w:hAnsi="宋体" w:cs="宋体"/>
          <w:sz w:val="24"/>
          <w:szCs w:val="24"/>
          <w:lang w:val="en-US" w:eastAsia="zh-CN"/>
        </w:rPr>
        <w:t>020-38820933</w:t>
      </w:r>
    </w:p>
    <w:p w14:paraId="66548315">
      <w:pPr>
        <w:wordWrap w:val="0"/>
        <w:spacing w:line="360" w:lineRule="auto"/>
        <w:ind w:firstLine="480" w:firstLineChars="200"/>
        <w:rPr>
          <w:rFonts w:hint="default" w:ascii="宋体" w:hAnsi="宋体"/>
          <w:color w:val="auto"/>
          <w:sz w:val="24"/>
          <w:szCs w:val="22"/>
          <w:highlight w:val="none"/>
          <w:u w:val="none"/>
        </w:rPr>
      </w:pPr>
      <w:r>
        <w:rPr>
          <w:rFonts w:hint="eastAsia" w:ascii="宋体" w:hAnsi="宋体"/>
          <w:color w:val="auto"/>
          <w:sz w:val="24"/>
          <w:highlight w:val="none"/>
          <w:u w:val="none"/>
        </w:rPr>
        <w:t>联系地址：</w:t>
      </w:r>
      <w:r>
        <w:rPr>
          <w:rFonts w:hint="eastAsia" w:ascii="宋体" w:hAnsi="宋体" w:cs="宋体"/>
          <w:sz w:val="24"/>
          <w:szCs w:val="24"/>
          <w:highlight w:val="none"/>
          <w:lang w:val="en-US" w:eastAsia="zh-CN"/>
        </w:rPr>
        <w:t>广州市天河区体育东路115-118号6楼西塔</w:t>
      </w:r>
    </w:p>
    <w:p w14:paraId="5335B0B1">
      <w:pPr>
        <w:wordWrap w:val="0"/>
        <w:spacing w:line="360" w:lineRule="auto"/>
        <w:ind w:left="480" w:firstLineChars="200"/>
        <w:rPr>
          <w:rFonts w:hint="eastAsia" w:ascii="宋体" w:hAnsi="宋体"/>
          <w:color w:val="auto"/>
          <w:sz w:val="24"/>
          <w:highlight w:val="none"/>
          <w:lang w:eastAsia="zh-CN"/>
        </w:rPr>
      </w:pPr>
    </w:p>
    <w:p w14:paraId="4DC85E00">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u w:val="none"/>
        </w:rPr>
        <w:t>注：潜在投标人或利害关系人对本招标公告及招标文件有异议的，应当在投标截止时间10日前可以通过线下或线上的形式提出向招标人书面提出。线上提出异议的，应通过交易平台提交，招标人也应通过交易平台答复线上提出的异议。具体按照交易平台相关指南进行操作。作出答复前，应当暂停招标投标活动。</w:t>
      </w:r>
    </w:p>
    <w:p w14:paraId="1853FF90">
      <w:pPr>
        <w:wordWrap w:val="0"/>
        <w:spacing w:line="360" w:lineRule="auto"/>
        <w:ind w:firstLine="480" w:firstLineChars="200"/>
        <w:rPr>
          <w:rFonts w:hint="eastAsia" w:ascii="宋体" w:hAnsi="宋体" w:cs="宋体"/>
          <w:sz w:val="24"/>
          <w:szCs w:val="24"/>
        </w:rPr>
      </w:pPr>
    </w:p>
    <w:p w14:paraId="3701A38D">
      <w:pPr>
        <w:wordWrap w:val="0"/>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z w:val="24"/>
          <w:szCs w:val="24"/>
          <w:lang w:val="en-US" w:eastAsia="zh-CN"/>
        </w:rPr>
        <w:t>监督机构</w:t>
      </w:r>
      <w:r>
        <w:rPr>
          <w:rFonts w:hint="eastAsia" w:ascii="宋体" w:hAnsi="宋体" w:cs="宋体"/>
          <w:sz w:val="24"/>
          <w:szCs w:val="24"/>
        </w:rPr>
        <w:t>：</w:t>
      </w:r>
      <w:r>
        <w:rPr>
          <w:rFonts w:hint="eastAsia" w:ascii="宋体" w:hAnsi="宋体"/>
          <w:color w:val="auto"/>
          <w:sz w:val="24"/>
          <w:highlight w:val="none"/>
          <w:lang w:val="en-US" w:eastAsia="zh-CN"/>
        </w:rPr>
        <w:t>广东省储备粮管理集团有限公司</w:t>
      </w:r>
    </w:p>
    <w:p w14:paraId="605AF6D0">
      <w:pPr>
        <w:wordWrap w:val="0"/>
        <w:spacing w:line="360" w:lineRule="auto"/>
        <w:ind w:firstLine="480" w:firstLineChars="200"/>
        <w:rPr>
          <w:rFonts w:ascii="宋体" w:hAnsi="宋体" w:cs="宋体"/>
          <w:sz w:val="24"/>
          <w:szCs w:val="24"/>
        </w:rPr>
      </w:pPr>
      <w:r>
        <w:rPr>
          <w:rFonts w:hint="eastAsia" w:ascii="宋体" w:hAnsi="宋体" w:cs="宋体"/>
          <w:sz w:val="24"/>
          <w:szCs w:val="24"/>
        </w:rPr>
        <w:t>投诉电话：020-83549726</w:t>
      </w:r>
    </w:p>
    <w:p w14:paraId="61406749">
      <w:pPr>
        <w:spacing w:line="360" w:lineRule="auto"/>
        <w:ind w:firstLine="480" w:firstLineChars="200"/>
        <w:jc w:val="right"/>
        <w:rPr>
          <w:rFonts w:hint="eastAsia" w:ascii="宋体" w:hAnsi="宋体" w:eastAsia="宋体" w:cs="宋体"/>
          <w:sz w:val="24"/>
          <w:szCs w:val="24"/>
          <w:lang w:eastAsia="zh-CN"/>
        </w:rPr>
      </w:pPr>
      <w:r>
        <w:rPr>
          <w:rFonts w:hint="eastAsia" w:ascii="宋体" w:hAnsi="宋体" w:cs="宋体"/>
          <w:sz w:val="24"/>
          <w:szCs w:val="24"/>
          <w:lang w:eastAsia="zh-CN"/>
        </w:rPr>
        <w:t>广东华南粮食交易中心有限公司</w:t>
      </w:r>
    </w:p>
    <w:p w14:paraId="5CBCCB39">
      <w:pPr>
        <w:wordWrap w:val="0"/>
        <w:spacing w:line="360" w:lineRule="auto"/>
        <w:ind w:firstLine="480" w:firstLineChars="200"/>
        <w:jc w:val="right"/>
        <w:rPr>
          <w:rFonts w:hint="eastAsia" w:ascii="宋体" w:hAnsi="宋体" w:eastAsia="宋体" w:cs="宋体"/>
          <w:sz w:val="24"/>
          <w:szCs w:val="24"/>
          <w:lang w:eastAsia="zh-CN"/>
        </w:rPr>
      </w:pPr>
      <w:r>
        <w:rPr>
          <w:rFonts w:hint="eastAsia" w:ascii="宋体" w:hAnsi="宋体" w:cs="宋体"/>
          <w:sz w:val="24"/>
          <w:szCs w:val="24"/>
          <w:lang w:eastAsia="zh-CN"/>
        </w:rPr>
        <w:t>广东省国际工程咨询有限公司</w:t>
      </w:r>
    </w:p>
    <w:p w14:paraId="7B689599">
      <w:pPr>
        <w:wordWrap w:val="0"/>
        <w:spacing w:line="360" w:lineRule="auto"/>
        <w:ind w:firstLine="480" w:firstLineChars="200"/>
        <w:jc w:val="right"/>
        <w:rPr>
          <w:rFonts w:ascii="宋体" w:hAnsi="宋体" w:cs="宋体"/>
          <w:sz w:val="24"/>
          <w:szCs w:val="24"/>
        </w:rPr>
      </w:pPr>
      <w:r>
        <w:rPr>
          <w:rFonts w:ascii="宋体" w:hAnsi="宋体" w:cs="宋体"/>
          <w:sz w:val="24"/>
          <w:szCs w:val="24"/>
        </w:rPr>
        <w:t>202</w:t>
      </w:r>
      <w:r>
        <w:rPr>
          <w:rFonts w:hint="eastAsia" w:ascii="宋体" w:hAnsi="宋体" w:cs="宋体"/>
          <w:sz w:val="24"/>
          <w:szCs w:val="24"/>
          <w:lang w:val="en-US" w:eastAsia="zh-CN"/>
        </w:rPr>
        <w:t>5</w:t>
      </w:r>
      <w:r>
        <w:rPr>
          <w:rFonts w:ascii="宋体" w:hAnsi="宋体" w:cs="宋体"/>
          <w:sz w:val="24"/>
          <w:szCs w:val="24"/>
        </w:rPr>
        <w:t>年</w:t>
      </w:r>
      <w:r>
        <w:rPr>
          <w:rFonts w:hint="eastAsia" w:ascii="宋体" w:hAnsi="宋体" w:cs="宋体"/>
          <w:sz w:val="24"/>
          <w:szCs w:val="24"/>
          <w:lang w:val="en-US" w:eastAsia="zh-CN"/>
        </w:rPr>
        <w:t>10</w:t>
      </w:r>
      <w:r>
        <w:rPr>
          <w:rFonts w:ascii="宋体" w:hAnsi="宋体" w:cs="宋体"/>
          <w:sz w:val="24"/>
          <w:szCs w:val="24"/>
        </w:rPr>
        <w:t>月</w:t>
      </w:r>
      <w:r>
        <w:rPr>
          <w:rFonts w:hint="eastAsia" w:ascii="宋体" w:hAnsi="宋体" w:cs="宋体"/>
          <w:sz w:val="24"/>
          <w:szCs w:val="24"/>
          <w:lang w:val="en-US" w:eastAsia="zh-CN"/>
        </w:rPr>
        <w:t>25</w:t>
      </w:r>
      <w:r>
        <w:rPr>
          <w:rFonts w:ascii="宋体" w:hAnsi="宋体" w:cs="宋体"/>
          <w:sz w:val="24"/>
          <w:szCs w:val="24"/>
        </w:rPr>
        <w:t>日</w:t>
      </w:r>
    </w:p>
    <w:p w14:paraId="61235DFE">
      <w:pPr>
        <w:widowControl/>
        <w:spacing w:line="440" w:lineRule="exact"/>
        <w:jc w:val="left"/>
        <w:outlineLvl w:val="1"/>
        <w:rPr>
          <w:rFonts w:ascii="宋体" w:hAnsi="宋体"/>
        </w:rPr>
      </w:pPr>
      <w:r>
        <w:rPr>
          <w:rFonts w:hint="eastAsia" w:ascii="宋体" w:hAnsi="宋体"/>
        </w:rPr>
        <w:br w:type="page"/>
      </w:r>
      <w:r>
        <w:rPr>
          <w:rFonts w:hint="eastAsia" w:ascii="宋体" w:hAnsi="宋体" w:cs="宋体"/>
          <w:b/>
          <w:kern w:val="0"/>
          <w:sz w:val="28"/>
          <w:szCs w:val="28"/>
        </w:rPr>
        <w:t>附件一：</w:t>
      </w:r>
    </w:p>
    <w:p w14:paraId="1FC6507C">
      <w:pPr>
        <w:pStyle w:val="6"/>
        <w:spacing w:line="440" w:lineRule="exact"/>
        <w:jc w:val="center"/>
        <w:rPr>
          <w:color w:val="auto"/>
        </w:rPr>
      </w:pPr>
      <w:r>
        <w:rPr>
          <w:rFonts w:hint="eastAsia"/>
          <w:color w:val="auto"/>
        </w:rPr>
        <w:t>投标人声明</w:t>
      </w:r>
    </w:p>
    <w:p w14:paraId="61C23E2C">
      <w:pPr>
        <w:spacing w:line="4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本招标项目招标人：</w:t>
      </w:r>
    </w:p>
    <w:p w14:paraId="598FA0C6">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本公司就参加</w:t>
      </w:r>
      <w:r>
        <w:rPr>
          <w:rFonts w:hint="eastAsia" w:cs="宋体" w:asciiTheme="minorEastAsia" w:hAnsiTheme="minorEastAsia" w:eastAsiaTheme="minorEastAsia"/>
          <w:kern w:val="0"/>
          <w:sz w:val="24"/>
          <w:szCs w:val="24"/>
          <w:u w:val="single"/>
        </w:rPr>
        <w:t>    </w:t>
      </w:r>
      <w:r>
        <w:rPr>
          <w:rFonts w:hint="eastAsia" w:ascii="宋体" w:hAnsi="宋体" w:cs="宋体"/>
          <w:kern w:val="0"/>
          <w:sz w:val="24"/>
          <w:szCs w:val="24"/>
          <w:u w:val="single"/>
        </w:rPr>
        <w:t>（项目名称）</w:t>
      </w:r>
      <w:r>
        <w:rPr>
          <w:rFonts w:hint="eastAsia"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项目投标工作，作出郑重声明：</w:t>
      </w:r>
    </w:p>
    <w:p w14:paraId="1D84E3EB">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一、本公司保证投标</w:t>
      </w:r>
      <w:r>
        <w:rPr>
          <w:rFonts w:hint="eastAsia" w:cs="宋体" w:asciiTheme="minorEastAsia" w:hAnsiTheme="minorEastAsia" w:eastAsiaTheme="minorEastAsia"/>
          <w:kern w:val="0"/>
          <w:sz w:val="24"/>
          <w:szCs w:val="24"/>
          <w:u w:val="single"/>
        </w:rPr>
        <w:t>登记</w:t>
      </w:r>
      <w:r>
        <w:rPr>
          <w:rFonts w:hint="eastAsia" w:cs="宋体" w:asciiTheme="minorEastAsia" w:hAnsiTheme="minorEastAsia" w:eastAsiaTheme="minorEastAsia"/>
          <w:kern w:val="0"/>
          <w:sz w:val="24"/>
          <w:szCs w:val="24"/>
        </w:rPr>
        <w:t>材料及其后提供的一切材料都是真实的。如我司成为本项目中标候选人，我司同意并授权招标人将我司投标文件的人员、业绩、奖项等资料进行公开。</w:t>
      </w:r>
    </w:p>
    <w:p w14:paraId="77152CA7">
      <w:pPr>
        <w:spacing w:line="440" w:lineRule="exact"/>
        <w:ind w:firstLine="482" w:firstLineChars="200"/>
        <w:rPr>
          <w:rFonts w:hint="eastAsia"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二、本公司承诺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7E85105">
      <w:pPr>
        <w:spacing w:line="440" w:lineRule="exact"/>
        <w:ind w:firstLine="482" w:firstLineChars="20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lang w:val="en-US" w:eastAsia="zh-CN"/>
        </w:rPr>
        <w:t>三、</w:t>
      </w:r>
      <w:r>
        <w:rPr>
          <w:rFonts w:hint="eastAsia" w:cs="宋体" w:asciiTheme="minorEastAsia" w:hAnsiTheme="minorEastAsia" w:eastAsiaTheme="minorEastAsia"/>
          <w:b/>
          <w:kern w:val="0"/>
          <w:sz w:val="24"/>
          <w:szCs w:val="24"/>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w:t>
      </w:r>
      <w:r>
        <w:rPr>
          <w:rFonts w:cs="宋体" w:asciiTheme="minorEastAsia" w:hAnsiTheme="minorEastAsia" w:eastAsiaTheme="minorEastAsia"/>
          <w:b/>
          <w:kern w:val="0"/>
          <w:sz w:val="24"/>
          <w:szCs w:val="24"/>
        </w:rPr>
        <w:t>让</w:t>
      </w:r>
      <w:r>
        <w:rPr>
          <w:rFonts w:hint="eastAsia" w:cs="宋体" w:asciiTheme="minorEastAsia" w:hAnsiTheme="minorEastAsia" w:eastAsiaTheme="minorEastAsia"/>
          <w:b/>
          <w:kern w:val="0"/>
          <w:sz w:val="24"/>
          <w:szCs w:val="24"/>
        </w:rPr>
        <w:t>监理业务。</w:t>
      </w:r>
    </w:p>
    <w:p w14:paraId="5193B234">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四</w:t>
      </w:r>
      <w:r>
        <w:rPr>
          <w:rFonts w:hint="eastAsia" w:cs="宋体" w:asciiTheme="minorEastAsia" w:hAnsiTheme="minorEastAsia" w:eastAsiaTheme="minorEastAsia"/>
          <w:kern w:val="0"/>
          <w:sz w:val="24"/>
          <w:szCs w:val="24"/>
        </w:rPr>
        <w:t>、本公司不存在招标文件第二章投标人须知第1.4.3项所规定的任何一种情形。</w:t>
      </w:r>
    </w:p>
    <w:p w14:paraId="7DDFAC39">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五</w:t>
      </w:r>
      <w:r>
        <w:rPr>
          <w:rFonts w:hint="eastAsia" w:cs="宋体" w:asciiTheme="minorEastAsia" w:hAnsiTheme="minorEastAsia" w:eastAsiaTheme="minorEastAsia"/>
          <w:kern w:val="0"/>
          <w:sz w:val="24"/>
          <w:szCs w:val="24"/>
        </w:rPr>
        <w:t>、本公司及其有隶属关系的机构，没有参加本项目招标文件的编写工作；本公司与本次招标的招标代理机构没有隶属关系或其他利害关系。</w:t>
      </w:r>
    </w:p>
    <w:p w14:paraId="72AE9E39">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六、本公司承诺，中标后严格执行安全生产相关管理规定。</w:t>
      </w:r>
    </w:p>
    <w:p w14:paraId="3E4D00A8">
      <w:pPr>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七</w:t>
      </w:r>
      <w:r>
        <w:rPr>
          <w:rFonts w:hint="eastAsia" w:cs="宋体" w:asciiTheme="minorEastAsia" w:hAnsiTheme="minorEastAsia" w:eastAsiaTheme="minorEastAsia"/>
          <w:kern w:val="0"/>
          <w:sz w:val="24"/>
          <w:szCs w:val="24"/>
        </w:rPr>
        <w:t>、与本公司单位负责人为同一人或者与本公司存在控股、管理关系的其他单位包括：</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。（注：本条由投标人如实填写，如有，应列出全部满足招标公告资质要求的相关单位的名称；如无，则填写“无”。）</w:t>
      </w:r>
    </w:p>
    <w:p w14:paraId="2D47846B">
      <w:pPr>
        <w:widowControl/>
        <w:shd w:val="clear" w:color="auto" w:fill="FFFFFF"/>
        <w:spacing w:line="44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特此声明。</w:t>
      </w:r>
    </w:p>
    <w:p w14:paraId="41C450BC">
      <w:pPr>
        <w:snapToGrid w:val="0"/>
        <w:spacing w:line="440" w:lineRule="exact"/>
        <w:ind w:firstLine="4320" w:firstLineChars="18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声明企业：            (企业公章)</w:t>
      </w:r>
    </w:p>
    <w:p w14:paraId="366BE110">
      <w:pPr>
        <w:snapToGrid w:val="0"/>
        <w:spacing w:line="440" w:lineRule="exact"/>
        <w:ind w:firstLine="0" w:firstLineChars="0"/>
        <w:jc w:val="righ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总监理工程师：         （签字或署印）</w:t>
      </w:r>
    </w:p>
    <w:p w14:paraId="2768C6E0">
      <w:pPr>
        <w:snapToGrid w:val="0"/>
        <w:spacing w:line="440" w:lineRule="exact"/>
        <w:ind w:firstLine="3840" w:firstLineChars="1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法定代表人签字或署印：</w:t>
      </w:r>
    </w:p>
    <w:p w14:paraId="14408AB8">
      <w:pPr>
        <w:spacing w:line="440" w:lineRule="exact"/>
        <w:ind w:firstLine="4920" w:firstLineChars="2050"/>
        <w:rPr>
          <w:rFonts w:ascii="仿宋_GB2312" w:hAnsi="宋体" w:eastAsia="仿宋_GB2312" w:cs="宋体"/>
          <w:kern w:val="0"/>
          <w:sz w:val="24"/>
          <w:szCs w:val="24"/>
        </w:rPr>
      </w:pPr>
      <w:r>
        <w:rPr>
          <w:rFonts w:hint="eastAsia" w:cs="宋体" w:asciiTheme="minorEastAsia" w:hAnsiTheme="minorEastAsia" w:eastAsiaTheme="minorEastAsia"/>
          <w:kern w:val="0"/>
          <w:sz w:val="24"/>
          <w:szCs w:val="24"/>
        </w:rPr>
        <w:t>年   月   日</w:t>
      </w:r>
    </w:p>
    <w:p w14:paraId="152D7B2B">
      <w:pPr>
        <w:pStyle w:val="5"/>
        <w:keepNext w:val="0"/>
        <w:keepLines w:val="0"/>
        <w:spacing w:after="0" w:line="24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第二章</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投标人须知</w:t>
      </w:r>
      <w:bookmarkEnd w:id="6"/>
    </w:p>
    <w:p w14:paraId="0CDAE15D">
      <w:pPr>
        <w:pStyle w:val="6"/>
        <w:spacing w:before="240"/>
        <w:jc w:val="center"/>
        <w:rPr>
          <w:rFonts w:ascii="宋体" w:hAnsi="宋体" w:eastAsia="宋体"/>
          <w:color w:val="000000" w:themeColor="text1"/>
          <w:sz w:val="32"/>
          <w14:textFill>
            <w14:solidFill>
              <w14:schemeClr w14:val="tx1"/>
            </w14:solidFill>
          </w14:textFill>
        </w:rPr>
      </w:pPr>
      <w:bookmarkStart w:id="40" w:name="_Toc535938711"/>
      <w:bookmarkStart w:id="41" w:name="_Toc530470621"/>
      <w:bookmarkStart w:id="42" w:name="_Toc529196512"/>
      <w:r>
        <w:rPr>
          <w:rFonts w:hint="eastAsia" w:ascii="宋体" w:hAnsi="宋体" w:eastAsia="宋体"/>
          <w:color w:val="000000" w:themeColor="text1"/>
          <w:sz w:val="32"/>
          <w14:textFill>
            <w14:solidFill>
              <w14:schemeClr w14:val="tx1"/>
            </w14:solidFill>
          </w14:textFill>
        </w:rPr>
        <w:t>投标人须知前附表</w:t>
      </w:r>
    </w:p>
    <w:tbl>
      <w:tblPr>
        <w:tblStyle w:val="23"/>
        <w:tblW w:w="918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161"/>
        <w:gridCol w:w="6068"/>
      </w:tblGrid>
      <w:tr w14:paraId="27266E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blHeader/>
          <w:jc w:val="center"/>
        </w:trPr>
        <w:tc>
          <w:tcPr>
            <w:tcW w:w="958" w:type="dxa"/>
            <w:tcBorders>
              <w:top w:val="single" w:color="auto" w:sz="4" w:space="0"/>
              <w:left w:val="single" w:color="auto" w:sz="4" w:space="0"/>
              <w:bottom w:val="single" w:color="auto" w:sz="6" w:space="0"/>
              <w:right w:val="single" w:color="auto" w:sz="6" w:space="0"/>
            </w:tcBorders>
            <w:noWrap/>
            <w:vAlign w:val="center"/>
          </w:tcPr>
          <w:p w14:paraId="44045DDD">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2161" w:type="dxa"/>
            <w:tcBorders>
              <w:top w:val="single" w:color="auto" w:sz="4" w:space="0"/>
              <w:left w:val="single" w:color="auto" w:sz="6" w:space="0"/>
              <w:bottom w:val="single" w:color="auto" w:sz="6" w:space="0"/>
              <w:right w:val="single" w:color="auto" w:sz="6" w:space="0"/>
            </w:tcBorders>
            <w:noWrap/>
            <w:vAlign w:val="center"/>
          </w:tcPr>
          <w:p w14:paraId="7691C026">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6068" w:type="dxa"/>
            <w:tcBorders>
              <w:top w:val="single" w:color="auto" w:sz="4" w:space="0"/>
              <w:left w:val="single" w:color="auto" w:sz="6" w:space="0"/>
              <w:bottom w:val="single" w:color="auto" w:sz="6" w:space="0"/>
              <w:right w:val="single" w:color="auto" w:sz="4" w:space="0"/>
            </w:tcBorders>
            <w:noWrap/>
            <w:vAlign w:val="center"/>
          </w:tcPr>
          <w:p w14:paraId="50855BFA">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编列内容</w:t>
            </w:r>
          </w:p>
        </w:tc>
      </w:tr>
      <w:tr w14:paraId="5B3AEC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869CE77">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1.1.2</w:t>
            </w:r>
          </w:p>
        </w:tc>
        <w:tc>
          <w:tcPr>
            <w:tcW w:w="2161" w:type="dxa"/>
            <w:tcBorders>
              <w:top w:val="single" w:color="auto" w:sz="6" w:space="0"/>
              <w:left w:val="single" w:color="auto" w:sz="6" w:space="0"/>
              <w:bottom w:val="single" w:color="auto" w:sz="6" w:space="0"/>
              <w:right w:val="single" w:color="auto" w:sz="6" w:space="0"/>
            </w:tcBorders>
            <w:noWrap/>
            <w:vAlign w:val="center"/>
          </w:tcPr>
          <w:p w14:paraId="5E2253E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招标人</w:t>
            </w:r>
          </w:p>
        </w:tc>
        <w:tc>
          <w:tcPr>
            <w:tcW w:w="6068" w:type="dxa"/>
            <w:tcBorders>
              <w:top w:val="single" w:color="auto" w:sz="6" w:space="0"/>
              <w:left w:val="single" w:color="auto" w:sz="6" w:space="0"/>
              <w:bottom w:val="single" w:color="auto" w:sz="6" w:space="0"/>
              <w:right w:val="single" w:color="auto" w:sz="4" w:space="0"/>
            </w:tcBorders>
            <w:noWrap/>
            <w:vAlign w:val="center"/>
          </w:tcPr>
          <w:p w14:paraId="65FA2A0C">
            <w:pPr>
              <w:spacing w:line="360" w:lineRule="auto"/>
              <w:rPr>
                <w:rFonts w:hint="eastAsia" w:ascii="宋体" w:hAnsi="宋体" w:eastAsia="宋体" w:cs="宋体"/>
                <w:color w:val="auto"/>
                <w:szCs w:val="21"/>
                <w:u w:val="single"/>
                <w:lang w:eastAsia="zh-CN"/>
              </w:rPr>
            </w:pPr>
            <w:r>
              <w:rPr>
                <w:rFonts w:hint="eastAsia" w:ascii="宋体" w:hAnsi="宋体" w:eastAsia="宋体" w:cs="宋体"/>
                <w:color w:val="auto"/>
                <w:szCs w:val="21"/>
              </w:rPr>
              <w:t>招标人：</w:t>
            </w:r>
            <w:r>
              <w:rPr>
                <w:rFonts w:hint="eastAsia" w:ascii="宋体" w:hAnsi="宋体" w:eastAsia="宋体" w:cs="宋体"/>
                <w:color w:val="auto"/>
                <w:szCs w:val="21"/>
                <w:u w:val="single"/>
                <w:lang w:eastAsia="zh-CN"/>
              </w:rPr>
              <w:t>广东华南粮食交易中心有限公司</w:t>
            </w:r>
          </w:p>
          <w:p w14:paraId="492BF9BB">
            <w:pPr>
              <w:spacing w:line="360" w:lineRule="auto"/>
              <w:rPr>
                <w:rFonts w:hint="eastAsia" w:ascii="宋体" w:hAnsi="宋体" w:eastAsia="宋体" w:cs="宋体"/>
                <w:color w:val="auto"/>
                <w:szCs w:val="21"/>
                <w:u w:val="single"/>
                <w:lang w:eastAsia="zh-CN"/>
              </w:rPr>
            </w:pPr>
            <w:r>
              <w:rPr>
                <w:rFonts w:hint="eastAsia" w:ascii="宋体" w:hAnsi="宋体" w:eastAsia="宋体" w:cs="宋体"/>
                <w:color w:val="auto"/>
                <w:szCs w:val="21"/>
              </w:rPr>
              <w:t>地址：</w:t>
            </w:r>
            <w:r>
              <w:rPr>
                <w:rFonts w:hint="eastAsia" w:ascii="宋体" w:hAnsi="宋体" w:eastAsia="宋体" w:cs="宋体"/>
                <w:color w:val="auto"/>
                <w:szCs w:val="21"/>
                <w:u w:val="single"/>
                <w:lang w:eastAsia="zh-CN"/>
              </w:rPr>
              <w:t>广东省东莞市常平镇江霞南路6号</w:t>
            </w:r>
          </w:p>
          <w:p w14:paraId="37185FF0">
            <w:pPr>
              <w:spacing w:line="360" w:lineRule="auto"/>
              <w:rPr>
                <w:rFonts w:hint="eastAsia" w:ascii="宋体" w:hAnsi="宋体" w:eastAsia="宋体" w:cs="宋体"/>
                <w:color w:val="auto"/>
                <w:szCs w:val="21"/>
                <w:u w:val="single"/>
                <w:lang w:eastAsia="zh-CN"/>
              </w:rPr>
            </w:pPr>
            <w:r>
              <w:rPr>
                <w:rFonts w:hint="eastAsia" w:ascii="宋体" w:hAnsi="宋体" w:eastAsia="宋体" w:cs="宋体"/>
                <w:color w:val="auto"/>
                <w:szCs w:val="21"/>
              </w:rPr>
              <w:t>联系人：</w:t>
            </w:r>
            <w:r>
              <w:rPr>
                <w:rFonts w:hint="eastAsia" w:ascii="宋体" w:hAnsi="宋体" w:eastAsia="宋体" w:cs="宋体"/>
                <w:color w:val="auto"/>
                <w:szCs w:val="21"/>
                <w:u w:val="single"/>
                <w:lang w:val="en-US" w:eastAsia="zh-CN"/>
              </w:rPr>
              <w:t>尹先生</w:t>
            </w:r>
          </w:p>
          <w:p w14:paraId="3D254E55">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rPr>
              <w:t>电话：</w:t>
            </w:r>
            <w:r>
              <w:rPr>
                <w:rFonts w:hint="eastAsia" w:ascii="宋体" w:hAnsi="宋体" w:eastAsia="宋体" w:cs="宋体"/>
                <w:color w:val="auto"/>
                <w:szCs w:val="21"/>
                <w:u w:val="single"/>
                <w:lang w:eastAsia="zh-CN"/>
              </w:rPr>
              <w:t>07</w:t>
            </w:r>
            <w:r>
              <w:rPr>
                <w:rFonts w:hint="eastAsia" w:ascii="宋体" w:hAnsi="宋体" w:eastAsia="宋体" w:cs="宋体"/>
                <w:color w:val="auto"/>
                <w:szCs w:val="21"/>
                <w:u w:val="single"/>
                <w:lang w:val="en-US" w:eastAsia="zh-CN"/>
              </w:rPr>
              <w:t>69</w:t>
            </w:r>
            <w:r>
              <w:rPr>
                <w:rFonts w:hint="eastAsia" w:ascii="宋体" w:hAnsi="宋体" w:eastAsia="宋体" w:cs="宋体"/>
                <w:color w:val="auto"/>
                <w:szCs w:val="21"/>
                <w:u w:val="single"/>
                <w:lang w:eastAsia="zh-CN"/>
              </w:rPr>
              <w:t>-8</w:t>
            </w:r>
            <w:r>
              <w:rPr>
                <w:rFonts w:hint="eastAsia" w:ascii="宋体" w:hAnsi="宋体" w:eastAsia="宋体" w:cs="宋体"/>
                <w:color w:val="auto"/>
                <w:szCs w:val="21"/>
                <w:u w:val="single"/>
                <w:lang w:val="en-US" w:eastAsia="zh-CN"/>
              </w:rPr>
              <w:t>3906107</w:t>
            </w:r>
          </w:p>
        </w:tc>
      </w:tr>
      <w:tr w14:paraId="35454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E7E41AD">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1.1.3</w:t>
            </w:r>
          </w:p>
        </w:tc>
        <w:tc>
          <w:tcPr>
            <w:tcW w:w="2161" w:type="dxa"/>
            <w:tcBorders>
              <w:top w:val="single" w:color="auto" w:sz="6" w:space="0"/>
              <w:left w:val="single" w:color="auto" w:sz="6" w:space="0"/>
              <w:bottom w:val="single" w:color="auto" w:sz="6" w:space="0"/>
              <w:right w:val="single" w:color="auto" w:sz="6" w:space="0"/>
            </w:tcBorders>
            <w:noWrap/>
            <w:vAlign w:val="center"/>
          </w:tcPr>
          <w:p w14:paraId="4CAA8853">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招标代理机构</w:t>
            </w:r>
          </w:p>
        </w:tc>
        <w:tc>
          <w:tcPr>
            <w:tcW w:w="6068" w:type="dxa"/>
            <w:tcBorders>
              <w:top w:val="single" w:color="auto" w:sz="6" w:space="0"/>
              <w:left w:val="single" w:color="auto" w:sz="6" w:space="0"/>
              <w:bottom w:val="single" w:color="auto" w:sz="6" w:space="0"/>
              <w:right w:val="single" w:color="auto" w:sz="4" w:space="0"/>
            </w:tcBorders>
            <w:noWrap/>
            <w:vAlign w:val="center"/>
          </w:tcPr>
          <w:p w14:paraId="0E471A20">
            <w:pPr>
              <w:spacing w:line="360" w:lineRule="auto"/>
              <w:rPr>
                <w:rFonts w:hint="eastAsia" w:ascii="宋体" w:hAnsi="宋体" w:eastAsia="宋体" w:cs="宋体"/>
                <w:color w:val="auto"/>
                <w:szCs w:val="21"/>
              </w:rPr>
            </w:pPr>
            <w:r>
              <w:rPr>
                <w:rFonts w:hint="eastAsia" w:ascii="宋体" w:hAnsi="宋体" w:eastAsia="宋体" w:cs="宋体"/>
                <w:color w:val="auto"/>
                <w:szCs w:val="21"/>
              </w:rPr>
              <w:t>招标代理机构：广东省国际工程咨询有限公司</w:t>
            </w:r>
          </w:p>
          <w:p w14:paraId="0B3A65C0">
            <w:pPr>
              <w:spacing w:line="360" w:lineRule="auto"/>
              <w:rPr>
                <w:rFonts w:hint="eastAsia" w:ascii="宋体" w:hAnsi="宋体" w:eastAsia="宋体" w:cs="宋体"/>
                <w:color w:val="auto"/>
                <w:szCs w:val="21"/>
              </w:rPr>
            </w:pPr>
            <w:r>
              <w:rPr>
                <w:rFonts w:hint="eastAsia" w:ascii="宋体" w:hAnsi="宋体" w:eastAsia="宋体" w:cs="宋体"/>
                <w:color w:val="auto"/>
                <w:szCs w:val="21"/>
              </w:rPr>
              <w:t>地    址：广州市越秀区环市中路316号金鹰大厦10楼</w:t>
            </w:r>
          </w:p>
          <w:p w14:paraId="56967E44">
            <w:pPr>
              <w:spacing w:line="360" w:lineRule="auto"/>
              <w:rPr>
                <w:rFonts w:hint="eastAsia" w:ascii="宋体" w:hAnsi="宋体" w:eastAsia="宋体" w:cs="宋体"/>
                <w:color w:val="auto"/>
                <w:szCs w:val="21"/>
              </w:rPr>
            </w:pPr>
            <w:r>
              <w:rPr>
                <w:rFonts w:hint="eastAsia" w:ascii="宋体" w:hAnsi="宋体" w:eastAsia="宋体" w:cs="宋体"/>
                <w:color w:val="auto"/>
                <w:szCs w:val="21"/>
              </w:rPr>
              <w:t>联 系 人：陈工</w:t>
            </w:r>
          </w:p>
          <w:p w14:paraId="77B8471E">
            <w:pPr>
              <w:spacing w:line="360" w:lineRule="auto"/>
              <w:rPr>
                <w:rFonts w:hint="eastAsia" w:ascii="宋体" w:hAnsi="宋体" w:eastAsia="宋体" w:cs="宋体"/>
                <w:color w:val="auto"/>
                <w:szCs w:val="21"/>
              </w:rPr>
            </w:pPr>
            <w:r>
              <w:rPr>
                <w:rFonts w:hint="eastAsia" w:ascii="宋体" w:hAnsi="宋体" w:eastAsia="宋体" w:cs="宋体"/>
                <w:color w:val="auto"/>
                <w:szCs w:val="21"/>
              </w:rPr>
              <w:t>电    话：020-83543598</w:t>
            </w:r>
          </w:p>
          <w:p w14:paraId="3CC6E4D3">
            <w:pPr>
              <w:spacing w:line="360" w:lineRule="auto"/>
              <w:rPr>
                <w:rFonts w:hint="eastAsia" w:ascii="宋体" w:hAnsi="宋体" w:eastAsia="宋体" w:cs="宋体"/>
                <w:color w:val="auto"/>
                <w:szCs w:val="21"/>
              </w:rPr>
            </w:pPr>
            <w:r>
              <w:rPr>
                <w:rFonts w:hint="eastAsia" w:ascii="宋体" w:hAnsi="宋体" w:eastAsia="宋体" w:cs="宋体"/>
                <w:color w:val="auto"/>
                <w:szCs w:val="21"/>
              </w:rPr>
              <w:t>电子邮箱：gzxmglzb@163.com</w:t>
            </w:r>
          </w:p>
        </w:tc>
      </w:tr>
      <w:tr w14:paraId="03EB16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E88CFF7">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1.1.4</w:t>
            </w:r>
          </w:p>
        </w:tc>
        <w:tc>
          <w:tcPr>
            <w:tcW w:w="2161" w:type="dxa"/>
            <w:tcBorders>
              <w:top w:val="single" w:color="auto" w:sz="6" w:space="0"/>
              <w:left w:val="single" w:color="auto" w:sz="6" w:space="0"/>
              <w:bottom w:val="single" w:color="auto" w:sz="6" w:space="0"/>
              <w:right w:val="single" w:color="auto" w:sz="6" w:space="0"/>
            </w:tcBorders>
            <w:noWrap/>
            <w:vAlign w:val="center"/>
          </w:tcPr>
          <w:p w14:paraId="219EFA3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招标项目名称</w:t>
            </w:r>
          </w:p>
        </w:tc>
        <w:tc>
          <w:tcPr>
            <w:tcW w:w="6068" w:type="dxa"/>
            <w:tcBorders>
              <w:top w:val="single" w:color="auto" w:sz="6" w:space="0"/>
              <w:left w:val="single" w:color="auto" w:sz="6" w:space="0"/>
              <w:bottom w:val="single" w:color="auto" w:sz="6" w:space="0"/>
              <w:right w:val="single" w:color="auto" w:sz="4" w:space="0"/>
            </w:tcBorders>
            <w:noWrap/>
            <w:vAlign w:val="center"/>
          </w:tcPr>
          <w:p w14:paraId="6AF2E93F">
            <w:pPr>
              <w:snapToGrid w:val="0"/>
              <w:spacing w:line="360" w:lineRule="auto"/>
              <w:ind w:firstLine="29" w:firstLineChars="14"/>
              <w:rPr>
                <w:rFonts w:hint="eastAsia" w:ascii="宋体" w:hAnsi="宋体" w:eastAsia="宋体" w:cs="宋体"/>
                <w:color w:val="auto"/>
                <w:szCs w:val="21"/>
                <w:u w:val="single"/>
                <w:lang w:eastAsia="zh-CN"/>
              </w:rPr>
            </w:pPr>
            <w:r>
              <w:rPr>
                <w:rFonts w:hint="eastAsia" w:ascii="宋体" w:hAnsi="宋体" w:eastAsia="宋体" w:cs="宋体"/>
                <w:color w:val="auto"/>
                <w:szCs w:val="21"/>
                <w:u w:val="single"/>
                <w:lang w:eastAsia="zh-CN"/>
              </w:rPr>
              <w:t>广东华南粮食交易中心有限公司常平粮库三期工程监理</w:t>
            </w:r>
          </w:p>
        </w:tc>
      </w:tr>
      <w:tr w14:paraId="62D6A8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CBB421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1.1.5</w:t>
            </w:r>
          </w:p>
        </w:tc>
        <w:tc>
          <w:tcPr>
            <w:tcW w:w="2161" w:type="dxa"/>
            <w:tcBorders>
              <w:top w:val="single" w:color="auto" w:sz="6" w:space="0"/>
              <w:left w:val="single" w:color="auto" w:sz="6" w:space="0"/>
              <w:bottom w:val="single" w:color="auto" w:sz="6" w:space="0"/>
              <w:right w:val="single" w:color="auto" w:sz="6" w:space="0"/>
            </w:tcBorders>
            <w:noWrap/>
            <w:vAlign w:val="center"/>
          </w:tcPr>
          <w:p w14:paraId="66E3BFCD">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项目建设地点</w:t>
            </w:r>
          </w:p>
        </w:tc>
        <w:tc>
          <w:tcPr>
            <w:tcW w:w="6068" w:type="dxa"/>
            <w:tcBorders>
              <w:top w:val="single" w:color="auto" w:sz="6" w:space="0"/>
              <w:left w:val="single" w:color="auto" w:sz="6" w:space="0"/>
              <w:bottom w:val="single" w:color="auto" w:sz="6" w:space="0"/>
              <w:right w:val="single" w:color="auto" w:sz="4" w:space="0"/>
            </w:tcBorders>
            <w:noWrap/>
            <w:vAlign w:val="center"/>
          </w:tcPr>
          <w:p w14:paraId="4A420C17">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详见招标公告</w:t>
            </w:r>
          </w:p>
        </w:tc>
      </w:tr>
      <w:tr w14:paraId="126243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007F772">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1.1.6</w:t>
            </w:r>
          </w:p>
        </w:tc>
        <w:tc>
          <w:tcPr>
            <w:tcW w:w="2161" w:type="dxa"/>
            <w:tcBorders>
              <w:top w:val="single" w:color="auto" w:sz="6" w:space="0"/>
              <w:left w:val="single" w:color="auto" w:sz="6" w:space="0"/>
              <w:bottom w:val="single" w:color="auto" w:sz="6" w:space="0"/>
              <w:right w:val="single" w:color="auto" w:sz="6" w:space="0"/>
            </w:tcBorders>
            <w:noWrap/>
            <w:vAlign w:val="center"/>
          </w:tcPr>
          <w:p w14:paraId="2CACC3C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项目建设规模</w:t>
            </w:r>
          </w:p>
        </w:tc>
        <w:tc>
          <w:tcPr>
            <w:tcW w:w="6068" w:type="dxa"/>
            <w:tcBorders>
              <w:top w:val="single" w:color="auto" w:sz="6" w:space="0"/>
              <w:left w:val="single" w:color="auto" w:sz="6" w:space="0"/>
              <w:bottom w:val="single" w:color="auto" w:sz="6" w:space="0"/>
              <w:right w:val="single" w:color="auto" w:sz="4" w:space="0"/>
            </w:tcBorders>
            <w:noWrap/>
            <w:vAlign w:val="center"/>
          </w:tcPr>
          <w:p w14:paraId="7AE0852F">
            <w:pPr>
              <w:snapToGrid w:val="0"/>
              <w:spacing w:line="360" w:lineRule="auto"/>
              <w:ind w:right="0"/>
              <w:rPr>
                <w:rFonts w:hint="eastAsia" w:ascii="宋体" w:hAnsi="宋体" w:eastAsia="宋体" w:cs="宋体"/>
                <w:color w:val="auto"/>
                <w:szCs w:val="21"/>
                <w:u w:val="single"/>
              </w:rPr>
            </w:pPr>
            <w:r>
              <w:rPr>
                <w:rFonts w:hint="eastAsia" w:ascii="宋体" w:hAnsi="宋体" w:eastAsia="宋体" w:cs="宋体"/>
                <w:color w:val="auto"/>
                <w:szCs w:val="21"/>
                <w:u w:val="single"/>
              </w:rPr>
              <w:t>扩建仓容20</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万吨，主要包括20</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万吨钢筋混凝土大直径筒仓。建筑面积约</w:t>
            </w:r>
            <w:r>
              <w:rPr>
                <w:rFonts w:hint="eastAsia" w:ascii="宋体" w:hAnsi="宋体" w:eastAsia="宋体" w:cs="宋体"/>
                <w:color w:val="auto"/>
                <w:szCs w:val="21"/>
                <w:u w:val="single"/>
                <w:lang w:val="en-US" w:eastAsia="zh-CN"/>
              </w:rPr>
              <w:t>16380.12</w:t>
            </w:r>
            <w:r>
              <w:rPr>
                <w:rFonts w:hint="eastAsia" w:ascii="宋体" w:hAnsi="宋体" w:eastAsia="宋体" w:cs="宋体"/>
                <w:color w:val="auto"/>
                <w:szCs w:val="21"/>
                <w:u w:val="single"/>
              </w:rPr>
              <w:t>平方米</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建筑占地面积7561.03平方米，</w:t>
            </w:r>
            <w:r>
              <w:rPr>
                <w:rFonts w:hint="eastAsia" w:ascii="宋体" w:hAnsi="宋体" w:eastAsia="宋体" w:cs="宋体"/>
                <w:color w:val="auto"/>
                <w:szCs w:val="21"/>
                <w:u w:val="single"/>
              </w:rPr>
              <w:t>建筑高度</w:t>
            </w:r>
            <w:r>
              <w:rPr>
                <w:rFonts w:hint="eastAsia" w:ascii="宋体" w:hAnsi="宋体" w:eastAsia="宋体" w:cs="宋体"/>
                <w:color w:val="auto"/>
                <w:szCs w:val="21"/>
                <w:u w:val="single"/>
                <w:lang w:val="en-US" w:eastAsia="zh-CN"/>
              </w:rPr>
              <w:t>57.9</w:t>
            </w:r>
            <w:r>
              <w:rPr>
                <w:rFonts w:hint="eastAsia" w:ascii="宋体" w:hAnsi="宋体" w:eastAsia="宋体" w:cs="宋体"/>
                <w:color w:val="auto"/>
                <w:szCs w:val="21"/>
                <w:u w:val="single"/>
              </w:rPr>
              <w:t>米，建筑单体内径28米。包括建设20</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万吨钢筋混凝土大直径筒仓</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并配套提升塔、</w:t>
            </w:r>
            <w:r>
              <w:rPr>
                <w:rFonts w:hint="eastAsia" w:ascii="宋体" w:hAnsi="宋体" w:eastAsia="宋体" w:cs="宋体"/>
                <w:color w:val="auto"/>
                <w:szCs w:val="21"/>
                <w:u w:val="single"/>
                <w:lang w:val="en-US" w:eastAsia="zh-CN"/>
              </w:rPr>
              <w:t>辅助用房、消防水罐等项目设施，工程项目估算费用约23500万元</w:t>
            </w:r>
            <w:r>
              <w:rPr>
                <w:rFonts w:hint="eastAsia" w:ascii="宋体" w:hAnsi="宋体" w:eastAsia="宋体" w:cs="宋体"/>
                <w:color w:val="auto"/>
                <w:szCs w:val="21"/>
                <w:u w:val="single"/>
              </w:rPr>
              <w:t>。</w:t>
            </w:r>
          </w:p>
        </w:tc>
      </w:tr>
      <w:tr w14:paraId="0DACAD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CDF72B7">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1.1.7</w:t>
            </w:r>
          </w:p>
        </w:tc>
        <w:tc>
          <w:tcPr>
            <w:tcW w:w="2161" w:type="dxa"/>
            <w:tcBorders>
              <w:top w:val="single" w:color="auto" w:sz="6" w:space="0"/>
              <w:left w:val="single" w:color="auto" w:sz="6" w:space="0"/>
              <w:bottom w:val="single" w:color="auto" w:sz="6" w:space="0"/>
              <w:right w:val="single" w:color="auto" w:sz="6" w:space="0"/>
            </w:tcBorders>
            <w:noWrap/>
            <w:vAlign w:val="center"/>
          </w:tcPr>
          <w:p w14:paraId="3B0536C4">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监理目标</w:t>
            </w:r>
          </w:p>
        </w:tc>
        <w:tc>
          <w:tcPr>
            <w:tcW w:w="6068" w:type="dxa"/>
            <w:tcBorders>
              <w:top w:val="single" w:color="auto" w:sz="6" w:space="0"/>
              <w:left w:val="single" w:color="auto" w:sz="6" w:space="0"/>
              <w:bottom w:val="single" w:color="auto" w:sz="6" w:space="0"/>
              <w:right w:val="single" w:color="auto" w:sz="4" w:space="0"/>
            </w:tcBorders>
            <w:noWrap/>
            <w:vAlign w:val="center"/>
          </w:tcPr>
          <w:p w14:paraId="3A380462">
            <w:pPr>
              <w:snapToGrid w:val="0"/>
              <w:spacing w:line="360" w:lineRule="auto"/>
              <w:ind w:right="0"/>
              <w:rPr>
                <w:rFonts w:hint="eastAsia" w:ascii="宋体" w:hAnsi="宋体" w:eastAsia="宋体" w:cs="宋体"/>
                <w:color w:val="auto"/>
                <w:szCs w:val="21"/>
                <w:u w:val="single"/>
              </w:rPr>
            </w:pPr>
            <w:r>
              <w:rPr>
                <w:rFonts w:hint="eastAsia" w:ascii="宋体" w:hAnsi="宋体" w:eastAsia="宋体" w:cs="宋体"/>
                <w:color w:val="auto"/>
                <w:szCs w:val="21"/>
                <w:u w:val="single"/>
              </w:rPr>
              <w:t>（1）投资控制目标：工程费用不超过概算中的对应工程费用。</w:t>
            </w:r>
          </w:p>
          <w:p w14:paraId="4AE5BCD4">
            <w:pPr>
              <w:snapToGrid w:val="0"/>
              <w:spacing w:line="360" w:lineRule="auto"/>
              <w:ind w:right="0"/>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（2）进度控制目标：土建施工工期按  </w:t>
            </w:r>
            <w:r>
              <w:rPr>
                <w:rFonts w:hint="eastAsia" w:ascii="宋体" w:hAnsi="宋体" w:cs="宋体"/>
                <w:color w:val="auto"/>
                <w:szCs w:val="21"/>
                <w:u w:val="single"/>
                <w:lang w:val="en-US" w:eastAsia="zh-CN"/>
              </w:rPr>
              <w:t>630</w:t>
            </w:r>
            <w:r>
              <w:rPr>
                <w:rFonts w:hint="eastAsia" w:ascii="宋体" w:hAnsi="宋体" w:eastAsia="宋体" w:cs="宋体"/>
                <w:color w:val="auto"/>
                <w:szCs w:val="21"/>
                <w:u w:val="single"/>
              </w:rPr>
              <w:t xml:space="preserve"> 个日历天进行控制，机电设备制造及安装工期按 3</w:t>
            </w:r>
            <w:r>
              <w:rPr>
                <w:rFonts w:hint="eastAsia" w:ascii="宋体" w:hAnsi="宋体" w:cs="宋体"/>
                <w:color w:val="auto"/>
                <w:szCs w:val="21"/>
                <w:u w:val="single"/>
                <w:lang w:val="en-US" w:eastAsia="zh-CN"/>
              </w:rPr>
              <w:t>00</w:t>
            </w:r>
            <w:r>
              <w:rPr>
                <w:rFonts w:hint="eastAsia" w:ascii="宋体" w:hAnsi="宋体" w:eastAsia="宋体" w:cs="宋体"/>
                <w:color w:val="auto"/>
                <w:szCs w:val="21"/>
                <w:u w:val="single"/>
              </w:rPr>
              <w:t xml:space="preserve">个日历天进行控制。 </w:t>
            </w:r>
          </w:p>
          <w:p w14:paraId="657E824B">
            <w:pPr>
              <w:snapToGrid w:val="0"/>
              <w:spacing w:line="360" w:lineRule="auto"/>
              <w:ind w:right="0"/>
              <w:rPr>
                <w:rFonts w:hint="eastAsia" w:ascii="宋体" w:hAnsi="宋体" w:eastAsia="宋体" w:cs="宋体"/>
                <w:color w:val="auto"/>
                <w:szCs w:val="21"/>
                <w:u w:val="single"/>
              </w:rPr>
            </w:pPr>
            <w:r>
              <w:rPr>
                <w:rFonts w:hint="eastAsia" w:ascii="宋体" w:hAnsi="宋体" w:eastAsia="宋体" w:cs="宋体"/>
                <w:color w:val="auto"/>
                <w:szCs w:val="21"/>
                <w:u w:val="single"/>
              </w:rPr>
              <w:t>重要节点工期：开工后 4</w:t>
            </w:r>
            <w:r>
              <w:rPr>
                <w:rFonts w:hint="eastAsia" w:ascii="宋体" w:hAnsi="宋体" w:cs="宋体"/>
                <w:color w:val="auto"/>
                <w:szCs w:val="21"/>
                <w:u w:val="single"/>
                <w:lang w:val="en-US" w:eastAsia="zh-CN"/>
              </w:rPr>
              <w:t>00</w:t>
            </w:r>
            <w:r>
              <w:rPr>
                <w:rFonts w:hint="eastAsia" w:ascii="宋体" w:hAnsi="宋体" w:eastAsia="宋体" w:cs="宋体"/>
                <w:color w:val="auto"/>
                <w:szCs w:val="21"/>
                <w:u w:val="single"/>
              </w:rPr>
              <w:t xml:space="preserve"> 个日历天时</w:t>
            </w:r>
            <w:r>
              <w:rPr>
                <w:rFonts w:hint="eastAsia" w:ascii="宋体" w:hAnsi="宋体" w:cs="宋体"/>
                <w:color w:val="auto"/>
                <w:szCs w:val="21"/>
                <w:u w:val="single"/>
                <w:lang w:val="en-US" w:eastAsia="zh-CN"/>
              </w:rPr>
              <w:t>达到</w:t>
            </w:r>
            <w:r>
              <w:rPr>
                <w:rFonts w:hint="eastAsia" w:ascii="宋体" w:hAnsi="宋体" w:eastAsia="宋体" w:cs="宋体"/>
                <w:color w:val="auto"/>
                <w:szCs w:val="21"/>
                <w:u w:val="single"/>
              </w:rPr>
              <w:t>机电设备安装作业面。具体进度控制目标以土建施工、机电安装等合同为准。</w:t>
            </w:r>
          </w:p>
          <w:p w14:paraId="14B33F10">
            <w:pPr>
              <w:snapToGrid w:val="0"/>
              <w:spacing w:line="360" w:lineRule="auto"/>
              <w:ind w:right="0"/>
              <w:rPr>
                <w:rFonts w:hint="eastAsia" w:ascii="宋体" w:hAnsi="宋体" w:eastAsia="宋体" w:cs="宋体"/>
                <w:color w:val="auto"/>
                <w:szCs w:val="21"/>
                <w:u w:val="single"/>
              </w:rPr>
            </w:pPr>
            <w:r>
              <w:rPr>
                <w:rFonts w:hint="eastAsia" w:ascii="宋体" w:hAnsi="宋体" w:eastAsia="宋体" w:cs="宋体"/>
                <w:color w:val="auto"/>
                <w:szCs w:val="21"/>
                <w:u w:val="single"/>
              </w:rPr>
              <w:t>（3）质量控制目标：工程质量达到合格工程。</w:t>
            </w:r>
          </w:p>
          <w:p w14:paraId="67DDCC22">
            <w:pPr>
              <w:snapToGrid w:val="0"/>
              <w:spacing w:line="360" w:lineRule="auto"/>
              <w:ind w:right="0"/>
              <w:rPr>
                <w:rFonts w:hint="eastAsia" w:ascii="宋体" w:hAnsi="宋体" w:eastAsia="宋体" w:cs="宋体"/>
                <w:color w:val="auto"/>
                <w:szCs w:val="21"/>
                <w:u w:val="single"/>
              </w:rPr>
            </w:pPr>
            <w:r>
              <w:rPr>
                <w:rFonts w:hint="eastAsia" w:ascii="宋体" w:hAnsi="宋体" w:eastAsia="宋体" w:cs="宋体"/>
                <w:color w:val="auto"/>
                <w:szCs w:val="21"/>
                <w:u w:val="single"/>
              </w:rPr>
              <w:t>（4）安全文明控制目标：确保工程无重大安全、质量事故。</w:t>
            </w:r>
          </w:p>
        </w:tc>
      </w:tr>
      <w:tr w14:paraId="0C060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EC92C29">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1.1.8</w:t>
            </w:r>
          </w:p>
        </w:tc>
        <w:tc>
          <w:tcPr>
            <w:tcW w:w="2161" w:type="dxa"/>
            <w:tcBorders>
              <w:top w:val="single" w:color="auto" w:sz="6" w:space="0"/>
              <w:left w:val="single" w:color="auto" w:sz="6" w:space="0"/>
              <w:bottom w:val="single" w:color="auto" w:sz="6" w:space="0"/>
              <w:right w:val="single" w:color="auto" w:sz="6" w:space="0"/>
            </w:tcBorders>
            <w:noWrap/>
            <w:vAlign w:val="center"/>
          </w:tcPr>
          <w:p w14:paraId="66B01555">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建筑安装工程费/工程概算</w:t>
            </w:r>
          </w:p>
        </w:tc>
        <w:tc>
          <w:tcPr>
            <w:tcW w:w="6068" w:type="dxa"/>
            <w:tcBorders>
              <w:top w:val="single" w:color="auto" w:sz="6" w:space="0"/>
              <w:left w:val="single" w:color="auto" w:sz="6" w:space="0"/>
              <w:bottom w:val="single" w:color="auto" w:sz="6" w:space="0"/>
              <w:right w:val="single" w:color="auto" w:sz="4" w:space="0"/>
            </w:tcBorders>
            <w:noWrap/>
            <w:vAlign w:val="center"/>
          </w:tcPr>
          <w:p w14:paraId="0C2F4210">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u w:val="single"/>
              </w:rPr>
              <w:t>详见招标公告</w:t>
            </w:r>
          </w:p>
        </w:tc>
      </w:tr>
      <w:tr w14:paraId="702DBB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F473941">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4A6C4E2D">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资金来源及比例</w:t>
            </w:r>
          </w:p>
        </w:tc>
        <w:tc>
          <w:tcPr>
            <w:tcW w:w="6068" w:type="dxa"/>
            <w:tcBorders>
              <w:top w:val="single" w:color="auto" w:sz="6" w:space="0"/>
              <w:left w:val="single" w:color="auto" w:sz="6" w:space="0"/>
              <w:bottom w:val="single" w:color="auto" w:sz="6" w:space="0"/>
              <w:right w:val="single" w:color="auto" w:sz="4" w:space="0"/>
            </w:tcBorders>
            <w:noWrap/>
            <w:vAlign w:val="center"/>
          </w:tcPr>
          <w:p w14:paraId="37FFECD7">
            <w:pPr>
              <w:spacing w:line="360" w:lineRule="auto"/>
              <w:ind w:left="0" w:leftChars="0" w:right="0" w:rightChars="0"/>
              <w:rPr>
                <w:rFonts w:hint="eastAsia" w:ascii="宋体" w:hAnsi="宋体" w:eastAsia="宋体" w:cs="宋体"/>
                <w:color w:val="auto"/>
                <w:szCs w:val="21"/>
              </w:rPr>
            </w:pPr>
            <w:r>
              <w:rPr>
                <w:rFonts w:hint="eastAsia" w:ascii="宋体" w:hAnsi="宋体" w:eastAsia="宋体" w:cs="宋体"/>
                <w:color w:val="auto"/>
                <w:szCs w:val="21"/>
                <w:u w:val="single"/>
              </w:rPr>
              <w:t>详见招标公告</w:t>
            </w:r>
          </w:p>
        </w:tc>
      </w:tr>
      <w:tr w14:paraId="13EC6D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57C8E88">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1.2.2</w:t>
            </w:r>
          </w:p>
        </w:tc>
        <w:tc>
          <w:tcPr>
            <w:tcW w:w="2161" w:type="dxa"/>
            <w:tcBorders>
              <w:top w:val="single" w:color="auto" w:sz="6" w:space="0"/>
              <w:left w:val="single" w:color="auto" w:sz="6" w:space="0"/>
              <w:bottom w:val="single" w:color="auto" w:sz="6" w:space="0"/>
              <w:right w:val="single" w:color="auto" w:sz="6" w:space="0"/>
            </w:tcBorders>
            <w:noWrap/>
            <w:vAlign w:val="center"/>
          </w:tcPr>
          <w:p w14:paraId="3674BEF7">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资金落实情况</w:t>
            </w:r>
          </w:p>
        </w:tc>
        <w:tc>
          <w:tcPr>
            <w:tcW w:w="6068" w:type="dxa"/>
            <w:tcBorders>
              <w:top w:val="single" w:color="auto" w:sz="6" w:space="0"/>
              <w:left w:val="single" w:color="auto" w:sz="6" w:space="0"/>
              <w:bottom w:val="single" w:color="auto" w:sz="6" w:space="0"/>
              <w:right w:val="single" w:color="auto" w:sz="4" w:space="0"/>
            </w:tcBorders>
            <w:noWrap/>
            <w:vAlign w:val="center"/>
          </w:tcPr>
          <w:p w14:paraId="37CECF1D">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u w:val="single"/>
              </w:rPr>
              <w:t>企业自筹资金</w:t>
            </w:r>
            <w:r>
              <w:rPr>
                <w:rFonts w:hint="eastAsia" w:ascii="宋体" w:hAnsi="宋体" w:cs="宋体"/>
                <w:color w:val="auto"/>
                <w:szCs w:val="21"/>
                <w:u w:val="single"/>
                <w:lang w:val="en-US" w:eastAsia="zh-CN"/>
              </w:rPr>
              <w:t>和财政资金</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已落实</w:t>
            </w:r>
            <w:r>
              <w:rPr>
                <w:rFonts w:hint="eastAsia" w:ascii="宋体" w:hAnsi="宋体" w:eastAsia="宋体" w:cs="宋体"/>
                <w:color w:val="auto"/>
                <w:szCs w:val="21"/>
                <w:u w:val="single"/>
                <w:lang w:eastAsia="zh-CN"/>
              </w:rPr>
              <w:t>）</w:t>
            </w:r>
          </w:p>
        </w:tc>
      </w:tr>
      <w:tr w14:paraId="01356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01F185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1.3.1</w:t>
            </w:r>
          </w:p>
        </w:tc>
        <w:tc>
          <w:tcPr>
            <w:tcW w:w="2161" w:type="dxa"/>
            <w:tcBorders>
              <w:top w:val="single" w:color="auto" w:sz="6" w:space="0"/>
              <w:left w:val="single" w:color="auto" w:sz="6" w:space="0"/>
              <w:bottom w:val="single" w:color="auto" w:sz="6" w:space="0"/>
              <w:right w:val="single" w:color="auto" w:sz="6" w:space="0"/>
            </w:tcBorders>
            <w:noWrap/>
            <w:vAlign w:val="center"/>
          </w:tcPr>
          <w:p w14:paraId="73F63618">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招标范围</w:t>
            </w:r>
          </w:p>
        </w:tc>
        <w:tc>
          <w:tcPr>
            <w:tcW w:w="6068" w:type="dxa"/>
            <w:tcBorders>
              <w:top w:val="single" w:color="auto" w:sz="6" w:space="0"/>
              <w:left w:val="single" w:color="auto" w:sz="6" w:space="0"/>
              <w:bottom w:val="single" w:color="auto" w:sz="6" w:space="0"/>
              <w:right w:val="single" w:color="auto" w:sz="4" w:space="0"/>
            </w:tcBorders>
            <w:noWrap/>
            <w:vAlign w:val="center"/>
          </w:tcPr>
          <w:p w14:paraId="47862B3B">
            <w:pPr>
              <w:snapToGrid w:val="0"/>
              <w:spacing w:line="360" w:lineRule="auto"/>
              <w:ind w:right="0"/>
              <w:rPr>
                <w:rFonts w:hint="eastAsia" w:ascii="宋体" w:hAnsi="宋体" w:eastAsia="宋体" w:cs="宋体"/>
                <w:color w:val="auto"/>
                <w:szCs w:val="21"/>
              </w:rPr>
            </w:pPr>
            <w:r>
              <w:rPr>
                <w:rFonts w:hint="eastAsia" w:ascii="宋体" w:hAnsi="宋体" w:eastAsia="宋体" w:cs="宋体"/>
                <w:color w:val="auto"/>
                <w:szCs w:val="21"/>
                <w:u w:val="single"/>
              </w:rPr>
              <w:t>详见招标公告</w:t>
            </w:r>
          </w:p>
        </w:tc>
      </w:tr>
      <w:tr w14:paraId="4F67BB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7F04118">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1.3.2</w:t>
            </w:r>
          </w:p>
        </w:tc>
        <w:tc>
          <w:tcPr>
            <w:tcW w:w="2161" w:type="dxa"/>
            <w:tcBorders>
              <w:top w:val="single" w:color="auto" w:sz="6" w:space="0"/>
              <w:left w:val="single" w:color="auto" w:sz="6" w:space="0"/>
              <w:bottom w:val="single" w:color="auto" w:sz="6" w:space="0"/>
              <w:right w:val="single" w:color="auto" w:sz="6" w:space="0"/>
            </w:tcBorders>
            <w:noWrap/>
            <w:vAlign w:val="center"/>
          </w:tcPr>
          <w:p w14:paraId="56FE3878">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监理服务期限</w:t>
            </w:r>
          </w:p>
        </w:tc>
        <w:tc>
          <w:tcPr>
            <w:tcW w:w="6068" w:type="dxa"/>
            <w:tcBorders>
              <w:top w:val="single" w:color="auto" w:sz="6" w:space="0"/>
              <w:left w:val="single" w:color="auto" w:sz="6" w:space="0"/>
              <w:bottom w:val="single" w:color="auto" w:sz="6" w:space="0"/>
              <w:right w:val="single" w:color="auto" w:sz="4" w:space="0"/>
            </w:tcBorders>
            <w:noWrap/>
            <w:vAlign w:val="center"/>
          </w:tcPr>
          <w:p w14:paraId="75CA1A73">
            <w:pPr>
              <w:spacing w:line="360" w:lineRule="auto"/>
              <w:ind w:left="0" w:leftChars="0" w:right="0" w:rightChars="0"/>
              <w:rPr>
                <w:rFonts w:hint="eastAsia" w:ascii="宋体" w:hAnsi="宋体" w:eastAsia="宋体" w:cs="宋体"/>
                <w:color w:val="auto"/>
                <w:szCs w:val="21"/>
                <w:u w:val="single"/>
              </w:rPr>
            </w:pPr>
            <w:r>
              <w:rPr>
                <w:rFonts w:hint="eastAsia" w:ascii="宋体" w:hAnsi="宋体" w:eastAsia="宋体" w:cs="宋体"/>
                <w:color w:val="auto"/>
                <w:szCs w:val="21"/>
                <w:u w:val="single"/>
              </w:rPr>
              <w:t>施工准备阶段、工程施工阶段、工程保修阶段的监理服务期：</w:t>
            </w:r>
          </w:p>
          <w:p w14:paraId="7FF2FC96">
            <w:pPr>
              <w:spacing w:line="360" w:lineRule="auto"/>
              <w:ind w:left="0" w:leftChars="0" w:right="0" w:rightChars="0"/>
              <w:rPr>
                <w:rFonts w:hint="eastAsia" w:ascii="宋体" w:hAnsi="宋体" w:eastAsia="宋体" w:cs="宋体"/>
                <w:color w:val="auto"/>
                <w:szCs w:val="21"/>
                <w:u w:val="single"/>
              </w:rPr>
            </w:pPr>
            <w:r>
              <w:rPr>
                <w:rFonts w:hint="eastAsia" w:ascii="宋体" w:hAnsi="宋体" w:eastAsia="宋体" w:cs="宋体"/>
                <w:color w:val="auto"/>
                <w:szCs w:val="21"/>
                <w:u w:val="single"/>
              </w:rPr>
              <w:t>（1）施工准备阶段监理服务期：从中标通知书发放之日起至业主下达开工令或开工报告审批之日为止；</w:t>
            </w:r>
          </w:p>
          <w:p w14:paraId="76F03A65">
            <w:pPr>
              <w:spacing w:line="360" w:lineRule="auto"/>
              <w:ind w:left="0" w:leftChars="0" w:right="0" w:rightChars="0"/>
              <w:rPr>
                <w:rFonts w:hint="eastAsia" w:ascii="宋体" w:hAnsi="宋体" w:eastAsia="宋体" w:cs="宋体"/>
                <w:color w:val="auto"/>
                <w:szCs w:val="21"/>
                <w:u w:val="single"/>
              </w:rPr>
            </w:pPr>
            <w:r>
              <w:rPr>
                <w:rFonts w:hint="eastAsia" w:ascii="宋体" w:hAnsi="宋体" w:eastAsia="宋体" w:cs="宋体"/>
                <w:color w:val="auto"/>
                <w:szCs w:val="21"/>
                <w:u w:val="single"/>
              </w:rPr>
              <w:t>（2）</w:t>
            </w:r>
            <w:r>
              <w:rPr>
                <w:rFonts w:hint="eastAsia" w:ascii="宋体" w:hAnsi="宋体" w:eastAsia="宋体" w:cs="宋体"/>
                <w:color w:val="auto"/>
                <w:szCs w:val="21"/>
                <w:u w:val="single"/>
                <w:lang w:eastAsia="zh-CN"/>
              </w:rPr>
              <w:t>施工阶段监理服务期：从业主下达开工令或开工报告审批之日起至施工项目全部完工并办理竣工验收、竣工结算、备案管理，且本合同工程结算金额经政府部门审定之日止，监理人员服务期约</w:t>
            </w:r>
            <w:r>
              <w:rPr>
                <w:rFonts w:hint="default" w:ascii="宋体" w:hAnsi="宋体" w:eastAsia="宋体" w:cs="宋体"/>
                <w:color w:val="auto"/>
                <w:szCs w:val="21"/>
                <w:u w:val="single"/>
                <w:lang w:val="en-US" w:eastAsia="zh-CN"/>
              </w:rPr>
              <w:t>720</w:t>
            </w:r>
            <w:r>
              <w:rPr>
                <w:rFonts w:hint="eastAsia" w:ascii="宋体" w:hAnsi="宋体" w:eastAsia="宋体" w:cs="宋体"/>
                <w:color w:val="auto"/>
                <w:szCs w:val="21"/>
                <w:u w:val="single"/>
                <w:lang w:eastAsia="zh-CN"/>
              </w:rPr>
              <w:t>天，现场服务从土建工程开工至通过竣工预验收并移交装粮压仓为止</w:t>
            </w:r>
            <w:r>
              <w:rPr>
                <w:rFonts w:hint="eastAsia" w:ascii="宋体" w:hAnsi="宋体" w:eastAsia="宋体" w:cs="宋体"/>
                <w:b/>
                <w:bCs/>
                <w:color w:val="auto"/>
                <w:szCs w:val="21"/>
                <w:u w:val="single"/>
              </w:rPr>
              <w:t>。</w:t>
            </w:r>
          </w:p>
          <w:p w14:paraId="574210BF">
            <w:pPr>
              <w:spacing w:line="360" w:lineRule="auto"/>
              <w:ind w:left="0" w:leftChars="0" w:right="0" w:rightChars="0"/>
              <w:rPr>
                <w:rFonts w:hint="eastAsia" w:ascii="宋体" w:hAnsi="宋体" w:eastAsia="宋体" w:cs="宋体"/>
                <w:color w:val="auto"/>
                <w:szCs w:val="21"/>
                <w:u w:val="single"/>
              </w:rPr>
            </w:pPr>
            <w:r>
              <w:rPr>
                <w:rFonts w:hint="eastAsia" w:ascii="宋体" w:hAnsi="宋体" w:eastAsia="宋体" w:cs="宋体"/>
                <w:color w:val="auto"/>
                <w:szCs w:val="21"/>
                <w:u w:val="single"/>
              </w:rPr>
              <w:t>（3）保修阶段（监理缺陷期）监理服务期：从工程竣工验收合格、备案管理完成之日起并完成保修期服务为止共两年。</w:t>
            </w:r>
          </w:p>
        </w:tc>
      </w:tr>
      <w:tr w14:paraId="7F56B4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98D6D4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1.3.3</w:t>
            </w:r>
          </w:p>
        </w:tc>
        <w:tc>
          <w:tcPr>
            <w:tcW w:w="2161" w:type="dxa"/>
            <w:tcBorders>
              <w:top w:val="single" w:color="auto" w:sz="6" w:space="0"/>
              <w:left w:val="single" w:color="auto" w:sz="6" w:space="0"/>
              <w:bottom w:val="single" w:color="auto" w:sz="6" w:space="0"/>
              <w:right w:val="single" w:color="auto" w:sz="6" w:space="0"/>
            </w:tcBorders>
            <w:noWrap/>
            <w:vAlign w:val="center"/>
          </w:tcPr>
          <w:p w14:paraId="21A73216">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质量标准</w:t>
            </w:r>
          </w:p>
        </w:tc>
        <w:tc>
          <w:tcPr>
            <w:tcW w:w="6068" w:type="dxa"/>
            <w:tcBorders>
              <w:top w:val="single" w:color="auto" w:sz="6" w:space="0"/>
              <w:left w:val="single" w:color="auto" w:sz="6" w:space="0"/>
              <w:bottom w:val="single" w:color="auto" w:sz="6" w:space="0"/>
              <w:right w:val="single" w:color="auto" w:sz="4" w:space="0"/>
            </w:tcBorders>
            <w:noWrap/>
            <w:vAlign w:val="center"/>
          </w:tcPr>
          <w:p w14:paraId="26394D49">
            <w:pPr>
              <w:widowControl/>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lang w:bidi="ar"/>
              </w:rPr>
              <w:t>合格。</w:t>
            </w:r>
          </w:p>
        </w:tc>
      </w:tr>
      <w:tr w14:paraId="340A24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1B0809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highlight w:val="none"/>
                <w:lang w:val="en-US" w:eastAsia="zh-CN"/>
              </w:rPr>
              <w:t>1.3.4</w:t>
            </w:r>
          </w:p>
        </w:tc>
        <w:tc>
          <w:tcPr>
            <w:tcW w:w="2161" w:type="dxa"/>
            <w:tcBorders>
              <w:top w:val="single" w:color="auto" w:sz="6" w:space="0"/>
              <w:left w:val="single" w:color="auto" w:sz="6" w:space="0"/>
              <w:bottom w:val="single" w:color="auto" w:sz="6" w:space="0"/>
              <w:right w:val="single" w:color="auto" w:sz="6" w:space="0"/>
            </w:tcBorders>
            <w:noWrap/>
            <w:vAlign w:val="center"/>
          </w:tcPr>
          <w:p w14:paraId="5E65FDB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highlight w:val="none"/>
              </w:rPr>
              <w:t>监理人员的专业配套要求</w:t>
            </w:r>
          </w:p>
        </w:tc>
        <w:tc>
          <w:tcPr>
            <w:tcW w:w="6068" w:type="dxa"/>
            <w:tcBorders>
              <w:top w:val="single" w:color="auto" w:sz="6" w:space="0"/>
              <w:left w:val="single" w:color="auto" w:sz="6" w:space="0"/>
              <w:bottom w:val="single" w:color="auto" w:sz="6" w:space="0"/>
              <w:right w:val="single" w:color="auto" w:sz="4" w:space="0"/>
            </w:tcBorders>
            <w:noWrap/>
            <w:vAlign w:val="center"/>
          </w:tcPr>
          <w:p w14:paraId="500C368D">
            <w:pPr>
              <w:widowControl/>
              <w:spacing w:line="360" w:lineRule="auto"/>
              <w:rPr>
                <w:rFonts w:hint="eastAsia" w:ascii="宋体" w:hAnsi="宋体" w:eastAsia="宋体" w:cs="宋体"/>
                <w:color w:val="auto"/>
                <w:szCs w:val="21"/>
                <w:u w:val="single"/>
                <w:lang w:bidi="ar"/>
              </w:rPr>
            </w:pPr>
            <w:r>
              <w:rPr>
                <w:rFonts w:hint="eastAsia" w:ascii="宋体" w:hAnsi="宋体" w:eastAsia="宋体" w:cs="宋体"/>
                <w:color w:val="auto"/>
                <w:szCs w:val="21"/>
                <w:u w:val="single"/>
                <w:lang w:bidi="ar"/>
              </w:rPr>
              <w:t>（1）总监理工程师：必须具有建设部2006年4月1日后颁发的中华人民共和国注册监理工程师注册执业证书，且其注册专业为房屋建筑工程，注册执业单位为投标人。</w:t>
            </w:r>
          </w:p>
          <w:p w14:paraId="04AF793B">
            <w:pPr>
              <w:widowControl/>
              <w:spacing w:line="360" w:lineRule="auto"/>
              <w:rPr>
                <w:rFonts w:hint="eastAsia" w:ascii="宋体" w:hAnsi="宋体" w:eastAsia="宋体" w:cs="宋体"/>
                <w:color w:val="auto"/>
                <w:szCs w:val="21"/>
                <w:u w:val="single"/>
                <w:lang w:bidi="ar"/>
              </w:rPr>
            </w:pPr>
            <w:r>
              <w:rPr>
                <w:rFonts w:hint="eastAsia" w:ascii="宋体" w:hAnsi="宋体" w:eastAsia="宋体" w:cs="宋体"/>
                <w:color w:val="auto"/>
                <w:szCs w:val="21"/>
                <w:u w:val="single"/>
                <w:lang w:val="en-US" w:eastAsia="zh-CN" w:bidi="ar"/>
              </w:rPr>
              <w:t>（2）</w:t>
            </w:r>
            <w:r>
              <w:rPr>
                <w:rFonts w:hint="eastAsia" w:ascii="宋体" w:hAnsi="宋体" w:eastAsia="宋体" w:cs="宋体"/>
                <w:color w:val="auto"/>
                <w:szCs w:val="21"/>
                <w:u w:val="single"/>
                <w:lang w:bidi="ar"/>
              </w:rPr>
              <w:t>专业监理人员最低配套要求：</w:t>
            </w:r>
            <w:r>
              <w:rPr>
                <w:rFonts w:hint="eastAsia" w:ascii="宋体" w:hAnsi="宋体" w:cs="宋体"/>
                <w:color w:val="auto"/>
                <w:szCs w:val="21"/>
                <w:u w:val="single"/>
                <w:lang w:bidi="ar"/>
              </w:rPr>
              <w:t>具备土建、电气、给排水、机电安装、安全等监理工程师（最少6人,其中至少配置2名土建专业工程师，电气、给排水、机电安装、安全专业至少各1人）</w:t>
            </w:r>
            <w:r>
              <w:rPr>
                <w:rFonts w:hint="eastAsia" w:ascii="宋体" w:hAnsi="宋体" w:cs="宋体"/>
                <w:color w:val="auto"/>
                <w:szCs w:val="21"/>
                <w:u w:val="single"/>
                <w:lang w:eastAsia="zh-CN" w:bidi="ar"/>
              </w:rPr>
              <w:t>，</w:t>
            </w:r>
            <w:r>
              <w:rPr>
                <w:rFonts w:hint="eastAsia" w:ascii="宋体" w:hAnsi="宋体" w:eastAsia="宋体" w:cs="宋体"/>
                <w:color w:val="auto"/>
                <w:szCs w:val="21"/>
                <w:u w:val="single"/>
                <w:lang w:val="en-US" w:eastAsia="zh-CN" w:bidi="ar"/>
              </w:rPr>
              <w:t>且需满足东莞市建设行政主管部门的配置要求。土建施工和设备安装存在交叉施工，监理人员配备须考虑上述因素，交叉施工期间监理驻场人数不少于6人，且涉及施工专业的监理必须在场。</w:t>
            </w:r>
          </w:p>
        </w:tc>
      </w:tr>
      <w:tr w14:paraId="7F82D0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C556BD5">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1.4.1</w:t>
            </w:r>
          </w:p>
        </w:tc>
        <w:tc>
          <w:tcPr>
            <w:tcW w:w="2161" w:type="dxa"/>
            <w:tcBorders>
              <w:top w:val="single" w:color="auto" w:sz="6" w:space="0"/>
              <w:left w:val="single" w:color="auto" w:sz="6" w:space="0"/>
              <w:bottom w:val="single" w:color="auto" w:sz="6" w:space="0"/>
              <w:right w:val="single" w:color="auto" w:sz="6" w:space="0"/>
            </w:tcBorders>
            <w:noWrap/>
            <w:vAlign w:val="center"/>
          </w:tcPr>
          <w:p w14:paraId="34168BF1">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投标人资质条件、能力、信誉</w:t>
            </w:r>
          </w:p>
        </w:tc>
        <w:tc>
          <w:tcPr>
            <w:tcW w:w="6068" w:type="dxa"/>
            <w:tcBorders>
              <w:top w:val="single" w:color="auto" w:sz="6" w:space="0"/>
              <w:left w:val="single" w:color="auto" w:sz="6" w:space="0"/>
              <w:bottom w:val="single" w:color="auto" w:sz="6" w:space="0"/>
              <w:right w:val="single" w:color="auto" w:sz="4" w:space="0"/>
            </w:tcBorders>
            <w:noWrap/>
            <w:vAlign w:val="center"/>
          </w:tcPr>
          <w:p w14:paraId="600373EA">
            <w:pPr>
              <w:snapToGrid w:val="0"/>
              <w:spacing w:line="360" w:lineRule="auto"/>
              <w:ind w:right="0"/>
              <w:rPr>
                <w:rFonts w:hint="eastAsia" w:ascii="宋体" w:hAnsi="宋体" w:eastAsia="宋体" w:cs="宋体"/>
                <w:color w:val="auto"/>
                <w:szCs w:val="21"/>
              </w:rPr>
            </w:pPr>
            <w:r>
              <w:rPr>
                <w:rFonts w:hint="eastAsia" w:ascii="宋体" w:hAnsi="宋体" w:eastAsia="宋体" w:cs="宋体"/>
                <w:color w:val="auto"/>
                <w:szCs w:val="21"/>
                <w:u w:val="single"/>
              </w:rPr>
              <w:t>详见招标公告投标人资格要求。</w:t>
            </w:r>
          </w:p>
        </w:tc>
      </w:tr>
      <w:tr w14:paraId="30A212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87CAEFF">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1.4.2</w:t>
            </w:r>
          </w:p>
        </w:tc>
        <w:tc>
          <w:tcPr>
            <w:tcW w:w="2161" w:type="dxa"/>
            <w:tcBorders>
              <w:top w:val="single" w:color="auto" w:sz="6" w:space="0"/>
              <w:left w:val="single" w:color="auto" w:sz="6" w:space="0"/>
              <w:bottom w:val="single" w:color="auto" w:sz="6" w:space="0"/>
              <w:right w:val="single" w:color="auto" w:sz="6" w:space="0"/>
            </w:tcBorders>
            <w:noWrap/>
            <w:vAlign w:val="center"/>
          </w:tcPr>
          <w:p w14:paraId="425254DD">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是否接受联合体投标</w:t>
            </w:r>
          </w:p>
        </w:tc>
        <w:tc>
          <w:tcPr>
            <w:tcW w:w="6068" w:type="dxa"/>
            <w:tcBorders>
              <w:top w:val="single" w:color="auto" w:sz="6" w:space="0"/>
              <w:left w:val="single" w:color="auto" w:sz="6" w:space="0"/>
              <w:bottom w:val="single" w:color="auto" w:sz="6" w:space="0"/>
              <w:right w:val="single" w:color="auto" w:sz="4" w:space="0"/>
            </w:tcBorders>
            <w:noWrap/>
            <w:vAlign w:val="center"/>
          </w:tcPr>
          <w:p w14:paraId="6B8E6F29">
            <w:pPr>
              <w:snapToGrid w:val="0"/>
              <w:spacing w:line="360" w:lineRule="auto"/>
              <w:ind w:right="0"/>
              <w:rPr>
                <w:rFonts w:hint="eastAsia" w:ascii="宋体" w:hAnsi="宋体" w:eastAsia="宋体" w:cs="宋体"/>
                <w:color w:val="auto"/>
                <w:szCs w:val="21"/>
              </w:rPr>
            </w:pPr>
            <w:r>
              <w:rPr>
                <w:rFonts w:hint="eastAsia" w:ascii="宋体" w:hAnsi="宋体" w:eastAsia="宋体" w:cs="宋体"/>
                <w:color w:val="auto"/>
                <w:spacing w:val="-1"/>
                <w:szCs w:val="21"/>
              </w:rPr>
              <w:t>■</w:t>
            </w:r>
            <w:r>
              <w:rPr>
                <w:rFonts w:hint="eastAsia" w:ascii="宋体" w:hAnsi="宋体" w:eastAsia="宋体" w:cs="宋体"/>
                <w:color w:val="auto"/>
                <w:position w:val="3"/>
                <w:szCs w:val="21"/>
              </w:rPr>
              <w:t>不接受</w:t>
            </w:r>
          </w:p>
          <w:p w14:paraId="524B5FAB">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接受，应满足下列要求：</w:t>
            </w:r>
            <w:r>
              <w:rPr>
                <w:rFonts w:hint="eastAsia" w:ascii="宋体" w:hAnsi="宋体" w:eastAsia="宋体" w:cs="宋体"/>
                <w:color w:val="auto"/>
                <w:szCs w:val="21"/>
                <w:u w:val="single"/>
              </w:rPr>
              <w:t>/</w:t>
            </w:r>
          </w:p>
        </w:tc>
      </w:tr>
      <w:tr w14:paraId="56CF49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4BF5504">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1.9.1</w:t>
            </w:r>
          </w:p>
        </w:tc>
        <w:tc>
          <w:tcPr>
            <w:tcW w:w="2161" w:type="dxa"/>
            <w:tcBorders>
              <w:top w:val="single" w:color="auto" w:sz="6" w:space="0"/>
              <w:left w:val="single" w:color="auto" w:sz="6" w:space="0"/>
              <w:bottom w:val="single" w:color="auto" w:sz="6" w:space="0"/>
              <w:right w:val="single" w:color="auto" w:sz="6" w:space="0"/>
            </w:tcBorders>
            <w:noWrap/>
            <w:vAlign w:val="center"/>
          </w:tcPr>
          <w:p w14:paraId="4B2D63E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踏勘现场</w:t>
            </w:r>
          </w:p>
        </w:tc>
        <w:tc>
          <w:tcPr>
            <w:tcW w:w="6068" w:type="dxa"/>
            <w:tcBorders>
              <w:top w:val="single" w:color="auto" w:sz="6" w:space="0"/>
              <w:left w:val="single" w:color="auto" w:sz="6" w:space="0"/>
              <w:bottom w:val="single" w:color="auto" w:sz="6" w:space="0"/>
              <w:right w:val="single" w:color="auto" w:sz="4" w:space="0"/>
            </w:tcBorders>
            <w:noWrap/>
            <w:vAlign w:val="center"/>
          </w:tcPr>
          <w:p w14:paraId="275D7805">
            <w:pPr>
              <w:pStyle w:val="10"/>
              <w:topLinePunct/>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不组织。由投标人自行踏勘</w:t>
            </w:r>
          </w:p>
          <w:p w14:paraId="47D22405">
            <w:pPr>
              <w:pStyle w:val="10"/>
              <w:topLinePunct/>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□组织，踏勘时间：</w:t>
            </w:r>
            <w:r>
              <w:rPr>
                <w:rFonts w:hint="eastAsia" w:ascii="宋体" w:hAnsi="宋体" w:eastAsia="宋体" w:cs="宋体"/>
                <w:color w:val="auto"/>
                <w:sz w:val="21"/>
                <w:szCs w:val="21"/>
                <w:u w:val="single"/>
              </w:rPr>
              <w:t>/</w:t>
            </w:r>
          </w:p>
          <w:p w14:paraId="63BCA33D">
            <w:pPr>
              <w:pStyle w:val="10"/>
              <w:topLinePunct/>
              <w:snapToGrid w:val="0"/>
              <w:spacing w:after="0" w:line="360" w:lineRule="auto"/>
              <w:ind w:firstLine="884" w:firstLineChars="421"/>
              <w:rPr>
                <w:rFonts w:hint="eastAsia" w:ascii="宋体" w:hAnsi="宋体" w:eastAsia="宋体" w:cs="宋体"/>
                <w:color w:val="auto"/>
                <w:sz w:val="21"/>
                <w:szCs w:val="21"/>
              </w:rPr>
            </w:pPr>
            <w:r>
              <w:rPr>
                <w:rFonts w:hint="eastAsia" w:ascii="宋体" w:hAnsi="宋体" w:eastAsia="宋体" w:cs="宋体"/>
                <w:color w:val="auto"/>
                <w:sz w:val="21"/>
                <w:szCs w:val="21"/>
              </w:rPr>
              <w:t>踏勘集中地点：</w:t>
            </w:r>
            <w:r>
              <w:rPr>
                <w:rFonts w:hint="eastAsia" w:ascii="宋体" w:hAnsi="宋体" w:eastAsia="宋体" w:cs="宋体"/>
                <w:color w:val="auto"/>
                <w:sz w:val="21"/>
                <w:szCs w:val="21"/>
                <w:u w:val="single"/>
              </w:rPr>
              <w:t>/</w:t>
            </w:r>
          </w:p>
        </w:tc>
      </w:tr>
      <w:tr w14:paraId="3C7E5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94A6EF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679053B2">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投标预备会</w:t>
            </w:r>
          </w:p>
        </w:tc>
        <w:tc>
          <w:tcPr>
            <w:tcW w:w="6068" w:type="dxa"/>
            <w:tcBorders>
              <w:top w:val="single" w:color="auto" w:sz="6" w:space="0"/>
              <w:left w:val="single" w:color="auto" w:sz="6" w:space="0"/>
              <w:bottom w:val="single" w:color="auto" w:sz="6" w:space="0"/>
              <w:right w:val="single" w:color="auto" w:sz="4" w:space="0"/>
            </w:tcBorders>
            <w:noWrap/>
            <w:vAlign w:val="center"/>
          </w:tcPr>
          <w:p w14:paraId="26E7BC91">
            <w:pPr>
              <w:pStyle w:val="10"/>
              <w:topLinePunct/>
              <w:spacing w:after="0" w:line="360" w:lineRule="auto"/>
              <w:ind w:left="0"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■不召开</w:t>
            </w:r>
          </w:p>
          <w:p w14:paraId="2339C58B">
            <w:pPr>
              <w:spacing w:line="360" w:lineRule="auto"/>
              <w:ind w:left="0" w:leftChars="0" w:right="0" w:rightChars="0"/>
              <w:rPr>
                <w:rFonts w:hint="eastAsia" w:ascii="宋体" w:hAnsi="宋体" w:eastAsia="宋体" w:cs="宋体"/>
                <w:color w:val="auto"/>
                <w:szCs w:val="21"/>
              </w:rPr>
            </w:pPr>
            <w:r>
              <w:rPr>
                <w:rFonts w:hint="eastAsia" w:ascii="宋体" w:hAnsi="宋体" w:eastAsia="宋体" w:cs="宋体"/>
                <w:color w:val="auto"/>
                <w:szCs w:val="21"/>
              </w:rPr>
              <w:t>□召开，召开时间：</w:t>
            </w:r>
            <w:r>
              <w:rPr>
                <w:rFonts w:hint="eastAsia" w:ascii="宋体" w:hAnsi="宋体" w:eastAsia="宋体" w:cs="宋体"/>
                <w:color w:val="auto"/>
                <w:szCs w:val="21"/>
                <w:u w:val="single"/>
              </w:rPr>
              <w:t>/</w:t>
            </w:r>
          </w:p>
          <w:p w14:paraId="7A5C282E">
            <w:pPr>
              <w:snapToGrid w:val="0"/>
              <w:spacing w:line="360" w:lineRule="auto"/>
              <w:ind w:firstLine="884" w:firstLineChars="421"/>
              <w:rPr>
                <w:rFonts w:hint="eastAsia" w:ascii="宋体" w:hAnsi="宋体" w:eastAsia="宋体" w:cs="宋体"/>
                <w:color w:val="auto"/>
                <w:szCs w:val="21"/>
              </w:rPr>
            </w:pPr>
            <w:r>
              <w:rPr>
                <w:rFonts w:hint="eastAsia" w:ascii="宋体" w:hAnsi="宋体" w:eastAsia="宋体" w:cs="宋体"/>
                <w:color w:val="auto"/>
                <w:szCs w:val="21"/>
              </w:rPr>
              <w:t>召开地点：</w:t>
            </w:r>
            <w:r>
              <w:rPr>
                <w:rFonts w:hint="eastAsia" w:ascii="宋体" w:hAnsi="宋体" w:eastAsia="宋体" w:cs="宋体"/>
                <w:color w:val="auto"/>
                <w:szCs w:val="21"/>
                <w:u w:val="single"/>
              </w:rPr>
              <w:t>/</w:t>
            </w:r>
          </w:p>
        </w:tc>
      </w:tr>
      <w:tr w14:paraId="65974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5730F542">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1.10.2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0C3DB98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投标人在投标预备会前提出问题</w:t>
            </w:r>
          </w:p>
        </w:tc>
        <w:tc>
          <w:tcPr>
            <w:tcW w:w="6068" w:type="dxa"/>
            <w:tcBorders>
              <w:top w:val="single" w:color="auto" w:sz="6" w:space="0"/>
              <w:left w:val="single" w:color="auto" w:sz="6" w:space="0"/>
              <w:bottom w:val="single" w:color="auto" w:sz="6" w:space="0"/>
              <w:right w:val="single" w:color="auto" w:sz="4" w:space="0"/>
            </w:tcBorders>
            <w:noWrap/>
            <w:vAlign w:val="center"/>
          </w:tcPr>
          <w:p w14:paraId="370212C8">
            <w:pPr>
              <w:spacing w:line="360" w:lineRule="auto"/>
              <w:rPr>
                <w:rFonts w:hint="eastAsia" w:ascii="宋体" w:hAnsi="宋体" w:eastAsia="宋体" w:cs="宋体"/>
                <w:color w:val="auto"/>
                <w:szCs w:val="21"/>
              </w:rPr>
            </w:pPr>
            <w:r>
              <w:rPr>
                <w:rFonts w:hint="eastAsia" w:ascii="宋体" w:hAnsi="宋体" w:eastAsia="宋体" w:cs="宋体"/>
                <w:color w:val="auto"/>
                <w:szCs w:val="21"/>
              </w:rPr>
              <w:t>时间：</w:t>
            </w:r>
            <w:r>
              <w:rPr>
                <w:rFonts w:hint="eastAsia" w:ascii="宋体" w:hAnsi="宋体" w:eastAsia="宋体" w:cs="宋体"/>
                <w:color w:val="auto"/>
                <w:szCs w:val="21"/>
                <w:u w:val="single"/>
              </w:rPr>
              <w:t>/</w:t>
            </w:r>
          </w:p>
        </w:tc>
      </w:tr>
      <w:tr w14:paraId="14B82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788DFF48">
            <w:pPr>
              <w:widowControl/>
              <w:spacing w:line="360" w:lineRule="auto"/>
              <w:jc w:val="left"/>
              <w:rPr>
                <w:rFonts w:hint="eastAsia" w:ascii="宋体" w:hAnsi="宋体" w:eastAsia="宋体" w:cs="宋体"/>
                <w:color w:val="auto"/>
                <w:szCs w:val="21"/>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7A877320">
            <w:pPr>
              <w:widowControl/>
              <w:spacing w:line="360" w:lineRule="auto"/>
              <w:jc w:val="left"/>
              <w:rPr>
                <w:rFonts w:hint="eastAsia" w:ascii="宋体" w:hAnsi="宋体" w:eastAsia="宋体" w:cs="宋体"/>
                <w:color w:val="auto"/>
                <w:szCs w:val="21"/>
              </w:rPr>
            </w:pPr>
          </w:p>
        </w:tc>
        <w:tc>
          <w:tcPr>
            <w:tcW w:w="6068" w:type="dxa"/>
            <w:tcBorders>
              <w:top w:val="single" w:color="auto" w:sz="6" w:space="0"/>
              <w:left w:val="single" w:color="auto" w:sz="6" w:space="0"/>
              <w:bottom w:val="single" w:color="auto" w:sz="6" w:space="0"/>
              <w:right w:val="single" w:color="auto" w:sz="4" w:space="0"/>
            </w:tcBorders>
            <w:noWrap/>
            <w:vAlign w:val="center"/>
          </w:tcPr>
          <w:p w14:paraId="39588A23">
            <w:pPr>
              <w:spacing w:line="360" w:lineRule="auto"/>
              <w:rPr>
                <w:rFonts w:hint="eastAsia" w:ascii="宋体" w:hAnsi="宋体" w:eastAsia="宋体" w:cs="宋体"/>
                <w:color w:val="auto"/>
                <w:szCs w:val="21"/>
              </w:rPr>
            </w:pPr>
            <w:r>
              <w:rPr>
                <w:rFonts w:hint="eastAsia" w:ascii="宋体" w:hAnsi="宋体" w:eastAsia="宋体" w:cs="宋体"/>
                <w:color w:val="auto"/>
                <w:szCs w:val="21"/>
              </w:rPr>
              <w:t>形式：</w:t>
            </w:r>
            <w:r>
              <w:rPr>
                <w:rFonts w:hint="eastAsia" w:ascii="宋体" w:hAnsi="宋体" w:eastAsia="宋体" w:cs="宋体"/>
                <w:color w:val="auto"/>
                <w:szCs w:val="21"/>
                <w:u w:val="single"/>
              </w:rPr>
              <w:t>/</w:t>
            </w:r>
          </w:p>
        </w:tc>
      </w:tr>
      <w:tr w14:paraId="5894F9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90D3DE1">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0C0BCC1D">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招标文件澄清发出的形式</w:t>
            </w:r>
          </w:p>
        </w:tc>
        <w:tc>
          <w:tcPr>
            <w:tcW w:w="6068" w:type="dxa"/>
            <w:tcBorders>
              <w:top w:val="single" w:color="auto" w:sz="6" w:space="0"/>
              <w:left w:val="single" w:color="auto" w:sz="6" w:space="0"/>
              <w:bottom w:val="single" w:color="auto" w:sz="6" w:space="0"/>
              <w:right w:val="single" w:color="auto" w:sz="4" w:space="0"/>
            </w:tcBorders>
            <w:noWrap/>
            <w:vAlign w:val="center"/>
          </w:tcPr>
          <w:p w14:paraId="3BA23340">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u w:val="single"/>
              </w:rPr>
              <w:t>/</w:t>
            </w:r>
            <w:r>
              <w:rPr>
                <w:rFonts w:hint="eastAsia" w:ascii="宋体" w:hAnsi="宋体" w:eastAsia="宋体" w:cs="宋体"/>
                <w:color w:val="auto"/>
                <w:szCs w:val="21"/>
                <w:highlight w:val="none"/>
                <w:u w:val="single"/>
              </w:rPr>
              <w:t>（此为投标预备会的答疑澄清）</w:t>
            </w:r>
          </w:p>
        </w:tc>
      </w:tr>
      <w:tr w14:paraId="08D267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62F39D4">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3CCA5A13">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实质性要求和条件</w:t>
            </w:r>
          </w:p>
        </w:tc>
        <w:tc>
          <w:tcPr>
            <w:tcW w:w="6068" w:type="dxa"/>
            <w:tcBorders>
              <w:top w:val="single" w:color="auto" w:sz="6" w:space="0"/>
              <w:left w:val="single" w:color="auto" w:sz="6" w:space="0"/>
              <w:bottom w:val="single" w:color="auto" w:sz="6" w:space="0"/>
              <w:right w:val="single" w:color="auto" w:sz="4" w:space="0"/>
            </w:tcBorders>
            <w:noWrap/>
            <w:vAlign w:val="center"/>
          </w:tcPr>
          <w:p w14:paraId="39EE5F7F">
            <w:pPr>
              <w:pStyle w:val="10"/>
              <w:topLinePunct/>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u w:val="single"/>
              </w:rPr>
              <w:t>/</w:t>
            </w:r>
          </w:p>
        </w:tc>
      </w:tr>
      <w:tr w14:paraId="724BCA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AE2F7B6">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1.12.3</w:t>
            </w:r>
          </w:p>
        </w:tc>
        <w:tc>
          <w:tcPr>
            <w:tcW w:w="2161" w:type="dxa"/>
            <w:tcBorders>
              <w:top w:val="single" w:color="auto" w:sz="6" w:space="0"/>
              <w:left w:val="single" w:color="auto" w:sz="6" w:space="0"/>
              <w:bottom w:val="single" w:color="auto" w:sz="6" w:space="0"/>
              <w:right w:val="single" w:color="auto" w:sz="6" w:space="0"/>
            </w:tcBorders>
            <w:noWrap/>
            <w:vAlign w:val="center"/>
          </w:tcPr>
          <w:p w14:paraId="4045B51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偏差</w:t>
            </w:r>
          </w:p>
        </w:tc>
        <w:tc>
          <w:tcPr>
            <w:tcW w:w="6068" w:type="dxa"/>
            <w:tcBorders>
              <w:top w:val="single" w:color="auto" w:sz="6" w:space="0"/>
              <w:left w:val="single" w:color="auto" w:sz="6" w:space="0"/>
              <w:bottom w:val="single" w:color="auto" w:sz="6" w:space="0"/>
              <w:right w:val="single" w:color="auto" w:sz="4" w:space="0"/>
            </w:tcBorders>
            <w:noWrap/>
            <w:vAlign w:val="center"/>
          </w:tcPr>
          <w:p w14:paraId="4D421BFC">
            <w:pPr>
              <w:spacing w:line="360" w:lineRule="auto"/>
              <w:ind w:left="0" w:leftChars="0" w:right="0" w:rightChars="0"/>
              <w:rPr>
                <w:rFonts w:hint="eastAsia" w:ascii="宋体" w:hAnsi="宋体" w:eastAsia="宋体" w:cs="宋体"/>
                <w:color w:val="auto"/>
                <w:szCs w:val="21"/>
              </w:rPr>
            </w:pPr>
            <w:r>
              <w:rPr>
                <w:rFonts w:hint="eastAsia" w:ascii="宋体" w:hAnsi="宋体" w:eastAsia="宋体" w:cs="宋体"/>
                <w:color w:val="auto"/>
                <w:szCs w:val="21"/>
              </w:rPr>
              <w:t>■不允许</w:t>
            </w:r>
          </w:p>
          <w:p w14:paraId="7C387573">
            <w:pPr>
              <w:pStyle w:val="10"/>
              <w:topLinePunct/>
              <w:spacing w:after="0" w:line="360" w:lineRule="auto"/>
              <w:ind w:left="0"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□允许，偏差范围：</w:t>
            </w:r>
            <w:r>
              <w:rPr>
                <w:rFonts w:hint="eastAsia" w:ascii="宋体" w:hAnsi="宋体" w:eastAsia="宋体" w:cs="宋体"/>
                <w:color w:val="auto"/>
                <w:sz w:val="21"/>
                <w:szCs w:val="21"/>
                <w:u w:val="single"/>
              </w:rPr>
              <w:t>/</w:t>
            </w:r>
          </w:p>
          <w:p w14:paraId="1CFEB3FE">
            <w:pPr>
              <w:topLinePunct/>
              <w:snapToGrid w:val="0"/>
              <w:spacing w:line="360" w:lineRule="auto"/>
              <w:ind w:firstLine="884" w:firstLineChars="421"/>
              <w:jc w:val="left"/>
              <w:rPr>
                <w:rFonts w:hint="eastAsia" w:ascii="宋体" w:hAnsi="宋体" w:eastAsia="宋体" w:cs="宋体"/>
                <w:color w:val="auto"/>
                <w:szCs w:val="21"/>
              </w:rPr>
            </w:pPr>
            <w:r>
              <w:rPr>
                <w:rFonts w:hint="eastAsia" w:ascii="宋体" w:hAnsi="宋体" w:eastAsia="宋体" w:cs="宋体"/>
                <w:color w:val="auto"/>
                <w:szCs w:val="21"/>
              </w:rPr>
              <w:t>偏差幅度：</w:t>
            </w:r>
            <w:r>
              <w:rPr>
                <w:rFonts w:hint="eastAsia" w:ascii="宋体" w:hAnsi="宋体" w:eastAsia="宋体" w:cs="宋体"/>
                <w:color w:val="auto"/>
                <w:szCs w:val="21"/>
                <w:u w:val="single"/>
              </w:rPr>
              <w:t>/</w:t>
            </w:r>
          </w:p>
        </w:tc>
      </w:tr>
      <w:tr w14:paraId="68D18B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0A279F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2161" w:type="dxa"/>
            <w:tcBorders>
              <w:top w:val="single" w:color="auto" w:sz="6" w:space="0"/>
              <w:left w:val="single" w:color="auto" w:sz="6" w:space="0"/>
              <w:bottom w:val="single" w:color="auto" w:sz="6" w:space="0"/>
              <w:right w:val="single" w:color="auto" w:sz="6" w:space="0"/>
            </w:tcBorders>
            <w:noWrap/>
            <w:vAlign w:val="center"/>
          </w:tcPr>
          <w:p w14:paraId="542CD636">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构成招标文件的其他资料</w:t>
            </w:r>
          </w:p>
        </w:tc>
        <w:tc>
          <w:tcPr>
            <w:tcW w:w="6068" w:type="dxa"/>
            <w:tcBorders>
              <w:top w:val="single" w:color="auto" w:sz="6" w:space="0"/>
              <w:left w:val="single" w:color="auto" w:sz="6" w:space="0"/>
              <w:bottom w:val="single" w:color="auto" w:sz="6" w:space="0"/>
              <w:right w:val="single" w:color="auto" w:sz="4" w:space="0"/>
            </w:tcBorders>
            <w:noWrap/>
            <w:vAlign w:val="center"/>
          </w:tcPr>
          <w:p w14:paraId="5722B048">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u w:val="single"/>
              </w:rPr>
              <w:t>/</w:t>
            </w:r>
          </w:p>
        </w:tc>
      </w:tr>
      <w:tr w14:paraId="3590B4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9EB3D89">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2.2.1</w:t>
            </w:r>
          </w:p>
        </w:tc>
        <w:tc>
          <w:tcPr>
            <w:tcW w:w="2161" w:type="dxa"/>
            <w:tcBorders>
              <w:top w:val="single" w:color="auto" w:sz="6" w:space="0"/>
              <w:left w:val="single" w:color="auto" w:sz="6" w:space="0"/>
              <w:bottom w:val="single" w:color="auto" w:sz="6" w:space="0"/>
              <w:right w:val="single" w:color="auto" w:sz="6" w:space="0"/>
            </w:tcBorders>
            <w:noWrap/>
            <w:vAlign w:val="center"/>
          </w:tcPr>
          <w:p w14:paraId="60A4831D">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投标人要求澄清招标文件</w:t>
            </w:r>
          </w:p>
        </w:tc>
        <w:tc>
          <w:tcPr>
            <w:tcW w:w="6068" w:type="dxa"/>
            <w:tcBorders>
              <w:top w:val="single" w:color="auto" w:sz="6" w:space="0"/>
              <w:left w:val="single" w:color="auto" w:sz="6" w:space="0"/>
              <w:right w:val="single" w:color="auto" w:sz="4" w:space="0"/>
            </w:tcBorders>
            <w:noWrap/>
            <w:vAlign w:val="center"/>
          </w:tcPr>
          <w:p w14:paraId="245BA8EE">
            <w:pPr>
              <w:pStyle w:val="44"/>
              <w:spacing w:line="360" w:lineRule="auto"/>
              <w:rPr>
                <w:rFonts w:hint="eastAsia" w:cs="宋体"/>
                <w:color w:val="auto"/>
              </w:rPr>
            </w:pPr>
            <w:r>
              <w:rPr>
                <w:rFonts w:hint="eastAsia" w:cs="宋体"/>
                <w:color w:val="auto"/>
                <w:lang w:eastAsia="zh-CN"/>
              </w:rPr>
              <w:t>1.</w:t>
            </w:r>
            <w:r>
              <w:rPr>
                <w:rFonts w:hint="eastAsia" w:cs="宋体"/>
                <w:color w:val="auto"/>
              </w:rPr>
              <w:t>时间：在提交投标文件截止时间18天前提出。</w:t>
            </w:r>
          </w:p>
          <w:p w14:paraId="65A52039">
            <w:pPr>
              <w:pStyle w:val="44"/>
              <w:spacing w:line="360" w:lineRule="auto"/>
              <w:rPr>
                <w:rFonts w:hint="eastAsia" w:cs="宋体"/>
                <w:color w:val="auto"/>
              </w:rPr>
            </w:pPr>
            <w:r>
              <w:rPr>
                <w:rFonts w:hint="eastAsia" w:cs="宋体"/>
                <w:color w:val="auto"/>
                <w:lang w:eastAsia="zh-CN"/>
              </w:rPr>
              <w:t>2.</w:t>
            </w:r>
            <w:r>
              <w:rPr>
                <w:rFonts w:hint="eastAsia" w:cs="宋体"/>
                <w:color w:val="auto"/>
              </w:rPr>
              <w:t>形式：投标人疑问通过广州交易集团有限公司（广州公共资源交易中心）网站进入提问区域将问题提交给招标人或招标代理人，提交问题时一律不得署名。</w:t>
            </w:r>
          </w:p>
          <w:p w14:paraId="651A1B28">
            <w:pPr>
              <w:pStyle w:val="44"/>
              <w:spacing w:line="360" w:lineRule="auto"/>
              <w:rPr>
                <w:rFonts w:hint="eastAsia" w:ascii="宋体" w:hAnsi="宋体" w:cs="宋体"/>
                <w:color w:val="auto"/>
                <w:szCs w:val="21"/>
              </w:rPr>
            </w:pPr>
            <w:r>
              <w:rPr>
                <w:rFonts w:hint="eastAsia" w:ascii="宋体" w:hAnsi="宋体" w:eastAsia="宋体" w:cs="宋体"/>
                <w:color w:val="auto"/>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交易集团有限公司（广州公共资源交易中心）网站最新发布的建设工程全流程电子化项目操作指南。</w:t>
            </w:r>
          </w:p>
        </w:tc>
      </w:tr>
      <w:tr w14:paraId="349AC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B74420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2.2.2</w:t>
            </w:r>
          </w:p>
        </w:tc>
        <w:tc>
          <w:tcPr>
            <w:tcW w:w="2161" w:type="dxa"/>
            <w:tcBorders>
              <w:top w:val="single" w:color="auto" w:sz="6" w:space="0"/>
              <w:left w:val="single" w:color="auto" w:sz="6" w:space="0"/>
              <w:bottom w:val="single" w:color="auto" w:sz="6" w:space="0"/>
              <w:right w:val="single" w:color="auto" w:sz="6" w:space="0"/>
            </w:tcBorders>
            <w:noWrap/>
            <w:vAlign w:val="center"/>
          </w:tcPr>
          <w:p w14:paraId="061623E5">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招标文件澄清发出的形式</w:t>
            </w:r>
          </w:p>
        </w:tc>
        <w:tc>
          <w:tcPr>
            <w:tcW w:w="6068" w:type="dxa"/>
            <w:tcBorders>
              <w:top w:val="single" w:color="auto" w:sz="6" w:space="0"/>
              <w:left w:val="single" w:color="auto" w:sz="6" w:space="0"/>
              <w:bottom w:val="single" w:color="auto" w:sz="6" w:space="0"/>
              <w:right w:val="single" w:color="auto" w:sz="4" w:space="0"/>
            </w:tcBorders>
            <w:noWrap/>
            <w:vAlign w:val="center"/>
          </w:tcPr>
          <w:p w14:paraId="64220624">
            <w:pPr>
              <w:pStyle w:val="44"/>
              <w:spacing w:line="360" w:lineRule="auto"/>
              <w:rPr>
                <w:rFonts w:hint="eastAsia" w:cs="宋体"/>
                <w:color w:val="auto"/>
              </w:rPr>
            </w:pPr>
            <w:r>
              <w:rPr>
                <w:rFonts w:hint="eastAsia" w:cs="宋体"/>
                <w:color w:val="auto"/>
              </w:rPr>
              <w:t>时间：在投标截止时间15日前。</w:t>
            </w:r>
          </w:p>
          <w:p w14:paraId="1A6BCCC1">
            <w:pPr>
              <w:pStyle w:val="44"/>
              <w:spacing w:line="360" w:lineRule="auto"/>
              <w:rPr>
                <w:rFonts w:hint="eastAsia" w:ascii="宋体" w:hAnsi="宋体" w:cs="宋体"/>
                <w:color w:val="auto"/>
                <w:szCs w:val="21"/>
                <w:u w:val="single"/>
              </w:rPr>
            </w:pPr>
            <w:r>
              <w:rPr>
                <w:rFonts w:hint="eastAsia" w:cs="宋体"/>
                <w:color w:val="auto"/>
              </w:rPr>
              <w:t>形式：通过广州交易集团有限公司（广州公共资源交易中心）网站</w:t>
            </w:r>
            <w:r>
              <w:rPr>
                <w:rFonts w:hint="eastAsia" w:cs="宋体"/>
                <w:color w:val="auto"/>
                <w:szCs w:val="21"/>
                <w:u w:val="single"/>
              </w:rPr>
              <w:t>“</w:t>
            </w:r>
            <w:r>
              <w:rPr>
                <w:rFonts w:hint="eastAsia" w:cs="宋体"/>
                <w:color w:val="auto"/>
              </w:rPr>
              <w:fldChar w:fldCharType="begin"/>
            </w:r>
            <w:r>
              <w:rPr>
                <w:rFonts w:hint="eastAsia" w:cs="宋体"/>
                <w:color w:val="auto"/>
              </w:rPr>
              <w:instrText xml:space="preserve"> HYPERLINK "http://ggzy.gz.gov.cn/xmcxjsgc/index.jhtml" </w:instrText>
            </w:r>
            <w:r>
              <w:rPr>
                <w:rFonts w:hint="eastAsia" w:cs="宋体"/>
                <w:color w:val="auto"/>
              </w:rPr>
              <w:fldChar w:fldCharType="separate"/>
            </w:r>
            <w:r>
              <w:rPr>
                <w:rStyle w:val="26"/>
                <w:rFonts w:hint="eastAsia" w:ascii="宋体" w:hAnsi="宋体" w:eastAsia="宋体" w:cs="宋体"/>
                <w:color w:val="auto"/>
                <w:u w:val="single"/>
              </w:rPr>
              <w:t>项目查询（日程安排、答疑纪要）</w:t>
            </w:r>
            <w:r>
              <w:rPr>
                <w:rStyle w:val="26"/>
                <w:rFonts w:hint="eastAsia" w:ascii="宋体" w:hAnsi="宋体" w:eastAsia="宋体" w:cs="宋体"/>
                <w:color w:val="auto"/>
                <w:u w:val="single"/>
              </w:rPr>
              <w:fldChar w:fldCharType="end"/>
            </w:r>
            <w:r>
              <w:rPr>
                <w:rFonts w:hint="eastAsia" w:cs="宋体"/>
                <w:color w:val="auto"/>
                <w:szCs w:val="21"/>
                <w:u w:val="single"/>
              </w:rPr>
              <w:t>”</w:t>
            </w:r>
            <w:r>
              <w:rPr>
                <w:rFonts w:hint="eastAsia" w:cs="宋体"/>
                <w:color w:val="auto"/>
              </w:rPr>
              <w:t>专区、广东省招标投标监管网网上公开发布。</w:t>
            </w:r>
          </w:p>
        </w:tc>
      </w:tr>
      <w:tr w14:paraId="6537DC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30437435">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2.2.3</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26CDEC2C">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投标人确认收到招标文件澄清</w:t>
            </w:r>
          </w:p>
        </w:tc>
        <w:tc>
          <w:tcPr>
            <w:tcW w:w="6068" w:type="dxa"/>
            <w:tcBorders>
              <w:top w:val="single" w:color="auto" w:sz="6" w:space="0"/>
              <w:left w:val="single" w:color="auto" w:sz="6" w:space="0"/>
              <w:bottom w:val="single" w:color="auto" w:sz="6" w:space="0"/>
              <w:right w:val="single" w:color="auto" w:sz="4" w:space="0"/>
            </w:tcBorders>
            <w:noWrap/>
            <w:vAlign w:val="center"/>
          </w:tcPr>
          <w:p w14:paraId="44EA226F">
            <w:pPr>
              <w:pStyle w:val="44"/>
              <w:spacing w:line="360" w:lineRule="auto"/>
              <w:rPr>
                <w:rFonts w:hint="eastAsia" w:ascii="宋体" w:hAnsi="宋体" w:cs="宋体"/>
                <w:color w:val="auto"/>
                <w:szCs w:val="21"/>
              </w:rPr>
            </w:pPr>
            <w:r>
              <w:rPr>
                <w:rFonts w:hint="eastAsia" w:cs="宋体"/>
                <w:color w:val="auto"/>
                <w:szCs w:val="21"/>
              </w:rPr>
              <w:t>招标文件澄清（招标答疑纪要）一经在广州交易集团有限公司（广州公共资源交易中心）网站发布，视作已发放给所有投标人。</w:t>
            </w:r>
          </w:p>
        </w:tc>
      </w:tr>
      <w:tr w14:paraId="5F819B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2B256F2A">
            <w:pPr>
              <w:widowControl/>
              <w:spacing w:line="360" w:lineRule="auto"/>
              <w:jc w:val="left"/>
              <w:rPr>
                <w:rFonts w:hint="eastAsia" w:ascii="宋体" w:hAnsi="宋体" w:eastAsia="宋体" w:cs="宋体"/>
                <w:color w:val="auto"/>
                <w:szCs w:val="21"/>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562659E6">
            <w:pPr>
              <w:widowControl/>
              <w:spacing w:line="360" w:lineRule="auto"/>
              <w:jc w:val="left"/>
              <w:rPr>
                <w:rFonts w:hint="eastAsia" w:ascii="宋体" w:hAnsi="宋体" w:eastAsia="宋体" w:cs="宋体"/>
                <w:color w:val="auto"/>
                <w:szCs w:val="21"/>
              </w:rPr>
            </w:pPr>
          </w:p>
        </w:tc>
        <w:tc>
          <w:tcPr>
            <w:tcW w:w="6068" w:type="dxa"/>
            <w:tcBorders>
              <w:top w:val="single" w:color="auto" w:sz="6" w:space="0"/>
              <w:left w:val="single" w:color="auto" w:sz="6" w:space="0"/>
              <w:bottom w:val="single" w:color="auto" w:sz="6" w:space="0"/>
              <w:right w:val="single" w:color="auto" w:sz="4" w:space="0"/>
            </w:tcBorders>
            <w:noWrap/>
            <w:vAlign w:val="center"/>
          </w:tcPr>
          <w:p w14:paraId="1853BCE0">
            <w:pPr>
              <w:pStyle w:val="44"/>
              <w:spacing w:line="360" w:lineRule="auto"/>
              <w:rPr>
                <w:rFonts w:hint="eastAsia" w:ascii="宋体" w:hAnsi="宋体" w:cs="宋体"/>
                <w:color w:val="auto"/>
                <w:szCs w:val="21"/>
              </w:rPr>
            </w:pPr>
            <w:r>
              <w:rPr>
                <w:rFonts w:hint="eastAsia" w:cs="宋体"/>
                <w:color w:val="auto"/>
                <w:szCs w:val="21"/>
              </w:rPr>
              <w:t>以补充公告或项目答疑澄清的方式在广州交易集团有限公司（广州公共资源交易中心）、广东省招标投标监管网网站发布。</w:t>
            </w:r>
          </w:p>
        </w:tc>
      </w:tr>
      <w:tr w14:paraId="667B94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A39DA61">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2.3.1</w:t>
            </w:r>
          </w:p>
        </w:tc>
        <w:tc>
          <w:tcPr>
            <w:tcW w:w="2161" w:type="dxa"/>
            <w:tcBorders>
              <w:top w:val="single" w:color="auto" w:sz="6" w:space="0"/>
              <w:left w:val="single" w:color="auto" w:sz="6" w:space="0"/>
              <w:bottom w:val="single" w:color="auto" w:sz="6" w:space="0"/>
              <w:right w:val="single" w:color="auto" w:sz="6" w:space="0"/>
            </w:tcBorders>
            <w:noWrap/>
            <w:vAlign w:val="center"/>
          </w:tcPr>
          <w:p w14:paraId="687B6067">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招标文件修改发出的形式</w:t>
            </w:r>
          </w:p>
        </w:tc>
        <w:tc>
          <w:tcPr>
            <w:tcW w:w="6068" w:type="dxa"/>
            <w:tcBorders>
              <w:top w:val="single" w:color="auto" w:sz="6" w:space="0"/>
              <w:left w:val="single" w:color="auto" w:sz="6" w:space="0"/>
              <w:bottom w:val="single" w:color="auto" w:sz="6" w:space="0"/>
              <w:right w:val="single" w:color="auto" w:sz="4" w:space="0"/>
            </w:tcBorders>
            <w:noWrap/>
            <w:vAlign w:val="center"/>
          </w:tcPr>
          <w:p w14:paraId="602E2CDA">
            <w:pPr>
              <w:pStyle w:val="44"/>
              <w:spacing w:line="360" w:lineRule="auto"/>
              <w:rPr>
                <w:rFonts w:hint="eastAsia" w:ascii="宋体" w:hAnsi="宋体" w:cs="宋体"/>
                <w:color w:val="auto"/>
                <w:szCs w:val="21"/>
                <w:u w:val="single"/>
              </w:rPr>
            </w:pPr>
            <w:r>
              <w:rPr>
                <w:rFonts w:hint="eastAsia" w:cs="宋体"/>
                <w:color w:val="auto"/>
                <w:szCs w:val="21"/>
              </w:rPr>
              <w:t>招标文件澄清（招标答疑纪要）一经在广州交易集团有限公司（广州公共资源交易中心）网站发布，视作已发放给所有投标人。</w:t>
            </w:r>
          </w:p>
        </w:tc>
      </w:tr>
      <w:tr w14:paraId="2E6D2A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2DFA8673">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2.3.2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7F04A39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投标人确认收到招标文件修改</w:t>
            </w:r>
          </w:p>
        </w:tc>
        <w:tc>
          <w:tcPr>
            <w:tcW w:w="6068" w:type="dxa"/>
            <w:tcBorders>
              <w:top w:val="single" w:color="auto" w:sz="6" w:space="0"/>
              <w:left w:val="single" w:color="auto" w:sz="6" w:space="0"/>
              <w:bottom w:val="single" w:color="auto" w:sz="6" w:space="0"/>
              <w:right w:val="single" w:color="auto" w:sz="4" w:space="0"/>
            </w:tcBorders>
            <w:noWrap/>
            <w:vAlign w:val="center"/>
          </w:tcPr>
          <w:p w14:paraId="7005ED4A">
            <w:pPr>
              <w:snapToGrid w:val="0"/>
              <w:spacing w:line="360" w:lineRule="auto"/>
              <w:rPr>
                <w:rFonts w:hint="eastAsia" w:ascii="宋体" w:hAnsi="宋体" w:eastAsia="宋体" w:cs="宋体"/>
                <w:color w:val="auto"/>
                <w:szCs w:val="21"/>
              </w:rPr>
            </w:pPr>
            <w:r>
              <w:rPr>
                <w:rFonts w:hint="eastAsia" w:ascii="宋体" w:hAnsi="宋体" w:eastAsia="宋体" w:cs="宋体"/>
                <w:color w:val="auto"/>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13E35D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693A779">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3.1.1</w:t>
            </w:r>
          </w:p>
        </w:tc>
        <w:tc>
          <w:tcPr>
            <w:tcW w:w="2161" w:type="dxa"/>
            <w:tcBorders>
              <w:top w:val="single" w:color="auto" w:sz="6" w:space="0"/>
              <w:left w:val="single" w:color="auto" w:sz="6" w:space="0"/>
              <w:bottom w:val="single" w:color="auto" w:sz="6" w:space="0"/>
              <w:right w:val="single" w:color="auto" w:sz="6" w:space="0"/>
            </w:tcBorders>
            <w:noWrap/>
            <w:vAlign w:val="center"/>
          </w:tcPr>
          <w:p w14:paraId="198CD22F">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构成投标文件的其他资料</w:t>
            </w:r>
          </w:p>
        </w:tc>
        <w:tc>
          <w:tcPr>
            <w:tcW w:w="6068" w:type="dxa"/>
            <w:tcBorders>
              <w:top w:val="single" w:color="auto" w:sz="6" w:space="0"/>
              <w:left w:val="single" w:color="auto" w:sz="6" w:space="0"/>
              <w:bottom w:val="single" w:color="auto" w:sz="6" w:space="0"/>
              <w:right w:val="single" w:color="auto" w:sz="4" w:space="0"/>
            </w:tcBorders>
            <w:noWrap/>
            <w:vAlign w:val="center"/>
          </w:tcPr>
          <w:p w14:paraId="4A68070D">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u w:val="single"/>
              </w:rPr>
              <w:t>满足本项目评审要求的其他资料等投标人认为需要提供的资料。</w:t>
            </w:r>
          </w:p>
        </w:tc>
      </w:tr>
      <w:tr w14:paraId="1ACC31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48616C5">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3.2.1</w:t>
            </w:r>
          </w:p>
        </w:tc>
        <w:tc>
          <w:tcPr>
            <w:tcW w:w="2161" w:type="dxa"/>
            <w:tcBorders>
              <w:top w:val="single" w:color="auto" w:sz="6" w:space="0"/>
              <w:left w:val="single" w:color="auto" w:sz="6" w:space="0"/>
              <w:bottom w:val="single" w:color="auto" w:sz="6" w:space="0"/>
              <w:right w:val="single" w:color="auto" w:sz="6" w:space="0"/>
            </w:tcBorders>
            <w:noWrap/>
            <w:vAlign w:val="center"/>
          </w:tcPr>
          <w:p w14:paraId="77244A4C">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增值税税金的计算方法</w:t>
            </w:r>
          </w:p>
        </w:tc>
        <w:tc>
          <w:tcPr>
            <w:tcW w:w="6068" w:type="dxa"/>
            <w:tcBorders>
              <w:top w:val="single" w:color="auto" w:sz="6" w:space="0"/>
              <w:left w:val="single" w:color="auto" w:sz="6" w:space="0"/>
              <w:bottom w:val="single" w:color="auto" w:sz="6" w:space="0"/>
              <w:right w:val="single" w:color="auto" w:sz="4" w:space="0"/>
            </w:tcBorders>
            <w:noWrap/>
            <w:vAlign w:val="center"/>
          </w:tcPr>
          <w:p w14:paraId="4643316E">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一般计税方法。</w:t>
            </w:r>
          </w:p>
        </w:tc>
      </w:tr>
      <w:tr w14:paraId="2E4217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6934ACC">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3.2.3</w:t>
            </w:r>
          </w:p>
        </w:tc>
        <w:tc>
          <w:tcPr>
            <w:tcW w:w="2161" w:type="dxa"/>
            <w:tcBorders>
              <w:top w:val="single" w:color="auto" w:sz="6" w:space="0"/>
              <w:left w:val="single" w:color="auto" w:sz="6" w:space="0"/>
              <w:bottom w:val="single" w:color="auto" w:sz="6" w:space="0"/>
              <w:right w:val="single" w:color="auto" w:sz="6" w:space="0"/>
            </w:tcBorders>
            <w:noWrap/>
            <w:vAlign w:val="center"/>
          </w:tcPr>
          <w:p w14:paraId="7BA94B66">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报价方式</w:t>
            </w:r>
          </w:p>
        </w:tc>
        <w:tc>
          <w:tcPr>
            <w:tcW w:w="6068" w:type="dxa"/>
            <w:tcBorders>
              <w:top w:val="single" w:color="auto" w:sz="6" w:space="0"/>
              <w:left w:val="single" w:color="auto" w:sz="6" w:space="0"/>
              <w:bottom w:val="single" w:color="auto" w:sz="6" w:space="0"/>
              <w:right w:val="single" w:color="auto" w:sz="4" w:space="0"/>
            </w:tcBorders>
            <w:noWrap/>
            <w:vAlign w:val="center"/>
          </w:tcPr>
          <w:p w14:paraId="28BE7959">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固定合同总价。如因工程建设进度推迟或延迟而超过书面约定的日期，合同期和监理服务期相应延长，但本工程监理酬金不变。</w:t>
            </w:r>
          </w:p>
        </w:tc>
      </w:tr>
      <w:tr w14:paraId="576E4D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887F274">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3.2.4</w:t>
            </w:r>
          </w:p>
        </w:tc>
        <w:tc>
          <w:tcPr>
            <w:tcW w:w="2161" w:type="dxa"/>
            <w:tcBorders>
              <w:top w:val="single" w:color="auto" w:sz="6" w:space="0"/>
              <w:left w:val="single" w:color="auto" w:sz="6" w:space="0"/>
              <w:bottom w:val="single" w:color="auto" w:sz="6" w:space="0"/>
              <w:right w:val="single" w:color="auto" w:sz="6" w:space="0"/>
            </w:tcBorders>
            <w:noWrap/>
            <w:vAlign w:val="center"/>
          </w:tcPr>
          <w:p w14:paraId="526D1C8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最高投标限价</w:t>
            </w:r>
          </w:p>
        </w:tc>
        <w:tc>
          <w:tcPr>
            <w:tcW w:w="6068" w:type="dxa"/>
            <w:tcBorders>
              <w:top w:val="single" w:color="auto" w:sz="6" w:space="0"/>
              <w:left w:val="single" w:color="auto" w:sz="6" w:space="0"/>
              <w:bottom w:val="single" w:color="auto" w:sz="6" w:space="0"/>
              <w:right w:val="single" w:color="auto" w:sz="4" w:space="0"/>
            </w:tcBorders>
            <w:noWrap/>
            <w:vAlign w:val="center"/>
          </w:tcPr>
          <w:p w14:paraId="3EECB027">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□无</w:t>
            </w:r>
          </w:p>
          <w:p w14:paraId="192E8FBA">
            <w:pPr>
              <w:tabs>
                <w:tab w:val="left" w:pos="7513"/>
              </w:tabs>
              <w:adjustRightInd w:val="0"/>
              <w:snapToGrid w:val="0"/>
              <w:spacing w:line="360" w:lineRule="auto"/>
              <w:rPr>
                <w:rFonts w:hint="eastAsia" w:ascii="宋体" w:hAnsi="宋体" w:eastAsia="宋体" w:cs="宋体"/>
                <w:color w:val="auto"/>
                <w:szCs w:val="21"/>
                <w:u w:val="single"/>
                <w:lang w:eastAsia="zh-CN"/>
              </w:rPr>
            </w:pPr>
            <w:r>
              <w:rPr>
                <w:rFonts w:hint="eastAsia" w:ascii="宋体" w:hAnsi="宋体" w:eastAsia="宋体" w:cs="宋体"/>
                <w:color w:val="auto"/>
                <w:spacing w:val="-1"/>
                <w:szCs w:val="21"/>
              </w:rPr>
              <w:t>■</w:t>
            </w:r>
            <w:r>
              <w:rPr>
                <w:rFonts w:hint="eastAsia" w:ascii="宋体" w:hAnsi="宋体" w:eastAsia="宋体" w:cs="宋体"/>
                <w:color w:val="auto"/>
                <w:szCs w:val="21"/>
              </w:rPr>
              <w:t>有，监理费最高投标限价：人民币263万元</w:t>
            </w:r>
            <w:r>
              <w:rPr>
                <w:rFonts w:hint="eastAsia" w:ascii="宋体" w:hAnsi="宋体" w:cs="宋体"/>
                <w:color w:val="auto"/>
                <w:szCs w:val="21"/>
                <w:lang w:eastAsia="zh-CN"/>
              </w:rPr>
              <w:t>。</w:t>
            </w:r>
          </w:p>
          <w:p w14:paraId="2A4C97F5">
            <w:pPr>
              <w:tabs>
                <w:tab w:val="left" w:pos="7513"/>
              </w:tabs>
              <w:adjustRightInd w:val="0"/>
              <w:snapToGrid w:val="0"/>
              <w:spacing w:line="360" w:lineRule="auto"/>
              <w:rPr>
                <w:rFonts w:hint="eastAsia" w:ascii="宋体" w:hAnsi="宋体" w:eastAsia="宋体" w:cs="宋体"/>
                <w:b/>
                <w:bCs/>
                <w:color w:val="auto"/>
                <w:szCs w:val="21"/>
                <w:u w:val="single"/>
              </w:rPr>
            </w:pPr>
            <w:r>
              <w:rPr>
                <w:rFonts w:hint="eastAsia" w:ascii="宋体" w:hAnsi="宋体" w:eastAsia="宋体" w:cs="宋体"/>
                <w:b/>
                <w:bCs/>
                <w:snapToGrid w:val="0"/>
                <w:color w:val="auto"/>
                <w:spacing w:val="4"/>
                <w:kern w:val="0"/>
                <w:szCs w:val="21"/>
              </w:rPr>
              <w:t>注：投标报价不得超过本项目最高投标限价。</w:t>
            </w:r>
          </w:p>
        </w:tc>
      </w:tr>
      <w:tr w14:paraId="16D144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D91842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3.2.5</w:t>
            </w:r>
          </w:p>
        </w:tc>
        <w:tc>
          <w:tcPr>
            <w:tcW w:w="2161" w:type="dxa"/>
            <w:tcBorders>
              <w:top w:val="single" w:color="auto" w:sz="6" w:space="0"/>
              <w:left w:val="single" w:color="auto" w:sz="6" w:space="0"/>
              <w:bottom w:val="single" w:color="auto" w:sz="6" w:space="0"/>
              <w:right w:val="single" w:color="auto" w:sz="6" w:space="0"/>
            </w:tcBorders>
            <w:noWrap/>
            <w:vAlign w:val="center"/>
          </w:tcPr>
          <w:p w14:paraId="12881A4C">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投标报价的其他</w:t>
            </w:r>
          </w:p>
          <w:p w14:paraId="0A65A3B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要求</w:t>
            </w:r>
          </w:p>
        </w:tc>
        <w:tc>
          <w:tcPr>
            <w:tcW w:w="6068" w:type="dxa"/>
            <w:tcBorders>
              <w:top w:val="single" w:color="auto" w:sz="6" w:space="0"/>
              <w:left w:val="single" w:color="auto" w:sz="6" w:space="0"/>
              <w:bottom w:val="single" w:color="auto" w:sz="6" w:space="0"/>
              <w:right w:val="single" w:color="auto" w:sz="4" w:space="0"/>
            </w:tcBorders>
            <w:noWrap/>
            <w:vAlign w:val="center"/>
          </w:tcPr>
          <w:p w14:paraId="41B3F853">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（1）投标报价是投标人在本次招标监理服务期内完成本项目的监理工作所需的费用。 投标人应按招标文件中投标函</w:t>
            </w:r>
            <w:r>
              <w:rPr>
                <w:rFonts w:hint="eastAsia" w:ascii="宋体" w:hAnsi="宋体" w:eastAsia="宋体" w:cs="宋体"/>
                <w:color w:val="auto"/>
                <w:szCs w:val="21"/>
                <w:u w:val="single"/>
                <w:lang w:eastAsia="zh-CN"/>
              </w:rPr>
              <w:t>要求</w:t>
            </w:r>
            <w:r>
              <w:rPr>
                <w:rFonts w:hint="eastAsia" w:ascii="宋体" w:hAnsi="宋体" w:eastAsia="宋体" w:cs="宋体"/>
                <w:color w:val="auto"/>
                <w:szCs w:val="21"/>
                <w:u w:val="single"/>
              </w:rPr>
              <w:t>填写。</w:t>
            </w:r>
          </w:p>
          <w:p w14:paraId="2F80BD8D">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u w:val="single"/>
              </w:rPr>
              <w:t>（2）除非合同另有规定，投标报价应已包括但不限于监理设备、劳务、管理、交通、维护、保险、利润、税金、政策性文件规定及合同包含的所有风险、责任等各项所有费用。</w:t>
            </w:r>
          </w:p>
        </w:tc>
      </w:tr>
      <w:tr w14:paraId="1D5981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5375102">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3.3.1</w:t>
            </w:r>
          </w:p>
        </w:tc>
        <w:tc>
          <w:tcPr>
            <w:tcW w:w="2161" w:type="dxa"/>
            <w:tcBorders>
              <w:top w:val="single" w:color="auto" w:sz="6" w:space="0"/>
              <w:left w:val="single" w:color="auto" w:sz="6" w:space="0"/>
              <w:bottom w:val="single" w:color="auto" w:sz="6" w:space="0"/>
              <w:right w:val="single" w:color="auto" w:sz="6" w:space="0"/>
            </w:tcBorders>
            <w:noWrap/>
            <w:vAlign w:val="center"/>
          </w:tcPr>
          <w:p w14:paraId="662BBBA6">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投标有效期</w:t>
            </w:r>
          </w:p>
        </w:tc>
        <w:tc>
          <w:tcPr>
            <w:tcW w:w="6068" w:type="dxa"/>
            <w:tcBorders>
              <w:top w:val="single" w:color="auto" w:sz="6" w:space="0"/>
              <w:left w:val="single" w:color="auto" w:sz="6" w:space="0"/>
              <w:bottom w:val="single" w:color="auto" w:sz="6" w:space="0"/>
              <w:right w:val="single" w:color="auto" w:sz="4" w:space="0"/>
            </w:tcBorders>
            <w:noWrap/>
            <w:vAlign w:val="center"/>
          </w:tcPr>
          <w:p w14:paraId="36CACE4F">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90日历天（从提交投标截止之日起计算。如出现异议或投诉，则投标有效期自动延长至异议或投诉处理结束）</w:t>
            </w:r>
          </w:p>
        </w:tc>
      </w:tr>
      <w:tr w14:paraId="0EC88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DDBD5B2">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3.4.1</w:t>
            </w:r>
          </w:p>
        </w:tc>
        <w:tc>
          <w:tcPr>
            <w:tcW w:w="2161" w:type="dxa"/>
            <w:tcBorders>
              <w:top w:val="single" w:color="auto" w:sz="6" w:space="0"/>
              <w:left w:val="single" w:color="auto" w:sz="6" w:space="0"/>
              <w:bottom w:val="single" w:color="auto" w:sz="6" w:space="0"/>
              <w:right w:val="single" w:color="auto" w:sz="6" w:space="0"/>
            </w:tcBorders>
            <w:noWrap/>
            <w:vAlign w:val="center"/>
          </w:tcPr>
          <w:p w14:paraId="45A1D5E5">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投标保证金</w:t>
            </w:r>
          </w:p>
        </w:tc>
        <w:tc>
          <w:tcPr>
            <w:tcW w:w="6068" w:type="dxa"/>
            <w:tcBorders>
              <w:top w:val="single" w:color="auto" w:sz="6" w:space="0"/>
              <w:left w:val="single" w:color="auto" w:sz="6" w:space="0"/>
              <w:bottom w:val="single" w:color="auto" w:sz="6" w:space="0"/>
              <w:right w:val="single" w:color="auto" w:sz="4" w:space="0"/>
            </w:tcBorders>
            <w:noWrap/>
            <w:vAlign w:val="center"/>
          </w:tcPr>
          <w:p w14:paraId="6C978FED">
            <w:pPr>
              <w:snapToGrid w:val="0"/>
              <w:spacing w:line="360" w:lineRule="auto"/>
              <w:rPr>
                <w:rFonts w:hint="eastAsia" w:ascii="宋体" w:hAnsi="宋体" w:eastAsia="宋体" w:cs="宋体"/>
                <w:snapToGrid w:val="0"/>
                <w:color w:val="auto"/>
                <w:spacing w:val="4"/>
                <w:kern w:val="0"/>
                <w:szCs w:val="21"/>
                <w:u w:val="single"/>
              </w:rPr>
            </w:pPr>
            <w:r>
              <w:rPr>
                <w:rFonts w:hint="eastAsia" w:ascii="宋体" w:hAnsi="宋体" w:eastAsia="宋体" w:cs="宋体"/>
                <w:snapToGrid w:val="0"/>
                <w:color w:val="auto"/>
                <w:spacing w:val="4"/>
                <w:kern w:val="0"/>
                <w:szCs w:val="21"/>
                <w:u w:val="single"/>
              </w:rPr>
              <w:t>是否要求投标人递交投标保证金：</w:t>
            </w:r>
          </w:p>
          <w:p w14:paraId="0D7959DB">
            <w:pPr>
              <w:snapToGrid w:val="0"/>
              <w:spacing w:line="360" w:lineRule="auto"/>
              <w:rPr>
                <w:rFonts w:hint="eastAsia" w:ascii="宋体" w:hAnsi="宋体" w:eastAsia="宋体" w:cs="宋体"/>
                <w:snapToGrid w:val="0"/>
                <w:color w:val="auto"/>
                <w:spacing w:val="4"/>
                <w:kern w:val="0"/>
                <w:szCs w:val="21"/>
                <w:u w:val="single"/>
              </w:rPr>
            </w:pPr>
            <w:r>
              <w:rPr>
                <w:rFonts w:hint="eastAsia" w:ascii="宋体" w:hAnsi="宋体" w:eastAsia="宋体" w:cs="宋体"/>
                <w:snapToGrid w:val="0"/>
                <w:color w:val="auto"/>
                <w:spacing w:val="4"/>
                <w:kern w:val="0"/>
                <w:szCs w:val="21"/>
                <w:u w:val="single"/>
              </w:rPr>
              <w:t>■要求</w:t>
            </w:r>
          </w:p>
          <w:p w14:paraId="0378E9A0">
            <w:pPr>
              <w:topLinePunct/>
              <w:snapToGrid w:val="0"/>
              <w:spacing w:line="360" w:lineRule="auto"/>
              <w:rPr>
                <w:rFonts w:hint="eastAsia" w:ascii="宋体" w:hAnsi="宋体" w:eastAsia="宋体" w:cs="宋体"/>
                <w:snapToGrid w:val="0"/>
                <w:color w:val="auto"/>
                <w:spacing w:val="4"/>
                <w:kern w:val="0"/>
                <w:szCs w:val="21"/>
                <w:u w:val="single"/>
              </w:rPr>
            </w:pPr>
            <w:r>
              <w:rPr>
                <w:rFonts w:hint="eastAsia" w:ascii="宋体" w:hAnsi="宋体" w:cs="宋体"/>
                <w:snapToGrid w:val="0"/>
                <w:color w:val="auto"/>
                <w:spacing w:val="4"/>
                <w:kern w:val="0"/>
                <w:szCs w:val="21"/>
                <w:u w:val="single"/>
                <w:lang w:eastAsia="zh-CN"/>
              </w:rPr>
              <w:t>1.</w:t>
            </w:r>
            <w:r>
              <w:rPr>
                <w:rFonts w:hint="eastAsia" w:ascii="宋体" w:hAnsi="宋体" w:eastAsia="宋体" w:cs="宋体"/>
                <w:snapToGrid w:val="0"/>
                <w:color w:val="auto"/>
                <w:spacing w:val="4"/>
                <w:kern w:val="0"/>
                <w:szCs w:val="21"/>
                <w:u w:val="single"/>
              </w:rPr>
              <w:t>投标保证金额度：</w:t>
            </w:r>
            <w:r>
              <w:rPr>
                <w:rFonts w:hint="eastAsia" w:ascii="宋体" w:hAnsi="宋体" w:eastAsia="宋体" w:cs="宋体"/>
                <w:snapToGrid w:val="0"/>
                <w:color w:val="auto"/>
                <w:spacing w:val="4"/>
                <w:kern w:val="0"/>
                <w:szCs w:val="21"/>
                <w:u w:val="single"/>
                <w:lang w:val="en-US" w:eastAsia="zh-CN"/>
              </w:rPr>
              <w:t>5</w:t>
            </w:r>
            <w:r>
              <w:rPr>
                <w:rFonts w:hint="eastAsia" w:ascii="宋体" w:hAnsi="宋体" w:eastAsia="宋体" w:cs="宋体"/>
                <w:snapToGrid w:val="0"/>
                <w:color w:val="auto"/>
                <w:spacing w:val="4"/>
                <w:kern w:val="0"/>
                <w:szCs w:val="21"/>
                <w:u w:val="single"/>
              </w:rPr>
              <w:t>万元人民币。</w:t>
            </w:r>
          </w:p>
          <w:p w14:paraId="04DDAF74">
            <w:pPr>
              <w:topLinePunct/>
              <w:snapToGrid w:val="0"/>
              <w:spacing w:line="360" w:lineRule="auto"/>
              <w:rPr>
                <w:rFonts w:hint="eastAsia" w:ascii="宋体" w:hAnsi="宋体" w:eastAsia="宋体" w:cs="宋体"/>
                <w:snapToGrid w:val="0"/>
                <w:color w:val="auto"/>
                <w:spacing w:val="4"/>
                <w:kern w:val="0"/>
                <w:szCs w:val="21"/>
                <w:u w:val="single"/>
              </w:rPr>
            </w:pPr>
            <w:r>
              <w:rPr>
                <w:rFonts w:hint="eastAsia" w:ascii="宋体" w:hAnsi="宋体" w:cs="宋体"/>
                <w:snapToGrid w:val="0"/>
                <w:color w:val="auto"/>
                <w:spacing w:val="4"/>
                <w:kern w:val="0"/>
                <w:szCs w:val="21"/>
                <w:u w:val="single"/>
                <w:lang w:eastAsia="zh-CN"/>
              </w:rPr>
              <w:t>2.</w:t>
            </w:r>
            <w:r>
              <w:rPr>
                <w:rFonts w:hint="eastAsia" w:ascii="宋体" w:hAnsi="宋体" w:eastAsia="宋体" w:cs="宋体"/>
                <w:snapToGrid w:val="0"/>
                <w:color w:val="auto"/>
                <w:spacing w:val="4"/>
                <w:kern w:val="0"/>
                <w:szCs w:val="21"/>
                <w:u w:val="single"/>
              </w:rPr>
              <w:t>缴纳方式：投标保证金可采用现金、支票、投标保证保险、投标保函（银行或专业担保公司出具）的形式，须在递交投标文件截止时间前完成缴纳。投标保证金有效期：与投标有效期一致。</w:t>
            </w:r>
          </w:p>
          <w:p w14:paraId="0F273CDF">
            <w:pPr>
              <w:topLinePunct/>
              <w:snapToGrid w:val="0"/>
              <w:spacing w:line="360" w:lineRule="auto"/>
              <w:rPr>
                <w:rFonts w:hint="eastAsia" w:ascii="宋体" w:hAnsi="宋体" w:eastAsia="宋体" w:cs="宋体"/>
                <w:snapToGrid w:val="0"/>
                <w:color w:val="auto"/>
                <w:spacing w:val="4"/>
                <w:kern w:val="0"/>
                <w:szCs w:val="21"/>
                <w:u w:val="single"/>
              </w:rPr>
            </w:pPr>
            <w:r>
              <w:rPr>
                <w:rFonts w:hint="eastAsia" w:ascii="宋体" w:hAnsi="宋体" w:cs="宋体"/>
                <w:snapToGrid w:val="0"/>
                <w:color w:val="auto"/>
                <w:spacing w:val="4"/>
                <w:kern w:val="0"/>
                <w:szCs w:val="21"/>
                <w:u w:val="single"/>
                <w:lang w:eastAsia="zh-CN"/>
              </w:rPr>
              <w:t>3.</w:t>
            </w:r>
            <w:r>
              <w:rPr>
                <w:rFonts w:hint="eastAsia" w:ascii="宋体" w:hAnsi="宋体" w:eastAsia="宋体" w:cs="宋体"/>
                <w:snapToGrid w:val="0"/>
                <w:color w:val="auto"/>
                <w:spacing w:val="4"/>
                <w:kern w:val="0"/>
                <w:szCs w:val="21"/>
                <w:u w:val="single"/>
              </w:rPr>
              <w:t>如采用现金、支票形式提交的，投标保证金从投标人基本账户递交，由广州交易集团有限公司（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2A4F45F5">
            <w:pPr>
              <w:topLinePunct/>
              <w:snapToGrid w:val="0"/>
              <w:spacing w:line="360" w:lineRule="auto"/>
              <w:rPr>
                <w:rFonts w:hint="eastAsia" w:ascii="宋体" w:hAnsi="宋体" w:eastAsia="宋体" w:cs="宋体"/>
                <w:snapToGrid w:val="0"/>
                <w:color w:val="auto"/>
                <w:spacing w:val="4"/>
                <w:kern w:val="0"/>
                <w:szCs w:val="21"/>
                <w:u w:val="single"/>
              </w:rPr>
            </w:pPr>
            <w:r>
              <w:rPr>
                <w:rFonts w:hint="eastAsia" w:ascii="宋体" w:hAnsi="宋体" w:cs="宋体"/>
                <w:snapToGrid w:val="0"/>
                <w:color w:val="auto"/>
                <w:spacing w:val="4"/>
                <w:kern w:val="0"/>
                <w:szCs w:val="21"/>
                <w:u w:val="single"/>
                <w:lang w:eastAsia="zh-CN"/>
              </w:rPr>
              <w:t>4.</w:t>
            </w:r>
            <w:r>
              <w:rPr>
                <w:rFonts w:hint="eastAsia" w:ascii="宋体" w:hAnsi="宋体" w:eastAsia="宋体" w:cs="宋体"/>
                <w:snapToGrid w:val="0"/>
                <w:color w:val="auto"/>
                <w:spacing w:val="4"/>
                <w:kern w:val="0"/>
                <w:szCs w:val="21"/>
                <w:u w:val="single"/>
              </w:rPr>
              <w:t>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14:paraId="3E3B94CE">
            <w:pPr>
              <w:snapToGrid w:val="0"/>
              <w:spacing w:line="360" w:lineRule="auto"/>
              <w:rPr>
                <w:rFonts w:hint="eastAsia" w:ascii="宋体" w:hAnsi="宋体" w:eastAsia="宋体" w:cs="宋体"/>
                <w:snapToGrid w:val="0"/>
                <w:color w:val="auto"/>
                <w:spacing w:val="4"/>
                <w:kern w:val="0"/>
                <w:szCs w:val="21"/>
                <w:u w:val="single"/>
              </w:rPr>
            </w:pPr>
            <w:r>
              <w:rPr>
                <w:rFonts w:hint="eastAsia" w:ascii="宋体" w:hAnsi="宋体" w:eastAsia="宋体" w:cs="宋体"/>
                <w:snapToGrid w:val="0"/>
                <w:color w:val="auto"/>
                <w:spacing w:val="4"/>
                <w:kern w:val="0"/>
                <w:szCs w:val="21"/>
                <w:u w:val="single"/>
              </w:rPr>
              <w:t>□不要求</w:t>
            </w:r>
          </w:p>
        </w:tc>
      </w:tr>
      <w:tr w14:paraId="68B9F0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D6F1E7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3.4.4</w:t>
            </w:r>
          </w:p>
        </w:tc>
        <w:tc>
          <w:tcPr>
            <w:tcW w:w="2161" w:type="dxa"/>
            <w:tcBorders>
              <w:top w:val="single" w:color="auto" w:sz="6" w:space="0"/>
              <w:left w:val="single" w:color="auto" w:sz="6" w:space="0"/>
              <w:bottom w:val="single" w:color="auto" w:sz="6" w:space="0"/>
              <w:right w:val="single" w:color="auto" w:sz="6" w:space="0"/>
            </w:tcBorders>
            <w:noWrap/>
            <w:vAlign w:val="center"/>
          </w:tcPr>
          <w:p w14:paraId="6AF1A189">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其他可以不予退还投标保证金的情形</w:t>
            </w:r>
          </w:p>
        </w:tc>
        <w:tc>
          <w:tcPr>
            <w:tcW w:w="6068" w:type="dxa"/>
            <w:tcBorders>
              <w:top w:val="single" w:color="auto" w:sz="6" w:space="0"/>
              <w:left w:val="single" w:color="auto" w:sz="6" w:space="0"/>
              <w:bottom w:val="single" w:color="auto" w:sz="6" w:space="0"/>
              <w:right w:val="single" w:color="auto" w:sz="4" w:space="0"/>
            </w:tcBorders>
            <w:noWrap/>
            <w:vAlign w:val="center"/>
          </w:tcPr>
          <w:p w14:paraId="52CEF5D6">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w:t>
            </w:r>
          </w:p>
        </w:tc>
      </w:tr>
      <w:tr w14:paraId="217878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0459B56">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3.5</w:t>
            </w:r>
          </w:p>
        </w:tc>
        <w:tc>
          <w:tcPr>
            <w:tcW w:w="2161" w:type="dxa"/>
            <w:tcBorders>
              <w:top w:val="single" w:color="auto" w:sz="6" w:space="0"/>
              <w:left w:val="single" w:color="auto" w:sz="6" w:space="0"/>
              <w:bottom w:val="single" w:color="auto" w:sz="6" w:space="0"/>
              <w:right w:val="single" w:color="auto" w:sz="6" w:space="0"/>
            </w:tcBorders>
            <w:noWrap/>
            <w:vAlign w:val="center"/>
          </w:tcPr>
          <w:p w14:paraId="4964FD65">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资格审查资料的特殊要求</w:t>
            </w:r>
          </w:p>
        </w:tc>
        <w:tc>
          <w:tcPr>
            <w:tcW w:w="6068" w:type="dxa"/>
            <w:tcBorders>
              <w:top w:val="single" w:color="auto" w:sz="6" w:space="0"/>
              <w:left w:val="single" w:color="auto" w:sz="6" w:space="0"/>
              <w:bottom w:val="single" w:color="auto" w:sz="6" w:space="0"/>
              <w:right w:val="single" w:color="auto" w:sz="4" w:space="0"/>
            </w:tcBorders>
            <w:noWrap/>
            <w:vAlign w:val="center"/>
          </w:tcPr>
          <w:p w14:paraId="4259ECA6">
            <w:pPr>
              <w:pStyle w:val="10"/>
              <w:topLinePunct/>
              <w:snapToGrid w:val="0"/>
              <w:spacing w:after="0" w:line="360" w:lineRule="auto"/>
              <w:ind w:right="0" w:rightChars="0"/>
              <w:rPr>
                <w:rFonts w:hint="eastAsia" w:ascii="宋体" w:hAnsi="宋体" w:eastAsia="宋体" w:cs="宋体"/>
                <w:color w:val="auto"/>
                <w:sz w:val="21"/>
                <w:szCs w:val="21"/>
              </w:rPr>
            </w:pP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无</w:t>
            </w:r>
          </w:p>
          <w:p w14:paraId="0ED877CC">
            <w:pPr>
              <w:pStyle w:val="10"/>
              <w:topLinePunct/>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□有</w:t>
            </w:r>
          </w:p>
        </w:tc>
      </w:tr>
      <w:tr w14:paraId="7D7441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5AABA85">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3.5.2</w:t>
            </w:r>
          </w:p>
        </w:tc>
        <w:tc>
          <w:tcPr>
            <w:tcW w:w="2161" w:type="dxa"/>
            <w:tcBorders>
              <w:top w:val="single" w:color="auto" w:sz="6" w:space="0"/>
              <w:left w:val="single" w:color="auto" w:sz="6" w:space="0"/>
              <w:bottom w:val="single" w:color="auto" w:sz="6" w:space="0"/>
              <w:right w:val="single" w:color="auto" w:sz="6" w:space="0"/>
            </w:tcBorders>
            <w:noWrap/>
            <w:vAlign w:val="center"/>
          </w:tcPr>
          <w:p w14:paraId="21C256C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近年财务状况的年份要求</w:t>
            </w:r>
          </w:p>
        </w:tc>
        <w:tc>
          <w:tcPr>
            <w:tcW w:w="6068" w:type="dxa"/>
            <w:tcBorders>
              <w:top w:val="single" w:color="auto" w:sz="6" w:space="0"/>
              <w:left w:val="single" w:color="auto" w:sz="6" w:space="0"/>
              <w:bottom w:val="single" w:color="auto" w:sz="6" w:space="0"/>
              <w:right w:val="single" w:color="auto" w:sz="4" w:space="0"/>
            </w:tcBorders>
            <w:noWrap/>
            <w:vAlign w:val="center"/>
          </w:tcPr>
          <w:p w14:paraId="37882806">
            <w:pPr>
              <w:snapToGrid w:val="0"/>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w:t>
            </w:r>
          </w:p>
        </w:tc>
      </w:tr>
      <w:tr w14:paraId="6379D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FF62541">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3.5.3</w:t>
            </w:r>
          </w:p>
        </w:tc>
        <w:tc>
          <w:tcPr>
            <w:tcW w:w="2161" w:type="dxa"/>
            <w:tcBorders>
              <w:top w:val="single" w:color="auto" w:sz="6" w:space="0"/>
              <w:left w:val="single" w:color="auto" w:sz="6" w:space="0"/>
              <w:bottom w:val="single" w:color="auto" w:sz="6" w:space="0"/>
              <w:right w:val="single" w:color="auto" w:sz="6" w:space="0"/>
            </w:tcBorders>
            <w:noWrap/>
            <w:vAlign w:val="center"/>
          </w:tcPr>
          <w:p w14:paraId="510025D3">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近年完成的类似项目情况的时间要求</w:t>
            </w:r>
          </w:p>
        </w:tc>
        <w:tc>
          <w:tcPr>
            <w:tcW w:w="6068" w:type="dxa"/>
            <w:tcBorders>
              <w:top w:val="single" w:color="auto" w:sz="6" w:space="0"/>
              <w:left w:val="single" w:color="auto" w:sz="6" w:space="0"/>
              <w:bottom w:val="single" w:color="auto" w:sz="6" w:space="0"/>
              <w:right w:val="single" w:color="auto" w:sz="4" w:space="0"/>
            </w:tcBorders>
            <w:noWrap/>
            <w:vAlign w:val="center"/>
          </w:tcPr>
          <w:p w14:paraId="0DB7E932">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u w:val="single"/>
              </w:rPr>
              <w:t>见招标公告投标人资格要求。</w:t>
            </w:r>
          </w:p>
        </w:tc>
      </w:tr>
      <w:tr w14:paraId="3AA235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4853F3D">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3.5.5</w:t>
            </w:r>
          </w:p>
        </w:tc>
        <w:tc>
          <w:tcPr>
            <w:tcW w:w="2161" w:type="dxa"/>
            <w:tcBorders>
              <w:top w:val="single" w:color="auto" w:sz="6" w:space="0"/>
              <w:left w:val="single" w:color="auto" w:sz="6" w:space="0"/>
              <w:bottom w:val="single" w:color="auto" w:sz="6" w:space="0"/>
              <w:right w:val="single" w:color="auto" w:sz="6" w:space="0"/>
            </w:tcBorders>
            <w:noWrap/>
            <w:vAlign w:val="center"/>
          </w:tcPr>
          <w:p w14:paraId="16D7FA41">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近年发生的诉讼</w:t>
            </w:r>
          </w:p>
          <w:p w14:paraId="76A84316">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及仲裁情况的时间要求</w:t>
            </w:r>
          </w:p>
        </w:tc>
        <w:tc>
          <w:tcPr>
            <w:tcW w:w="6068" w:type="dxa"/>
            <w:tcBorders>
              <w:top w:val="single" w:color="auto" w:sz="6" w:space="0"/>
              <w:left w:val="single" w:color="auto" w:sz="6" w:space="0"/>
              <w:bottom w:val="single" w:color="auto" w:sz="6" w:space="0"/>
              <w:right w:val="single" w:color="auto" w:sz="4" w:space="0"/>
            </w:tcBorders>
            <w:noWrap/>
            <w:vAlign w:val="center"/>
          </w:tcPr>
          <w:p w14:paraId="30229B07">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u w:val="single"/>
              </w:rPr>
              <w:t>/</w:t>
            </w:r>
          </w:p>
        </w:tc>
      </w:tr>
      <w:tr w14:paraId="3C04B6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BDB42C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3.6.1</w:t>
            </w:r>
          </w:p>
        </w:tc>
        <w:tc>
          <w:tcPr>
            <w:tcW w:w="2161" w:type="dxa"/>
            <w:tcBorders>
              <w:top w:val="single" w:color="auto" w:sz="6" w:space="0"/>
              <w:left w:val="single" w:color="auto" w:sz="6" w:space="0"/>
              <w:bottom w:val="single" w:color="auto" w:sz="6" w:space="0"/>
              <w:right w:val="single" w:color="auto" w:sz="6" w:space="0"/>
            </w:tcBorders>
            <w:noWrap/>
            <w:vAlign w:val="center"/>
          </w:tcPr>
          <w:p w14:paraId="259E2942">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是否允许递交备选投标方案</w:t>
            </w:r>
          </w:p>
        </w:tc>
        <w:tc>
          <w:tcPr>
            <w:tcW w:w="6068" w:type="dxa"/>
            <w:tcBorders>
              <w:top w:val="single" w:color="auto" w:sz="6" w:space="0"/>
              <w:left w:val="single" w:color="auto" w:sz="6" w:space="0"/>
              <w:bottom w:val="single" w:color="auto" w:sz="6" w:space="0"/>
              <w:right w:val="single" w:color="auto" w:sz="4" w:space="0"/>
            </w:tcBorders>
            <w:noWrap/>
            <w:vAlign w:val="center"/>
          </w:tcPr>
          <w:p w14:paraId="3FA195C7">
            <w:pPr>
              <w:pStyle w:val="10"/>
              <w:topLinePunct/>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不允许</w:t>
            </w:r>
          </w:p>
          <w:p w14:paraId="34FBD41A">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□允许</w:t>
            </w:r>
          </w:p>
        </w:tc>
      </w:tr>
      <w:tr w14:paraId="316023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BED2E67">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3.7.3A</w:t>
            </w:r>
            <w:r>
              <w:rPr>
                <w:rFonts w:hint="eastAsia" w:ascii="宋体" w:hAnsi="宋体" w:cs="宋体"/>
                <w:color w:val="auto"/>
                <w:szCs w:val="21"/>
                <w:lang w:eastAsia="zh-CN"/>
              </w:rPr>
              <w:t>(</w:t>
            </w:r>
            <w:r>
              <w:rPr>
                <w:rFonts w:hint="eastAsia" w:ascii="宋体" w:hAnsi="宋体" w:eastAsia="宋体" w:cs="宋体"/>
                <w:color w:val="auto"/>
                <w:szCs w:val="21"/>
              </w:rPr>
              <w:t>2</w:t>
            </w:r>
            <w:r>
              <w:rPr>
                <w:rFonts w:hint="eastAsia" w:ascii="宋体" w:hAnsi="宋体" w:cs="宋体"/>
                <w:color w:val="auto"/>
                <w:szCs w:val="21"/>
                <w:lang w:eastAsia="zh-CN"/>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7519F01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投标文件副本份数及其他要求</w:t>
            </w:r>
          </w:p>
        </w:tc>
        <w:tc>
          <w:tcPr>
            <w:tcW w:w="6068" w:type="dxa"/>
            <w:tcBorders>
              <w:top w:val="single" w:color="auto" w:sz="6" w:space="0"/>
              <w:left w:val="single" w:color="auto" w:sz="6" w:space="0"/>
              <w:bottom w:val="single" w:color="auto" w:sz="6" w:space="0"/>
              <w:right w:val="single" w:color="auto" w:sz="4" w:space="0"/>
            </w:tcBorders>
            <w:noWrap/>
            <w:vAlign w:val="center"/>
          </w:tcPr>
          <w:p w14:paraId="7F1DB2C5">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u w:val="single"/>
              </w:rPr>
              <w:t>/</w:t>
            </w:r>
          </w:p>
        </w:tc>
      </w:tr>
      <w:tr w14:paraId="54F946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0497F01">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3.7.3A</w:t>
            </w:r>
            <w:r>
              <w:rPr>
                <w:rFonts w:hint="eastAsia" w:ascii="宋体" w:hAnsi="宋体" w:cs="宋体"/>
                <w:color w:val="auto"/>
                <w:szCs w:val="21"/>
                <w:lang w:eastAsia="zh-CN"/>
              </w:rPr>
              <w:t>(</w:t>
            </w:r>
            <w:r>
              <w:rPr>
                <w:rFonts w:hint="eastAsia" w:ascii="宋体" w:hAnsi="宋体" w:eastAsia="宋体" w:cs="宋体"/>
                <w:color w:val="auto"/>
                <w:szCs w:val="21"/>
              </w:rPr>
              <w:t>3</w:t>
            </w:r>
            <w:r>
              <w:rPr>
                <w:rFonts w:hint="eastAsia" w:ascii="宋体" w:hAnsi="宋体" w:cs="宋体"/>
                <w:color w:val="auto"/>
                <w:szCs w:val="21"/>
                <w:lang w:eastAsia="zh-CN"/>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2E9A30E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投标文件是否需分册装订</w:t>
            </w:r>
          </w:p>
        </w:tc>
        <w:tc>
          <w:tcPr>
            <w:tcW w:w="6068" w:type="dxa"/>
            <w:tcBorders>
              <w:top w:val="single" w:color="auto" w:sz="6" w:space="0"/>
              <w:left w:val="single" w:color="auto" w:sz="6" w:space="0"/>
              <w:bottom w:val="single" w:color="auto" w:sz="6" w:space="0"/>
              <w:right w:val="single" w:color="auto" w:sz="4" w:space="0"/>
            </w:tcBorders>
            <w:noWrap/>
            <w:vAlign w:val="center"/>
          </w:tcPr>
          <w:p w14:paraId="6C535BE5">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u w:val="single"/>
              </w:rPr>
              <w:t>/</w:t>
            </w:r>
          </w:p>
        </w:tc>
      </w:tr>
      <w:tr w14:paraId="2B59D4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A19E0B8">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3.7.3</w:t>
            </w:r>
            <w:r>
              <w:rPr>
                <w:rFonts w:hint="eastAsia" w:ascii="宋体" w:hAnsi="宋体" w:cs="宋体"/>
                <w:color w:val="auto"/>
                <w:szCs w:val="21"/>
                <w:lang w:eastAsia="zh-CN"/>
              </w:rPr>
              <w:t>(</w:t>
            </w:r>
            <w:r>
              <w:rPr>
                <w:rFonts w:hint="eastAsia" w:ascii="宋体" w:hAnsi="宋体" w:eastAsia="宋体" w:cs="宋体"/>
                <w:color w:val="auto"/>
                <w:szCs w:val="21"/>
              </w:rPr>
              <w:t>B</w:t>
            </w:r>
            <w:r>
              <w:rPr>
                <w:rFonts w:hint="eastAsia" w:ascii="宋体" w:hAnsi="宋体" w:cs="宋体"/>
                <w:color w:val="auto"/>
                <w:szCs w:val="21"/>
                <w:lang w:eastAsia="zh-CN"/>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4DCEECAD">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投标文件所附证书证件要求</w:t>
            </w:r>
          </w:p>
        </w:tc>
        <w:tc>
          <w:tcPr>
            <w:tcW w:w="6068" w:type="dxa"/>
            <w:tcBorders>
              <w:top w:val="single" w:color="auto" w:sz="6" w:space="0"/>
              <w:left w:val="single" w:color="auto" w:sz="6" w:space="0"/>
              <w:bottom w:val="single" w:color="auto" w:sz="6" w:space="0"/>
              <w:right w:val="single" w:color="auto" w:sz="4" w:space="0"/>
            </w:tcBorders>
            <w:noWrap/>
            <w:vAlign w:val="center"/>
          </w:tcPr>
          <w:p w14:paraId="165A902D">
            <w:pPr>
              <w:pStyle w:val="10"/>
              <w:topLinePunct/>
              <w:snapToGrid w:val="0"/>
              <w:spacing w:after="0"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证书证件需为清晰扫描件，并采用单位数字证书，按照招标文件要求在相应位置加盖电子印章。</w:t>
            </w:r>
          </w:p>
        </w:tc>
      </w:tr>
      <w:tr w14:paraId="72A73D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0338D62">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3.7.3</w:t>
            </w:r>
            <w:r>
              <w:rPr>
                <w:rFonts w:hint="eastAsia" w:ascii="宋体" w:hAnsi="宋体" w:cs="宋体"/>
                <w:color w:val="auto"/>
                <w:szCs w:val="21"/>
                <w:lang w:eastAsia="zh-CN"/>
              </w:rPr>
              <w:t>(</w:t>
            </w:r>
            <w:r>
              <w:rPr>
                <w:rFonts w:hint="eastAsia" w:ascii="宋体" w:hAnsi="宋体" w:eastAsia="宋体" w:cs="宋体"/>
                <w:color w:val="auto"/>
                <w:szCs w:val="21"/>
              </w:rPr>
              <w:t>B</w:t>
            </w:r>
            <w:r>
              <w:rPr>
                <w:rFonts w:hint="eastAsia" w:ascii="宋体" w:hAnsi="宋体" w:cs="宋体"/>
                <w:color w:val="auto"/>
                <w:szCs w:val="21"/>
                <w:lang w:eastAsia="zh-CN"/>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44C3AD89">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投标文件签字或盖章要求</w:t>
            </w:r>
          </w:p>
        </w:tc>
        <w:tc>
          <w:tcPr>
            <w:tcW w:w="6068" w:type="dxa"/>
            <w:tcBorders>
              <w:top w:val="single" w:color="auto" w:sz="6" w:space="0"/>
              <w:left w:val="single" w:color="auto" w:sz="6" w:space="0"/>
              <w:bottom w:val="single" w:color="auto" w:sz="6" w:space="0"/>
              <w:right w:val="single" w:color="auto" w:sz="4" w:space="0"/>
            </w:tcBorders>
            <w:noWrap/>
            <w:vAlign w:val="center"/>
          </w:tcPr>
          <w:p w14:paraId="21E53ECF">
            <w:pPr>
              <w:pStyle w:val="10"/>
              <w:topLinePunct/>
              <w:adjustRightInd w:val="0"/>
              <w:snapToGrid w:val="0"/>
              <w:spacing w:after="0" w:line="360" w:lineRule="auto"/>
              <w:textAlignment w:val="baseline"/>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公共资源交易中心网站最新发布的建设工程全流程电子化项目操作指南。</w:t>
            </w:r>
          </w:p>
        </w:tc>
      </w:tr>
      <w:tr w14:paraId="4C4AD4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4DFE73D">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4.1.1</w:t>
            </w:r>
            <w:r>
              <w:rPr>
                <w:rFonts w:hint="eastAsia" w:ascii="宋体" w:hAnsi="宋体" w:cs="宋体"/>
                <w:color w:val="auto"/>
                <w:szCs w:val="21"/>
                <w:lang w:eastAsia="zh-CN"/>
              </w:rPr>
              <w:t>(</w:t>
            </w:r>
            <w:r>
              <w:rPr>
                <w:rFonts w:hint="eastAsia" w:ascii="宋体" w:hAnsi="宋体" w:eastAsia="宋体" w:cs="宋体"/>
                <w:color w:val="auto"/>
                <w:szCs w:val="21"/>
              </w:rPr>
              <w:t>A</w:t>
            </w:r>
            <w:r>
              <w:rPr>
                <w:rFonts w:hint="eastAsia" w:ascii="宋体" w:hAnsi="宋体" w:cs="宋体"/>
                <w:color w:val="auto"/>
                <w:szCs w:val="21"/>
                <w:lang w:eastAsia="zh-CN"/>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6CB6CC13">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投标文件密封包装</w:t>
            </w:r>
          </w:p>
        </w:tc>
        <w:tc>
          <w:tcPr>
            <w:tcW w:w="6068" w:type="dxa"/>
            <w:tcBorders>
              <w:top w:val="single" w:color="auto" w:sz="6" w:space="0"/>
              <w:left w:val="single" w:color="auto" w:sz="6" w:space="0"/>
              <w:bottom w:val="single" w:color="auto" w:sz="6" w:space="0"/>
              <w:right w:val="single" w:color="auto" w:sz="4" w:space="0"/>
            </w:tcBorders>
            <w:noWrap/>
            <w:vAlign w:val="center"/>
          </w:tcPr>
          <w:p w14:paraId="3BBFE898">
            <w:pPr>
              <w:pStyle w:val="10"/>
              <w:topLinePunct/>
              <w:adjustRightInd w:val="0"/>
              <w:snapToGrid w:val="0"/>
              <w:spacing w:after="0" w:line="360" w:lineRule="auto"/>
              <w:textAlignment w:val="baseline"/>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本项目不适用。</w:t>
            </w:r>
          </w:p>
        </w:tc>
      </w:tr>
      <w:tr w14:paraId="5EB8ED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DB6DA54">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4.1.1</w:t>
            </w:r>
            <w:r>
              <w:rPr>
                <w:rFonts w:hint="eastAsia" w:ascii="宋体" w:hAnsi="宋体" w:cs="宋体"/>
                <w:color w:val="auto"/>
                <w:szCs w:val="21"/>
                <w:lang w:eastAsia="zh-CN"/>
              </w:rPr>
              <w:t>(</w:t>
            </w:r>
            <w:r>
              <w:rPr>
                <w:rFonts w:hint="eastAsia" w:ascii="宋体" w:hAnsi="宋体" w:eastAsia="宋体" w:cs="宋体"/>
                <w:color w:val="auto"/>
                <w:szCs w:val="21"/>
              </w:rPr>
              <w:t>B</w:t>
            </w:r>
            <w:r>
              <w:rPr>
                <w:rFonts w:hint="eastAsia" w:ascii="宋体" w:hAnsi="宋体" w:cs="宋体"/>
                <w:color w:val="auto"/>
                <w:szCs w:val="21"/>
                <w:lang w:eastAsia="zh-CN"/>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1AE2CB45">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投标文件加密要求</w:t>
            </w:r>
          </w:p>
        </w:tc>
        <w:tc>
          <w:tcPr>
            <w:tcW w:w="6068" w:type="dxa"/>
            <w:tcBorders>
              <w:top w:val="single" w:color="auto" w:sz="6" w:space="0"/>
              <w:left w:val="single" w:color="auto" w:sz="6" w:space="0"/>
              <w:bottom w:val="single" w:color="auto" w:sz="6" w:space="0"/>
              <w:right w:val="single" w:color="auto" w:sz="4" w:space="0"/>
            </w:tcBorders>
            <w:noWrap/>
            <w:vAlign w:val="center"/>
          </w:tcPr>
          <w:p w14:paraId="099CC832">
            <w:pPr>
              <w:pStyle w:val="10"/>
              <w:topLinePunct/>
              <w:adjustRightInd w:val="0"/>
              <w:snapToGrid w:val="0"/>
              <w:spacing w:after="0" w:line="360" w:lineRule="auto"/>
              <w:textAlignment w:val="baseline"/>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网上递交的电子投标文件须进行加密。相关操作按照</w:t>
            </w:r>
            <w:r>
              <w:rPr>
                <w:rFonts w:hint="eastAsia" w:ascii="宋体" w:hAnsi="宋体" w:eastAsia="宋体" w:cs="宋体"/>
                <w:color w:val="auto"/>
                <w:sz w:val="21"/>
                <w:szCs w:val="21"/>
                <w:u w:val="single"/>
                <w:lang w:val="en-US" w:eastAsia="zh-CN"/>
              </w:rPr>
              <w:t>广州</w:t>
            </w:r>
            <w:r>
              <w:rPr>
                <w:rFonts w:hint="eastAsia" w:ascii="宋体" w:hAnsi="宋体" w:eastAsia="宋体" w:cs="宋体"/>
                <w:color w:val="auto"/>
                <w:sz w:val="21"/>
                <w:szCs w:val="21"/>
                <w:u w:val="single"/>
              </w:rPr>
              <w:t>公共资源交易中心关于全流程电子化项目的相关指南进行操作。详见：</w:t>
            </w:r>
            <w:r>
              <w:rPr>
                <w:rFonts w:hint="eastAsia" w:ascii="宋体" w:hAnsi="宋体" w:eastAsia="宋体" w:cs="宋体"/>
                <w:color w:val="auto"/>
                <w:sz w:val="21"/>
                <w:szCs w:val="21"/>
                <w:u w:val="single"/>
                <w:lang w:eastAsia="zh-CN"/>
              </w:rPr>
              <w:t>广州交易集团有限公司（广州公共资源交易中心）网站</w:t>
            </w:r>
            <w:r>
              <w:rPr>
                <w:rFonts w:hint="eastAsia" w:ascii="宋体" w:hAnsi="宋体" w:eastAsia="宋体" w:cs="宋体"/>
                <w:color w:val="auto"/>
                <w:sz w:val="21"/>
                <w:szCs w:val="21"/>
                <w:u w:val="single"/>
              </w:rPr>
              <w:t>。</w:t>
            </w:r>
          </w:p>
        </w:tc>
      </w:tr>
      <w:tr w14:paraId="4CB1C3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77BF7F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4.1.2</w:t>
            </w:r>
          </w:p>
        </w:tc>
        <w:tc>
          <w:tcPr>
            <w:tcW w:w="2161" w:type="dxa"/>
            <w:tcBorders>
              <w:top w:val="single" w:color="auto" w:sz="6" w:space="0"/>
              <w:left w:val="single" w:color="auto" w:sz="6" w:space="0"/>
              <w:bottom w:val="single" w:color="auto" w:sz="6" w:space="0"/>
              <w:right w:val="single" w:color="auto" w:sz="6" w:space="0"/>
            </w:tcBorders>
            <w:noWrap/>
            <w:vAlign w:val="center"/>
          </w:tcPr>
          <w:p w14:paraId="69E51FA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封套上应载明</w:t>
            </w:r>
          </w:p>
          <w:p w14:paraId="15FCA1B0">
            <w:pPr>
              <w:snapToGrid w:val="0"/>
              <w:spacing w:line="360" w:lineRule="auto"/>
              <w:jc w:val="center"/>
              <w:rPr>
                <w:rFonts w:hint="eastAsia" w:ascii="宋体" w:hAnsi="宋体" w:eastAsia="宋体" w:cs="宋体"/>
                <w:color w:val="auto"/>
                <w:szCs w:val="21"/>
                <w:shd w:val="clear" w:color="auto" w:fill="D9D9D9"/>
              </w:rPr>
            </w:pPr>
            <w:r>
              <w:rPr>
                <w:rFonts w:hint="eastAsia" w:ascii="宋体" w:hAnsi="宋体" w:eastAsia="宋体" w:cs="宋体"/>
                <w:color w:val="auto"/>
                <w:szCs w:val="21"/>
              </w:rPr>
              <w:t>的信息</w:t>
            </w:r>
          </w:p>
        </w:tc>
        <w:tc>
          <w:tcPr>
            <w:tcW w:w="6068" w:type="dxa"/>
            <w:tcBorders>
              <w:top w:val="single" w:color="auto" w:sz="6" w:space="0"/>
              <w:left w:val="single" w:color="auto" w:sz="6" w:space="0"/>
              <w:bottom w:val="single" w:color="auto" w:sz="6" w:space="0"/>
              <w:right w:val="single" w:color="auto" w:sz="4" w:space="0"/>
            </w:tcBorders>
            <w:noWrap/>
            <w:vAlign w:val="center"/>
          </w:tcPr>
          <w:p w14:paraId="17D3AA1E">
            <w:pPr>
              <w:pStyle w:val="10"/>
              <w:topLinePunct/>
              <w:snapToGrid w:val="0"/>
              <w:spacing w:after="0" w:line="360" w:lineRule="auto"/>
              <w:ind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如有提交投标文件备用U盘，封套上应注明如下信息：</w:t>
            </w:r>
          </w:p>
          <w:p w14:paraId="2E31F7D3">
            <w:pPr>
              <w:pStyle w:val="10"/>
              <w:topLinePunct/>
              <w:snapToGrid w:val="0"/>
              <w:spacing w:after="0" w:line="360" w:lineRule="auto"/>
              <w:ind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招标人名称：</w:t>
            </w:r>
            <w:r>
              <w:rPr>
                <w:rFonts w:hint="eastAsia" w:ascii="宋体" w:hAnsi="宋体" w:eastAsia="宋体" w:cs="宋体"/>
                <w:color w:val="auto"/>
                <w:sz w:val="21"/>
                <w:szCs w:val="21"/>
                <w:lang w:eastAsia="zh-CN"/>
              </w:rPr>
              <w:t>广东华南粮食交易中心有限公司</w:t>
            </w:r>
          </w:p>
          <w:p w14:paraId="4DFD1299">
            <w:pPr>
              <w:pStyle w:val="10"/>
              <w:topLinePunct/>
              <w:snapToGrid w:val="0"/>
              <w:spacing w:after="0" w:line="360" w:lineRule="auto"/>
              <w:ind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招标人地址：</w:t>
            </w:r>
            <w:r>
              <w:rPr>
                <w:rFonts w:hint="eastAsia" w:ascii="宋体" w:hAnsi="宋体" w:eastAsia="宋体" w:cs="宋体"/>
                <w:color w:val="auto"/>
                <w:sz w:val="21"/>
                <w:szCs w:val="21"/>
                <w:lang w:eastAsia="zh-CN"/>
              </w:rPr>
              <w:t>广东省东莞市常平镇江霞南路6号</w:t>
            </w:r>
          </w:p>
          <w:p w14:paraId="00BF5339">
            <w:pPr>
              <w:pStyle w:val="10"/>
              <w:topLinePunct/>
              <w:snapToGrid w:val="0"/>
              <w:spacing w:after="0" w:line="360" w:lineRule="auto"/>
              <w:ind w:right="0" w:rightChars="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（项目名称）</w:t>
            </w:r>
            <w:r>
              <w:rPr>
                <w:rFonts w:hint="eastAsia" w:ascii="宋体" w:hAnsi="宋体" w:eastAsia="宋体" w:cs="宋体"/>
                <w:color w:val="auto"/>
                <w:sz w:val="21"/>
                <w:szCs w:val="21"/>
              </w:rPr>
              <w:t>投标文件</w:t>
            </w:r>
          </w:p>
          <w:p w14:paraId="46E86ACD">
            <w:pPr>
              <w:pStyle w:val="10"/>
              <w:topLinePunct/>
              <w:snapToGrid w:val="0"/>
              <w:spacing w:after="0" w:line="360" w:lineRule="auto"/>
              <w:ind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招标项目编号：</w:t>
            </w:r>
          </w:p>
          <w:p w14:paraId="5D56240C">
            <w:pPr>
              <w:pStyle w:val="10"/>
              <w:topLinePunct/>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时前不得开启</w:t>
            </w:r>
          </w:p>
        </w:tc>
      </w:tr>
      <w:tr w14:paraId="755B1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A9438F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4.2.1</w:t>
            </w:r>
          </w:p>
        </w:tc>
        <w:tc>
          <w:tcPr>
            <w:tcW w:w="2161" w:type="dxa"/>
            <w:tcBorders>
              <w:top w:val="single" w:color="auto" w:sz="6" w:space="0"/>
              <w:left w:val="single" w:color="auto" w:sz="6" w:space="0"/>
              <w:bottom w:val="single" w:color="auto" w:sz="6" w:space="0"/>
              <w:right w:val="single" w:color="auto" w:sz="6" w:space="0"/>
            </w:tcBorders>
            <w:noWrap/>
            <w:vAlign w:val="center"/>
          </w:tcPr>
          <w:p w14:paraId="03593505">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投标截止时间</w:t>
            </w:r>
          </w:p>
        </w:tc>
        <w:tc>
          <w:tcPr>
            <w:tcW w:w="6068" w:type="dxa"/>
            <w:tcBorders>
              <w:top w:val="single" w:color="auto" w:sz="6" w:space="0"/>
              <w:left w:val="single" w:color="auto" w:sz="6" w:space="0"/>
              <w:bottom w:val="single" w:color="auto" w:sz="6" w:space="0"/>
              <w:right w:val="single" w:color="auto" w:sz="4" w:space="0"/>
            </w:tcBorders>
            <w:noWrap/>
            <w:vAlign w:val="center"/>
          </w:tcPr>
          <w:p w14:paraId="33FC6D3C">
            <w:pPr>
              <w:snapToGrid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详见招标公告第5点“投标文件的递交”的内容。</w:t>
            </w:r>
          </w:p>
        </w:tc>
      </w:tr>
      <w:tr w14:paraId="1A3A19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36FA12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rPr>
              <w:t>4.2.2</w:t>
            </w:r>
          </w:p>
        </w:tc>
        <w:tc>
          <w:tcPr>
            <w:tcW w:w="2161" w:type="dxa"/>
            <w:tcBorders>
              <w:top w:val="single" w:color="auto" w:sz="6" w:space="0"/>
              <w:left w:val="single" w:color="auto" w:sz="6" w:space="0"/>
              <w:bottom w:val="single" w:color="auto" w:sz="6" w:space="0"/>
              <w:right w:val="single" w:color="auto" w:sz="6" w:space="0"/>
            </w:tcBorders>
            <w:noWrap/>
            <w:vAlign w:val="center"/>
          </w:tcPr>
          <w:p w14:paraId="2C873974">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rPr>
              <w:t>递交投标文件地点</w:t>
            </w:r>
          </w:p>
        </w:tc>
        <w:tc>
          <w:tcPr>
            <w:tcW w:w="6068" w:type="dxa"/>
            <w:tcBorders>
              <w:top w:val="single" w:color="auto" w:sz="6" w:space="0"/>
              <w:left w:val="single" w:color="auto" w:sz="6" w:space="0"/>
              <w:bottom w:val="single" w:color="auto" w:sz="6" w:space="0"/>
              <w:right w:val="single" w:color="auto" w:sz="4" w:space="0"/>
            </w:tcBorders>
            <w:noWrap/>
            <w:vAlign w:val="center"/>
          </w:tcPr>
          <w:p w14:paraId="5AB3E584">
            <w:pPr>
              <w:snapToGrid w:val="0"/>
              <w:spacing w:line="360" w:lineRule="auto"/>
              <w:rPr>
                <w:rFonts w:hint="eastAsia" w:ascii="宋体" w:hAnsi="宋体" w:eastAsia="宋体" w:cs="宋体"/>
                <w:color w:val="auto"/>
                <w:u w:val="single"/>
              </w:rPr>
            </w:pPr>
            <w:r>
              <w:rPr>
                <w:rFonts w:hint="eastAsia" w:ascii="宋体" w:hAnsi="宋体" w:eastAsia="宋体" w:cs="宋体"/>
                <w:color w:val="auto"/>
                <w:u w:val="single"/>
              </w:rPr>
              <w:t xml:space="preserve">1.递交方式：网上递交投标文件 </w:t>
            </w:r>
          </w:p>
          <w:p w14:paraId="4278D2A4">
            <w:pPr>
              <w:snapToGrid w:val="0"/>
              <w:spacing w:line="360" w:lineRule="auto"/>
              <w:rPr>
                <w:rFonts w:hint="eastAsia" w:ascii="宋体" w:hAnsi="宋体" w:eastAsia="宋体" w:cs="宋体"/>
                <w:color w:val="auto"/>
                <w:u w:val="single"/>
              </w:rPr>
            </w:pPr>
            <w:r>
              <w:rPr>
                <w:rFonts w:hint="eastAsia" w:ascii="宋体" w:hAnsi="宋体" w:eastAsia="宋体" w:cs="宋体"/>
                <w:color w:val="auto"/>
                <w:u w:val="single"/>
              </w:rPr>
              <w:t>2.地点：</w:t>
            </w:r>
            <w:r>
              <w:rPr>
                <w:rFonts w:hint="eastAsia" w:ascii="宋体" w:hAnsi="宋体" w:eastAsia="宋体" w:cs="宋体"/>
                <w:color w:val="auto"/>
                <w:u w:val="single"/>
                <w:lang w:eastAsia="zh-CN"/>
              </w:rPr>
              <w:t>广州交易集团有限公司（广州公共资源交易中心）网站</w:t>
            </w:r>
            <w:r>
              <w:rPr>
                <w:rFonts w:hint="eastAsia" w:ascii="宋体" w:hAnsi="宋体" w:eastAsia="宋体" w:cs="宋体"/>
                <w:color w:val="auto"/>
                <w:u w:val="single"/>
              </w:rPr>
              <w:t xml:space="preserve">。 </w:t>
            </w:r>
          </w:p>
          <w:p w14:paraId="3035C7AE">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u w:val="single"/>
              </w:rPr>
              <w:t>3.上述时间及地点是否有改变，请密切留意招标答疑纪要的相关信息</w:t>
            </w:r>
          </w:p>
        </w:tc>
      </w:tr>
      <w:tr w14:paraId="6946C3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1F05129">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4.2.3</w:t>
            </w:r>
          </w:p>
        </w:tc>
        <w:tc>
          <w:tcPr>
            <w:tcW w:w="2161" w:type="dxa"/>
            <w:tcBorders>
              <w:top w:val="single" w:color="auto" w:sz="6" w:space="0"/>
              <w:left w:val="single" w:color="auto" w:sz="6" w:space="0"/>
              <w:bottom w:val="single" w:color="auto" w:sz="6" w:space="0"/>
              <w:right w:val="single" w:color="auto" w:sz="6" w:space="0"/>
            </w:tcBorders>
            <w:noWrap/>
            <w:vAlign w:val="center"/>
          </w:tcPr>
          <w:p w14:paraId="3B6664B1">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投标文件是否退还</w:t>
            </w:r>
          </w:p>
        </w:tc>
        <w:tc>
          <w:tcPr>
            <w:tcW w:w="6068" w:type="dxa"/>
            <w:tcBorders>
              <w:top w:val="single" w:color="auto" w:sz="6" w:space="0"/>
              <w:left w:val="single" w:color="auto" w:sz="6" w:space="0"/>
              <w:bottom w:val="single" w:color="auto" w:sz="6" w:space="0"/>
              <w:right w:val="single" w:color="auto" w:sz="4" w:space="0"/>
            </w:tcBorders>
            <w:noWrap/>
            <w:vAlign w:val="center"/>
          </w:tcPr>
          <w:p w14:paraId="6231A920">
            <w:pPr>
              <w:pStyle w:val="10"/>
              <w:topLinePunct/>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否</w:t>
            </w:r>
          </w:p>
          <w:p w14:paraId="26320DC3">
            <w:pPr>
              <w:pStyle w:val="10"/>
              <w:topLinePunct/>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□是，退还时间：</w:t>
            </w:r>
          </w:p>
        </w:tc>
      </w:tr>
      <w:tr w14:paraId="3ED489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ABBD27F">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rPr>
              <w:t>5.1</w:t>
            </w:r>
            <w:r>
              <w:rPr>
                <w:rFonts w:hint="eastAsia" w:ascii="宋体" w:hAnsi="宋体" w:cs="宋体"/>
                <w:color w:val="auto"/>
                <w:lang w:eastAsia="zh-CN"/>
              </w:rPr>
              <w:t>(</w:t>
            </w:r>
            <w:r>
              <w:rPr>
                <w:rFonts w:hint="eastAsia" w:ascii="宋体" w:hAnsi="宋体" w:eastAsia="宋体" w:cs="宋体"/>
                <w:color w:val="auto"/>
              </w:rPr>
              <w:t>A</w:t>
            </w:r>
            <w:r>
              <w:rPr>
                <w:rFonts w:hint="eastAsia" w:ascii="宋体" w:hAnsi="宋体" w:cs="宋体"/>
                <w:color w:val="auto"/>
                <w:lang w:eastAsia="zh-CN"/>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728730D8">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rPr>
              <w:t>开标时间和地点</w:t>
            </w:r>
          </w:p>
        </w:tc>
        <w:tc>
          <w:tcPr>
            <w:tcW w:w="6068" w:type="dxa"/>
            <w:tcBorders>
              <w:top w:val="single" w:color="auto" w:sz="6" w:space="0"/>
              <w:left w:val="single" w:color="auto" w:sz="6" w:space="0"/>
              <w:bottom w:val="single" w:color="auto" w:sz="6" w:space="0"/>
              <w:right w:val="single" w:color="auto" w:sz="4" w:space="0"/>
            </w:tcBorders>
            <w:noWrap/>
            <w:vAlign w:val="center"/>
          </w:tcPr>
          <w:p w14:paraId="4769BF16">
            <w:pPr>
              <w:pStyle w:val="10"/>
              <w:topLinePunct/>
              <w:snapToGrid w:val="0"/>
              <w:spacing w:after="0" w:line="360" w:lineRule="auto"/>
              <w:jc w:val="left"/>
              <w:rPr>
                <w:rFonts w:hint="eastAsia" w:ascii="宋体" w:hAnsi="宋体" w:eastAsia="宋体" w:cs="宋体"/>
                <w:color w:val="auto"/>
                <w:spacing w:val="-1"/>
                <w:sz w:val="21"/>
                <w:szCs w:val="21"/>
                <w:u w:val="single"/>
              </w:rPr>
            </w:pPr>
            <w:r>
              <w:rPr>
                <w:rFonts w:hint="eastAsia" w:ascii="宋体" w:hAnsi="宋体" w:eastAsia="宋体" w:cs="宋体"/>
                <w:color w:val="auto"/>
                <w:sz w:val="21"/>
                <w:szCs w:val="21"/>
                <w:u w:val="single"/>
              </w:rPr>
              <w:t>本项目不适用。</w:t>
            </w:r>
          </w:p>
        </w:tc>
      </w:tr>
      <w:tr w14:paraId="424083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A9DA488">
            <w:pPr>
              <w:snapToGrid w:val="0"/>
              <w:spacing w:line="360" w:lineRule="auto"/>
              <w:jc w:val="center"/>
              <w:rPr>
                <w:rFonts w:hint="eastAsia" w:ascii="宋体" w:hAnsi="宋体" w:eastAsia="宋体" w:cs="宋体"/>
                <w:color w:val="auto"/>
              </w:rPr>
            </w:pPr>
            <w:r>
              <w:rPr>
                <w:rFonts w:hint="eastAsia" w:ascii="宋体" w:hAnsi="宋体" w:eastAsia="宋体" w:cs="宋体"/>
                <w:color w:val="auto"/>
              </w:rPr>
              <w:t>5.1</w:t>
            </w:r>
            <w:r>
              <w:rPr>
                <w:rFonts w:hint="eastAsia" w:ascii="宋体" w:hAnsi="宋体" w:cs="宋体"/>
                <w:color w:val="auto"/>
                <w:lang w:eastAsia="zh-CN"/>
              </w:rPr>
              <w:t>(</w:t>
            </w:r>
            <w:r>
              <w:rPr>
                <w:rFonts w:hint="eastAsia" w:ascii="宋体" w:hAnsi="宋体" w:eastAsia="宋体" w:cs="宋体"/>
                <w:color w:val="auto"/>
              </w:rPr>
              <w:t>B</w:t>
            </w:r>
            <w:r>
              <w:rPr>
                <w:rFonts w:hint="eastAsia" w:ascii="宋体" w:hAnsi="宋体" w:cs="宋体"/>
                <w:color w:val="auto"/>
                <w:lang w:eastAsia="zh-CN"/>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0CBDE4AE">
            <w:pPr>
              <w:snapToGrid w:val="0"/>
              <w:spacing w:line="360" w:lineRule="auto"/>
              <w:jc w:val="center"/>
              <w:rPr>
                <w:rFonts w:hint="eastAsia" w:ascii="宋体" w:hAnsi="宋体" w:eastAsia="宋体" w:cs="宋体"/>
                <w:color w:val="auto"/>
              </w:rPr>
            </w:pPr>
            <w:r>
              <w:rPr>
                <w:rFonts w:hint="eastAsia" w:ascii="宋体" w:hAnsi="宋体" w:eastAsia="宋体" w:cs="宋体"/>
                <w:color w:val="auto"/>
              </w:rPr>
              <w:t>开标时间和地点</w:t>
            </w:r>
          </w:p>
        </w:tc>
        <w:tc>
          <w:tcPr>
            <w:tcW w:w="6068" w:type="dxa"/>
            <w:tcBorders>
              <w:top w:val="single" w:color="auto" w:sz="6" w:space="0"/>
              <w:left w:val="single" w:color="auto" w:sz="6" w:space="0"/>
              <w:bottom w:val="single" w:color="auto" w:sz="6" w:space="0"/>
              <w:right w:val="single" w:color="auto" w:sz="4" w:space="0"/>
            </w:tcBorders>
            <w:noWrap/>
            <w:vAlign w:val="center"/>
          </w:tcPr>
          <w:p w14:paraId="4A2450E1">
            <w:pPr>
              <w:spacing w:line="360" w:lineRule="auto"/>
              <w:jc w:val="left"/>
              <w:rPr>
                <w:rFonts w:hint="eastAsia" w:ascii="宋体" w:hAnsi="宋体" w:eastAsia="宋体" w:cs="宋体"/>
                <w:color w:val="auto"/>
              </w:rPr>
            </w:pPr>
            <w:r>
              <w:rPr>
                <w:rFonts w:hint="eastAsia" w:ascii="宋体" w:hAnsi="宋体" w:eastAsia="宋体" w:cs="宋体"/>
                <w:color w:val="auto"/>
              </w:rPr>
              <w:t>招标人在本章第4.2.1项规定的投标截止时间（开标时间），在广州交易集团有限公司（广州公共资源交易中心）公开开标，并邀请所有投标人的法定代表人（单位负责人）或其委托代理人准时参加。开标时，投标人代表有权参加现场开标或在线开标，也可以自主决定不参加开标。投标人选择参加在线开标的，具体按照交易平台相关指南进行操作。详见：http://www.gzggzy.cn/fwznbszyjsgc/index.jhtml。</w:t>
            </w:r>
          </w:p>
          <w:p w14:paraId="068BF4F1">
            <w:pPr>
              <w:spacing w:line="360" w:lineRule="auto"/>
              <w:jc w:val="left"/>
              <w:rPr>
                <w:rFonts w:hint="eastAsia" w:ascii="宋体" w:hAnsi="宋体" w:eastAsia="宋体" w:cs="宋体"/>
                <w:color w:val="auto"/>
              </w:rPr>
            </w:pPr>
            <w:r>
              <w:rPr>
                <w:rFonts w:hint="eastAsia" w:ascii="宋体" w:hAnsi="宋体" w:eastAsia="宋体" w:cs="宋体"/>
                <w:color w:val="auto"/>
              </w:rPr>
              <w:t>具体时间、地点可以到广州交易集团有限公司（广州公共资源交易中心）网站的项目查询（日程安排、答疑纪要）中输入本项目编号或项目名称进行查询。</w:t>
            </w:r>
          </w:p>
        </w:tc>
      </w:tr>
      <w:tr w14:paraId="058E8E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009C5D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rPr>
              <w:t>5.2</w:t>
            </w:r>
            <w:r>
              <w:rPr>
                <w:rFonts w:hint="eastAsia" w:ascii="宋体" w:hAnsi="宋体" w:cs="宋体"/>
                <w:color w:val="auto"/>
                <w:lang w:eastAsia="zh-CN"/>
              </w:rPr>
              <w:t>(</w:t>
            </w:r>
            <w:r>
              <w:rPr>
                <w:rFonts w:hint="eastAsia" w:ascii="宋体" w:hAnsi="宋体" w:eastAsia="宋体" w:cs="宋体"/>
                <w:color w:val="auto"/>
              </w:rPr>
              <w:t>4</w:t>
            </w:r>
            <w:r>
              <w:rPr>
                <w:rFonts w:hint="eastAsia" w:ascii="宋体" w:hAnsi="宋体" w:cs="宋体"/>
                <w:color w:val="auto"/>
                <w:lang w:eastAsia="zh-CN"/>
              </w:rPr>
              <w:t>)(</w:t>
            </w:r>
            <w:r>
              <w:rPr>
                <w:rFonts w:hint="eastAsia" w:ascii="宋体" w:hAnsi="宋体" w:eastAsia="宋体" w:cs="宋体"/>
                <w:color w:val="auto"/>
              </w:rPr>
              <w:t>A</w:t>
            </w:r>
            <w:r>
              <w:rPr>
                <w:rFonts w:hint="eastAsia" w:ascii="宋体" w:hAnsi="宋体" w:cs="宋体"/>
                <w:color w:val="auto"/>
                <w:lang w:eastAsia="zh-CN"/>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51F8ACF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rPr>
              <w:t>开标程序</w:t>
            </w:r>
          </w:p>
        </w:tc>
        <w:tc>
          <w:tcPr>
            <w:tcW w:w="6068" w:type="dxa"/>
            <w:tcBorders>
              <w:top w:val="single" w:color="auto" w:sz="6" w:space="0"/>
              <w:left w:val="single" w:color="auto" w:sz="6" w:space="0"/>
              <w:bottom w:val="single" w:color="auto" w:sz="6" w:space="0"/>
              <w:right w:val="single" w:color="auto" w:sz="4" w:space="0"/>
            </w:tcBorders>
            <w:noWrap/>
            <w:vAlign w:val="center"/>
          </w:tcPr>
          <w:p w14:paraId="4C0F647B">
            <w:pPr>
              <w:spacing w:line="360" w:lineRule="auto"/>
              <w:jc w:val="left"/>
              <w:rPr>
                <w:rFonts w:hint="eastAsia" w:ascii="宋体" w:hAnsi="宋体" w:eastAsia="宋体" w:cs="宋体"/>
                <w:color w:val="auto"/>
                <w:szCs w:val="21"/>
                <w:u w:val="single"/>
              </w:rPr>
            </w:pPr>
            <w:r>
              <w:rPr>
                <w:rFonts w:hint="eastAsia" w:ascii="宋体" w:hAnsi="宋体" w:eastAsia="宋体" w:cs="宋体"/>
                <w:color w:val="auto"/>
                <w:u w:val="single"/>
              </w:rPr>
              <w:t>本项目不适用。</w:t>
            </w:r>
          </w:p>
        </w:tc>
      </w:tr>
      <w:tr w14:paraId="2AE136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906AA26">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rPr>
              <w:t>5.2</w:t>
            </w:r>
            <w:r>
              <w:rPr>
                <w:rFonts w:hint="eastAsia" w:ascii="宋体" w:hAnsi="宋体" w:cs="宋体"/>
                <w:color w:val="auto"/>
                <w:lang w:eastAsia="zh-CN"/>
              </w:rPr>
              <w:t>(</w:t>
            </w:r>
            <w:r>
              <w:rPr>
                <w:rFonts w:hint="eastAsia" w:ascii="宋体" w:hAnsi="宋体" w:eastAsia="宋体" w:cs="宋体"/>
                <w:color w:val="auto"/>
              </w:rPr>
              <w:t>5</w:t>
            </w:r>
            <w:r>
              <w:rPr>
                <w:rFonts w:hint="eastAsia" w:ascii="宋体" w:hAnsi="宋体" w:cs="宋体"/>
                <w:color w:val="auto"/>
                <w:lang w:eastAsia="zh-CN"/>
              </w:rPr>
              <w:t>)(</w:t>
            </w:r>
            <w:r>
              <w:rPr>
                <w:rFonts w:hint="eastAsia" w:ascii="宋体" w:hAnsi="宋体" w:eastAsia="宋体" w:cs="宋体"/>
                <w:color w:val="auto"/>
              </w:rPr>
              <w:t>A</w:t>
            </w:r>
            <w:r>
              <w:rPr>
                <w:rFonts w:hint="eastAsia" w:ascii="宋体" w:hAnsi="宋体" w:cs="宋体"/>
                <w:color w:val="auto"/>
                <w:lang w:eastAsia="zh-CN"/>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1FBA4434">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rPr>
              <w:t>开标程序</w:t>
            </w:r>
          </w:p>
        </w:tc>
        <w:tc>
          <w:tcPr>
            <w:tcW w:w="6068" w:type="dxa"/>
            <w:tcBorders>
              <w:top w:val="single" w:color="auto" w:sz="6" w:space="0"/>
              <w:left w:val="single" w:color="auto" w:sz="6" w:space="0"/>
              <w:bottom w:val="single" w:color="auto" w:sz="6" w:space="0"/>
              <w:right w:val="single" w:color="auto" w:sz="4" w:space="0"/>
            </w:tcBorders>
            <w:noWrap/>
            <w:vAlign w:val="center"/>
          </w:tcPr>
          <w:p w14:paraId="47D754E8">
            <w:pPr>
              <w:spacing w:line="360" w:lineRule="auto"/>
              <w:rPr>
                <w:rFonts w:hint="eastAsia" w:ascii="宋体" w:hAnsi="宋体" w:eastAsia="宋体" w:cs="宋体"/>
                <w:color w:val="auto"/>
                <w:szCs w:val="21"/>
                <w:u w:val="single"/>
              </w:rPr>
            </w:pPr>
            <w:r>
              <w:rPr>
                <w:rFonts w:hint="eastAsia" w:ascii="宋体" w:hAnsi="宋体" w:eastAsia="宋体" w:cs="宋体"/>
                <w:color w:val="auto"/>
                <w:u w:val="single"/>
              </w:rPr>
              <w:t>本项目不适用。</w:t>
            </w:r>
          </w:p>
        </w:tc>
      </w:tr>
      <w:tr w14:paraId="1B89C4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1CE92E47">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5.2</w:t>
            </w:r>
            <w:r>
              <w:rPr>
                <w:rFonts w:hint="eastAsia" w:ascii="宋体" w:hAnsi="宋体" w:cs="宋体"/>
                <w:color w:val="auto"/>
                <w:szCs w:val="21"/>
                <w:lang w:eastAsia="zh-CN"/>
              </w:rPr>
              <w:t>(</w:t>
            </w:r>
            <w:r>
              <w:rPr>
                <w:rFonts w:hint="eastAsia" w:ascii="宋体" w:hAnsi="宋体" w:eastAsia="宋体" w:cs="宋体"/>
                <w:color w:val="auto"/>
                <w:szCs w:val="21"/>
              </w:rPr>
              <w:t>B</w:t>
            </w:r>
            <w:r>
              <w:rPr>
                <w:rFonts w:hint="eastAsia" w:ascii="宋体" w:hAnsi="宋体" w:cs="宋体"/>
                <w:color w:val="auto"/>
                <w:szCs w:val="21"/>
                <w:lang w:eastAsia="zh-CN"/>
              </w:rPr>
              <w:t>)</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38A114E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开标程序</w:t>
            </w:r>
          </w:p>
        </w:tc>
        <w:tc>
          <w:tcPr>
            <w:tcW w:w="6068" w:type="dxa"/>
            <w:tcBorders>
              <w:top w:val="single" w:color="auto" w:sz="6" w:space="0"/>
              <w:left w:val="single" w:color="auto" w:sz="6" w:space="0"/>
              <w:bottom w:val="single" w:color="auto" w:sz="6" w:space="0"/>
              <w:right w:val="single" w:color="auto" w:sz="4" w:space="0"/>
            </w:tcBorders>
            <w:noWrap/>
            <w:vAlign w:val="center"/>
          </w:tcPr>
          <w:p w14:paraId="49D9AC98">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5.2.1主持人按下列程序进行开标：</w:t>
            </w:r>
          </w:p>
          <w:p w14:paraId="5A9F998A">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（1）宣布开标纪律；</w:t>
            </w:r>
          </w:p>
          <w:p w14:paraId="2548A604">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（2）投标人通过电子招标投标交易平台对已递交的电子投标文件进行解密，公布招标项目名称、投标人名称、投标保证金的递交情况、投标报价、监理服务期限及其他内容，并记录在案；</w:t>
            </w:r>
          </w:p>
          <w:p w14:paraId="0FFCFCD6">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（3）宣布开标人、唱标人、记录人、监标人等有关人员姓名；</w:t>
            </w:r>
          </w:p>
          <w:p w14:paraId="298BF856">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（4）公布在投标截止时间前递交投标文件的投标人名称；</w:t>
            </w:r>
          </w:p>
          <w:p w14:paraId="5C964D1F">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（5）投标人代表、招标人代表、监标人、记录人等有关人员在开标记录上签字确认；若有关人员不签字的，不影响开标程序；</w:t>
            </w:r>
          </w:p>
          <w:p w14:paraId="1D073A1C">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（6）开标结束。</w:t>
            </w:r>
          </w:p>
          <w:p w14:paraId="55C9ED66">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5.2.2投标截止时间前未完成投标文件传输的或因投标人之外的原因造成投标文件未解密且投标人未递交投标文件备用电子光盘或U盘的，视为投标人其撤回投标文件。因投标人原因造成投标文件未解密的或未在投标截止时间后一小时内解密的，视为撤销其投标文件。</w:t>
            </w:r>
          </w:p>
          <w:p w14:paraId="09B9AD35">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5.2.3开标时，两个（含两个）以上的投标人加密打包投标文件电脑机器特征码一致的，不参与下一程序，并由评标委员会否决其投标。</w:t>
            </w:r>
          </w:p>
          <w:p w14:paraId="122BD4A3">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5.3.1招标人在本章第4.2.1项规定的投标截止时间（开标时间），在广州公共资源交易中心对应开标室通过广州公共资源交易中心交易平台公开开标。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9FD754C">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5.3.2投标人未参加开标或在规定的时间内未提出异议的，视为对开标无异议。</w:t>
            </w:r>
          </w:p>
        </w:tc>
      </w:tr>
      <w:tr w14:paraId="49572F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EE64EF6">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6.1.1</w:t>
            </w:r>
          </w:p>
        </w:tc>
        <w:tc>
          <w:tcPr>
            <w:tcW w:w="2161" w:type="dxa"/>
            <w:tcBorders>
              <w:top w:val="single" w:color="auto" w:sz="6" w:space="0"/>
              <w:left w:val="single" w:color="auto" w:sz="6" w:space="0"/>
              <w:bottom w:val="single" w:color="auto" w:sz="6" w:space="0"/>
              <w:right w:val="single" w:color="auto" w:sz="6" w:space="0"/>
            </w:tcBorders>
            <w:noWrap/>
            <w:vAlign w:val="center"/>
          </w:tcPr>
          <w:p w14:paraId="546FFD78">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评标委员会的组建</w:t>
            </w:r>
          </w:p>
        </w:tc>
        <w:tc>
          <w:tcPr>
            <w:tcW w:w="6068" w:type="dxa"/>
            <w:tcBorders>
              <w:top w:val="single" w:color="auto" w:sz="6" w:space="0"/>
              <w:left w:val="single" w:color="auto" w:sz="6" w:space="0"/>
              <w:bottom w:val="single" w:color="auto" w:sz="6" w:space="0"/>
              <w:right w:val="single" w:color="auto" w:sz="4" w:space="0"/>
            </w:tcBorders>
            <w:noWrap/>
            <w:vAlign w:val="center"/>
          </w:tcPr>
          <w:p w14:paraId="1905AC2B">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评标委员会构成：</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rPr>
              <w:t>人，其中招标人代表</w:t>
            </w:r>
            <w:r>
              <w:rPr>
                <w:rFonts w:hint="eastAsia" w:ascii="宋体" w:hAnsi="宋体" w:eastAsia="宋体" w:cs="宋体"/>
                <w:color w:val="auto"/>
                <w:szCs w:val="21"/>
                <w:u w:val="single"/>
              </w:rPr>
              <w:t>0</w:t>
            </w:r>
            <w:r>
              <w:rPr>
                <w:rFonts w:hint="eastAsia" w:ascii="宋体" w:hAnsi="宋体" w:eastAsia="宋体" w:cs="宋体"/>
                <w:color w:val="auto"/>
                <w:szCs w:val="21"/>
              </w:rPr>
              <w:t>人，专家</w:t>
            </w:r>
            <w:r>
              <w:rPr>
                <w:rFonts w:hint="eastAsia" w:ascii="宋体" w:hAnsi="宋体" w:eastAsia="宋体" w:cs="宋体"/>
                <w:color w:val="auto"/>
                <w:szCs w:val="21"/>
                <w:u w:val="single"/>
              </w:rPr>
              <w:t>5</w:t>
            </w:r>
            <w:r>
              <w:rPr>
                <w:rFonts w:hint="eastAsia" w:ascii="宋体" w:hAnsi="宋体" w:eastAsia="宋体" w:cs="宋体"/>
                <w:color w:val="auto"/>
                <w:szCs w:val="21"/>
              </w:rPr>
              <w:t>人</w:t>
            </w:r>
            <w:r>
              <w:rPr>
                <w:rFonts w:hint="eastAsia" w:ascii="宋体" w:hAnsi="宋体" w:eastAsia="宋体" w:cs="宋体"/>
                <w:color w:val="auto"/>
                <w:szCs w:val="21"/>
                <w:lang w:eastAsia="zh-CN"/>
              </w:rPr>
              <w:t>。</w:t>
            </w:r>
          </w:p>
          <w:p w14:paraId="675BD715">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评标专家确定方式：均从广东省综合评标评审专家库中随机抽取</w:t>
            </w:r>
          </w:p>
        </w:tc>
      </w:tr>
      <w:tr w14:paraId="1702C1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0C41B0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6.3.2</w:t>
            </w:r>
          </w:p>
        </w:tc>
        <w:tc>
          <w:tcPr>
            <w:tcW w:w="2161" w:type="dxa"/>
            <w:tcBorders>
              <w:top w:val="single" w:color="auto" w:sz="6" w:space="0"/>
              <w:left w:val="single" w:color="auto" w:sz="6" w:space="0"/>
              <w:bottom w:val="single" w:color="auto" w:sz="6" w:space="0"/>
              <w:right w:val="single" w:color="auto" w:sz="6" w:space="0"/>
            </w:tcBorders>
            <w:noWrap/>
            <w:vAlign w:val="center"/>
          </w:tcPr>
          <w:p w14:paraId="6E4EBE7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评标委员会推荐中标候选人的人数</w:t>
            </w:r>
          </w:p>
        </w:tc>
        <w:tc>
          <w:tcPr>
            <w:tcW w:w="6068" w:type="dxa"/>
            <w:tcBorders>
              <w:top w:val="single" w:color="auto" w:sz="6" w:space="0"/>
              <w:left w:val="single" w:color="auto" w:sz="6" w:space="0"/>
              <w:bottom w:val="single" w:color="auto" w:sz="6" w:space="0"/>
              <w:right w:val="single" w:color="auto" w:sz="4" w:space="0"/>
            </w:tcBorders>
            <w:noWrap/>
            <w:vAlign w:val="center"/>
          </w:tcPr>
          <w:p w14:paraId="5DEE38B8">
            <w:pPr>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推荐中标候选人：</w:t>
            </w:r>
            <w:r>
              <w:rPr>
                <w:rFonts w:hint="eastAsia" w:ascii="宋体" w:hAnsi="宋体" w:cs="宋体"/>
                <w:color w:val="auto"/>
                <w:sz w:val="24"/>
                <w:szCs w:val="24"/>
                <w:u w:val="single"/>
                <w:lang w:val="en-US" w:eastAsia="zh-CN"/>
              </w:rPr>
              <w:t>2</w:t>
            </w:r>
            <w:r>
              <w:rPr>
                <w:rFonts w:hint="eastAsia" w:ascii="宋体" w:hAnsi="宋体" w:eastAsia="宋体" w:cs="宋体"/>
                <w:color w:val="auto"/>
                <w:szCs w:val="21"/>
                <w:u w:val="single"/>
              </w:rPr>
              <w:t>名</w:t>
            </w:r>
          </w:p>
        </w:tc>
      </w:tr>
      <w:tr w14:paraId="22ED26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FD8C3E6">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7.1</w:t>
            </w:r>
          </w:p>
        </w:tc>
        <w:tc>
          <w:tcPr>
            <w:tcW w:w="2161" w:type="dxa"/>
            <w:tcBorders>
              <w:top w:val="single" w:color="auto" w:sz="6" w:space="0"/>
              <w:left w:val="single" w:color="auto" w:sz="6" w:space="0"/>
              <w:bottom w:val="single" w:color="auto" w:sz="6" w:space="0"/>
              <w:right w:val="single" w:color="auto" w:sz="6" w:space="0"/>
            </w:tcBorders>
            <w:noWrap/>
            <w:vAlign w:val="center"/>
          </w:tcPr>
          <w:p w14:paraId="19E04937">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中标候选人公示媒介及期限</w:t>
            </w:r>
          </w:p>
        </w:tc>
        <w:tc>
          <w:tcPr>
            <w:tcW w:w="6068" w:type="dxa"/>
            <w:tcBorders>
              <w:top w:val="single" w:color="auto" w:sz="6" w:space="0"/>
              <w:left w:val="single" w:color="auto" w:sz="6" w:space="0"/>
              <w:bottom w:val="single" w:color="auto" w:sz="6" w:space="0"/>
              <w:right w:val="single" w:color="auto" w:sz="4" w:space="0"/>
            </w:tcBorders>
            <w:noWrap/>
            <w:vAlign w:val="center"/>
          </w:tcPr>
          <w:p w14:paraId="4C6583B8">
            <w:pPr>
              <w:snapToGrid w:val="0"/>
              <w:spacing w:line="360" w:lineRule="auto"/>
              <w:ind w:left="0" w:right="0"/>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公示媒介：</w:t>
            </w:r>
            <w:r>
              <w:rPr>
                <w:rFonts w:hint="eastAsia" w:ascii="宋体" w:hAnsi="宋体" w:eastAsia="宋体" w:cs="宋体"/>
                <w:bCs/>
                <w:color w:val="auto"/>
                <w:szCs w:val="21"/>
                <w:u w:val="single"/>
              </w:rPr>
              <w:t>中国招标投标公共服务平台、</w:t>
            </w:r>
            <w:r>
              <w:rPr>
                <w:rFonts w:hint="eastAsia" w:ascii="宋体" w:hAnsi="宋体" w:eastAsia="宋体" w:cs="宋体"/>
                <w:bCs/>
                <w:color w:val="auto"/>
                <w:szCs w:val="21"/>
                <w:u w:val="single"/>
                <w:lang w:eastAsia="zh-CN"/>
              </w:rPr>
              <w:t>广州交易集团有限公司（广州公共资源交易中心）网站、</w:t>
            </w:r>
            <w:r>
              <w:rPr>
                <w:rFonts w:hint="eastAsia" w:ascii="宋体" w:hAnsi="宋体" w:eastAsia="宋体" w:cs="宋体"/>
                <w:bCs/>
                <w:color w:val="auto"/>
                <w:szCs w:val="21"/>
                <w:u w:val="single"/>
                <w:lang w:val="en-US" w:eastAsia="zh-CN"/>
              </w:rPr>
              <w:t>广东省招标投标监管网</w:t>
            </w:r>
          </w:p>
          <w:p w14:paraId="6D7B0148">
            <w:pPr>
              <w:snapToGrid w:val="0"/>
              <w:spacing w:line="360" w:lineRule="auto"/>
              <w:ind w:left="0" w:right="0"/>
              <w:rPr>
                <w:rFonts w:hint="eastAsia" w:ascii="宋体" w:hAnsi="宋体" w:eastAsia="宋体" w:cs="宋体"/>
                <w:color w:val="auto"/>
                <w:szCs w:val="21"/>
                <w:lang w:eastAsia="zh-CN"/>
              </w:rPr>
            </w:pPr>
            <w:r>
              <w:rPr>
                <w:rFonts w:hint="eastAsia" w:ascii="宋体" w:hAnsi="宋体" w:eastAsia="宋体" w:cs="宋体"/>
                <w:color w:val="auto"/>
                <w:szCs w:val="21"/>
              </w:rPr>
              <w:t>公示期限：</w:t>
            </w:r>
            <w:r>
              <w:rPr>
                <w:rFonts w:hint="eastAsia" w:ascii="宋体" w:hAnsi="宋体" w:eastAsia="宋体" w:cs="宋体"/>
                <w:color w:val="auto"/>
                <w:szCs w:val="21"/>
                <w:u w:val="single"/>
              </w:rPr>
              <w:t>3</w:t>
            </w:r>
            <w:r>
              <w:rPr>
                <w:rFonts w:hint="eastAsia" w:ascii="宋体" w:hAnsi="宋体" w:eastAsia="宋体" w:cs="宋体"/>
                <w:color w:val="auto"/>
                <w:szCs w:val="21"/>
              </w:rPr>
              <w:t>日</w:t>
            </w:r>
            <w:r>
              <w:rPr>
                <w:rFonts w:hint="eastAsia" w:ascii="宋体" w:hAnsi="宋体" w:eastAsia="宋体" w:cs="宋体"/>
                <w:color w:val="auto"/>
                <w:szCs w:val="21"/>
                <w:lang w:eastAsia="zh-CN"/>
              </w:rPr>
              <w:t>，公示期限最后一天为工作日。</w:t>
            </w:r>
          </w:p>
        </w:tc>
      </w:tr>
      <w:tr w14:paraId="34F611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EE667EC">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7.4</w:t>
            </w:r>
          </w:p>
        </w:tc>
        <w:tc>
          <w:tcPr>
            <w:tcW w:w="2161" w:type="dxa"/>
            <w:tcBorders>
              <w:top w:val="single" w:color="auto" w:sz="6" w:space="0"/>
              <w:left w:val="single" w:color="auto" w:sz="6" w:space="0"/>
              <w:bottom w:val="single" w:color="auto" w:sz="6" w:space="0"/>
              <w:right w:val="single" w:color="auto" w:sz="6" w:space="0"/>
            </w:tcBorders>
            <w:noWrap/>
            <w:vAlign w:val="center"/>
          </w:tcPr>
          <w:p w14:paraId="682DBF45">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是否授权评标委员会确定中标人</w:t>
            </w:r>
          </w:p>
        </w:tc>
        <w:tc>
          <w:tcPr>
            <w:tcW w:w="6068" w:type="dxa"/>
            <w:tcBorders>
              <w:top w:val="single" w:color="auto" w:sz="6" w:space="0"/>
              <w:left w:val="single" w:color="auto" w:sz="6" w:space="0"/>
              <w:bottom w:val="single" w:color="auto" w:sz="6" w:space="0"/>
              <w:right w:val="single" w:color="auto" w:sz="4" w:space="0"/>
            </w:tcBorders>
            <w:noWrap/>
            <w:vAlign w:val="center"/>
          </w:tcPr>
          <w:p w14:paraId="3E0FA1B1">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□是</w:t>
            </w:r>
          </w:p>
          <w:p w14:paraId="78BAE527">
            <w:pPr>
              <w:snapToGrid w:val="0"/>
              <w:spacing w:line="360" w:lineRule="auto"/>
              <w:rPr>
                <w:rFonts w:hint="eastAsia" w:ascii="宋体" w:hAnsi="宋体" w:eastAsia="宋体" w:cs="宋体"/>
                <w:color w:val="auto"/>
                <w:szCs w:val="21"/>
              </w:rPr>
            </w:pPr>
            <w:r>
              <w:rPr>
                <w:rFonts w:hint="eastAsia" w:ascii="宋体" w:hAnsi="宋体" w:eastAsia="宋体" w:cs="宋体"/>
                <w:color w:val="auto"/>
                <w:spacing w:val="-1"/>
                <w:szCs w:val="21"/>
              </w:rPr>
              <w:t>■</w:t>
            </w:r>
            <w:r>
              <w:rPr>
                <w:rFonts w:hint="eastAsia" w:ascii="宋体" w:hAnsi="宋体" w:eastAsia="宋体" w:cs="宋体"/>
                <w:color w:val="auto"/>
                <w:szCs w:val="21"/>
              </w:rPr>
              <w:t>否</w:t>
            </w:r>
          </w:p>
        </w:tc>
      </w:tr>
      <w:tr w14:paraId="6D9304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F1A0484">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7.6.1</w:t>
            </w:r>
          </w:p>
        </w:tc>
        <w:tc>
          <w:tcPr>
            <w:tcW w:w="2161" w:type="dxa"/>
            <w:tcBorders>
              <w:top w:val="single" w:color="auto" w:sz="6" w:space="0"/>
              <w:left w:val="single" w:color="auto" w:sz="6" w:space="0"/>
              <w:bottom w:val="single" w:color="auto" w:sz="6" w:space="0"/>
              <w:right w:val="single" w:color="auto" w:sz="6" w:space="0"/>
            </w:tcBorders>
            <w:noWrap/>
            <w:vAlign w:val="center"/>
          </w:tcPr>
          <w:p w14:paraId="042C12E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068" w:type="dxa"/>
            <w:tcBorders>
              <w:top w:val="single" w:color="auto" w:sz="6" w:space="0"/>
              <w:left w:val="single" w:color="auto" w:sz="6" w:space="0"/>
              <w:bottom w:val="single" w:color="auto" w:sz="6" w:space="0"/>
              <w:right w:val="single" w:color="auto" w:sz="4" w:space="0"/>
            </w:tcBorders>
            <w:noWrap/>
            <w:vAlign w:val="center"/>
          </w:tcPr>
          <w:p w14:paraId="1AD5B034">
            <w:pPr>
              <w:spacing w:after="0" w:line="360" w:lineRule="auto"/>
              <w:rPr>
                <w:rFonts w:hint="eastAsia" w:ascii="宋体" w:hAnsi="宋体" w:eastAsia="宋体" w:cs="宋体"/>
                <w:color w:val="auto"/>
                <w:szCs w:val="21"/>
              </w:rPr>
            </w:pPr>
            <w:r>
              <w:rPr>
                <w:rFonts w:hint="eastAsia" w:ascii="宋体" w:hAnsi="宋体" w:eastAsia="宋体" w:cs="宋体"/>
                <w:color w:val="auto"/>
                <w:szCs w:val="21"/>
              </w:rPr>
              <w:t>履约担保的金额：合同总价的10％；</w:t>
            </w:r>
          </w:p>
          <w:p w14:paraId="12D58CA4">
            <w:pPr>
              <w:spacing w:after="0"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履约担保形式：现金、银行汇票、银行本票、银行电汇、支票（现金支票、转账支票）、银行履约担保保函</w:t>
            </w:r>
            <w:r>
              <w:rPr>
                <w:rFonts w:hint="eastAsia" w:ascii="宋体" w:hAnsi="宋体" w:eastAsia="宋体" w:cs="宋体"/>
                <w:color w:val="auto"/>
                <w:szCs w:val="21"/>
                <w:lang w:eastAsia="zh-CN"/>
              </w:rPr>
              <w:t>。</w:t>
            </w:r>
          </w:p>
          <w:p w14:paraId="6724B681">
            <w:pPr>
              <w:spacing w:after="0" w:line="360" w:lineRule="auto"/>
              <w:rPr>
                <w:rFonts w:hint="eastAsia" w:ascii="宋体" w:hAnsi="宋体" w:eastAsia="宋体" w:cs="宋体"/>
                <w:color w:val="auto"/>
                <w:szCs w:val="21"/>
              </w:rPr>
            </w:pPr>
            <w:r>
              <w:rPr>
                <w:rFonts w:hint="eastAsia" w:ascii="宋体" w:hAnsi="宋体" w:eastAsia="宋体" w:cs="宋体"/>
                <w:color w:val="auto"/>
                <w:szCs w:val="21"/>
              </w:rPr>
              <w:t>银行：须为商业银行的地市级支行或以上级别的银行。</w:t>
            </w:r>
          </w:p>
          <w:p w14:paraId="067A655C">
            <w:pPr>
              <w:pStyle w:val="11"/>
              <w:spacing w:after="0" w:line="360" w:lineRule="auto"/>
              <w:rPr>
                <w:rFonts w:hint="eastAsia" w:ascii="宋体" w:hAnsi="宋体" w:eastAsia="宋体" w:cs="宋体"/>
                <w:color w:val="auto"/>
                <w:szCs w:val="21"/>
              </w:rPr>
            </w:pPr>
            <w:r>
              <w:rPr>
                <w:rFonts w:hint="eastAsia" w:ascii="宋体" w:hAnsi="宋体" w:eastAsia="宋体" w:cs="宋体"/>
                <w:color w:val="auto"/>
                <w:szCs w:val="21"/>
              </w:rPr>
              <w:t>保函有效期：有效期不少于</w:t>
            </w:r>
            <w:r>
              <w:rPr>
                <w:rFonts w:hint="eastAsia" w:ascii="宋体" w:hAnsi="宋体" w:eastAsia="宋体" w:cs="宋体"/>
                <w:color w:val="auto"/>
                <w:szCs w:val="21"/>
                <w:lang w:val="en-US" w:eastAsia="zh-CN"/>
              </w:rPr>
              <w:t>24</w:t>
            </w:r>
            <w:r>
              <w:rPr>
                <w:rFonts w:hint="eastAsia" w:ascii="宋体" w:hAnsi="宋体" w:eastAsia="宋体" w:cs="宋体"/>
                <w:color w:val="auto"/>
                <w:szCs w:val="21"/>
              </w:rPr>
              <w:t>个月（若由于项目工期超过24个月，中标人需在履约担保到期前1个月办理延期手续，延期后履约担保有效期不得少于工程竣工验收日期，延期费用由中标人承担）。</w:t>
            </w:r>
          </w:p>
          <w:p w14:paraId="6DB5F7D0">
            <w:pPr>
              <w:pStyle w:val="10"/>
              <w:topLinePunct/>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中标人不能按要求提交履约担保或保证金的，视为放弃中标，其投标保证金不予退还</w:t>
            </w:r>
            <w:r>
              <w:rPr>
                <w:rFonts w:hint="eastAsia" w:ascii="宋体" w:hAnsi="宋体" w:cs="宋体"/>
                <w:color w:val="auto"/>
                <w:sz w:val="21"/>
                <w:szCs w:val="21"/>
                <w:lang w:eastAsia="zh-CN"/>
              </w:rPr>
              <w:t>。</w:t>
            </w:r>
          </w:p>
        </w:tc>
      </w:tr>
      <w:tr w14:paraId="3A83A3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C23D30C">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2161" w:type="dxa"/>
            <w:tcBorders>
              <w:top w:val="single" w:color="auto" w:sz="6" w:space="0"/>
              <w:left w:val="single" w:color="auto" w:sz="6" w:space="0"/>
              <w:bottom w:val="single" w:color="auto" w:sz="6" w:space="0"/>
              <w:right w:val="single" w:color="auto" w:sz="6" w:space="0"/>
            </w:tcBorders>
            <w:noWrap/>
            <w:vAlign w:val="center"/>
          </w:tcPr>
          <w:p w14:paraId="7F191DE2">
            <w:pPr>
              <w:pStyle w:val="44"/>
              <w:snapToGrid w:val="0"/>
              <w:spacing w:line="360" w:lineRule="auto"/>
              <w:jc w:val="center"/>
              <w:rPr>
                <w:rFonts w:hint="eastAsia" w:ascii="宋体" w:hAnsi="宋体" w:eastAsia="宋体" w:cs="宋体"/>
                <w:color w:val="auto"/>
                <w:szCs w:val="21"/>
              </w:rPr>
            </w:pPr>
            <w:r>
              <w:rPr>
                <w:rFonts w:hint="eastAsia"/>
                <w:color w:val="auto"/>
              </w:rPr>
              <w:t>是否采用电子招标投标</w:t>
            </w:r>
          </w:p>
        </w:tc>
        <w:tc>
          <w:tcPr>
            <w:tcW w:w="6068" w:type="dxa"/>
            <w:tcBorders>
              <w:top w:val="single" w:color="auto" w:sz="6" w:space="0"/>
              <w:left w:val="single" w:color="auto" w:sz="6" w:space="0"/>
              <w:bottom w:val="single" w:color="auto" w:sz="6" w:space="0"/>
              <w:right w:val="single" w:color="auto" w:sz="4" w:space="0"/>
            </w:tcBorders>
            <w:noWrap/>
            <w:vAlign w:val="center"/>
          </w:tcPr>
          <w:p w14:paraId="4621B502">
            <w:pPr>
              <w:pStyle w:val="44"/>
              <w:spacing w:line="360" w:lineRule="auto"/>
              <w:rPr>
                <w:color w:val="auto"/>
                <w:szCs w:val="21"/>
              </w:rPr>
            </w:pPr>
            <w:r>
              <w:rPr>
                <w:rFonts w:hint="eastAsia" w:cs="宋体"/>
                <w:color w:val="auto"/>
                <w:szCs w:val="21"/>
              </w:rPr>
              <w:t>□</w:t>
            </w:r>
            <w:r>
              <w:rPr>
                <w:rFonts w:hint="eastAsia"/>
                <w:color w:val="auto"/>
                <w:szCs w:val="21"/>
              </w:rPr>
              <w:t>否</w:t>
            </w:r>
          </w:p>
          <w:p w14:paraId="33AC9BC0">
            <w:pPr>
              <w:pStyle w:val="44"/>
              <w:spacing w:line="360" w:lineRule="auto"/>
              <w:rPr>
                <w:color w:val="auto"/>
                <w:szCs w:val="21"/>
              </w:rPr>
            </w:pPr>
            <w:r>
              <w:rPr>
                <w:rFonts w:hint="eastAsia" w:cs="宋体"/>
                <w:color w:val="auto"/>
                <w:szCs w:val="21"/>
              </w:rPr>
              <w:t>■</w:t>
            </w:r>
            <w:r>
              <w:rPr>
                <w:rFonts w:hint="eastAsia"/>
                <w:color w:val="auto"/>
                <w:szCs w:val="21"/>
              </w:rPr>
              <w:t>是，具体要求：</w:t>
            </w:r>
          </w:p>
          <w:p w14:paraId="4C824207">
            <w:pPr>
              <w:pStyle w:val="44"/>
              <w:spacing w:line="360" w:lineRule="auto"/>
              <w:rPr>
                <w:color w:val="auto"/>
                <w:szCs w:val="21"/>
              </w:rPr>
            </w:pPr>
            <w:r>
              <w:rPr>
                <w:rFonts w:hint="eastAsia"/>
                <w:color w:val="auto"/>
                <w:szCs w:val="21"/>
                <w:lang w:eastAsia="zh-CN"/>
              </w:rPr>
              <w:t>1.</w:t>
            </w:r>
            <w:r>
              <w:rPr>
                <w:rFonts w:hint="eastAsia"/>
                <w:color w:val="auto"/>
                <w:szCs w:val="21"/>
              </w:rPr>
              <w:t>具体操作详见广州交易集团有限公司（广州公共资源交易中心）网站最新发布的建设工程全流程电子化项目操作指南。</w:t>
            </w:r>
          </w:p>
          <w:p w14:paraId="38F8774B">
            <w:pPr>
              <w:pStyle w:val="44"/>
              <w:spacing w:line="360" w:lineRule="auto"/>
              <w:rPr>
                <w:color w:val="auto"/>
                <w:szCs w:val="21"/>
              </w:rPr>
            </w:pPr>
            <w:r>
              <w:rPr>
                <w:rFonts w:hint="eastAsia"/>
                <w:color w:val="auto"/>
                <w:szCs w:val="21"/>
                <w:lang w:eastAsia="zh-CN"/>
              </w:rPr>
              <w:t>2.</w:t>
            </w:r>
            <w:r>
              <w:rPr>
                <w:rFonts w:hint="eastAsia"/>
                <w:color w:val="auto"/>
                <w:szCs w:val="21"/>
              </w:rPr>
              <w:t>现场提交投标文件光盘或U盘备用</w:t>
            </w:r>
          </w:p>
          <w:p w14:paraId="558D961E">
            <w:pPr>
              <w:pStyle w:val="44"/>
              <w:spacing w:line="360" w:lineRule="auto"/>
              <w:rPr>
                <w:color w:val="auto"/>
                <w:szCs w:val="21"/>
              </w:rPr>
            </w:pPr>
            <w:r>
              <w:rPr>
                <w:rFonts w:hint="eastAsia"/>
                <w:color w:val="auto"/>
                <w:szCs w:val="21"/>
              </w:rPr>
              <w:t>投标人将按广州交易集团有限公司（广州公共资源交易中心）网站最新发布的建设工程全流程电子化项目操作指南的操作方法制作的非加密的电子投标文件刻入光盘或U盘（1份），在开标现场（投标截止时间前）提交备用。刻录好的投标文件光盘或U盘密封在密封袋中，并在封口处加盖投标人单位公章。密封袋上应写明的内容见投标人须知前附表要求4.1.2。现场递交的投标文件（光盘或U盘）不得加密。光盘或U盘（投标文件）无法读取或导入的，则视为未提交备用投标文件光盘或U盘。如果投标人没有按规定通过交易平台网上递交电子投标文件的，不再接受现场提交的光盘或U盘。</w:t>
            </w:r>
          </w:p>
          <w:p w14:paraId="350F92C2">
            <w:pPr>
              <w:pStyle w:val="44"/>
              <w:spacing w:line="360" w:lineRule="auto"/>
              <w:rPr>
                <w:color w:val="auto"/>
                <w:szCs w:val="21"/>
              </w:rPr>
            </w:pPr>
            <w:r>
              <w:rPr>
                <w:rFonts w:hint="eastAsia"/>
                <w:color w:val="auto"/>
                <w:szCs w:val="21"/>
                <w:lang w:eastAsia="zh-CN"/>
              </w:rPr>
              <w:t>3.</w:t>
            </w:r>
            <w:r>
              <w:rPr>
                <w:rFonts w:hint="eastAsia"/>
                <w:color w:val="auto"/>
                <w:szCs w:val="21"/>
              </w:rPr>
              <w:t>补救方案</w:t>
            </w:r>
          </w:p>
          <w:p w14:paraId="3F8430C6">
            <w:pPr>
              <w:pStyle w:val="44"/>
              <w:spacing w:line="360" w:lineRule="auto"/>
              <w:rPr>
                <w:color w:val="auto"/>
                <w:szCs w:val="21"/>
              </w:rPr>
            </w:pPr>
            <w:r>
              <w:rPr>
                <w:rFonts w:hint="eastAsia"/>
                <w:color w:val="auto"/>
                <w:szCs w:val="21"/>
              </w:rPr>
              <w:t>（1）投标文件解密失败的补救方案：</w:t>
            </w:r>
          </w:p>
          <w:p w14:paraId="3ED56BC6">
            <w:pPr>
              <w:pStyle w:val="44"/>
              <w:spacing w:line="360" w:lineRule="auto"/>
              <w:rPr>
                <w:color w:val="auto"/>
                <w:szCs w:val="21"/>
              </w:rPr>
            </w:pPr>
            <w:r>
              <w:rPr>
                <w:rFonts w:hint="eastAsia"/>
                <w:color w:val="auto"/>
                <w:szCs w:val="21"/>
              </w:rPr>
              <w:t>在规定时间内，因投标人之外原因导致的电子投标文件解密失败，在开标现场读取光盘或U盘内容，继续开标程序。评标委员会对其投标文件的评审以光盘或U盘内容为准。</w:t>
            </w:r>
          </w:p>
          <w:p w14:paraId="725C460C">
            <w:pPr>
              <w:pStyle w:val="44"/>
              <w:spacing w:line="360" w:lineRule="auto"/>
              <w:rPr>
                <w:color w:val="auto"/>
                <w:szCs w:val="21"/>
              </w:rPr>
            </w:pPr>
            <w:r>
              <w:rPr>
                <w:rFonts w:hint="eastAsia"/>
                <w:color w:val="auto"/>
                <w:szCs w:val="21"/>
              </w:rPr>
              <w:t>（2）评标时突发情况的补救方案</w:t>
            </w:r>
          </w:p>
          <w:p w14:paraId="5D7E93E2">
            <w:pPr>
              <w:pStyle w:val="44"/>
              <w:spacing w:line="360" w:lineRule="auto"/>
              <w:rPr>
                <w:color w:val="auto"/>
                <w:szCs w:val="21"/>
              </w:rPr>
            </w:pPr>
            <w:r>
              <w:rPr>
                <w:rFonts w:hint="eastAsia"/>
                <w:color w:val="auto"/>
                <w:szCs w:val="21"/>
              </w:rPr>
              <w:t>若遇不可抗力发生（如：网络瘫痪、服务器损坏、交易系统故障短期无法恢复等因素），由评标委员会开启现场递交的全部投标文件光盘或U盘，并按光盘或U盘内容进行评审。</w:t>
            </w:r>
          </w:p>
          <w:p w14:paraId="0E0A8F69">
            <w:pPr>
              <w:pStyle w:val="44"/>
              <w:spacing w:line="360" w:lineRule="auto"/>
              <w:rPr>
                <w:rFonts w:hint="eastAsia" w:ascii="宋体" w:hAnsi="宋体" w:eastAsia="宋体" w:cs="宋体"/>
                <w:color w:val="auto"/>
                <w:szCs w:val="21"/>
              </w:rPr>
            </w:pPr>
            <w:r>
              <w:rPr>
                <w:rFonts w:hint="eastAsia"/>
                <w:color w:val="auto"/>
                <w:szCs w:val="21"/>
              </w:rPr>
              <w:t>（3）除发生上述情况外，开标评标均以投标人通过交易平台网上递交的电子投标文件为准。</w:t>
            </w:r>
          </w:p>
        </w:tc>
      </w:tr>
      <w:tr w14:paraId="54397A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71A01F9">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8229" w:type="dxa"/>
            <w:gridSpan w:val="2"/>
            <w:tcBorders>
              <w:top w:val="single" w:color="auto" w:sz="6" w:space="0"/>
              <w:left w:val="single" w:color="auto" w:sz="6" w:space="0"/>
              <w:bottom w:val="single" w:color="auto" w:sz="6" w:space="0"/>
              <w:right w:val="single" w:color="auto" w:sz="4" w:space="0"/>
            </w:tcBorders>
            <w:noWrap/>
            <w:vAlign w:val="center"/>
          </w:tcPr>
          <w:p w14:paraId="6BCA8ABE">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需要补充的其他内容</w:t>
            </w:r>
          </w:p>
        </w:tc>
      </w:tr>
      <w:tr w14:paraId="38AF45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C16EA84">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562FA969">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特别提醒</w:t>
            </w:r>
          </w:p>
        </w:tc>
        <w:tc>
          <w:tcPr>
            <w:tcW w:w="6068" w:type="dxa"/>
            <w:tcBorders>
              <w:top w:val="single" w:color="auto" w:sz="6" w:space="0"/>
              <w:left w:val="single" w:color="auto" w:sz="6" w:space="0"/>
              <w:bottom w:val="single" w:color="auto" w:sz="6" w:space="0"/>
              <w:right w:val="single" w:color="auto" w:sz="4" w:space="0"/>
            </w:tcBorders>
            <w:noWrap/>
            <w:vAlign w:val="center"/>
          </w:tcPr>
          <w:p w14:paraId="7D830AB7">
            <w:pPr>
              <w:pStyle w:val="22"/>
              <w:spacing w:after="0" w:line="360" w:lineRule="auto"/>
              <w:ind w:firstLine="0" w:firstLineChars="0"/>
              <w:rPr>
                <w:rFonts w:hint="eastAsia" w:ascii="宋体" w:hAnsi="宋体" w:eastAsia="宋体" w:cs="宋体"/>
                <w:color w:val="auto"/>
              </w:rPr>
            </w:pPr>
            <w:r>
              <w:rPr>
                <w:rFonts w:hint="eastAsia" w:ascii="宋体" w:hAnsi="宋体" w:eastAsia="宋体" w:cs="宋体"/>
                <w:color w:val="auto"/>
              </w:rPr>
              <w:t>（1）中标人应根据有关规定，向</w:t>
            </w:r>
            <w:r>
              <w:rPr>
                <w:rFonts w:hint="eastAsia" w:ascii="宋体" w:hAnsi="宋体" w:eastAsia="宋体" w:cs="宋体"/>
                <w:color w:val="auto"/>
                <w:lang w:val="en-US" w:eastAsia="zh-CN"/>
              </w:rPr>
              <w:t>广州公共资源交易中心</w:t>
            </w:r>
            <w:r>
              <w:rPr>
                <w:rFonts w:hint="eastAsia" w:ascii="宋体" w:hAnsi="宋体" w:eastAsia="宋体" w:cs="宋体"/>
                <w:color w:val="auto"/>
              </w:rPr>
              <w:t>交纳交易服务费。（具体收费标准详见《</w:t>
            </w:r>
            <w:r>
              <w:rPr>
                <w:rFonts w:hint="eastAsia" w:ascii="宋体" w:hAnsi="宋体" w:eastAsia="宋体" w:cs="宋体"/>
                <w:color w:val="auto"/>
                <w:lang w:val="en-US" w:eastAsia="zh-CN"/>
              </w:rPr>
              <w:t>广州</w:t>
            </w:r>
            <w:r>
              <w:rPr>
                <w:rFonts w:hint="eastAsia" w:ascii="宋体" w:hAnsi="宋体" w:eastAsia="宋体" w:cs="宋体"/>
                <w:color w:val="auto"/>
              </w:rPr>
              <w:t>公共资源交易中心工程建设项目招标投标交易服务收费标准》），费用均包含在投标总价中但不在投标报价中单列。中标人必须在中标通知书发出前支付该笔费用，否则无法出具中标通知书，由于中标人原因导致的延误，由此带来的后果将由中标人自行承担。</w:t>
            </w:r>
          </w:p>
          <w:p w14:paraId="283C05D6">
            <w:pPr>
              <w:pStyle w:val="22"/>
              <w:spacing w:after="0" w:line="360" w:lineRule="auto"/>
              <w:ind w:firstLine="0" w:firstLineChars="0"/>
              <w:rPr>
                <w:rFonts w:hint="eastAsia" w:ascii="宋体" w:hAnsi="宋体" w:eastAsia="宋体" w:cs="宋体"/>
                <w:color w:val="auto"/>
              </w:rPr>
            </w:pPr>
            <w:r>
              <w:rPr>
                <w:rFonts w:hint="eastAsia" w:ascii="宋体" w:hAnsi="宋体" w:eastAsia="宋体" w:cs="宋体"/>
                <w:color w:val="auto"/>
              </w:rPr>
              <w:t>（2）本项目招标代理费用参照《国家计委</w:t>
            </w:r>
            <w:r>
              <w:rPr>
                <w:rFonts w:hint="eastAsia" w:ascii="宋体" w:hAnsi="宋体" w:cs="宋体"/>
                <w:color w:val="auto"/>
                <w:lang w:eastAsia="zh-CN"/>
              </w:rPr>
              <w:t>〈</w:t>
            </w:r>
            <w:r>
              <w:rPr>
                <w:rFonts w:hint="eastAsia" w:ascii="宋体" w:hAnsi="宋体" w:eastAsia="宋体" w:cs="宋体"/>
                <w:color w:val="auto"/>
              </w:rPr>
              <w:t>关于印发招标代理服务收费管理暂行办法</w:t>
            </w:r>
            <w:r>
              <w:rPr>
                <w:rFonts w:hint="eastAsia" w:ascii="宋体" w:hAnsi="宋体" w:cs="宋体"/>
                <w:color w:val="auto"/>
                <w:lang w:eastAsia="zh-CN"/>
              </w:rPr>
              <w:t>〉</w:t>
            </w:r>
            <w:r>
              <w:rPr>
                <w:rFonts w:hint="eastAsia" w:ascii="宋体" w:hAnsi="宋体" w:eastAsia="宋体" w:cs="宋体"/>
                <w:color w:val="auto"/>
              </w:rPr>
              <w:t>的通知》（计价格</w:t>
            </w:r>
            <w:r>
              <w:rPr>
                <w:rFonts w:hint="eastAsia" w:ascii="宋体" w:hAnsi="宋体" w:cs="宋体"/>
                <w:color w:val="auto"/>
                <w:lang w:eastAsia="zh-CN"/>
              </w:rPr>
              <w:t>〔2002〕1980号</w:t>
            </w:r>
            <w:r>
              <w:rPr>
                <w:rFonts w:hint="eastAsia" w:ascii="宋体" w:hAnsi="宋体" w:eastAsia="宋体" w:cs="宋体"/>
                <w:color w:val="auto"/>
              </w:rPr>
              <w:t>）文和发改价格</w:t>
            </w:r>
            <w:r>
              <w:rPr>
                <w:rFonts w:hint="eastAsia" w:ascii="宋体" w:hAnsi="宋体" w:cs="宋体"/>
                <w:color w:val="auto"/>
                <w:lang w:eastAsia="zh-CN"/>
              </w:rPr>
              <w:t>〔2011〕534号</w:t>
            </w:r>
            <w:r>
              <w:rPr>
                <w:rFonts w:hint="eastAsia" w:ascii="宋体" w:hAnsi="宋体" w:eastAsia="宋体" w:cs="宋体"/>
                <w:color w:val="auto"/>
              </w:rPr>
              <w:t>收费标准下浮20%收取，按项目由中标单位在中标通知书发出后5个工作日内一次性付清。</w:t>
            </w:r>
          </w:p>
        </w:tc>
      </w:tr>
      <w:tr w14:paraId="57CF29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71A42A8">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10.2</w:t>
            </w:r>
          </w:p>
        </w:tc>
        <w:tc>
          <w:tcPr>
            <w:tcW w:w="2161" w:type="dxa"/>
            <w:tcBorders>
              <w:top w:val="single" w:color="auto" w:sz="6" w:space="0"/>
              <w:left w:val="single" w:color="auto" w:sz="6" w:space="0"/>
              <w:bottom w:val="single" w:color="auto" w:sz="6" w:space="0"/>
              <w:right w:val="single" w:color="auto" w:sz="6" w:space="0"/>
            </w:tcBorders>
            <w:noWrap/>
            <w:vAlign w:val="center"/>
          </w:tcPr>
          <w:p w14:paraId="057BF9A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第一中标候选人放弃中标资格情形</w:t>
            </w:r>
          </w:p>
        </w:tc>
        <w:tc>
          <w:tcPr>
            <w:tcW w:w="6068" w:type="dxa"/>
            <w:tcBorders>
              <w:top w:val="single" w:color="auto" w:sz="6" w:space="0"/>
              <w:left w:val="single" w:color="auto" w:sz="6" w:space="0"/>
              <w:bottom w:val="single" w:color="auto" w:sz="6" w:space="0"/>
              <w:right w:val="single" w:color="auto" w:sz="4" w:space="0"/>
            </w:tcBorders>
            <w:noWrap/>
            <w:vAlign w:val="center"/>
          </w:tcPr>
          <w:p w14:paraId="0026491A">
            <w:pPr>
              <w:widowControl/>
              <w:shd w:val="clear" w:color="auto" w:fill="FFFFFF"/>
              <w:spacing w:line="360" w:lineRule="auto"/>
              <w:rPr>
                <w:rFonts w:hint="eastAsia" w:ascii="宋体" w:hAnsi="宋体" w:eastAsia="宋体" w:cs="宋体"/>
                <w:color w:val="auto"/>
                <w:szCs w:val="21"/>
              </w:rPr>
            </w:pPr>
            <w:r>
              <w:rPr>
                <w:rFonts w:hint="eastAsia" w:ascii="宋体" w:hAnsi="宋体" w:eastAsia="宋体" w:cs="宋体"/>
                <w:color w:val="auto"/>
                <w:szCs w:val="21"/>
              </w:rPr>
              <w:t>排名第一的中标候选人放弃中标、因不可抗力不能履行合同、不按照招标文件要求提交履约保证金，或者被查实存在影响中标结果的违法行为等情形，不符合中标条件的，招标人可以按照招标文件第三章第3.4.1款确定的推荐中标候选人原则依次确定其他中标候选人为中标人，也可以重新招标。</w:t>
            </w:r>
          </w:p>
        </w:tc>
      </w:tr>
      <w:tr w14:paraId="0B421E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176647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75FA08B7">
            <w:pPr>
              <w:spacing w:line="360" w:lineRule="auto"/>
              <w:ind w:right="0" w:rightChars="0"/>
              <w:jc w:val="center"/>
              <w:rPr>
                <w:rFonts w:hint="eastAsia" w:ascii="宋体" w:hAnsi="宋体" w:eastAsia="宋体" w:cs="宋体"/>
                <w:color w:val="auto"/>
                <w:szCs w:val="21"/>
              </w:rPr>
            </w:pPr>
            <w:r>
              <w:rPr>
                <w:rFonts w:hint="eastAsia" w:ascii="宋体" w:hAnsi="宋体" w:eastAsia="宋体" w:cs="宋体"/>
                <w:color w:val="auto"/>
                <w:szCs w:val="21"/>
              </w:rPr>
              <w:t>否决投标条款</w:t>
            </w:r>
            <w:r>
              <w:rPr>
                <w:rFonts w:hint="eastAsia" w:ascii="宋体" w:hAnsi="宋体" w:eastAsia="宋体" w:cs="宋体"/>
                <w:color w:val="auto"/>
                <w:szCs w:val="21"/>
                <w:lang w:bidi="ar"/>
              </w:rPr>
              <w:t>摘要</w:t>
            </w:r>
          </w:p>
        </w:tc>
        <w:tc>
          <w:tcPr>
            <w:tcW w:w="6068" w:type="dxa"/>
            <w:tcBorders>
              <w:top w:val="single" w:color="auto" w:sz="6" w:space="0"/>
              <w:left w:val="single" w:color="auto" w:sz="6" w:space="0"/>
              <w:bottom w:val="single" w:color="auto" w:sz="6" w:space="0"/>
              <w:right w:val="single" w:color="auto" w:sz="4" w:space="0"/>
            </w:tcBorders>
            <w:noWrap/>
            <w:vAlign w:val="center"/>
          </w:tcPr>
          <w:p w14:paraId="142D579C">
            <w:pPr>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否决投标条款摘要</w:t>
            </w:r>
            <w:r>
              <w:rPr>
                <w:rFonts w:hint="eastAsia" w:ascii="宋体" w:hAnsi="宋体" w:eastAsia="宋体" w:cs="宋体"/>
                <w:color w:val="auto"/>
                <w:szCs w:val="21"/>
                <w:lang w:val="en-US" w:eastAsia="zh-CN" w:bidi="ar"/>
              </w:rPr>
              <w:t>说明</w:t>
            </w:r>
            <w:r>
              <w:rPr>
                <w:rFonts w:hint="eastAsia" w:ascii="宋体" w:hAnsi="宋体" w:eastAsia="宋体" w:cs="宋体"/>
                <w:color w:val="auto"/>
                <w:szCs w:val="21"/>
                <w:lang w:bidi="ar"/>
              </w:rPr>
              <w:t>：</w:t>
            </w:r>
          </w:p>
          <w:p w14:paraId="030CCEAE">
            <w:pPr>
              <w:spacing w:line="360" w:lineRule="auto"/>
              <w:rPr>
                <w:rFonts w:hint="eastAsia" w:ascii="宋体" w:hAnsi="宋体" w:eastAsia="宋体" w:cs="宋体"/>
                <w:color w:val="auto"/>
                <w:szCs w:val="21"/>
                <w:lang w:bidi="ar"/>
              </w:rPr>
            </w:pPr>
            <w:r>
              <w:rPr>
                <w:rFonts w:hint="eastAsia" w:ascii="宋体" w:hAnsi="宋体" w:eastAsia="宋体" w:cs="宋体"/>
                <w:color w:val="auto"/>
                <w:szCs w:val="21"/>
                <w:lang w:bidi="ar"/>
              </w:rPr>
              <w:t>本摘要是本招标文件（含招标文件的澄清答疑、修改、补充文件等）中涉及的所有否决性条款的集中载明，包括：招标文件规定的在开标会上当场宣布投标文件不予受理或为无效投标的情形，初步评审、详细评审阶段发现重大偏差的情形。除出现本摘要集中列示的否决性条款规定的情形以外，投标文件出现的其他任何情形均不得作否决处理。招标文件中有关否决性条款的阐述与本摘要所列内容不一致的，以本摘要载明的内容为准。</w:t>
            </w:r>
          </w:p>
          <w:p w14:paraId="3D41B40F">
            <w:pPr>
              <w:spacing w:line="360" w:lineRule="auto"/>
              <w:rPr>
                <w:rFonts w:hint="eastAsia" w:ascii="宋体" w:hAnsi="宋体"/>
                <w:color w:val="auto"/>
                <w:lang w:eastAsia="zh-CN"/>
              </w:rPr>
            </w:pPr>
            <w:r>
              <w:rPr>
                <w:rFonts w:hint="eastAsia" w:ascii="宋体" w:hAnsi="宋体" w:cs="宋体"/>
                <w:color w:val="auto"/>
                <w:szCs w:val="21"/>
                <w:lang w:val="en-US" w:eastAsia="zh-CN" w:bidi="ar"/>
              </w:rPr>
              <w:t>1.</w:t>
            </w:r>
            <w:r>
              <w:rPr>
                <w:rFonts w:ascii="宋体" w:hAnsi="宋体"/>
                <w:color w:val="auto"/>
              </w:rPr>
              <w:t>逾期送达的投标文件，电子招标投标交易平台将予以拒收</w:t>
            </w:r>
            <w:r>
              <w:rPr>
                <w:rFonts w:hint="eastAsia" w:ascii="宋体" w:hAnsi="宋体"/>
                <w:color w:val="auto"/>
                <w:lang w:eastAsia="zh-CN"/>
              </w:rPr>
              <w:t>。</w:t>
            </w:r>
          </w:p>
          <w:p w14:paraId="6F555EEF">
            <w:pPr>
              <w:spacing w:line="360" w:lineRule="auto"/>
              <w:rPr>
                <w:rFonts w:hint="eastAsia" w:ascii="宋体" w:hAnsi="宋体"/>
                <w:color w:val="auto"/>
                <w:lang w:val="en-US" w:eastAsia="zh-CN"/>
              </w:rPr>
            </w:pPr>
            <w:r>
              <w:rPr>
                <w:rFonts w:hint="eastAsia" w:ascii="宋体" w:hAnsi="宋体"/>
                <w:color w:val="auto"/>
                <w:lang w:val="en-US" w:eastAsia="zh-CN"/>
              </w:rPr>
              <w:t>2.未对投标文件进行数字证书加密的，或对投标文件进行加密但在开标会规定的时间内没有完成解密的；</w:t>
            </w:r>
          </w:p>
          <w:p w14:paraId="63ACA43D">
            <w:pPr>
              <w:spacing w:line="360" w:lineRule="auto"/>
              <w:rPr>
                <w:rFonts w:hint="default" w:ascii="宋体" w:hAnsi="宋体"/>
                <w:color w:val="auto"/>
                <w:lang w:val="en-US" w:eastAsia="zh-CN"/>
              </w:rPr>
            </w:pPr>
            <w:r>
              <w:rPr>
                <w:rFonts w:hint="eastAsia" w:ascii="宋体" w:hAnsi="宋体"/>
                <w:color w:val="auto"/>
                <w:lang w:val="en-US" w:eastAsia="zh-CN"/>
              </w:rPr>
              <w:t>3.投标人不得递交备选投标方案，否则其投标将被否决。</w:t>
            </w:r>
          </w:p>
          <w:p w14:paraId="45F20CB6">
            <w:pPr>
              <w:spacing w:line="360" w:lineRule="auto"/>
              <w:rPr>
                <w:rFonts w:hint="eastAsia" w:ascii="宋体" w:hAnsi="宋体" w:eastAsia="宋体" w:cs="宋体"/>
                <w:color w:val="auto"/>
                <w:szCs w:val="21"/>
                <w:lang w:bidi="ar"/>
              </w:rPr>
            </w:pPr>
            <w:r>
              <w:rPr>
                <w:rFonts w:hint="eastAsia" w:ascii="宋体" w:hAnsi="宋体"/>
                <w:color w:val="auto"/>
                <w:lang w:val="en-US" w:eastAsia="zh-CN"/>
              </w:rPr>
              <w:t>4.</w:t>
            </w:r>
            <w:r>
              <w:rPr>
                <w:rFonts w:hint="eastAsia" w:ascii="宋体" w:hAnsi="宋体" w:eastAsia="宋体" w:cs="宋体"/>
                <w:color w:val="auto"/>
                <w:szCs w:val="21"/>
                <w:lang w:bidi="ar"/>
              </w:rPr>
              <w:t>投标文件符合列于《评标办法前附表》“形式评审标准”“资格评审标准”“响应性评审标准”中所有情形的，为有效投标文件。任一情形不符合均为无效投标文件，经评标委员会认定后，其投标文件将被否决。</w:t>
            </w:r>
          </w:p>
          <w:p w14:paraId="64FF01B2">
            <w:pPr>
              <w:spacing w:line="360" w:lineRule="auto"/>
              <w:rPr>
                <w:rFonts w:hint="eastAsia" w:ascii="宋体" w:hAnsi="宋体" w:eastAsia="宋体" w:cs="宋体"/>
                <w:color w:val="auto"/>
                <w:szCs w:val="21"/>
                <w:lang w:val="en-US" w:eastAsia="zh-CN" w:bidi="ar"/>
              </w:rPr>
            </w:pPr>
            <w:r>
              <w:rPr>
                <w:rFonts w:hint="eastAsia" w:ascii="宋体" w:hAnsi="宋体" w:cs="宋体"/>
                <w:color w:val="auto"/>
                <w:szCs w:val="21"/>
                <w:lang w:val="en-US" w:eastAsia="zh-CN" w:bidi="ar"/>
              </w:rPr>
              <w:t>5.</w:t>
            </w:r>
            <w:r>
              <w:rPr>
                <w:rFonts w:hint="eastAsia" w:ascii="宋体" w:hAnsi="宋体" w:eastAsia="宋体" w:cs="宋体"/>
                <w:color w:val="auto"/>
                <w:szCs w:val="21"/>
                <w:lang w:val="en-US" w:eastAsia="zh-CN" w:bidi="ar"/>
              </w:rPr>
              <w:t>投标人有以下情形之一的，评标委员会应当否决其投标：</w:t>
            </w:r>
          </w:p>
          <w:p w14:paraId="0BBE8C60">
            <w:pPr>
              <w:spacing w:line="360" w:lineRule="auto"/>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（1）投标文件没有对招标文件的实质性要求和条件作出响应，或者对招标文件的偏差超出招标文件规定的偏差范围或最高项数；</w:t>
            </w:r>
          </w:p>
          <w:p w14:paraId="67A8942B">
            <w:pPr>
              <w:spacing w:line="360" w:lineRule="auto"/>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（2）有串通投标、弄虚作假、行贿等违法行为。</w:t>
            </w:r>
          </w:p>
          <w:p w14:paraId="1B35C91B">
            <w:pPr>
              <w:spacing w:line="360" w:lineRule="auto"/>
              <w:rPr>
                <w:rFonts w:hint="eastAsia" w:ascii="宋体" w:hAnsi="宋体" w:eastAsia="宋体" w:cs="宋体"/>
                <w:color w:val="auto"/>
                <w:szCs w:val="21"/>
                <w:lang w:val="en-US" w:eastAsia="zh-CN" w:bidi="ar"/>
              </w:rPr>
            </w:pPr>
            <w:r>
              <w:rPr>
                <w:rFonts w:hint="eastAsia" w:ascii="宋体" w:hAnsi="宋体" w:cs="宋体"/>
                <w:color w:val="auto"/>
                <w:szCs w:val="21"/>
                <w:lang w:val="en-US" w:eastAsia="zh-CN" w:bidi="ar"/>
              </w:rPr>
              <w:t>6.</w:t>
            </w:r>
            <w:r>
              <w:rPr>
                <w:rFonts w:hint="eastAsia" w:ascii="宋体" w:hAnsi="宋体" w:eastAsia="宋体" w:cs="宋体"/>
                <w:color w:val="auto"/>
                <w:szCs w:val="21"/>
                <w:lang w:val="en-US" w:eastAsia="zh-CN" w:bidi="ar"/>
              </w:rPr>
              <w:t>投标报价有算术错误及其他错误的，评标委员会按以下原则要求投标人对投标报价进行修正，并要求投标人书面澄清确认。投标人拒不澄清确认的，评标委员会应当否决其投标：</w:t>
            </w:r>
          </w:p>
          <w:p w14:paraId="63AF2711">
            <w:pPr>
              <w:spacing w:line="360" w:lineRule="auto"/>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（1）投标文件中的大写金额与小写金额不一致的，以大写金额为准；</w:t>
            </w:r>
          </w:p>
          <w:p w14:paraId="715274D2">
            <w:pPr>
              <w:spacing w:line="360" w:lineRule="auto"/>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（2）总价金额与单价金额不一致的，以单价金额为准，但单价金额小数点有明显错误的除外。</w:t>
            </w:r>
          </w:p>
          <w:p w14:paraId="3947AF1D">
            <w:pPr>
              <w:spacing w:line="360" w:lineRule="auto"/>
              <w:rPr>
                <w:rFonts w:hint="default" w:ascii="宋体" w:hAnsi="宋体" w:eastAsia="宋体" w:cs="宋体"/>
                <w:color w:val="auto"/>
                <w:szCs w:val="21"/>
                <w:lang w:val="en-US" w:eastAsia="zh-CN" w:bidi="ar"/>
              </w:rPr>
            </w:pPr>
            <w:r>
              <w:rPr>
                <w:rFonts w:hint="eastAsia" w:ascii="宋体" w:hAnsi="宋体" w:cs="宋体"/>
                <w:color w:val="auto"/>
                <w:szCs w:val="21"/>
                <w:lang w:val="en-US" w:eastAsia="zh-CN" w:bidi="ar"/>
              </w:rPr>
              <w:t>7.</w:t>
            </w:r>
            <w:r>
              <w:rPr>
                <w:rFonts w:hint="eastAsia" w:ascii="宋体" w:hAnsi="宋体" w:eastAsia="宋体" w:cs="宋体"/>
                <w:color w:val="auto"/>
                <w:szCs w:val="21"/>
                <w:lang w:val="en-US" w:eastAsia="zh-CN"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tc>
      </w:tr>
    </w:tbl>
    <w:p w14:paraId="02A2A6B6">
      <w:pPr>
        <w:spacing w:before="240" w:beforeLines="100" w:line="360" w:lineRule="auto"/>
        <w:jc w:val="left"/>
        <w:outlineLvl w:val="1"/>
        <w:rPr>
          <w:rFonts w:ascii="宋体" w:hAnsi="宋体"/>
          <w:b/>
          <w:bCs/>
          <w:color w:val="000000" w:themeColor="text1"/>
          <w:sz w:val="32"/>
          <w:szCs w:val="32"/>
          <w14:textFill>
            <w14:solidFill>
              <w14:schemeClr w14:val="tx1"/>
            </w14:solidFill>
          </w14:textFill>
        </w:rPr>
      </w:pPr>
      <w:r>
        <w:rPr>
          <w:rFonts w:ascii="宋体" w:hAnsi="宋体"/>
          <w:color w:val="000000" w:themeColor="text1"/>
          <w14:textFill>
            <w14:solidFill>
              <w14:schemeClr w14:val="tx1"/>
            </w14:solidFill>
          </w14:textFill>
        </w:rPr>
        <w:br w:type="page"/>
      </w:r>
      <w:bookmarkEnd w:id="40"/>
      <w:bookmarkEnd w:id="41"/>
      <w:bookmarkEnd w:id="42"/>
    </w:p>
    <w:p w14:paraId="34E24A5E">
      <w:pPr>
        <w:spacing w:before="260"/>
        <w:outlineLvl w:val="2"/>
        <w:rPr>
          <w:rFonts w:ascii="宋体" w:hAnsi="宋体"/>
          <w:b/>
          <w:color w:val="000000" w:themeColor="text1"/>
          <w:sz w:val="32"/>
          <w:szCs w:val="32"/>
          <w14:textFill>
            <w14:solidFill>
              <w14:schemeClr w14:val="tx1"/>
            </w14:solidFill>
          </w14:textFill>
        </w:rPr>
      </w:pPr>
      <w:bookmarkStart w:id="43" w:name="_Toc515205193"/>
      <w:bookmarkStart w:id="44" w:name="_Toc529196520"/>
      <w:r>
        <w:rPr>
          <w:rFonts w:ascii="宋体" w:hAnsi="宋体"/>
          <w:b/>
          <w:color w:val="000000" w:themeColor="text1"/>
          <w:sz w:val="32"/>
          <w:szCs w:val="32"/>
          <w14:textFill>
            <w14:solidFill>
              <w14:schemeClr w14:val="tx1"/>
            </w14:solidFill>
          </w14:textFill>
        </w:rPr>
        <w:t xml:space="preserve">1. </w:t>
      </w:r>
      <w:r>
        <w:rPr>
          <w:rFonts w:hint="eastAsia" w:ascii="宋体" w:hAnsi="宋体"/>
          <w:b/>
          <w:color w:val="000000" w:themeColor="text1"/>
          <w:sz w:val="32"/>
          <w:szCs w:val="32"/>
          <w14:textFill>
            <w14:solidFill>
              <w14:schemeClr w14:val="tx1"/>
            </w14:solidFill>
          </w14:textFill>
        </w:rPr>
        <w:t>总则</w:t>
      </w:r>
      <w:bookmarkEnd w:id="43"/>
      <w:bookmarkEnd w:id="44"/>
    </w:p>
    <w:p w14:paraId="684BBF1B">
      <w:pPr>
        <w:spacing w:before="240" w:beforeLines="100" w:after="240" w:afterLines="100"/>
        <w:rPr>
          <w:rFonts w:ascii="宋体" w:hAnsi="宋体"/>
          <w:b/>
          <w:color w:val="000000" w:themeColor="text1"/>
          <w:sz w:val="28"/>
          <w:szCs w:val="28"/>
          <w14:textFill>
            <w14:solidFill>
              <w14:schemeClr w14:val="tx1"/>
            </w14:solidFill>
          </w14:textFill>
        </w:rPr>
      </w:pPr>
      <w:bookmarkStart w:id="45" w:name="_Toc515205194"/>
      <w:bookmarkStart w:id="46" w:name="_Toc529196521"/>
      <w:r>
        <w:rPr>
          <w:rFonts w:ascii="宋体" w:hAnsi="宋体"/>
          <w:b/>
          <w:color w:val="000000" w:themeColor="text1"/>
          <w:sz w:val="28"/>
          <w:szCs w:val="28"/>
          <w14:textFill>
            <w14:solidFill>
              <w14:schemeClr w14:val="tx1"/>
            </w14:solidFill>
          </w14:textFill>
        </w:rPr>
        <w:t>1.1招标项目概况</w:t>
      </w:r>
      <w:bookmarkEnd w:id="45"/>
      <w:bookmarkEnd w:id="46"/>
    </w:p>
    <w:p w14:paraId="3CEF602D">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根据《中华人民共和国招标投标法》、《中华人民共和国招标投标法实施条例》等有关法律、法规和规章的规定，本招标项目已具备招标条件，现对监理进行招标。</w:t>
      </w:r>
    </w:p>
    <w:p w14:paraId="4649715E">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招标人：见投标人须知前附表。</w:t>
      </w:r>
    </w:p>
    <w:p w14:paraId="0A8F06E2">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招标代理机构：见投标人须知前附表。</w:t>
      </w:r>
    </w:p>
    <w:p w14:paraId="2C07B683">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招标项目名称：见投标人须知前附表。</w:t>
      </w:r>
    </w:p>
    <w:p w14:paraId="3EF19216">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项目建设地点：见投标人须知前附表。</w:t>
      </w:r>
    </w:p>
    <w:p w14:paraId="547E2F4E">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1.1.6 </w:t>
      </w:r>
      <w:r>
        <w:rPr>
          <w:rFonts w:hint="eastAsia" w:ascii="宋体" w:hAnsi="宋体"/>
          <w:color w:val="000000" w:themeColor="text1"/>
          <w:szCs w:val="21"/>
          <w14:textFill>
            <w14:solidFill>
              <w14:schemeClr w14:val="tx1"/>
            </w14:solidFill>
          </w14:textFill>
        </w:rPr>
        <w:t>项目建设规模：见投标人须知前附表。</w:t>
      </w:r>
    </w:p>
    <w:p w14:paraId="07E9B0F6">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1.1.7 </w:t>
      </w:r>
      <w:r>
        <w:rPr>
          <w:rFonts w:hint="eastAsia" w:ascii="宋体" w:hAnsi="宋体"/>
          <w:color w:val="000000" w:themeColor="text1"/>
          <w:szCs w:val="21"/>
          <w14:textFill>
            <w14:solidFill>
              <w14:schemeClr w14:val="tx1"/>
            </w14:solidFill>
          </w14:textFill>
        </w:rPr>
        <w:t>建筑安装工程费</w:t>
      </w:r>
      <w:r>
        <w:rPr>
          <w:rFonts w:ascii="宋体" w:hAnsi="宋体"/>
          <w:color w:val="000000" w:themeColor="text1"/>
          <w:szCs w:val="21"/>
          <w14:textFill>
            <w14:solidFill>
              <w14:schemeClr w14:val="tx1"/>
            </w14:solidFill>
          </w14:textFill>
        </w:rPr>
        <w:t>/工程概算：见投标人须知前附表。</w:t>
      </w:r>
    </w:p>
    <w:p w14:paraId="2B3676E1">
      <w:pPr>
        <w:spacing w:before="240" w:beforeLines="100" w:after="240" w:afterLines="100"/>
        <w:rPr>
          <w:rFonts w:ascii="宋体" w:hAnsi="宋体"/>
          <w:b/>
          <w:color w:val="000000" w:themeColor="text1"/>
          <w:sz w:val="28"/>
          <w:szCs w:val="28"/>
          <w14:textFill>
            <w14:solidFill>
              <w14:schemeClr w14:val="tx1"/>
            </w14:solidFill>
          </w14:textFill>
        </w:rPr>
      </w:pPr>
      <w:bookmarkStart w:id="47" w:name="_Toc529196522"/>
      <w:bookmarkStart w:id="48" w:name="_Toc515205195"/>
      <w:r>
        <w:rPr>
          <w:rFonts w:ascii="宋体" w:hAnsi="宋体"/>
          <w:b/>
          <w:color w:val="000000" w:themeColor="text1"/>
          <w:sz w:val="28"/>
          <w:szCs w:val="28"/>
          <w14:textFill>
            <w14:solidFill>
              <w14:schemeClr w14:val="tx1"/>
            </w14:solidFill>
          </w14:textFill>
        </w:rPr>
        <w:t>1.2招标项目的资金来源和落实情况</w:t>
      </w:r>
      <w:bookmarkEnd w:id="47"/>
      <w:bookmarkEnd w:id="48"/>
    </w:p>
    <w:p w14:paraId="637B6157">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1.2.1 </w:t>
      </w:r>
      <w:r>
        <w:rPr>
          <w:rFonts w:hint="eastAsia" w:ascii="宋体" w:hAnsi="宋体"/>
          <w:color w:val="000000" w:themeColor="text1"/>
          <w14:textFill>
            <w14:solidFill>
              <w14:schemeClr w14:val="tx1"/>
            </w14:solidFill>
          </w14:textFill>
        </w:rPr>
        <w:t>资金来源及比例：见投标人须知前附表。</w:t>
      </w:r>
    </w:p>
    <w:p w14:paraId="0F522B03">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1.2.2 </w:t>
      </w:r>
      <w:r>
        <w:rPr>
          <w:rFonts w:hint="eastAsia" w:ascii="宋体" w:hAnsi="宋体"/>
          <w:color w:val="000000" w:themeColor="text1"/>
          <w14:textFill>
            <w14:solidFill>
              <w14:schemeClr w14:val="tx1"/>
            </w14:solidFill>
          </w14:textFill>
        </w:rPr>
        <w:t>资金落实情况：见投标人须知前附表。</w:t>
      </w:r>
    </w:p>
    <w:p w14:paraId="5E48D4D9">
      <w:pPr>
        <w:spacing w:before="240" w:beforeLines="100" w:after="240" w:afterLines="100"/>
        <w:rPr>
          <w:rFonts w:ascii="宋体" w:hAnsi="宋体"/>
          <w:b/>
          <w:color w:val="000000" w:themeColor="text1"/>
          <w:sz w:val="28"/>
          <w:szCs w:val="28"/>
          <w14:textFill>
            <w14:solidFill>
              <w14:schemeClr w14:val="tx1"/>
            </w14:solidFill>
          </w14:textFill>
        </w:rPr>
      </w:pPr>
      <w:bookmarkStart w:id="49" w:name="_Toc529196523"/>
      <w:bookmarkStart w:id="50" w:name="_Toc515205196"/>
      <w:r>
        <w:rPr>
          <w:rFonts w:ascii="宋体" w:hAnsi="宋体"/>
          <w:b/>
          <w:color w:val="000000" w:themeColor="text1"/>
          <w:sz w:val="28"/>
          <w:szCs w:val="28"/>
          <w14:textFill>
            <w14:solidFill>
              <w14:schemeClr w14:val="tx1"/>
            </w14:solidFill>
          </w14:textFill>
        </w:rPr>
        <w:t>1.3招标范围、监理服务期限和质量标准</w:t>
      </w:r>
      <w:bookmarkEnd w:id="49"/>
      <w:bookmarkEnd w:id="50"/>
    </w:p>
    <w:p w14:paraId="2B1A82F7">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1.3.1 </w:t>
      </w:r>
      <w:r>
        <w:rPr>
          <w:rFonts w:hint="eastAsia" w:ascii="宋体" w:hAnsi="宋体"/>
          <w:color w:val="000000" w:themeColor="text1"/>
          <w:szCs w:val="21"/>
          <w14:textFill>
            <w14:solidFill>
              <w14:schemeClr w14:val="tx1"/>
            </w14:solidFill>
          </w14:textFill>
        </w:rPr>
        <w:t>招标范围：见投标人须知前附表。</w:t>
      </w:r>
    </w:p>
    <w:p w14:paraId="331F1A6B">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1.3.2 </w:t>
      </w:r>
      <w:r>
        <w:rPr>
          <w:rFonts w:hint="eastAsia" w:ascii="宋体" w:hAnsi="宋体"/>
          <w:color w:val="000000" w:themeColor="text1"/>
          <w:szCs w:val="21"/>
          <w14:textFill>
            <w14:solidFill>
              <w14:schemeClr w14:val="tx1"/>
            </w14:solidFill>
          </w14:textFill>
        </w:rPr>
        <w:t>监理服务期限：见投标人须知前附表。</w:t>
      </w:r>
    </w:p>
    <w:p w14:paraId="6C44562E">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1.3.3 </w:t>
      </w:r>
      <w:r>
        <w:rPr>
          <w:rFonts w:hint="eastAsia" w:ascii="宋体" w:hAnsi="宋体"/>
          <w:color w:val="000000" w:themeColor="text1"/>
          <w:szCs w:val="21"/>
          <w14:textFill>
            <w14:solidFill>
              <w14:schemeClr w14:val="tx1"/>
            </w14:solidFill>
          </w14:textFill>
        </w:rPr>
        <w:t>质量标准：见投标人须知前附表。</w:t>
      </w:r>
    </w:p>
    <w:p w14:paraId="4B4548CC">
      <w:pPr>
        <w:spacing w:line="360" w:lineRule="auto"/>
        <w:ind w:firstLine="420" w:firstLineChars="200"/>
        <w:rPr>
          <w:rFonts w:hint="default" w:ascii="宋体" w:hAnsi="宋体"/>
          <w:color w:val="000000" w:themeColor="text1"/>
          <w:szCs w:val="21"/>
          <w:lang w:val="en-US"/>
          <w14:textFill>
            <w14:solidFill>
              <w14:schemeClr w14:val="tx1"/>
            </w14:solidFill>
          </w14:textFill>
        </w:rPr>
      </w:pPr>
      <w:r>
        <w:rPr>
          <w:rFonts w:hint="eastAsia" w:ascii="宋体" w:hAnsi="宋体" w:eastAsia="宋体" w:cs="宋体"/>
          <w:color w:val="auto"/>
          <w:szCs w:val="21"/>
          <w:highlight w:val="none"/>
          <w:lang w:val="en-US" w:eastAsia="zh-CN"/>
        </w:rPr>
        <w:t>1.3.4 监理人员的专业配套要求</w:t>
      </w:r>
      <w:r>
        <w:rPr>
          <w:rFonts w:hint="eastAsia" w:ascii="宋体" w:hAnsi="宋体"/>
          <w:color w:val="000000" w:themeColor="text1"/>
          <w:szCs w:val="21"/>
          <w14:textFill>
            <w14:solidFill>
              <w14:schemeClr w14:val="tx1"/>
            </w14:solidFill>
          </w14:textFill>
        </w:rPr>
        <w:t>：见投标人须知前附表。</w:t>
      </w:r>
    </w:p>
    <w:p w14:paraId="3C06905A">
      <w:pPr>
        <w:spacing w:before="240" w:beforeLines="100" w:after="240" w:afterLines="100"/>
        <w:rPr>
          <w:rFonts w:ascii="宋体" w:hAnsi="宋体"/>
          <w:b/>
          <w:color w:val="000000" w:themeColor="text1"/>
          <w:sz w:val="28"/>
          <w:szCs w:val="28"/>
          <w14:textFill>
            <w14:solidFill>
              <w14:schemeClr w14:val="tx1"/>
            </w14:solidFill>
          </w14:textFill>
        </w:rPr>
      </w:pPr>
      <w:bookmarkStart w:id="51" w:name="_Toc529196524"/>
      <w:bookmarkStart w:id="52" w:name="_Toc515205197"/>
      <w:r>
        <w:rPr>
          <w:rFonts w:ascii="宋体" w:hAnsi="宋体"/>
          <w:b/>
          <w:color w:val="000000" w:themeColor="text1"/>
          <w:sz w:val="28"/>
          <w:szCs w:val="28"/>
          <w14:textFill>
            <w14:solidFill>
              <w14:schemeClr w14:val="tx1"/>
            </w14:solidFill>
          </w14:textFill>
        </w:rPr>
        <w:t>1.4投标人资格要求</w:t>
      </w:r>
      <w:bookmarkEnd w:id="51"/>
      <w:bookmarkEnd w:id="52"/>
    </w:p>
    <w:p w14:paraId="62DCA928">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投标人应具备承担本招标项目资质条件、能力和信誉：</w:t>
      </w:r>
    </w:p>
    <w:p w14:paraId="465242EA">
      <w:pPr>
        <w:spacing w:line="360" w:lineRule="auto"/>
        <w:ind w:firstLine="315" w:firstLine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1）资质要求：见投标人须知前附表；</w:t>
      </w:r>
    </w:p>
    <w:p w14:paraId="48F17B5F">
      <w:pPr>
        <w:spacing w:line="360" w:lineRule="auto"/>
        <w:ind w:firstLine="315" w:firstLine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ascii="宋体" w:hAnsi="宋体"/>
          <w:color w:val="000000" w:themeColor="text1"/>
          <w:szCs w:val="21"/>
          <w14:textFill>
            <w14:solidFill>
              <w14:schemeClr w14:val="tx1"/>
            </w14:solidFill>
          </w14:textFill>
        </w:rPr>
        <w:t>）业绩要求：见投标人须知前附表；</w:t>
      </w:r>
    </w:p>
    <w:p w14:paraId="7316D575">
      <w:pPr>
        <w:spacing w:line="360" w:lineRule="auto"/>
        <w:ind w:firstLine="315" w:firstLine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ascii="宋体" w:hAnsi="宋体"/>
          <w:color w:val="000000" w:themeColor="text1"/>
          <w:szCs w:val="21"/>
          <w14:textFill>
            <w14:solidFill>
              <w14:schemeClr w14:val="tx1"/>
            </w14:solidFill>
          </w14:textFill>
        </w:rPr>
        <w:t>）信誉要求：见投标人须知前附表；</w:t>
      </w:r>
    </w:p>
    <w:p w14:paraId="4E07E390">
      <w:pPr>
        <w:spacing w:line="360" w:lineRule="auto"/>
        <w:ind w:firstLine="315" w:firstLine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14:textFill>
            <w14:solidFill>
              <w14:schemeClr w14:val="tx1"/>
            </w14:solidFill>
          </w14:textFill>
        </w:rPr>
        <w:t>）总监理工程师的资格要求：见投标人须知前附表；</w:t>
      </w:r>
    </w:p>
    <w:p w14:paraId="06EDED67">
      <w:pPr>
        <w:spacing w:line="360" w:lineRule="auto"/>
        <w:ind w:firstLine="315" w:firstLine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）其他要求：见投标人须知前附表。</w:t>
      </w:r>
    </w:p>
    <w:p w14:paraId="70B94269">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需要提交的相关证明材料见本章第</w:t>
      </w:r>
      <w:r>
        <w:rPr>
          <w:rFonts w:ascii="宋体" w:hAnsi="宋体"/>
          <w:color w:val="000000" w:themeColor="text1"/>
          <w:szCs w:val="21"/>
          <w14:textFill>
            <w14:solidFill>
              <w14:schemeClr w14:val="tx1"/>
            </w14:solidFill>
          </w14:textFill>
        </w:rPr>
        <w:t>3.5款的规定。</w:t>
      </w:r>
    </w:p>
    <w:p w14:paraId="0E35A69E">
      <w:pPr>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1.4.2</w:t>
      </w:r>
      <w:r>
        <w:rPr>
          <w:rFonts w:hint="eastAsia" w:ascii="宋体" w:hAnsi="宋体"/>
          <w:color w:val="000000" w:themeColor="text1"/>
          <w:szCs w:val="21"/>
          <w:lang w:val="en-US" w:eastAsia="zh-CN"/>
          <w14:textFill>
            <w14:solidFill>
              <w14:schemeClr w14:val="tx1"/>
            </w14:solidFill>
          </w14:textFill>
        </w:rPr>
        <w:t>本次招标不接受联合体投标</w:t>
      </w:r>
    </w:p>
    <w:p w14:paraId="3987A126">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1.4.3 </w:t>
      </w:r>
      <w:r>
        <w:rPr>
          <w:rFonts w:hint="eastAsia" w:ascii="宋体" w:hAnsi="宋体"/>
          <w:color w:val="000000" w:themeColor="text1"/>
          <w:szCs w:val="21"/>
          <w14:textFill>
            <w14:solidFill>
              <w14:schemeClr w14:val="tx1"/>
            </w14:solidFill>
          </w14:textFill>
        </w:rPr>
        <w:t>投标人不得存在下列情形之一：</w:t>
      </w:r>
    </w:p>
    <w:p w14:paraId="233DF64A">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1）为招标人不具有独立法人资格的附属机构（单位）；</w:t>
      </w:r>
    </w:p>
    <w:p w14:paraId="1B1E334D">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2）与招标人存在利害关系且可能影响招标公正性；</w:t>
      </w:r>
    </w:p>
    <w:p w14:paraId="70A2D036">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3）与本招标项目的其他投标人为同一个单位负责人；</w:t>
      </w:r>
    </w:p>
    <w:p w14:paraId="311A8D25">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4）与本招标项目的其他投标人存在控股、管理关系；</w:t>
      </w:r>
    </w:p>
    <w:p w14:paraId="62A5A313">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5）为本招标项目的代建人；</w:t>
      </w:r>
    </w:p>
    <w:p w14:paraId="076DF98E">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6）为本招标项目的招标代理机构；</w:t>
      </w:r>
    </w:p>
    <w:p w14:paraId="210B7469">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7）与本招标项目的代建人或招标代理机构同为一个法定代表人；</w:t>
      </w:r>
    </w:p>
    <w:p w14:paraId="4F7D9FFC">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8）与本招标项目的代建人或招标代理机构存在控股或参股关系；</w:t>
      </w:r>
    </w:p>
    <w:p w14:paraId="216F5719">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9）与本招标项目的施工承包人以及建筑材料、建筑构配件和设备供应商有隶属关系或者其他利害关系；</w:t>
      </w:r>
    </w:p>
    <w:p w14:paraId="476D17AC">
      <w:pPr>
        <w:spacing w:before="1" w:line="360" w:lineRule="auto"/>
        <w:ind w:firstLine="44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5"/>
          <w:szCs w:val="21"/>
          <w14:textFill>
            <w14:solidFill>
              <w14:schemeClr w14:val="tx1"/>
            </w14:solidFill>
          </w14:textFill>
        </w:rPr>
        <w:t>(</w:t>
      </w:r>
      <w:r>
        <w:rPr>
          <w:rFonts w:ascii="Times New Roman" w:hAnsi="Times New Roman" w:eastAsia="Times New Roman"/>
          <w:color w:val="000000" w:themeColor="text1"/>
          <w:spacing w:val="5"/>
          <w:szCs w:val="21"/>
          <w14:textFill>
            <w14:solidFill>
              <w14:schemeClr w14:val="tx1"/>
            </w14:solidFill>
          </w14:textFill>
        </w:rPr>
        <w:t>10</w:t>
      </w:r>
      <w:r>
        <w:rPr>
          <w:rFonts w:ascii="宋体" w:hAnsi="宋体" w:cs="宋体"/>
          <w:color w:val="000000" w:themeColor="text1"/>
          <w:spacing w:val="5"/>
          <w:szCs w:val="21"/>
          <w14:textFill>
            <w14:solidFill>
              <w14:schemeClr w14:val="tx1"/>
            </w14:solidFill>
          </w14:textFill>
        </w:rPr>
        <w:t>)被依法暂停或者取消投标资格</w:t>
      </w:r>
      <w:r>
        <w:rPr>
          <w:rFonts w:hint="eastAsia" w:ascii="宋体" w:hAnsi="宋体" w:cs="宋体"/>
          <w:color w:val="000000" w:themeColor="text1"/>
          <w:spacing w:val="5"/>
          <w:szCs w:val="21"/>
          <w:u w:val="single"/>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000000" w:themeColor="text1"/>
          <w:spacing w:val="5"/>
          <w:szCs w:val="21"/>
          <w14:textFill>
            <w14:solidFill>
              <w14:schemeClr w14:val="tx1"/>
            </w14:solidFill>
          </w14:textFill>
        </w:rPr>
        <w:t>）</w:t>
      </w:r>
      <w:r>
        <w:rPr>
          <w:rFonts w:ascii="宋体" w:hAnsi="宋体" w:cs="宋体"/>
          <w:color w:val="000000" w:themeColor="text1"/>
          <w:spacing w:val="5"/>
          <w:szCs w:val="21"/>
          <w14:textFill>
            <w14:solidFill>
              <w14:schemeClr w14:val="tx1"/>
            </w14:solidFill>
          </w14:textFill>
        </w:rPr>
        <w:t>；</w:t>
      </w:r>
    </w:p>
    <w:p w14:paraId="3F32072A">
      <w:pPr>
        <w:spacing w:before="37" w:line="360" w:lineRule="auto"/>
        <w:ind w:right="-20" w:firstLine="468" w:firstLineChars="200"/>
        <w:jc w:val="left"/>
        <w:rPr>
          <w:rFonts w:ascii="宋体" w:hAnsi="宋体"/>
          <w:color w:val="000000" w:themeColor="text1"/>
          <w14:textFill>
            <w14:solidFill>
              <w14:schemeClr w14:val="tx1"/>
            </w14:solidFill>
          </w14:textFill>
        </w:rPr>
      </w:pPr>
      <w:r>
        <w:rPr>
          <w:rFonts w:ascii="宋体" w:hAnsi="宋体" w:cs="宋体"/>
          <w:color w:val="000000" w:themeColor="text1"/>
          <w:spacing w:val="12"/>
          <w:szCs w:val="21"/>
          <w14:textFill>
            <w14:solidFill>
              <w14:schemeClr w14:val="tx1"/>
            </w14:solidFill>
          </w14:textFill>
        </w:rPr>
        <w:t>(</w:t>
      </w:r>
      <w:r>
        <w:rPr>
          <w:rFonts w:ascii="Times New Roman" w:hAnsi="Times New Roman" w:eastAsia="Times New Roman"/>
          <w:color w:val="000000" w:themeColor="text1"/>
          <w:spacing w:val="6"/>
          <w:szCs w:val="21"/>
          <w14:textFill>
            <w14:solidFill>
              <w14:schemeClr w14:val="tx1"/>
            </w14:solidFill>
          </w14:textFill>
        </w:rPr>
        <w:t>11</w:t>
      </w:r>
      <w:r>
        <w:rPr>
          <w:rFonts w:ascii="宋体" w:hAnsi="宋体" w:cs="宋体"/>
          <w:color w:val="000000" w:themeColor="text1"/>
          <w:spacing w:val="6"/>
          <w:szCs w:val="21"/>
          <w14:textFill>
            <w14:solidFill>
              <w14:schemeClr w14:val="tx1"/>
            </w14:solidFill>
          </w14:textFill>
        </w:rPr>
        <w:t>)被责令停产停业、暂扣或者吊销许可证、暂扣或者吊销执照</w:t>
      </w:r>
      <w:r>
        <w:rPr>
          <w:rFonts w:hint="eastAsia" w:ascii="宋体" w:hAnsi="宋体"/>
          <w:color w:val="000000" w:themeColor="text1"/>
          <w:u w:val="single"/>
          <w14:textFill>
            <w14:solidFill>
              <w14:schemeClr w14:val="tx1"/>
            </w14:solidFill>
          </w14:textFill>
        </w:rPr>
        <w:t>（本项事实应当以根据《中华人民共和国行政处罚法》依法作出并已经生效的行政处罚决定为认定依据）</w:t>
      </w:r>
      <w:r>
        <w:rPr>
          <w:rFonts w:ascii="宋体" w:hAnsi="宋体" w:cs="宋体"/>
          <w:color w:val="000000" w:themeColor="text1"/>
          <w:spacing w:val="6"/>
          <w:szCs w:val="21"/>
          <w14:textFill>
            <w14:solidFill>
              <w14:schemeClr w14:val="tx1"/>
            </w14:solidFill>
          </w14:textFill>
        </w:rPr>
        <w:t>；</w:t>
      </w:r>
    </w:p>
    <w:p w14:paraId="0C0182C5">
      <w:pPr>
        <w:widowControl/>
        <w:spacing w:before="39" w:line="360" w:lineRule="auto"/>
        <w:ind w:right="-20" w:firstLine="484" w:firstLineChars="200"/>
        <w:jc w:val="left"/>
        <w:rPr>
          <w:rFonts w:ascii="宋体" w:hAnsi="宋体"/>
          <w:color w:val="000000" w:themeColor="text1"/>
          <w:u w:val="single"/>
          <w14:textFill>
            <w14:solidFill>
              <w14:schemeClr w14:val="tx1"/>
            </w14:solidFill>
          </w14:textFill>
        </w:rPr>
      </w:pPr>
      <w:r>
        <w:rPr>
          <w:rFonts w:ascii="宋体" w:hAnsi="宋体" w:cs="宋体"/>
          <w:color w:val="000000" w:themeColor="text1"/>
          <w:spacing w:val="16"/>
          <w:szCs w:val="21"/>
          <w14:textFill>
            <w14:solidFill>
              <w14:schemeClr w14:val="tx1"/>
            </w14:solidFill>
          </w14:textFill>
        </w:rPr>
        <w:t>(</w:t>
      </w:r>
      <w:r>
        <w:rPr>
          <w:rFonts w:ascii="Times New Roman" w:hAnsi="Times New Roman" w:eastAsia="Times New Roman"/>
          <w:color w:val="000000" w:themeColor="text1"/>
          <w:spacing w:val="13"/>
          <w:szCs w:val="21"/>
          <w14:textFill>
            <w14:solidFill>
              <w14:schemeClr w14:val="tx1"/>
            </w14:solidFill>
          </w14:textFill>
        </w:rPr>
        <w:t>1</w:t>
      </w:r>
      <w:r>
        <w:rPr>
          <w:rFonts w:hint="eastAsia" w:ascii="Times New Roman" w:hAnsi="Times New Roman" w:eastAsia="宋体"/>
          <w:color w:val="000000" w:themeColor="text1"/>
          <w:spacing w:val="13"/>
          <w:szCs w:val="21"/>
          <w:lang w:val="en-US" w:eastAsia="zh-CN"/>
          <w14:textFill>
            <w14:solidFill>
              <w14:schemeClr w14:val="tx1"/>
            </w14:solidFill>
          </w14:textFill>
        </w:rPr>
        <w:t>2</w:t>
      </w:r>
      <w:r>
        <w:rPr>
          <w:rFonts w:ascii="宋体" w:hAnsi="宋体" w:cs="宋体"/>
          <w:color w:val="000000" w:themeColor="text1"/>
          <w:spacing w:val="8"/>
          <w:szCs w:val="21"/>
          <w14:textFill>
            <w14:solidFill>
              <w14:schemeClr w14:val="tx1"/>
            </w14:solidFill>
          </w14:textFill>
        </w:rPr>
        <w:t>)在最近三年内发生重大监理质量问题</w:t>
      </w:r>
      <w:r>
        <w:rPr>
          <w:rFonts w:ascii="宋体" w:hAnsi="宋体"/>
          <w:color w:val="000000" w:themeColor="text1"/>
          <w:szCs w:val="24"/>
          <w:u w:val="single"/>
          <w:lang w:bidi="ar"/>
          <w14:textFill>
            <w14:solidFill>
              <w14:schemeClr w14:val="tx1"/>
            </w14:solidFill>
          </w14:textFill>
        </w:rPr>
        <w:t>（“重大</w:t>
      </w:r>
      <w:r>
        <w:rPr>
          <w:rFonts w:hint="eastAsia" w:ascii="宋体" w:hAnsi="宋体"/>
          <w:color w:val="000000" w:themeColor="text1"/>
          <w:szCs w:val="24"/>
          <w:u w:val="single"/>
          <w:lang w:bidi="ar"/>
          <w14:textFill>
            <w14:solidFill>
              <w14:schemeClr w14:val="tx1"/>
            </w14:solidFill>
          </w14:textFill>
        </w:rPr>
        <w:t>监理</w:t>
      </w:r>
      <w:r>
        <w:rPr>
          <w:rFonts w:ascii="宋体" w:hAnsi="宋体"/>
          <w:color w:val="000000" w:themeColor="text1"/>
          <w:szCs w:val="24"/>
          <w:u w:val="single"/>
          <w:lang w:bidi="ar"/>
          <w14:textFill>
            <w14:solidFill>
              <w14:schemeClr w14:val="tx1"/>
            </w14:solidFill>
          </w14:textFill>
        </w:rPr>
        <w:t>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ascii="宋体" w:hAnsi="宋体" w:cs="宋体"/>
          <w:color w:val="000000" w:themeColor="text1"/>
          <w:spacing w:val="-1"/>
          <w:szCs w:val="21"/>
          <w14:textFill>
            <w14:solidFill>
              <w14:schemeClr w14:val="tx1"/>
            </w14:solidFill>
          </w14:textFill>
        </w:rPr>
        <w:t>；</w:t>
      </w:r>
    </w:p>
    <w:p w14:paraId="31027C56">
      <w:pPr>
        <w:spacing w:before="231" w:line="562" w:lineRule="exact"/>
        <w:ind w:left="427"/>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5"/>
          <w:position w:val="27"/>
          <w:szCs w:val="21"/>
          <w14:textFill>
            <w14:solidFill>
              <w14:schemeClr w14:val="tx1"/>
            </w14:solidFill>
          </w14:textFill>
        </w:rPr>
        <w:t>(</w:t>
      </w:r>
      <w:r>
        <w:rPr>
          <w:rFonts w:ascii="Times New Roman" w:hAnsi="Times New Roman" w:eastAsia="Times New Roman"/>
          <w:color w:val="000000" w:themeColor="text1"/>
          <w:spacing w:val="3"/>
          <w:position w:val="27"/>
          <w:szCs w:val="21"/>
          <w14:textFill>
            <w14:solidFill>
              <w14:schemeClr w14:val="tx1"/>
            </w14:solidFill>
          </w14:textFill>
        </w:rPr>
        <w:t>14</w:t>
      </w:r>
      <w:r>
        <w:rPr>
          <w:rFonts w:ascii="宋体" w:hAnsi="宋体" w:cs="宋体"/>
          <w:color w:val="000000" w:themeColor="text1"/>
          <w:spacing w:val="3"/>
          <w:position w:val="27"/>
          <w:szCs w:val="21"/>
          <w14:textFill>
            <w14:solidFill>
              <w14:schemeClr w14:val="tx1"/>
            </w14:solidFill>
          </w14:textFill>
        </w:rPr>
        <w:t>) 法律法规或投标人须知前附表规定的其他情形。</w:t>
      </w:r>
    </w:p>
    <w:p w14:paraId="4768AEA2">
      <w:pPr>
        <w:spacing w:before="240" w:beforeLines="100" w:after="240" w:afterLines="100"/>
        <w:rPr>
          <w:rFonts w:ascii="宋体" w:hAnsi="宋体"/>
          <w:b/>
          <w:color w:val="000000" w:themeColor="text1"/>
          <w:sz w:val="28"/>
          <w:szCs w:val="28"/>
          <w14:textFill>
            <w14:solidFill>
              <w14:schemeClr w14:val="tx1"/>
            </w14:solidFill>
          </w14:textFill>
        </w:rPr>
      </w:pPr>
      <w:bookmarkStart w:id="53" w:name="_Toc515205198"/>
      <w:bookmarkStart w:id="54" w:name="_Toc529196525"/>
      <w:r>
        <w:rPr>
          <w:rFonts w:ascii="宋体" w:hAnsi="宋体"/>
          <w:b/>
          <w:color w:val="000000" w:themeColor="text1"/>
          <w:sz w:val="28"/>
          <w:szCs w:val="28"/>
          <w14:textFill>
            <w14:solidFill>
              <w14:schemeClr w14:val="tx1"/>
            </w14:solidFill>
          </w14:textFill>
        </w:rPr>
        <w:t>1.5费用承担</w:t>
      </w:r>
      <w:bookmarkEnd w:id="53"/>
      <w:bookmarkEnd w:id="54"/>
    </w:p>
    <w:p w14:paraId="160049F5">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投标人准备和参加投标活动发生的费用自理。</w:t>
      </w:r>
    </w:p>
    <w:p w14:paraId="2421EBF6">
      <w:pPr>
        <w:spacing w:before="240" w:beforeLines="100" w:after="240" w:afterLines="100"/>
        <w:rPr>
          <w:rFonts w:ascii="宋体" w:hAnsi="宋体"/>
          <w:b/>
          <w:color w:val="000000" w:themeColor="text1"/>
          <w:sz w:val="28"/>
          <w:szCs w:val="28"/>
          <w14:textFill>
            <w14:solidFill>
              <w14:schemeClr w14:val="tx1"/>
            </w14:solidFill>
          </w14:textFill>
        </w:rPr>
      </w:pPr>
      <w:bookmarkStart w:id="55" w:name="_Toc529196526"/>
      <w:bookmarkStart w:id="56" w:name="_Toc515205199"/>
      <w:r>
        <w:rPr>
          <w:rFonts w:ascii="宋体" w:hAnsi="宋体"/>
          <w:b/>
          <w:color w:val="000000" w:themeColor="text1"/>
          <w:sz w:val="28"/>
          <w:szCs w:val="28"/>
          <w14:textFill>
            <w14:solidFill>
              <w14:schemeClr w14:val="tx1"/>
            </w14:solidFill>
          </w14:textFill>
        </w:rPr>
        <w:t>1.6保密</w:t>
      </w:r>
      <w:bookmarkEnd w:id="55"/>
      <w:bookmarkEnd w:id="56"/>
    </w:p>
    <w:p w14:paraId="4465F96F">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参与招标投标活动的各方应对招标文件和投标文件中</w:t>
      </w:r>
      <w:bookmarkStart w:id="57" w:name="_Toc384308214"/>
      <w:bookmarkStart w:id="58" w:name="_Toc5326"/>
      <w:bookmarkStart w:id="59" w:name="_Toc369531519"/>
      <w:bookmarkStart w:id="60" w:name="_Toc361508589"/>
      <w:bookmarkStart w:id="61" w:name="_Toc352691477"/>
      <w:r>
        <w:rPr>
          <w:rFonts w:hint="eastAsia" w:ascii="宋体" w:hAnsi="宋体"/>
          <w:color w:val="000000" w:themeColor="text1"/>
          <w14:textFill>
            <w14:solidFill>
              <w14:schemeClr w14:val="tx1"/>
            </w14:solidFill>
          </w14:textFill>
        </w:rPr>
        <w:t>的商业和技术等秘密保密</w:t>
      </w:r>
      <w:bookmarkEnd w:id="57"/>
      <w:bookmarkEnd w:id="58"/>
      <w:bookmarkEnd w:id="59"/>
      <w:bookmarkEnd w:id="60"/>
      <w:bookmarkEnd w:id="61"/>
      <w:r>
        <w:rPr>
          <w:rFonts w:hint="eastAsia" w:ascii="宋体" w:hAnsi="宋体"/>
          <w:color w:val="000000" w:themeColor="text1"/>
          <w14:textFill>
            <w14:solidFill>
              <w14:schemeClr w14:val="tx1"/>
            </w14:solidFill>
          </w14:textFill>
        </w:rPr>
        <w:t>，否则应承担相应的法律责任。</w:t>
      </w:r>
    </w:p>
    <w:p w14:paraId="171EF297">
      <w:pPr>
        <w:spacing w:before="240" w:beforeLines="100" w:after="240" w:afterLines="100"/>
        <w:rPr>
          <w:rFonts w:ascii="宋体" w:hAnsi="宋体"/>
          <w:b/>
          <w:color w:val="000000" w:themeColor="text1"/>
          <w:sz w:val="28"/>
          <w:szCs w:val="28"/>
          <w14:textFill>
            <w14:solidFill>
              <w14:schemeClr w14:val="tx1"/>
            </w14:solidFill>
          </w14:textFill>
        </w:rPr>
      </w:pPr>
      <w:bookmarkStart w:id="62" w:name="_Toc529196527"/>
      <w:bookmarkStart w:id="63" w:name="_Toc515205200"/>
      <w:r>
        <w:rPr>
          <w:rFonts w:ascii="宋体" w:hAnsi="宋体"/>
          <w:b/>
          <w:color w:val="000000" w:themeColor="text1"/>
          <w:sz w:val="28"/>
          <w:szCs w:val="28"/>
          <w14:textFill>
            <w14:solidFill>
              <w14:schemeClr w14:val="tx1"/>
            </w14:solidFill>
          </w14:textFill>
        </w:rPr>
        <w:t>1.7语言文字</w:t>
      </w:r>
      <w:bookmarkEnd w:id="62"/>
      <w:bookmarkEnd w:id="63"/>
    </w:p>
    <w:p w14:paraId="194D477A">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招标投标文件使用的语言文字为中文。专用术语使用外文的，应附有中文注释。</w:t>
      </w:r>
    </w:p>
    <w:p w14:paraId="44BBC4C6">
      <w:pPr>
        <w:spacing w:before="240" w:beforeLines="100" w:after="240" w:afterLines="100"/>
        <w:rPr>
          <w:rFonts w:ascii="宋体" w:hAnsi="宋体"/>
          <w:b/>
          <w:color w:val="000000" w:themeColor="text1"/>
          <w:sz w:val="28"/>
          <w:szCs w:val="28"/>
          <w14:textFill>
            <w14:solidFill>
              <w14:schemeClr w14:val="tx1"/>
            </w14:solidFill>
          </w14:textFill>
        </w:rPr>
      </w:pPr>
      <w:bookmarkStart w:id="64" w:name="_Toc529196528"/>
      <w:bookmarkStart w:id="65" w:name="_Toc515205201"/>
      <w:r>
        <w:rPr>
          <w:rFonts w:ascii="宋体" w:hAnsi="宋体"/>
          <w:b/>
          <w:color w:val="000000" w:themeColor="text1"/>
          <w:sz w:val="28"/>
          <w:szCs w:val="28"/>
          <w14:textFill>
            <w14:solidFill>
              <w14:schemeClr w14:val="tx1"/>
            </w14:solidFill>
          </w14:textFill>
        </w:rPr>
        <w:t>1.8计量单位</w:t>
      </w:r>
      <w:bookmarkEnd w:id="64"/>
      <w:bookmarkEnd w:id="65"/>
    </w:p>
    <w:p w14:paraId="7278B545">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所有计量均采用中华人民共和国法定计量单位。</w:t>
      </w:r>
    </w:p>
    <w:p w14:paraId="1BCF1400">
      <w:pPr>
        <w:spacing w:before="240" w:beforeLines="100" w:after="240" w:afterLines="100"/>
        <w:rPr>
          <w:rFonts w:ascii="宋体" w:hAnsi="宋体"/>
          <w:b/>
          <w:color w:val="000000" w:themeColor="text1"/>
          <w:sz w:val="28"/>
          <w:szCs w:val="28"/>
          <w14:textFill>
            <w14:solidFill>
              <w14:schemeClr w14:val="tx1"/>
            </w14:solidFill>
          </w14:textFill>
        </w:rPr>
      </w:pPr>
      <w:bookmarkStart w:id="66" w:name="_Toc152045539"/>
      <w:bookmarkStart w:id="67" w:name="_Toc370676289"/>
      <w:bookmarkStart w:id="68" w:name="_Toc144974507"/>
      <w:bookmarkStart w:id="69" w:name="_Toc529196529"/>
      <w:bookmarkStart w:id="70" w:name="_Toc247527563"/>
      <w:bookmarkStart w:id="71" w:name="_Toc300834959"/>
      <w:bookmarkStart w:id="72" w:name="_Toc515205202"/>
      <w:bookmarkStart w:id="73" w:name="_Toc391393967"/>
      <w:bookmarkStart w:id="74" w:name="_Toc247513962"/>
      <w:bookmarkStart w:id="75" w:name="_Toc482188480"/>
      <w:bookmarkStart w:id="76" w:name="_Toc361508594"/>
      <w:bookmarkStart w:id="77" w:name="_Toc152042315"/>
      <w:bookmarkStart w:id="78" w:name="_Toc384308219"/>
      <w:r>
        <w:rPr>
          <w:rFonts w:ascii="宋体" w:hAnsi="宋体"/>
          <w:b/>
          <w:color w:val="000000" w:themeColor="text1"/>
          <w:sz w:val="28"/>
          <w:szCs w:val="28"/>
          <w14:textFill>
            <w14:solidFill>
              <w14:schemeClr w14:val="tx1"/>
            </w14:solidFill>
          </w14:textFill>
        </w:rPr>
        <w:t>1.9踏勘现场</w:t>
      </w:r>
      <w:bookmarkEnd w:id="66"/>
      <w:bookmarkEnd w:id="67"/>
      <w:bookmarkEnd w:id="68"/>
      <w:bookmarkEnd w:id="69"/>
      <w:bookmarkEnd w:id="70"/>
      <w:bookmarkEnd w:id="71"/>
      <w:bookmarkEnd w:id="72"/>
      <w:bookmarkEnd w:id="73"/>
      <w:bookmarkEnd w:id="74"/>
      <w:bookmarkEnd w:id="75"/>
      <w:bookmarkEnd w:id="76"/>
      <w:bookmarkEnd w:id="77"/>
      <w:bookmarkEnd w:id="78"/>
    </w:p>
    <w:p w14:paraId="723F0842">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1.9.1 </w:t>
      </w:r>
      <w:r>
        <w:rPr>
          <w:rFonts w:hint="eastAsia" w:ascii="宋体" w:hAnsi="宋体"/>
          <w:color w:val="000000" w:themeColor="text1"/>
          <w14:textFill>
            <w14:solidFill>
              <w14:schemeClr w14:val="tx1"/>
            </w14:solidFill>
          </w14:textFill>
        </w:rPr>
        <w:t>投标人须知前附表规定组织踏勘现场的，招标人按投标人须知前附表规定的时间、地点组织投标人踏勘项目现场。部分投标人未按时参加踏勘现场的，不影响踏勘现场的正常进行。</w:t>
      </w:r>
    </w:p>
    <w:p w14:paraId="772CB805">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1.9.2 </w:t>
      </w:r>
      <w:r>
        <w:rPr>
          <w:rFonts w:hint="eastAsia" w:ascii="宋体" w:hAnsi="宋体"/>
          <w:color w:val="000000" w:themeColor="text1"/>
          <w14:textFill>
            <w14:solidFill>
              <w14:schemeClr w14:val="tx1"/>
            </w14:solidFill>
          </w14:textFill>
        </w:rPr>
        <w:t>投标人踏勘现场发生的费用自理。</w:t>
      </w:r>
    </w:p>
    <w:p w14:paraId="099C9553">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1.9.3 </w:t>
      </w:r>
      <w:r>
        <w:rPr>
          <w:rFonts w:hint="eastAsia" w:ascii="宋体" w:hAnsi="宋体"/>
          <w:color w:val="000000" w:themeColor="text1"/>
          <w14:textFill>
            <w14:solidFill>
              <w14:schemeClr w14:val="tx1"/>
            </w14:solidFill>
          </w14:textFill>
        </w:rPr>
        <w:t>除招标人的原因外，投标人自行负责在踏勘现场中所发生的人员伤亡和财产损失。</w:t>
      </w:r>
    </w:p>
    <w:p w14:paraId="57194E38">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1.9.4 </w:t>
      </w:r>
      <w:r>
        <w:rPr>
          <w:rFonts w:hint="eastAsia" w:ascii="宋体" w:hAnsi="宋体"/>
          <w:color w:val="000000" w:themeColor="text1"/>
          <w14:textFill>
            <w14:solidFill>
              <w14:schemeClr w14:val="tx1"/>
            </w14:solidFill>
          </w14:textFill>
        </w:rPr>
        <w:t>招标人在踏勘现场中介绍的工程场地和相关的周边环境情况，供投标人在编制投标文件时参考，招标人不对投标人据此作出的判断和决策负责。</w:t>
      </w:r>
    </w:p>
    <w:p w14:paraId="00DA959C">
      <w:pPr>
        <w:spacing w:before="240" w:beforeLines="100" w:after="240" w:afterLines="100"/>
        <w:rPr>
          <w:rFonts w:ascii="宋体" w:hAnsi="宋体"/>
          <w:b/>
          <w:color w:val="000000" w:themeColor="text1"/>
          <w:sz w:val="28"/>
          <w:szCs w:val="28"/>
          <w14:textFill>
            <w14:solidFill>
              <w14:schemeClr w14:val="tx1"/>
            </w14:solidFill>
          </w14:textFill>
        </w:rPr>
      </w:pPr>
      <w:bookmarkStart w:id="79" w:name="_Toc529196530"/>
      <w:bookmarkStart w:id="80" w:name="_Toc515205203"/>
      <w:r>
        <w:rPr>
          <w:rFonts w:ascii="宋体" w:hAnsi="宋体"/>
          <w:b/>
          <w:color w:val="000000" w:themeColor="text1"/>
          <w:sz w:val="28"/>
          <w:szCs w:val="28"/>
          <w14:textFill>
            <w14:solidFill>
              <w14:schemeClr w14:val="tx1"/>
            </w14:solidFill>
          </w14:textFill>
        </w:rPr>
        <w:t>1.10投标预备会</w:t>
      </w:r>
      <w:bookmarkEnd w:id="79"/>
      <w:bookmarkEnd w:id="80"/>
    </w:p>
    <w:p w14:paraId="5CAA3E4A">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1.10.1 </w:t>
      </w:r>
      <w:r>
        <w:rPr>
          <w:rFonts w:hint="eastAsia" w:ascii="宋体" w:hAnsi="宋体"/>
          <w:color w:val="000000" w:themeColor="text1"/>
          <w14:textFill>
            <w14:solidFill>
              <w14:schemeClr w14:val="tx1"/>
            </w14:solidFill>
          </w14:textFill>
        </w:rPr>
        <w:t>投标人须知前附表规定召开投标预备会的，招标人按投标人须知前附表规定的时间和地点召开投标预备会，澄清投标人提出的问题。</w:t>
      </w:r>
    </w:p>
    <w:p w14:paraId="0A2474B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1.10.2 </w:t>
      </w:r>
      <w:r>
        <w:rPr>
          <w:rFonts w:hint="eastAsia" w:ascii="宋体" w:hAnsi="宋体"/>
          <w:color w:val="000000" w:themeColor="text1"/>
          <w14:textFill>
            <w14:solidFill>
              <w14:schemeClr w14:val="tx1"/>
            </w14:solidFill>
          </w14:textFill>
        </w:rPr>
        <w:t>投标人应按投标人须知前附表规定的时间和形式将提出的问题送达招标人，以便招标人在会议期间澄清。</w:t>
      </w:r>
    </w:p>
    <w:p w14:paraId="339DD7D6">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1.10.3 </w:t>
      </w:r>
      <w:r>
        <w:rPr>
          <w:rFonts w:hint="eastAsia" w:ascii="宋体" w:hAnsi="宋体"/>
          <w:color w:val="000000" w:themeColor="text1"/>
          <w14:textFill>
            <w14:solidFill>
              <w14:schemeClr w14:val="tx1"/>
            </w14:solidFill>
          </w14:textFill>
        </w:rPr>
        <w:t>投标预备会后，招标人将对投标人所提问题的澄清，以投标人须知前附表规定的形式通知所有购买招标文件的投标人。该澄清内容为招标文件的组成部分。</w:t>
      </w:r>
    </w:p>
    <w:p w14:paraId="496DFA4B">
      <w:pPr>
        <w:spacing w:before="240" w:beforeLines="100" w:after="240" w:afterLines="100"/>
        <w:rPr>
          <w:rFonts w:ascii="宋体" w:hAnsi="宋体"/>
          <w:b/>
          <w:color w:val="000000" w:themeColor="text1"/>
          <w:sz w:val="28"/>
          <w:szCs w:val="28"/>
          <w14:textFill>
            <w14:solidFill>
              <w14:schemeClr w14:val="tx1"/>
            </w14:solidFill>
          </w14:textFill>
        </w:rPr>
      </w:pPr>
      <w:bookmarkStart w:id="81" w:name="_Toc515205204"/>
      <w:bookmarkStart w:id="82" w:name="_Toc529196531"/>
      <w:r>
        <w:rPr>
          <w:rFonts w:ascii="宋体" w:hAnsi="宋体"/>
          <w:b/>
          <w:color w:val="000000" w:themeColor="text1"/>
          <w:sz w:val="28"/>
          <w:szCs w:val="28"/>
          <w14:textFill>
            <w14:solidFill>
              <w14:schemeClr w14:val="tx1"/>
            </w14:solidFill>
          </w14:textFill>
        </w:rPr>
        <w:t>1.11分包</w:t>
      </w:r>
      <w:bookmarkEnd w:id="81"/>
      <w:bookmarkEnd w:id="82"/>
    </w:p>
    <w:p w14:paraId="1B27E903">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本项目严禁分包。</w:t>
      </w:r>
    </w:p>
    <w:p w14:paraId="6522E2CB">
      <w:pPr>
        <w:spacing w:before="240" w:beforeLines="100" w:after="240" w:afterLines="100"/>
        <w:rPr>
          <w:rFonts w:ascii="宋体" w:hAnsi="宋体"/>
          <w:b/>
          <w:color w:val="000000" w:themeColor="text1"/>
          <w:sz w:val="28"/>
          <w:szCs w:val="28"/>
          <w14:textFill>
            <w14:solidFill>
              <w14:schemeClr w14:val="tx1"/>
            </w14:solidFill>
          </w14:textFill>
        </w:rPr>
      </w:pPr>
      <w:bookmarkStart w:id="83" w:name="_Toc515205205"/>
      <w:bookmarkStart w:id="84" w:name="_Toc529196532"/>
      <w:r>
        <w:rPr>
          <w:rFonts w:ascii="宋体" w:hAnsi="宋体"/>
          <w:b/>
          <w:color w:val="000000" w:themeColor="text1"/>
          <w:sz w:val="28"/>
          <w:szCs w:val="28"/>
          <w14:textFill>
            <w14:solidFill>
              <w14:schemeClr w14:val="tx1"/>
            </w14:solidFill>
          </w14:textFill>
        </w:rPr>
        <w:t>1.12响应和偏差</w:t>
      </w:r>
      <w:bookmarkEnd w:id="83"/>
      <w:bookmarkEnd w:id="84"/>
    </w:p>
    <w:p w14:paraId="06636343">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1.12.1投标文件应当对招标文件的实质性要求和条件作出满足性或更有利于招标人的响应，否则，投标人的投标将被否决。实质性要求和条件见投标人须知前附表。</w:t>
      </w:r>
    </w:p>
    <w:p w14:paraId="2DE3A8D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1.12.2 </w:t>
      </w:r>
      <w:r>
        <w:rPr>
          <w:rFonts w:hint="eastAsia" w:ascii="宋体" w:hAnsi="宋体"/>
          <w:color w:val="000000" w:themeColor="text1"/>
          <w14:textFill>
            <w14:solidFill>
              <w14:schemeClr w14:val="tx1"/>
            </w14:solidFill>
          </w14:textFill>
        </w:rPr>
        <w:t>投标人应根据招标文件的要求提供投标监理大纲等内容以对招标文件作出响应。</w:t>
      </w:r>
    </w:p>
    <w:p w14:paraId="11D09C4B">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1.12.3投标人须知前附表允许投标文件偏离招标文件某些要求的，偏差应当符合招标文件规定的偏差范围和幅度。</w:t>
      </w:r>
    </w:p>
    <w:p w14:paraId="0B08A378">
      <w:pPr>
        <w:spacing w:before="260"/>
        <w:outlineLvl w:val="2"/>
        <w:rPr>
          <w:rFonts w:ascii="宋体" w:hAnsi="宋体"/>
          <w:b/>
          <w:color w:val="000000" w:themeColor="text1"/>
          <w:sz w:val="32"/>
          <w:szCs w:val="32"/>
          <w14:textFill>
            <w14:solidFill>
              <w14:schemeClr w14:val="tx1"/>
            </w14:solidFill>
          </w14:textFill>
        </w:rPr>
      </w:pPr>
      <w:bookmarkStart w:id="85" w:name="_Toc515205206"/>
      <w:bookmarkStart w:id="86" w:name="_Toc529196533"/>
      <w:r>
        <w:rPr>
          <w:rFonts w:ascii="宋体" w:hAnsi="宋体"/>
          <w:b/>
          <w:color w:val="000000" w:themeColor="text1"/>
          <w:sz w:val="32"/>
          <w:szCs w:val="32"/>
          <w14:textFill>
            <w14:solidFill>
              <w14:schemeClr w14:val="tx1"/>
            </w14:solidFill>
          </w14:textFill>
        </w:rPr>
        <w:t xml:space="preserve">2. </w:t>
      </w:r>
      <w:r>
        <w:rPr>
          <w:rFonts w:hint="eastAsia" w:ascii="宋体" w:hAnsi="宋体"/>
          <w:b/>
          <w:color w:val="000000" w:themeColor="text1"/>
          <w:sz w:val="32"/>
          <w:szCs w:val="32"/>
          <w14:textFill>
            <w14:solidFill>
              <w14:schemeClr w14:val="tx1"/>
            </w14:solidFill>
          </w14:textFill>
        </w:rPr>
        <w:t>招标文件</w:t>
      </w:r>
      <w:bookmarkEnd w:id="85"/>
      <w:bookmarkEnd w:id="86"/>
    </w:p>
    <w:p w14:paraId="6573EB3D">
      <w:pPr>
        <w:spacing w:before="240" w:beforeLines="100" w:after="240" w:afterLines="100"/>
        <w:rPr>
          <w:rFonts w:ascii="宋体" w:hAnsi="宋体"/>
          <w:b/>
          <w:color w:val="000000" w:themeColor="text1"/>
          <w:sz w:val="28"/>
          <w:szCs w:val="28"/>
          <w14:textFill>
            <w14:solidFill>
              <w14:schemeClr w14:val="tx1"/>
            </w14:solidFill>
          </w14:textFill>
        </w:rPr>
      </w:pPr>
      <w:bookmarkStart w:id="87" w:name="_Toc515205207"/>
      <w:bookmarkStart w:id="88" w:name="_Toc529196534"/>
      <w:r>
        <w:rPr>
          <w:rFonts w:ascii="宋体" w:hAnsi="宋体"/>
          <w:b/>
          <w:color w:val="000000" w:themeColor="text1"/>
          <w:sz w:val="28"/>
          <w:szCs w:val="28"/>
          <w14:textFill>
            <w14:solidFill>
              <w14:schemeClr w14:val="tx1"/>
            </w14:solidFill>
          </w14:textFill>
        </w:rPr>
        <w:t>2.1招标文件的组成</w:t>
      </w:r>
      <w:bookmarkEnd w:id="87"/>
      <w:bookmarkEnd w:id="88"/>
    </w:p>
    <w:p w14:paraId="2B14694A">
      <w:pPr>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本招标文件包括：</w:t>
      </w:r>
    </w:p>
    <w:p w14:paraId="49180576">
      <w:pPr>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1）招标公告；</w:t>
      </w:r>
    </w:p>
    <w:p w14:paraId="399667F1">
      <w:pPr>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2）投标人须知；</w:t>
      </w:r>
    </w:p>
    <w:p w14:paraId="5A1E6DDA">
      <w:pPr>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3）评标办法；</w:t>
      </w:r>
    </w:p>
    <w:p w14:paraId="5C693436">
      <w:pPr>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4）合同条款及格式；</w:t>
      </w:r>
    </w:p>
    <w:p w14:paraId="4B04EAA9">
      <w:pPr>
        <w:spacing w:line="360" w:lineRule="auto"/>
        <w:ind w:firstLine="359" w:firstLineChars="171"/>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w:t>
      </w:r>
      <w:r>
        <w:rPr>
          <w:rFonts w:ascii="宋体" w:hAnsi="宋体"/>
          <w:strike/>
          <w:dstrike w:val="0"/>
          <w:color w:val="000000" w:themeColor="text1"/>
          <w:highlight w:val="none"/>
          <w14:textFill>
            <w14:solidFill>
              <w14:schemeClr w14:val="tx1"/>
            </w14:solidFill>
          </w14:textFill>
        </w:rPr>
        <w:t>5）委托人要求；</w:t>
      </w:r>
    </w:p>
    <w:p w14:paraId="16AB3694">
      <w:pPr>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6）投标文件格式；</w:t>
      </w:r>
    </w:p>
    <w:p w14:paraId="415995CC">
      <w:pPr>
        <w:spacing w:line="360" w:lineRule="auto"/>
        <w:ind w:firstLine="359" w:firstLineChars="17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7）投标人须知前附表规定的其他资料。</w:t>
      </w:r>
    </w:p>
    <w:p w14:paraId="24D47845">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根据本章第</w:t>
      </w:r>
      <w:r>
        <w:rPr>
          <w:rFonts w:ascii="宋体" w:hAnsi="宋体"/>
          <w:color w:val="000000" w:themeColor="text1"/>
          <w14:textFill>
            <w14:solidFill>
              <w14:schemeClr w14:val="tx1"/>
            </w14:solidFill>
          </w14:textFill>
        </w:rPr>
        <w:t>1.10款、第2.2款和第2.3款对招标文件所作的澄清、修改，构成招标文件的组成部分。</w:t>
      </w:r>
    </w:p>
    <w:p w14:paraId="0616BBA6">
      <w:pPr>
        <w:spacing w:before="240" w:beforeLines="100" w:after="240" w:afterLines="100"/>
        <w:rPr>
          <w:rFonts w:ascii="宋体" w:hAnsi="宋体"/>
          <w:b/>
          <w:color w:val="000000" w:themeColor="text1"/>
          <w:sz w:val="28"/>
          <w:szCs w:val="28"/>
          <w14:textFill>
            <w14:solidFill>
              <w14:schemeClr w14:val="tx1"/>
            </w14:solidFill>
          </w14:textFill>
        </w:rPr>
      </w:pPr>
      <w:bookmarkStart w:id="89" w:name="_Toc515205208"/>
      <w:bookmarkStart w:id="90" w:name="_Toc529196535"/>
      <w:r>
        <w:rPr>
          <w:rFonts w:ascii="宋体" w:hAnsi="宋体"/>
          <w:b/>
          <w:color w:val="000000" w:themeColor="text1"/>
          <w:sz w:val="28"/>
          <w:szCs w:val="28"/>
          <w14:textFill>
            <w14:solidFill>
              <w14:schemeClr w14:val="tx1"/>
            </w14:solidFill>
          </w14:textFill>
        </w:rPr>
        <w:t>2.2招标文件的澄清</w:t>
      </w:r>
      <w:bookmarkEnd w:id="89"/>
      <w:bookmarkEnd w:id="90"/>
    </w:p>
    <w:p w14:paraId="312974D8">
      <w:pPr>
        <w:spacing w:line="360" w:lineRule="auto"/>
        <w:ind w:firstLine="359" w:firstLineChars="17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2.2.1 </w:t>
      </w:r>
      <w:r>
        <w:rPr>
          <w:rFonts w:hint="eastAsia" w:ascii="宋体" w:hAnsi="宋体"/>
          <w:color w:val="000000" w:themeColor="text1"/>
          <w14:textFill>
            <w14:solidFill>
              <w14:schemeClr w14:val="tx1"/>
            </w14:solidFill>
          </w14:textFill>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E745C63">
      <w:pPr>
        <w:spacing w:line="360" w:lineRule="auto"/>
        <w:ind w:firstLine="359" w:firstLineChars="17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7108F43D">
      <w:pPr>
        <w:spacing w:line="360" w:lineRule="auto"/>
        <w:ind w:firstLine="359" w:firstLineChars="17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2.2.3 </w:t>
      </w:r>
      <w:r>
        <w:rPr>
          <w:rFonts w:hint="eastAsia" w:ascii="宋体" w:hAnsi="宋体"/>
          <w:color w:val="000000" w:themeColor="text1"/>
          <w14:textFill>
            <w14:solidFill>
              <w14:schemeClr w14:val="tx1"/>
            </w14:solidFill>
          </w14:textFill>
        </w:rPr>
        <w:t>投标人在收到澄清后，应按投标人须知前附表规定的时间和形式通知招标人，确认已收到该澄清。</w:t>
      </w:r>
    </w:p>
    <w:p w14:paraId="7F8EC3CA">
      <w:pPr>
        <w:spacing w:line="360" w:lineRule="auto"/>
        <w:ind w:firstLine="359" w:firstLineChars="17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2.2.4 </w:t>
      </w:r>
      <w:r>
        <w:rPr>
          <w:rFonts w:hint="eastAsia" w:ascii="宋体" w:hAnsi="宋体"/>
          <w:color w:val="000000" w:themeColor="text1"/>
          <w14:textFill>
            <w14:solidFill>
              <w14:schemeClr w14:val="tx1"/>
            </w14:solidFill>
          </w14:textFill>
        </w:rPr>
        <w:t>除非招标人认为确有必要答复，否则，招标人有权拒绝回复投标人在本章第</w:t>
      </w:r>
      <w:r>
        <w:rPr>
          <w:rFonts w:ascii="宋体" w:hAnsi="宋体"/>
          <w:color w:val="000000" w:themeColor="text1"/>
          <w14:textFill>
            <w14:solidFill>
              <w14:schemeClr w14:val="tx1"/>
            </w14:solidFill>
          </w14:textFill>
        </w:rPr>
        <w:t>2.2.1项规定的时间后的任何澄清要求。</w:t>
      </w:r>
    </w:p>
    <w:p w14:paraId="22FA117F">
      <w:pPr>
        <w:spacing w:before="240" w:beforeLines="100" w:after="240" w:afterLines="100"/>
        <w:rPr>
          <w:rFonts w:ascii="宋体" w:hAnsi="宋体"/>
          <w:b/>
          <w:color w:val="000000" w:themeColor="text1"/>
          <w:sz w:val="28"/>
          <w:szCs w:val="28"/>
          <w14:textFill>
            <w14:solidFill>
              <w14:schemeClr w14:val="tx1"/>
            </w14:solidFill>
          </w14:textFill>
        </w:rPr>
      </w:pPr>
      <w:bookmarkStart w:id="91" w:name="_Toc515205209"/>
      <w:bookmarkStart w:id="92" w:name="_Toc529196536"/>
      <w:bookmarkStart w:id="93" w:name="_Toc352691479"/>
      <w:r>
        <w:rPr>
          <w:rFonts w:ascii="宋体" w:hAnsi="宋体"/>
          <w:b/>
          <w:color w:val="000000" w:themeColor="text1"/>
          <w:sz w:val="28"/>
          <w:szCs w:val="28"/>
          <w14:textFill>
            <w14:solidFill>
              <w14:schemeClr w14:val="tx1"/>
            </w14:solidFill>
          </w14:textFill>
        </w:rPr>
        <w:t>2.3招标文件的修</w:t>
      </w:r>
      <w:bookmarkStart w:id="94" w:name="_Toc369531521"/>
      <w:bookmarkStart w:id="95" w:name="_Toc16514"/>
      <w:r>
        <w:rPr>
          <w:rFonts w:hint="eastAsia" w:ascii="宋体" w:hAnsi="宋体"/>
          <w:b/>
          <w:color w:val="000000" w:themeColor="text1"/>
          <w:sz w:val="28"/>
          <w:szCs w:val="28"/>
          <w14:textFill>
            <w14:solidFill>
              <w14:schemeClr w14:val="tx1"/>
            </w14:solidFill>
          </w14:textFill>
        </w:rPr>
        <w:t>改</w:t>
      </w:r>
      <w:bookmarkEnd w:id="91"/>
      <w:bookmarkEnd w:id="92"/>
    </w:p>
    <w:p w14:paraId="6E7E0B60">
      <w:pPr>
        <w:spacing w:line="360" w:lineRule="auto"/>
        <w:ind w:firstLine="359" w:firstLineChars="17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2.3.1 </w:t>
      </w:r>
      <w:r>
        <w:rPr>
          <w:rFonts w:hint="eastAsia" w:ascii="宋体" w:hAnsi="宋体"/>
          <w:color w:val="000000" w:themeColor="text1"/>
          <w14:textFill>
            <w14:solidFill>
              <w14:schemeClr w14:val="tx1"/>
            </w14:solidFill>
          </w14:textFill>
        </w:rPr>
        <w:t>招标人以投标人须知前附表规定的形式修改招标文件，并通知所有已购买招标文件的投标人。修改招标文件的时间距本章第</w:t>
      </w:r>
      <w:r>
        <w:rPr>
          <w:rFonts w:ascii="宋体" w:hAnsi="宋体"/>
          <w:color w:val="000000" w:themeColor="text1"/>
          <w14:textFill>
            <w14:solidFill>
              <w14:schemeClr w14:val="tx1"/>
            </w14:solidFill>
          </w14:textFill>
        </w:rPr>
        <w:t>4.2.1项规定的投标截止时间不足15日的，并且修改内容可能影响投标文件编制的，将相应延长投标截止时间。</w:t>
      </w:r>
    </w:p>
    <w:bookmarkEnd w:id="93"/>
    <w:bookmarkEnd w:id="94"/>
    <w:bookmarkEnd w:id="95"/>
    <w:p w14:paraId="748764B2">
      <w:pPr>
        <w:spacing w:line="360" w:lineRule="auto"/>
        <w:ind w:firstLine="359" w:firstLineChars="17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2.3.2 </w:t>
      </w:r>
      <w:r>
        <w:rPr>
          <w:rFonts w:hint="eastAsia" w:ascii="宋体" w:hAnsi="宋体"/>
          <w:color w:val="000000" w:themeColor="text1"/>
          <w14:textFill>
            <w14:solidFill>
              <w14:schemeClr w14:val="tx1"/>
            </w14:solidFill>
          </w14:textFill>
        </w:rPr>
        <w:t>投标人收到修改内容</w:t>
      </w:r>
      <w:bookmarkStart w:id="96" w:name="_Toc300834958"/>
      <w:bookmarkStart w:id="97" w:name="_Toc152045538"/>
      <w:bookmarkStart w:id="98" w:name="_Toc247527562"/>
      <w:bookmarkStart w:id="99" w:name="_Toc361508593"/>
      <w:bookmarkStart w:id="100" w:name="_Toc247513961"/>
      <w:bookmarkStart w:id="101" w:name="_Toc24632"/>
      <w:bookmarkStart w:id="102" w:name="_Toc369531524"/>
      <w:bookmarkStart w:id="103" w:name="_Toc152042314"/>
      <w:bookmarkStart w:id="104" w:name="_Toc384308218"/>
      <w:bookmarkStart w:id="105" w:name="_Toc144974506"/>
      <w:bookmarkStart w:id="106" w:name="_Toc352691482"/>
      <w:r>
        <w:rPr>
          <w:rFonts w:hint="eastAsia" w:ascii="宋体" w:hAnsi="宋体"/>
          <w:color w:val="000000" w:themeColor="text1"/>
          <w14:textFill>
            <w14:solidFill>
              <w14:schemeClr w14:val="tx1"/>
            </w14:solidFill>
          </w14:textFill>
        </w:rPr>
        <w:t>后，</w:t>
      </w:r>
      <w:bookmarkEnd w:id="96"/>
      <w:bookmarkEnd w:id="97"/>
      <w:bookmarkEnd w:id="98"/>
      <w:bookmarkEnd w:id="99"/>
      <w:bookmarkEnd w:id="100"/>
      <w:bookmarkEnd w:id="101"/>
      <w:bookmarkEnd w:id="102"/>
      <w:bookmarkEnd w:id="103"/>
      <w:bookmarkEnd w:id="104"/>
      <w:bookmarkEnd w:id="105"/>
      <w:bookmarkEnd w:id="106"/>
      <w:bookmarkStart w:id="107" w:name="_Toc300834960"/>
      <w:bookmarkStart w:id="108" w:name="_Toc247527564"/>
      <w:bookmarkStart w:id="109" w:name="_Toc16623"/>
      <w:bookmarkStart w:id="110" w:name="_Toc144974508"/>
      <w:bookmarkStart w:id="111" w:name="_Toc152042316"/>
      <w:bookmarkStart w:id="112" w:name="_Toc384308220"/>
      <w:bookmarkStart w:id="113" w:name="_Toc152045540"/>
      <w:bookmarkStart w:id="114" w:name="_Toc361508595"/>
      <w:bookmarkStart w:id="115" w:name="_Toc369531526"/>
      <w:bookmarkStart w:id="116" w:name="_Toc247513963"/>
      <w:bookmarkStart w:id="117" w:name="_Toc352691484"/>
      <w:r>
        <w:rPr>
          <w:rFonts w:hint="eastAsia" w:ascii="宋体" w:hAnsi="宋体"/>
          <w:color w:val="000000" w:themeColor="text1"/>
          <w14:textFill>
            <w14:solidFill>
              <w14:schemeClr w14:val="tx1"/>
            </w14:solidFill>
          </w14:textFill>
        </w:rPr>
        <w:t>应按投标人须知前附表规定的时间和形式通知招标人，确认已收到该修改。</w:t>
      </w:r>
    </w:p>
    <w:p w14:paraId="092F0691">
      <w:pPr>
        <w:spacing w:before="240" w:beforeLines="100" w:after="240" w:afterLines="100"/>
        <w:rPr>
          <w:rFonts w:ascii="宋体" w:hAnsi="宋体"/>
          <w:b/>
          <w:color w:val="000000" w:themeColor="text1"/>
          <w:sz w:val="28"/>
          <w:szCs w:val="28"/>
          <w14:textFill>
            <w14:solidFill>
              <w14:schemeClr w14:val="tx1"/>
            </w14:solidFill>
          </w14:textFill>
        </w:rPr>
      </w:pPr>
      <w:bookmarkStart w:id="118" w:name="_Toc515205210"/>
      <w:bookmarkStart w:id="119" w:name="_Toc529196537"/>
      <w:r>
        <w:rPr>
          <w:rFonts w:ascii="宋体" w:hAnsi="宋体"/>
          <w:b/>
          <w:color w:val="000000" w:themeColor="text1"/>
          <w:sz w:val="28"/>
          <w:szCs w:val="28"/>
          <w14:textFill>
            <w14:solidFill>
              <w14:schemeClr w14:val="tx1"/>
            </w14:solidFill>
          </w14:textFill>
        </w:rPr>
        <w:t>2.</w:t>
      </w:r>
      <w:bookmarkEnd w:id="107"/>
      <w:bookmarkEnd w:id="108"/>
      <w:bookmarkEnd w:id="109"/>
      <w:bookmarkEnd w:id="110"/>
      <w:bookmarkEnd w:id="111"/>
      <w:bookmarkEnd w:id="112"/>
      <w:bookmarkEnd w:id="113"/>
      <w:bookmarkEnd w:id="114"/>
      <w:bookmarkEnd w:id="115"/>
      <w:bookmarkEnd w:id="116"/>
      <w:bookmarkEnd w:id="117"/>
      <w:r>
        <w:rPr>
          <w:rFonts w:ascii="宋体" w:hAnsi="宋体"/>
          <w:b/>
          <w:color w:val="000000" w:themeColor="text1"/>
          <w:sz w:val="28"/>
          <w:szCs w:val="28"/>
          <w14:textFill>
            <w14:solidFill>
              <w14:schemeClr w14:val="tx1"/>
            </w14:solidFill>
          </w14:textFill>
        </w:rPr>
        <w:t>4招标文件的异议</w:t>
      </w:r>
      <w:bookmarkEnd w:id="118"/>
      <w:bookmarkEnd w:id="119"/>
    </w:p>
    <w:p w14:paraId="6C1B8C90">
      <w:pPr>
        <w:spacing w:before="69" w:line="359" w:lineRule="auto"/>
        <w:ind w:left="3" w:firstLine="42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投标人或者其他利害关系人对招标文件有异议的，应当在投标截止时间</w:t>
      </w:r>
      <w:r>
        <w:rPr>
          <w:rFonts w:ascii="宋体" w:hAnsi="宋体"/>
          <w:color w:val="000000" w:themeColor="text1"/>
          <w14:textFill>
            <w14:solidFill>
              <w14:schemeClr w14:val="tx1"/>
            </w14:solidFill>
          </w14:textFill>
        </w:rPr>
        <w:t>18日前以书面形式提出。招标人将在收到异议之日起3日内作出答复；作出答复前，将暂停招标投标活动。</w:t>
      </w:r>
    </w:p>
    <w:p w14:paraId="77EC70BD">
      <w:pPr>
        <w:spacing w:before="69" w:line="359" w:lineRule="auto"/>
        <w:ind w:left="3" w:firstLine="421"/>
        <w:rPr>
          <w:rFonts w:ascii="宋体" w:hAnsi="宋体"/>
          <w:color w:val="000000" w:themeColor="text1"/>
          <w14:textFill>
            <w14:solidFill>
              <w14:schemeClr w14:val="tx1"/>
            </w14:solidFill>
          </w14:textFill>
        </w:rPr>
      </w:pPr>
      <w:r>
        <w:rPr>
          <w:rFonts w:hint="eastAsia" w:ascii="宋体" w:hAnsi="宋体" w:cs="宋体"/>
          <w:color w:val="000000" w:themeColor="text1"/>
          <w:spacing w:val="-6"/>
          <w:szCs w:val="21"/>
          <w:u w:val="single"/>
          <w14:textFill>
            <w14:solidFill>
              <w14:schemeClr w14:val="tx1"/>
            </w14:solidFill>
          </w14:textFill>
        </w:rPr>
        <w:t>注</w:t>
      </w:r>
      <w:r>
        <w:rPr>
          <w:rFonts w:ascii="宋体" w:hAnsi="宋体" w:cs="宋体"/>
          <w:color w:val="000000" w:themeColor="text1"/>
          <w:spacing w:val="-6"/>
          <w:szCs w:val="21"/>
          <w:u w:val="single"/>
          <w14:textFill>
            <w14:solidFill>
              <w14:schemeClr w14:val="tx1"/>
            </w14:solidFill>
          </w14:textFill>
        </w:rPr>
        <w:t>：</w:t>
      </w:r>
      <w:r>
        <w:rPr>
          <w:rFonts w:hint="eastAsia" w:ascii="宋体" w:hAnsi="宋体" w:cs="宋体"/>
          <w:color w:val="000000" w:themeColor="text1"/>
          <w:spacing w:val="-6"/>
          <w:szCs w:val="21"/>
          <w:u w:val="single"/>
          <w14:textFill>
            <w14:solidFill>
              <w14:schemeClr w14:val="tx1"/>
            </w14:solidFill>
          </w14:textFill>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4ADE963">
      <w:pPr>
        <w:spacing w:before="260"/>
        <w:outlineLvl w:val="2"/>
        <w:rPr>
          <w:rFonts w:ascii="宋体" w:hAnsi="宋体"/>
          <w:b/>
          <w:color w:val="000000" w:themeColor="text1"/>
          <w:sz w:val="32"/>
          <w:szCs w:val="32"/>
          <w14:textFill>
            <w14:solidFill>
              <w14:schemeClr w14:val="tx1"/>
            </w14:solidFill>
          </w14:textFill>
        </w:rPr>
      </w:pPr>
      <w:bookmarkStart w:id="120" w:name="_Toc529196538"/>
      <w:bookmarkStart w:id="121" w:name="_Toc515205211"/>
      <w:r>
        <w:rPr>
          <w:rFonts w:ascii="宋体" w:hAnsi="宋体"/>
          <w:b/>
          <w:color w:val="000000" w:themeColor="text1"/>
          <w:sz w:val="32"/>
          <w:szCs w:val="32"/>
          <w14:textFill>
            <w14:solidFill>
              <w14:schemeClr w14:val="tx1"/>
            </w14:solidFill>
          </w14:textFill>
        </w:rPr>
        <w:t xml:space="preserve">3. </w:t>
      </w:r>
      <w:r>
        <w:rPr>
          <w:rFonts w:hint="eastAsia" w:ascii="宋体" w:hAnsi="宋体"/>
          <w:b/>
          <w:color w:val="000000" w:themeColor="text1"/>
          <w:sz w:val="32"/>
          <w:szCs w:val="32"/>
          <w14:textFill>
            <w14:solidFill>
              <w14:schemeClr w14:val="tx1"/>
            </w14:solidFill>
          </w14:textFill>
        </w:rPr>
        <w:t>投标文件</w:t>
      </w:r>
      <w:bookmarkEnd w:id="120"/>
      <w:bookmarkEnd w:id="121"/>
    </w:p>
    <w:p w14:paraId="5EDF5600">
      <w:pPr>
        <w:spacing w:before="240" w:beforeLines="100" w:after="240" w:afterLines="100"/>
        <w:rPr>
          <w:rFonts w:ascii="宋体" w:hAnsi="宋体"/>
          <w:b/>
          <w:color w:val="000000" w:themeColor="text1"/>
          <w:sz w:val="28"/>
          <w:szCs w:val="28"/>
          <w14:textFill>
            <w14:solidFill>
              <w14:schemeClr w14:val="tx1"/>
            </w14:solidFill>
          </w14:textFill>
        </w:rPr>
      </w:pPr>
      <w:bookmarkStart w:id="122" w:name="_Toc529196539"/>
      <w:bookmarkStart w:id="123" w:name="_Toc515205212"/>
      <w:r>
        <w:rPr>
          <w:rFonts w:ascii="宋体" w:hAnsi="宋体"/>
          <w:b/>
          <w:color w:val="000000" w:themeColor="text1"/>
          <w:sz w:val="28"/>
          <w:szCs w:val="28"/>
          <w14:textFill>
            <w14:solidFill>
              <w14:schemeClr w14:val="tx1"/>
            </w14:solidFill>
          </w14:textFill>
        </w:rPr>
        <w:t>3.1投标文件的组成</w:t>
      </w:r>
      <w:bookmarkEnd w:id="122"/>
      <w:bookmarkEnd w:id="123"/>
    </w:p>
    <w:p w14:paraId="38F33270">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3.1.1 </w:t>
      </w:r>
      <w:r>
        <w:rPr>
          <w:rFonts w:hint="eastAsia" w:ascii="宋体" w:hAnsi="宋体"/>
          <w:color w:val="000000" w:themeColor="text1"/>
          <w14:textFill>
            <w14:solidFill>
              <w14:schemeClr w14:val="tx1"/>
            </w14:solidFill>
          </w14:textFill>
        </w:rPr>
        <w:t>投标文件应包括下列内容：</w:t>
      </w:r>
    </w:p>
    <w:p w14:paraId="64E2D6DD">
      <w:pPr>
        <w:pStyle w:val="31"/>
        <w:ind w:firstLine="420"/>
        <w:rPr>
          <w:rFonts w:ascii="宋体" w:hAnsi="宋体"/>
          <w:color w:val="000000" w:themeColor="text1"/>
          <w:spacing w:val="0"/>
          <w:sz w:val="21"/>
          <w14:textFill>
            <w14:solidFill>
              <w14:schemeClr w14:val="tx1"/>
            </w14:solidFill>
          </w14:textFill>
        </w:rPr>
      </w:pPr>
      <w:r>
        <w:rPr>
          <w:rFonts w:hint="eastAsia" w:ascii="宋体" w:hAnsi="宋体"/>
          <w:color w:val="000000" w:themeColor="text1"/>
          <w:spacing w:val="0"/>
          <w:sz w:val="21"/>
          <w14:textFill>
            <w14:solidFill>
              <w14:schemeClr w14:val="tx1"/>
            </w14:solidFill>
          </w14:textFill>
        </w:rPr>
        <w:t>（</w:t>
      </w:r>
      <w:r>
        <w:rPr>
          <w:rFonts w:ascii="宋体" w:hAnsi="宋体"/>
          <w:color w:val="000000" w:themeColor="text1"/>
          <w:spacing w:val="0"/>
          <w:sz w:val="21"/>
          <w14:textFill>
            <w14:solidFill>
              <w14:schemeClr w14:val="tx1"/>
            </w14:solidFill>
          </w14:textFill>
        </w:rPr>
        <w:t>1）</w:t>
      </w:r>
      <w:r>
        <w:rPr>
          <w:rFonts w:hint="eastAsia" w:ascii="宋体" w:hAnsi="宋体"/>
          <w:color w:val="000000" w:themeColor="text1"/>
          <w:spacing w:val="0"/>
          <w:sz w:val="21"/>
          <w:lang w:eastAsia="zh-CN"/>
          <w14:textFill>
            <w14:solidFill>
              <w14:schemeClr w14:val="tx1"/>
            </w14:solidFill>
          </w14:textFill>
        </w:rPr>
        <w:t>投标函、投标函附录及投标承诺书</w:t>
      </w:r>
      <w:r>
        <w:rPr>
          <w:rFonts w:ascii="宋体" w:hAnsi="宋体"/>
          <w:color w:val="000000" w:themeColor="text1"/>
          <w:spacing w:val="0"/>
          <w:sz w:val="21"/>
          <w14:textFill>
            <w14:solidFill>
              <w14:schemeClr w14:val="tx1"/>
            </w14:solidFill>
          </w14:textFill>
        </w:rPr>
        <w:t>；</w:t>
      </w:r>
    </w:p>
    <w:p w14:paraId="6D59D6DE">
      <w:pPr>
        <w:pStyle w:val="31"/>
        <w:ind w:firstLine="420"/>
        <w:rPr>
          <w:rFonts w:ascii="宋体" w:hAnsi="宋体"/>
          <w:color w:val="000000" w:themeColor="text1"/>
          <w:spacing w:val="0"/>
          <w:sz w:val="21"/>
          <w14:textFill>
            <w14:solidFill>
              <w14:schemeClr w14:val="tx1"/>
            </w14:solidFill>
          </w14:textFill>
        </w:rPr>
      </w:pPr>
      <w:r>
        <w:rPr>
          <w:rFonts w:hint="eastAsia" w:ascii="宋体" w:hAnsi="宋体"/>
          <w:color w:val="000000" w:themeColor="text1"/>
          <w:spacing w:val="0"/>
          <w:sz w:val="21"/>
          <w14:textFill>
            <w14:solidFill>
              <w14:schemeClr w14:val="tx1"/>
            </w14:solidFill>
          </w14:textFill>
        </w:rPr>
        <w:t>（</w:t>
      </w:r>
      <w:r>
        <w:rPr>
          <w:rFonts w:ascii="宋体" w:hAnsi="宋体"/>
          <w:color w:val="000000" w:themeColor="text1"/>
          <w:spacing w:val="0"/>
          <w:sz w:val="21"/>
          <w14:textFill>
            <w14:solidFill>
              <w14:schemeClr w14:val="tx1"/>
            </w14:solidFill>
          </w14:textFill>
        </w:rPr>
        <w:t>2）法定代表人身份证明或授权委托书；</w:t>
      </w:r>
    </w:p>
    <w:p w14:paraId="2CCCEE4C">
      <w:pPr>
        <w:pStyle w:val="31"/>
        <w:ind w:firstLine="420"/>
        <w:rPr>
          <w:rFonts w:ascii="宋体" w:hAnsi="宋体"/>
          <w:color w:val="000000" w:themeColor="text1"/>
          <w:spacing w:val="0"/>
          <w:sz w:val="21"/>
          <w14:textFill>
            <w14:solidFill>
              <w14:schemeClr w14:val="tx1"/>
            </w14:solidFill>
          </w14:textFill>
        </w:rPr>
      </w:pPr>
      <w:r>
        <w:rPr>
          <w:rFonts w:hint="eastAsia" w:ascii="宋体" w:hAnsi="宋体"/>
          <w:color w:val="000000" w:themeColor="text1"/>
          <w:spacing w:val="0"/>
          <w:sz w:val="21"/>
          <w14:textFill>
            <w14:solidFill>
              <w14:schemeClr w14:val="tx1"/>
            </w14:solidFill>
          </w14:textFill>
        </w:rPr>
        <w:t>（</w:t>
      </w:r>
      <w:r>
        <w:rPr>
          <w:rFonts w:hint="eastAsia" w:ascii="宋体" w:hAnsi="宋体"/>
          <w:color w:val="000000" w:themeColor="text1"/>
          <w:spacing w:val="0"/>
          <w:sz w:val="21"/>
          <w:lang w:val="en-US" w:eastAsia="zh-CN"/>
          <w14:textFill>
            <w14:solidFill>
              <w14:schemeClr w14:val="tx1"/>
            </w14:solidFill>
          </w14:textFill>
        </w:rPr>
        <w:t>3</w:t>
      </w:r>
      <w:r>
        <w:rPr>
          <w:rFonts w:ascii="宋体" w:hAnsi="宋体"/>
          <w:color w:val="000000" w:themeColor="text1"/>
          <w:spacing w:val="0"/>
          <w:sz w:val="21"/>
          <w14:textFill>
            <w14:solidFill>
              <w14:schemeClr w14:val="tx1"/>
            </w14:solidFill>
          </w14:textFill>
        </w:rPr>
        <w:t>）投标保证金</w:t>
      </w:r>
      <w:r>
        <w:rPr>
          <w:rFonts w:hint="eastAsia" w:ascii="宋体" w:hAnsi="宋体"/>
          <w:color w:val="000000" w:themeColor="text1"/>
          <w:spacing w:val="0"/>
          <w:sz w:val="21"/>
          <w14:textFill>
            <w14:solidFill>
              <w14:schemeClr w14:val="tx1"/>
            </w14:solidFill>
          </w14:textFill>
        </w:rPr>
        <w:t>；</w:t>
      </w:r>
    </w:p>
    <w:p w14:paraId="11AEECF8">
      <w:pPr>
        <w:pStyle w:val="31"/>
        <w:ind w:firstLine="420"/>
        <w:rPr>
          <w:rFonts w:ascii="宋体" w:hAnsi="宋体"/>
          <w:color w:val="000000" w:themeColor="text1"/>
          <w:spacing w:val="0"/>
          <w:sz w:val="21"/>
          <w14:textFill>
            <w14:solidFill>
              <w14:schemeClr w14:val="tx1"/>
            </w14:solidFill>
          </w14:textFill>
        </w:rPr>
      </w:pPr>
      <w:r>
        <w:rPr>
          <w:rFonts w:hint="eastAsia" w:ascii="宋体" w:hAnsi="宋体"/>
          <w:color w:val="000000" w:themeColor="text1"/>
          <w:spacing w:val="0"/>
          <w:sz w:val="21"/>
          <w14:textFill>
            <w14:solidFill>
              <w14:schemeClr w14:val="tx1"/>
            </w14:solidFill>
          </w14:textFill>
        </w:rPr>
        <w:t>（</w:t>
      </w:r>
      <w:r>
        <w:rPr>
          <w:rFonts w:hint="eastAsia" w:ascii="宋体" w:hAnsi="宋体"/>
          <w:color w:val="000000" w:themeColor="text1"/>
          <w:spacing w:val="0"/>
          <w:sz w:val="21"/>
          <w:lang w:val="en-US" w:eastAsia="zh-CN"/>
          <w14:textFill>
            <w14:solidFill>
              <w14:schemeClr w14:val="tx1"/>
            </w14:solidFill>
          </w14:textFill>
        </w:rPr>
        <w:t>4</w:t>
      </w:r>
      <w:r>
        <w:rPr>
          <w:rFonts w:ascii="宋体" w:hAnsi="宋体"/>
          <w:color w:val="000000" w:themeColor="text1"/>
          <w:spacing w:val="0"/>
          <w:sz w:val="21"/>
          <w14:textFill>
            <w14:solidFill>
              <w14:schemeClr w14:val="tx1"/>
            </w14:solidFill>
          </w14:textFill>
        </w:rPr>
        <w:t>）资格审查资料；</w:t>
      </w:r>
    </w:p>
    <w:p w14:paraId="23F695FC">
      <w:pPr>
        <w:pStyle w:val="31"/>
        <w:ind w:firstLine="420"/>
        <w:rPr>
          <w:rFonts w:hint="eastAsia" w:ascii="宋体" w:hAnsi="宋体"/>
          <w:color w:val="000000" w:themeColor="text1"/>
          <w:spacing w:val="0"/>
          <w:sz w:val="21"/>
          <w:lang w:val="en-US" w:eastAsia="zh-CN"/>
          <w14:textFill>
            <w14:solidFill>
              <w14:schemeClr w14:val="tx1"/>
            </w14:solidFill>
          </w14:textFill>
        </w:rPr>
      </w:pPr>
      <w:r>
        <w:rPr>
          <w:rFonts w:hint="eastAsia" w:ascii="宋体" w:hAnsi="宋体"/>
          <w:color w:val="000000" w:themeColor="text1"/>
          <w:spacing w:val="0"/>
          <w:sz w:val="21"/>
          <w:lang w:eastAsia="zh-CN"/>
          <w14:textFill>
            <w14:solidFill>
              <w14:schemeClr w14:val="tx1"/>
            </w14:solidFill>
          </w14:textFill>
        </w:rPr>
        <w:t>（</w:t>
      </w:r>
      <w:r>
        <w:rPr>
          <w:rFonts w:hint="eastAsia" w:ascii="宋体" w:hAnsi="宋体"/>
          <w:color w:val="000000" w:themeColor="text1"/>
          <w:spacing w:val="0"/>
          <w:sz w:val="21"/>
          <w:lang w:val="en-US" w:eastAsia="zh-CN"/>
          <w14:textFill>
            <w14:solidFill>
              <w14:schemeClr w14:val="tx1"/>
            </w14:solidFill>
          </w14:textFill>
        </w:rPr>
        <w:t>5</w:t>
      </w:r>
      <w:r>
        <w:rPr>
          <w:rFonts w:hint="eastAsia" w:ascii="宋体" w:hAnsi="宋体"/>
          <w:color w:val="000000" w:themeColor="text1"/>
          <w:spacing w:val="0"/>
          <w:sz w:val="21"/>
          <w:lang w:eastAsia="zh-CN"/>
          <w14:textFill>
            <w14:solidFill>
              <w14:schemeClr w14:val="tx1"/>
            </w14:solidFill>
          </w14:textFill>
        </w:rPr>
        <w:t>）</w:t>
      </w:r>
      <w:r>
        <w:rPr>
          <w:rFonts w:hint="eastAsia" w:ascii="宋体" w:hAnsi="宋体"/>
          <w:color w:val="000000" w:themeColor="text1"/>
          <w:spacing w:val="0"/>
          <w:sz w:val="21"/>
          <w:lang w:val="en-US" w:eastAsia="zh-CN"/>
          <w14:textFill>
            <w14:solidFill>
              <w14:schemeClr w14:val="tx1"/>
            </w14:solidFill>
          </w14:textFill>
        </w:rPr>
        <w:t>缴纳交易服务费、中标服务费承诺书</w:t>
      </w:r>
    </w:p>
    <w:p w14:paraId="20D6DDB1">
      <w:pPr>
        <w:pStyle w:val="31"/>
        <w:ind w:firstLine="420"/>
        <w:rPr>
          <w:rFonts w:hint="eastAsia" w:ascii="宋体" w:hAnsi="宋体"/>
          <w:color w:val="000000" w:themeColor="text1"/>
          <w:spacing w:val="0"/>
          <w:sz w:val="21"/>
          <w:lang w:val="en-US" w:eastAsia="zh-CN"/>
          <w14:textFill>
            <w14:solidFill>
              <w14:schemeClr w14:val="tx1"/>
            </w14:solidFill>
          </w14:textFill>
        </w:rPr>
      </w:pPr>
      <w:r>
        <w:rPr>
          <w:rFonts w:hint="eastAsia" w:ascii="宋体" w:hAnsi="宋体"/>
          <w:color w:val="000000" w:themeColor="text1"/>
          <w:spacing w:val="0"/>
          <w:sz w:val="21"/>
          <w:lang w:val="en-US" w:eastAsia="zh-CN"/>
          <w14:textFill>
            <w14:solidFill>
              <w14:schemeClr w14:val="tx1"/>
            </w14:solidFill>
          </w14:textFill>
        </w:rPr>
        <w:t>（6）评标打分索引</w:t>
      </w:r>
    </w:p>
    <w:p w14:paraId="7EC596F2">
      <w:pPr>
        <w:pStyle w:val="31"/>
        <w:ind w:firstLine="420"/>
        <w:rPr>
          <w:rFonts w:ascii="宋体" w:hAnsi="宋体"/>
          <w:color w:val="000000" w:themeColor="text1"/>
          <w:spacing w:val="0"/>
          <w:sz w:val="21"/>
          <w14:textFill>
            <w14:solidFill>
              <w14:schemeClr w14:val="tx1"/>
            </w14:solidFill>
          </w14:textFill>
        </w:rPr>
      </w:pPr>
      <w:r>
        <w:rPr>
          <w:rFonts w:hint="eastAsia" w:ascii="宋体" w:hAnsi="宋体"/>
          <w:color w:val="000000" w:themeColor="text1"/>
          <w:spacing w:val="0"/>
          <w:sz w:val="21"/>
          <w14:textFill>
            <w14:solidFill>
              <w14:schemeClr w14:val="tx1"/>
            </w14:solidFill>
          </w14:textFill>
        </w:rPr>
        <w:t>（</w:t>
      </w:r>
      <w:r>
        <w:rPr>
          <w:rFonts w:hint="eastAsia" w:ascii="宋体" w:hAnsi="宋体"/>
          <w:color w:val="000000" w:themeColor="text1"/>
          <w:spacing w:val="0"/>
          <w:sz w:val="21"/>
          <w:lang w:val="en-US" w:eastAsia="zh-CN"/>
          <w14:textFill>
            <w14:solidFill>
              <w14:schemeClr w14:val="tx1"/>
            </w14:solidFill>
          </w14:textFill>
        </w:rPr>
        <w:t>7</w:t>
      </w:r>
      <w:r>
        <w:rPr>
          <w:rFonts w:ascii="宋体" w:hAnsi="宋体"/>
          <w:color w:val="000000" w:themeColor="text1"/>
          <w:spacing w:val="0"/>
          <w:sz w:val="21"/>
          <w14:textFill>
            <w14:solidFill>
              <w14:schemeClr w14:val="tx1"/>
            </w14:solidFill>
          </w14:textFill>
        </w:rPr>
        <w:t>）</w:t>
      </w:r>
      <w:r>
        <w:rPr>
          <w:rFonts w:hint="eastAsia" w:ascii="宋体" w:hAnsi="宋体"/>
          <w:color w:val="000000" w:themeColor="text1"/>
          <w:spacing w:val="0"/>
          <w:sz w:val="21"/>
          <w:lang w:val="en-US" w:eastAsia="zh-CN"/>
          <w14:textFill>
            <w14:solidFill>
              <w14:schemeClr w14:val="tx1"/>
            </w14:solidFill>
          </w14:textFill>
        </w:rPr>
        <w:t>咨信方案文件</w:t>
      </w:r>
    </w:p>
    <w:p w14:paraId="19AEC766">
      <w:pPr>
        <w:pStyle w:val="31"/>
        <w:ind w:firstLine="420"/>
        <w:rPr>
          <w:rFonts w:hint="default" w:ascii="宋体" w:hAnsi="宋体" w:eastAsia="宋体"/>
          <w:color w:val="000000" w:themeColor="text1"/>
          <w:spacing w:val="0"/>
          <w:sz w:val="21"/>
          <w:lang w:val="en-US" w:eastAsia="zh-CN"/>
          <w14:textFill>
            <w14:solidFill>
              <w14:schemeClr w14:val="tx1"/>
            </w14:solidFill>
          </w14:textFill>
        </w:rPr>
      </w:pPr>
      <w:r>
        <w:rPr>
          <w:rFonts w:hint="eastAsia" w:ascii="宋体" w:hAnsi="宋体"/>
          <w:color w:val="000000" w:themeColor="text1"/>
          <w:spacing w:val="0"/>
          <w:sz w:val="21"/>
          <w:lang w:val="en-US" w:eastAsia="zh-CN"/>
          <w14:textFill>
            <w14:solidFill>
              <w14:schemeClr w14:val="tx1"/>
            </w14:solidFill>
          </w14:textFill>
        </w:rPr>
        <w:t>（8）</w:t>
      </w:r>
      <w:r>
        <w:rPr>
          <w:rFonts w:ascii="宋体" w:hAnsi="宋体"/>
          <w:color w:val="000000" w:themeColor="text1"/>
          <w:spacing w:val="0"/>
          <w:sz w:val="21"/>
          <w14:textFill>
            <w14:solidFill>
              <w14:schemeClr w14:val="tx1"/>
            </w14:solidFill>
          </w14:textFill>
        </w:rPr>
        <w:t>投标人须知前附表规定的其他资料；</w:t>
      </w:r>
    </w:p>
    <w:p w14:paraId="1BA87069">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投标人在评标过程中作出的符合法律法规和招标文件规定的澄清确认，构成投标文件的组成部分。</w:t>
      </w:r>
    </w:p>
    <w:p w14:paraId="27ED344D">
      <w:pPr>
        <w:spacing w:before="240" w:beforeLines="100" w:after="240" w:afterLines="100"/>
        <w:rPr>
          <w:rFonts w:ascii="宋体" w:hAnsi="宋体"/>
          <w:b/>
          <w:color w:val="000000" w:themeColor="text1"/>
          <w:sz w:val="28"/>
          <w:szCs w:val="28"/>
          <w14:textFill>
            <w14:solidFill>
              <w14:schemeClr w14:val="tx1"/>
            </w14:solidFill>
          </w14:textFill>
        </w:rPr>
      </w:pPr>
      <w:bookmarkStart w:id="124" w:name="_Toc514876754"/>
      <w:bookmarkStart w:id="125" w:name="_Toc529196540"/>
      <w:bookmarkStart w:id="126" w:name="_Toc515205213"/>
      <w:r>
        <w:rPr>
          <w:rFonts w:ascii="宋体" w:hAnsi="宋体"/>
          <w:b/>
          <w:color w:val="000000" w:themeColor="text1"/>
          <w:sz w:val="28"/>
          <w:szCs w:val="28"/>
          <w14:textFill>
            <w14:solidFill>
              <w14:schemeClr w14:val="tx1"/>
            </w14:solidFill>
          </w14:textFill>
        </w:rPr>
        <w:t>3.2投标报价</w:t>
      </w:r>
      <w:bookmarkEnd w:id="124"/>
      <w:bookmarkEnd w:id="125"/>
      <w:bookmarkEnd w:id="126"/>
    </w:p>
    <w:p w14:paraId="51FC44BD">
      <w:pPr>
        <w:pStyle w:val="31"/>
        <w:ind w:firstLine="420"/>
        <w:rPr>
          <w:rFonts w:ascii="宋体" w:hAnsi="宋体"/>
          <w:color w:val="000000" w:themeColor="text1"/>
          <w:spacing w:val="0"/>
          <w:sz w:val="21"/>
          <w14:textFill>
            <w14:solidFill>
              <w14:schemeClr w14:val="tx1"/>
            </w14:solidFill>
          </w14:textFill>
        </w:rPr>
      </w:pPr>
      <w:r>
        <w:rPr>
          <w:rFonts w:ascii="宋体" w:hAnsi="宋体"/>
          <w:color w:val="000000" w:themeColor="text1"/>
          <w:spacing w:val="0"/>
          <w:sz w:val="21"/>
          <w14:textFill>
            <w14:solidFill>
              <w14:schemeClr w14:val="tx1"/>
            </w14:solidFill>
          </w14:textFill>
        </w:rPr>
        <w:t xml:space="preserve">3.2.1 </w:t>
      </w:r>
      <w:r>
        <w:rPr>
          <w:rFonts w:hint="eastAsia" w:ascii="宋体" w:hAnsi="宋体"/>
          <w:color w:val="000000" w:themeColor="text1"/>
          <w:spacing w:val="0"/>
          <w:sz w:val="21"/>
          <w14:textFill>
            <w14:solidFill>
              <w14:schemeClr w14:val="tx1"/>
            </w14:solidFill>
          </w14:textFill>
        </w:rPr>
        <w:t>投标报价应包括国家规定的增值税税金，除投标人须知前附表另有规定外，增值税税金按一般计税方法计算。投标人应按第六章“投标文件格式”的要求在投标函中进行报价。</w:t>
      </w:r>
    </w:p>
    <w:p w14:paraId="55E5ED89">
      <w:pPr>
        <w:pStyle w:val="31"/>
        <w:ind w:firstLine="420"/>
        <w:rPr>
          <w:rFonts w:ascii="宋体" w:hAnsi="宋体"/>
          <w:color w:val="000000" w:themeColor="text1"/>
          <w:spacing w:val="0"/>
          <w:sz w:val="21"/>
          <w14:textFill>
            <w14:solidFill>
              <w14:schemeClr w14:val="tx1"/>
            </w14:solidFill>
          </w14:textFill>
        </w:rPr>
      </w:pPr>
      <w:r>
        <w:rPr>
          <w:rFonts w:ascii="宋体" w:hAnsi="宋体"/>
          <w:color w:val="000000" w:themeColor="text1"/>
          <w:spacing w:val="0"/>
          <w:sz w:val="21"/>
          <w14:textFill>
            <w14:solidFill>
              <w14:schemeClr w14:val="tx1"/>
            </w14:solidFill>
          </w14:textFill>
        </w:rPr>
        <w:t xml:space="preserve">3.2.2 </w:t>
      </w:r>
      <w:r>
        <w:rPr>
          <w:rFonts w:hint="eastAsia" w:ascii="宋体" w:hAnsi="宋体"/>
          <w:color w:val="000000" w:themeColor="text1"/>
          <w:spacing w:val="0"/>
          <w:sz w:val="21"/>
          <w14:textFill>
            <w14:solidFill>
              <w14:schemeClr w14:val="tx1"/>
            </w14:solidFill>
          </w14:textFill>
        </w:rPr>
        <w:t>投标人应充分了解该项目的总体情况以及影响投标报价的其他要素。</w:t>
      </w:r>
    </w:p>
    <w:p w14:paraId="70D689AB">
      <w:pPr>
        <w:pStyle w:val="31"/>
        <w:ind w:firstLine="420"/>
        <w:rPr>
          <w:rFonts w:ascii="宋体" w:hAnsi="宋体"/>
          <w:color w:val="000000" w:themeColor="text1"/>
          <w:spacing w:val="0"/>
          <w:sz w:val="21"/>
          <w14:textFill>
            <w14:solidFill>
              <w14:schemeClr w14:val="tx1"/>
            </w14:solidFill>
          </w14:textFill>
        </w:rPr>
      </w:pPr>
      <w:r>
        <w:rPr>
          <w:rFonts w:ascii="宋体" w:hAnsi="宋体"/>
          <w:color w:val="000000" w:themeColor="text1"/>
          <w:spacing w:val="0"/>
          <w:sz w:val="21"/>
          <w14:textFill>
            <w14:solidFill>
              <w14:schemeClr w14:val="tx1"/>
            </w14:solidFill>
          </w14:textFill>
        </w:rPr>
        <w:t xml:space="preserve">3.2.3本项目的报价方式见投标人须知前附表。投标人在投标截止时间前修改投标函中的投标报价总额。此修改须符合本章第 4.3 </w:t>
      </w:r>
      <w:r>
        <w:rPr>
          <w:rFonts w:hint="eastAsia" w:ascii="宋体" w:hAnsi="宋体"/>
          <w:color w:val="000000" w:themeColor="text1"/>
          <w:spacing w:val="0"/>
          <w:sz w:val="21"/>
          <w14:textFill>
            <w14:solidFill>
              <w14:schemeClr w14:val="tx1"/>
            </w14:solidFill>
          </w14:textFill>
        </w:rPr>
        <w:t>款的有关要求。</w:t>
      </w:r>
    </w:p>
    <w:p w14:paraId="716C4A59">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3.2.4．招标人设有最高投标限价的，投标人的投标报价不得超过最高投标限价，最高投标限价在投标人须知前附表中载明。</w:t>
      </w:r>
    </w:p>
    <w:p w14:paraId="626D217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3.2.5 </w:t>
      </w:r>
      <w:r>
        <w:rPr>
          <w:rFonts w:hint="eastAsia" w:ascii="宋体" w:hAnsi="宋体"/>
          <w:color w:val="000000" w:themeColor="text1"/>
          <w14:textFill>
            <w14:solidFill>
              <w14:schemeClr w14:val="tx1"/>
            </w14:solidFill>
          </w14:textFill>
        </w:rPr>
        <w:t>投标报价的其他要求见投标人须知前附表</w:t>
      </w:r>
      <w:r>
        <w:rPr>
          <w:rFonts w:ascii="宋体" w:hAnsi="宋体"/>
          <w:color w:val="000000" w:themeColor="text1"/>
          <w14:textFill>
            <w14:solidFill>
              <w14:schemeClr w14:val="tx1"/>
            </w14:solidFill>
          </w14:textFill>
        </w:rPr>
        <w:t>3.2.5。</w:t>
      </w:r>
    </w:p>
    <w:p w14:paraId="0FA9595A">
      <w:pPr>
        <w:spacing w:before="240" w:beforeLines="100" w:after="240" w:afterLines="100"/>
        <w:rPr>
          <w:rFonts w:ascii="宋体" w:hAnsi="宋体"/>
          <w:b/>
          <w:color w:val="000000" w:themeColor="text1"/>
          <w:sz w:val="28"/>
          <w:szCs w:val="28"/>
          <w14:textFill>
            <w14:solidFill>
              <w14:schemeClr w14:val="tx1"/>
            </w14:solidFill>
          </w14:textFill>
        </w:rPr>
      </w:pPr>
      <w:bookmarkStart w:id="127" w:name="_Toc515205214"/>
      <w:bookmarkStart w:id="128" w:name="_Toc529196541"/>
      <w:r>
        <w:rPr>
          <w:rFonts w:ascii="宋体" w:hAnsi="宋体"/>
          <w:b/>
          <w:color w:val="000000" w:themeColor="text1"/>
          <w:sz w:val="28"/>
          <w:szCs w:val="28"/>
          <w14:textFill>
            <w14:solidFill>
              <w14:schemeClr w14:val="tx1"/>
            </w14:solidFill>
          </w14:textFill>
        </w:rPr>
        <w:t>3.3投标有效期</w:t>
      </w:r>
      <w:bookmarkEnd w:id="127"/>
      <w:bookmarkEnd w:id="128"/>
    </w:p>
    <w:p w14:paraId="6ED58EFC">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3.3.1 </w:t>
      </w:r>
      <w:r>
        <w:rPr>
          <w:rFonts w:hint="eastAsia" w:ascii="宋体" w:hAnsi="宋体"/>
          <w:color w:val="000000" w:themeColor="text1"/>
          <w14:textFill>
            <w14:solidFill>
              <w14:schemeClr w14:val="tx1"/>
            </w14:solidFill>
          </w14:textFill>
        </w:rPr>
        <w:t>除投标人须知前附表另有规定外，</w:t>
      </w:r>
      <w:r>
        <w:rPr>
          <w:rFonts w:hint="eastAsia" w:ascii="宋体" w:hAnsi="宋体"/>
          <w:color w:val="000000" w:themeColor="text1"/>
          <w:lang w:eastAsia="zh-CN"/>
          <w14:textFill>
            <w14:solidFill>
              <w14:schemeClr w14:val="tx1"/>
            </w14:solidFill>
          </w14:textFill>
        </w:rPr>
        <w:t>投标有效期为90天</w:t>
      </w:r>
      <w:r>
        <w:rPr>
          <w:rFonts w:ascii="宋体" w:hAnsi="宋体"/>
          <w:color w:val="000000" w:themeColor="text1"/>
          <w14:textFill>
            <w14:solidFill>
              <w14:schemeClr w14:val="tx1"/>
            </w14:solidFill>
          </w14:textFill>
        </w:rPr>
        <w:t>。</w:t>
      </w:r>
    </w:p>
    <w:p w14:paraId="11DB49B8">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3.3.2 </w:t>
      </w:r>
      <w:r>
        <w:rPr>
          <w:rFonts w:hint="eastAsia" w:ascii="宋体" w:hAnsi="宋体"/>
          <w:color w:val="000000" w:themeColor="text1"/>
          <w14:textFill>
            <w14:solidFill>
              <w14:schemeClr w14:val="tx1"/>
            </w14:solidFill>
          </w14:textFill>
        </w:rPr>
        <w:t>在投标有效期内，投标人撤销投标文件的，应承担招标文件和法律规定的责任。</w:t>
      </w:r>
    </w:p>
    <w:p w14:paraId="24A7C82D">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3.3.3 </w:t>
      </w:r>
      <w:r>
        <w:rPr>
          <w:rFonts w:hint="eastAsia" w:ascii="宋体" w:hAnsi="宋体"/>
          <w:color w:val="000000" w:themeColor="text1"/>
          <w14:textFill>
            <w14:solidFill>
              <w14:schemeClr w14:val="tx1"/>
            </w14:solidFill>
          </w14:textFill>
        </w:rPr>
        <w:t>出现特殊情况需要延长投标有效期的，招标人以书面形式通知所有投标人延长投标有效期。投标人应予以书面答复，同意延长的，不得要求或被允许修改其投标文件；投标人拒绝延长的，其投标失效。</w:t>
      </w:r>
    </w:p>
    <w:p w14:paraId="53B71FE4">
      <w:pPr>
        <w:spacing w:before="240" w:beforeLines="100" w:after="240" w:afterLines="100"/>
        <w:rPr>
          <w:rFonts w:ascii="宋体" w:hAnsi="宋体"/>
          <w:b/>
          <w:color w:val="000000" w:themeColor="text1"/>
          <w:sz w:val="28"/>
          <w:szCs w:val="28"/>
          <w14:textFill>
            <w14:solidFill>
              <w14:schemeClr w14:val="tx1"/>
            </w14:solidFill>
          </w14:textFill>
        </w:rPr>
      </w:pPr>
      <w:bookmarkStart w:id="129" w:name="_Toc515205215"/>
      <w:bookmarkStart w:id="130" w:name="_Toc529196542"/>
      <w:r>
        <w:rPr>
          <w:rFonts w:ascii="宋体" w:hAnsi="宋体"/>
          <w:b/>
          <w:color w:val="000000" w:themeColor="text1"/>
          <w:sz w:val="28"/>
          <w:szCs w:val="28"/>
          <w14:textFill>
            <w14:solidFill>
              <w14:schemeClr w14:val="tx1"/>
            </w14:solidFill>
          </w14:textFill>
        </w:rPr>
        <w:t>3.4投标保证金</w:t>
      </w:r>
      <w:bookmarkEnd w:id="129"/>
      <w:bookmarkEnd w:id="130"/>
    </w:p>
    <w:p w14:paraId="5E126673">
      <w:pPr>
        <w:spacing w:after="0" w:line="400" w:lineRule="exact"/>
        <w:ind w:firstLine="420" w:firstLineChars="200"/>
        <w:rPr>
          <w:rFonts w:hint="eastAsia" w:ascii="宋体" w:hAnsi="宋体"/>
          <w:szCs w:val="21"/>
        </w:rPr>
      </w:pPr>
      <w:r>
        <w:rPr>
          <w:rFonts w:hint="eastAsia" w:ascii="宋体" w:hAnsi="宋体"/>
          <w:szCs w:val="21"/>
        </w:rPr>
        <w:t>3.4.1投标人应按投标人须知前附表规定的金额及相关要求缴纳投标保证金，并作为其投标文件的组成部分。其有关事宜，按广州公共资源交易中心现行规定执行，若有疑问，请自行咨询广州公共资源交易中心，联系电话：020-28866000。</w:t>
      </w:r>
    </w:p>
    <w:p w14:paraId="02F143FD">
      <w:pPr>
        <w:spacing w:after="0" w:line="400" w:lineRule="exact"/>
        <w:ind w:firstLine="420" w:firstLineChars="200"/>
        <w:rPr>
          <w:rFonts w:hint="eastAsia" w:ascii="宋体" w:hAnsi="宋体"/>
          <w:szCs w:val="21"/>
        </w:rPr>
      </w:pPr>
      <w:r>
        <w:rPr>
          <w:rFonts w:hint="eastAsia" w:ascii="宋体" w:hAnsi="宋体"/>
          <w:szCs w:val="21"/>
        </w:rPr>
        <w:t>3.4.2 投标人不按本章第3.4.1项要求缴纳投标保证金的，其投标文件作废标处理。</w:t>
      </w:r>
    </w:p>
    <w:p w14:paraId="7CC9FE33">
      <w:pPr>
        <w:spacing w:after="0" w:line="400" w:lineRule="exact"/>
        <w:ind w:firstLine="420" w:firstLineChars="200"/>
        <w:rPr>
          <w:rFonts w:hint="eastAsia" w:ascii="宋体" w:hAnsi="宋体"/>
          <w:szCs w:val="21"/>
        </w:rPr>
      </w:pPr>
      <w:r>
        <w:rPr>
          <w:rFonts w:hint="eastAsia" w:ascii="宋体" w:hAnsi="宋体"/>
          <w:szCs w:val="21"/>
        </w:rPr>
        <w:t>3.4.3</w:t>
      </w:r>
      <w:r>
        <w:rPr>
          <w:rFonts w:hint="eastAsia" w:ascii="宋体" w:hAnsi="宋体"/>
        </w:rPr>
        <w:t>未中标单位的投标保证金将在中标通知书发出之日起5日内无息退还</w:t>
      </w:r>
      <w:r>
        <w:rPr>
          <w:rFonts w:hint="eastAsia" w:ascii="宋体" w:hAnsi="宋体"/>
          <w:szCs w:val="21"/>
        </w:rPr>
        <w:t>，</w:t>
      </w:r>
      <w:r>
        <w:rPr>
          <w:rFonts w:hint="eastAsia" w:ascii="宋体" w:hAnsi="宋体"/>
        </w:rPr>
        <w:t xml:space="preserve"> 中标人的投标保证金将在中标合同订立之日起5日内无息退还投标人</w:t>
      </w:r>
      <w:r>
        <w:rPr>
          <w:rFonts w:hint="eastAsia" w:ascii="宋体" w:hAnsi="宋体"/>
          <w:szCs w:val="21"/>
        </w:rPr>
        <w:t>。</w:t>
      </w:r>
    </w:p>
    <w:p w14:paraId="6C29DAB2">
      <w:pPr>
        <w:spacing w:after="0" w:line="400" w:lineRule="exact"/>
        <w:ind w:firstLine="420" w:firstLineChars="200"/>
        <w:rPr>
          <w:rFonts w:hint="eastAsia" w:ascii="宋体" w:hAnsi="宋体"/>
          <w:szCs w:val="21"/>
        </w:rPr>
      </w:pPr>
      <w:r>
        <w:rPr>
          <w:rFonts w:hint="eastAsia" w:ascii="宋体" w:hAnsi="宋体"/>
          <w:szCs w:val="21"/>
        </w:rPr>
        <w:t xml:space="preserve">3.4.4 有下列情形之一的，投标保证金将不予退还： </w:t>
      </w:r>
    </w:p>
    <w:p w14:paraId="1CB7CC49">
      <w:pPr>
        <w:spacing w:after="0" w:line="400" w:lineRule="exact"/>
        <w:ind w:firstLine="525" w:firstLineChars="250"/>
        <w:rPr>
          <w:rFonts w:hint="eastAsia" w:ascii="宋体" w:hAnsi="宋体"/>
          <w:szCs w:val="21"/>
        </w:rPr>
      </w:pPr>
      <w:r>
        <w:rPr>
          <w:rFonts w:hint="eastAsia" w:ascii="宋体" w:hAnsi="宋体"/>
          <w:szCs w:val="21"/>
        </w:rPr>
        <w:t>（1）投标人在规定的投标有效期内撤销或修改其投标文件；</w:t>
      </w:r>
    </w:p>
    <w:p w14:paraId="5224DC78">
      <w:pPr>
        <w:spacing w:after="0" w:line="400" w:lineRule="exact"/>
        <w:ind w:firstLine="525" w:firstLineChars="250"/>
        <w:rPr>
          <w:rFonts w:hint="eastAsia" w:ascii="宋体" w:hAnsi="宋体"/>
          <w:szCs w:val="21"/>
        </w:rPr>
      </w:pPr>
      <w:r>
        <w:rPr>
          <w:rFonts w:hint="eastAsia" w:ascii="宋体" w:hAnsi="宋体"/>
          <w:szCs w:val="21"/>
        </w:rPr>
        <w:t>（2）中标人在收到中标通知书后，无正当理由拒签合同协议书或未按招标文件规定提交履约担保。</w:t>
      </w:r>
    </w:p>
    <w:p w14:paraId="2D631F7D">
      <w:pPr>
        <w:spacing w:line="400" w:lineRule="exact"/>
        <w:ind w:firstLine="315" w:firstLineChars="150"/>
        <w:rPr>
          <w:rFonts w:ascii="宋体" w:hAnsi="宋体"/>
          <w:b/>
          <w:color w:val="000000" w:themeColor="text1"/>
          <w:sz w:val="28"/>
          <w:szCs w:val="28"/>
          <w14:textFill>
            <w14:solidFill>
              <w14:schemeClr w14:val="tx1"/>
            </w14:solidFill>
          </w14:textFill>
        </w:rPr>
      </w:pPr>
      <w:r>
        <w:rPr>
          <w:rFonts w:hint="eastAsia" w:ascii="宋体" w:hAnsi="宋体"/>
          <w:szCs w:val="21"/>
        </w:rPr>
        <w:t>（3）因业绩证明材料等作假而取消投标资格的</w:t>
      </w:r>
      <w:r>
        <w:rPr>
          <w:rFonts w:hint="eastAsia" w:ascii="Times New Roman" w:hAnsi="Times New Roman"/>
          <w:color w:val="000000" w:themeColor="text1"/>
          <w:szCs w:val="21"/>
          <w14:textFill>
            <w14:solidFill>
              <w14:schemeClr w14:val="tx1"/>
            </w14:solidFill>
          </w14:textFill>
        </w:rPr>
        <w:t>。</w:t>
      </w:r>
    </w:p>
    <w:p w14:paraId="4EBBBFBF">
      <w:pPr>
        <w:spacing w:before="240" w:beforeLines="100" w:after="240" w:afterLines="100"/>
        <w:rPr>
          <w:rFonts w:ascii="宋体" w:hAnsi="宋体"/>
          <w:b/>
          <w:color w:val="000000" w:themeColor="text1"/>
          <w:sz w:val="28"/>
          <w:szCs w:val="28"/>
          <w14:textFill>
            <w14:solidFill>
              <w14:schemeClr w14:val="tx1"/>
            </w14:solidFill>
          </w14:textFill>
        </w:rPr>
      </w:pPr>
      <w:bookmarkStart w:id="131" w:name="_Toc529196544"/>
      <w:bookmarkStart w:id="132" w:name="_Toc515205217"/>
      <w:r>
        <w:rPr>
          <w:rFonts w:ascii="宋体" w:hAnsi="宋体"/>
          <w:b/>
          <w:color w:val="000000" w:themeColor="text1"/>
          <w:sz w:val="28"/>
          <w:szCs w:val="28"/>
          <w14:textFill>
            <w14:solidFill>
              <w14:schemeClr w14:val="tx1"/>
            </w14:solidFill>
          </w14:textFill>
        </w:rPr>
        <w:t>3.5资格审查资料（适用于未进行资格预审的）</w:t>
      </w:r>
      <w:bookmarkEnd w:id="131"/>
      <w:bookmarkEnd w:id="132"/>
    </w:p>
    <w:p w14:paraId="13B7EB37">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除投标人须知前附表另有规定外，投标人应按下列规定提供资格审查资料，以证明其满足本章第</w:t>
      </w:r>
      <w:r>
        <w:rPr>
          <w:rFonts w:ascii="宋体" w:hAnsi="宋体"/>
          <w:color w:val="000000" w:themeColor="text1"/>
          <w14:textFill>
            <w14:solidFill>
              <w14:schemeClr w14:val="tx1"/>
            </w14:solidFill>
          </w14:textFill>
        </w:rPr>
        <w:t xml:space="preserve"> 1.4 </w:t>
      </w:r>
      <w:r>
        <w:rPr>
          <w:rFonts w:hint="eastAsia" w:ascii="宋体" w:hAnsi="宋体"/>
          <w:color w:val="000000" w:themeColor="text1"/>
          <w14:textFill>
            <w14:solidFill>
              <w14:schemeClr w14:val="tx1"/>
            </w14:solidFill>
          </w14:textFill>
        </w:rPr>
        <w:t>款规定的资质、业绩、信誉等要求。</w:t>
      </w:r>
    </w:p>
    <w:p w14:paraId="11C754E1">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3.5.1 </w:t>
      </w:r>
      <w:r>
        <w:rPr>
          <w:rFonts w:hint="eastAsia"/>
          <w:szCs w:val="21"/>
          <w:u w:val="single"/>
        </w:rPr>
        <w:t>“投标人基本情况表”应附投标人营业执照（或事业单位法人证书）的原件（或副本）清晰扫描件、投标人监理资质证书等材料的原件清晰扫描件</w:t>
      </w:r>
      <w:r>
        <w:rPr>
          <w:rFonts w:hint="eastAsia" w:ascii="宋体" w:hAnsi="宋体"/>
          <w:color w:val="000000" w:themeColor="text1"/>
          <w14:textFill>
            <w14:solidFill>
              <w14:schemeClr w14:val="tx1"/>
            </w14:solidFill>
          </w14:textFill>
        </w:rPr>
        <w:t>。</w:t>
      </w:r>
    </w:p>
    <w:p w14:paraId="2C3E814A">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w:t>
      </w:r>
      <w:r>
        <w:rPr>
          <w:rFonts w:hint="eastAsia" w:ascii="宋体" w:hAnsi="宋体"/>
          <w:color w:val="000000" w:themeColor="text1"/>
          <w:lang w:val="en-US" w:eastAsia="zh-CN"/>
          <w14:textFill>
            <w14:solidFill>
              <w14:schemeClr w14:val="tx1"/>
            </w14:solidFill>
          </w14:textFill>
        </w:rPr>
        <w:t>2</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“近年完成的类似监理项目情况表”应附中标通知书和（或）合同协议书、委托人出具的证明文件；具体时间要求见投标人须知前附表，每张表格只填写一个项目，并标明序号。</w:t>
      </w:r>
    </w:p>
    <w:p w14:paraId="74F2B1D8">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w:t>
      </w:r>
      <w:r>
        <w:rPr>
          <w:rFonts w:hint="eastAsia" w:ascii="宋体" w:hAnsi="宋体"/>
          <w:color w:val="000000" w:themeColor="text1"/>
          <w:lang w:val="en-US" w:eastAsia="zh-CN"/>
          <w14:textFill>
            <w14:solidFill>
              <w14:schemeClr w14:val="tx1"/>
            </w14:solidFill>
          </w14:textFill>
        </w:rPr>
        <w:t>3</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“正在监理和新承接的项目情况表”应附中标通知书和（或）合同协议书扫描件。每张表格只填写一个项目，并标明序号。</w:t>
      </w:r>
    </w:p>
    <w:p w14:paraId="1D9DB3FE">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w:t>
      </w:r>
      <w:r>
        <w:rPr>
          <w:rFonts w:hint="eastAsia" w:ascii="宋体" w:hAnsi="宋体"/>
          <w:color w:val="000000" w:themeColor="text1"/>
          <w:lang w:val="en-US" w:eastAsia="zh-CN"/>
          <w14:textFill>
            <w14:solidFill>
              <w14:schemeClr w14:val="tx1"/>
            </w14:solidFill>
          </w14:textFill>
        </w:rPr>
        <w:t>4</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“近年发生的诉讼及仲裁情况”应说明投标人败诉的监理合同的相关情况，并附法院或仲裁机构作出的判决、裁决等有关法律文书扫描件，具体时间要求见投标人须知前附表。</w:t>
      </w:r>
    </w:p>
    <w:p w14:paraId="460EC8F3">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w:t>
      </w:r>
      <w:r>
        <w:rPr>
          <w:rFonts w:hint="eastAsia" w:ascii="宋体" w:hAnsi="宋体"/>
          <w:color w:val="000000" w:themeColor="text1"/>
          <w:lang w:val="en-US" w:eastAsia="zh-CN"/>
          <w14:textFill>
            <w14:solidFill>
              <w14:schemeClr w14:val="tx1"/>
            </w14:solidFill>
          </w14:textFill>
        </w:rPr>
        <w:t>5</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“拟委任的主要人员汇总表”应填报满足本章第</w:t>
      </w:r>
      <w:r>
        <w:rPr>
          <w:rFonts w:ascii="宋体" w:hAnsi="宋体"/>
          <w:color w:val="000000" w:themeColor="text1"/>
          <w14:textFill>
            <w14:solidFill>
              <w14:schemeClr w14:val="tx1"/>
            </w14:solidFill>
          </w14:textFill>
        </w:rPr>
        <w:t xml:space="preserve"> 1.4.1 </w:t>
      </w:r>
      <w:r>
        <w:rPr>
          <w:rFonts w:hint="eastAsia" w:ascii="宋体" w:hAnsi="宋体"/>
          <w:color w:val="000000" w:themeColor="text1"/>
          <w14:textFill>
            <w14:solidFill>
              <w14:schemeClr w14:val="tx1"/>
            </w14:solidFill>
          </w14:textFill>
        </w:rPr>
        <w:t>项规定的总监理工程师和本章第1.3.4监理人员的专业配套要求的相关信息。“主要人员简历表”中总监理工程师应附身份证、学历证、职称证、注册监</w:t>
      </w:r>
      <w:bookmarkStart w:id="133" w:name="page28"/>
      <w:bookmarkEnd w:id="133"/>
      <w:r>
        <w:rPr>
          <w:rFonts w:hint="eastAsia" w:ascii="宋体" w:hAnsi="宋体"/>
          <w:color w:val="000000" w:themeColor="text1"/>
          <w14:textFill>
            <w14:solidFill>
              <w14:schemeClr w14:val="tx1"/>
            </w14:solidFill>
          </w14:textFill>
        </w:rPr>
        <w:t>理工程师执业证书和社保缴费证明扫描件，管理过的项目业绩须附合同协议书扫描件；其他主要人员应附身份证、学历证、职称证、有关证书和社保缴费证明扫描件。</w:t>
      </w:r>
    </w:p>
    <w:p w14:paraId="71C7903F">
      <w:pPr>
        <w:spacing w:before="240" w:beforeLines="100" w:after="240" w:afterLines="100"/>
        <w:rPr>
          <w:rFonts w:ascii="宋体" w:hAnsi="宋体"/>
          <w:b/>
          <w:color w:val="000000" w:themeColor="text1"/>
          <w:sz w:val="28"/>
          <w:szCs w:val="28"/>
          <w14:textFill>
            <w14:solidFill>
              <w14:schemeClr w14:val="tx1"/>
            </w14:solidFill>
          </w14:textFill>
        </w:rPr>
      </w:pPr>
      <w:bookmarkStart w:id="134" w:name="_Toc529196545"/>
      <w:bookmarkStart w:id="135" w:name="_Toc515205218"/>
      <w:r>
        <w:rPr>
          <w:rFonts w:ascii="宋体" w:hAnsi="宋体"/>
          <w:b/>
          <w:color w:val="000000" w:themeColor="text1"/>
          <w:sz w:val="28"/>
          <w:szCs w:val="28"/>
          <w14:textFill>
            <w14:solidFill>
              <w14:schemeClr w14:val="tx1"/>
            </w14:solidFill>
          </w14:textFill>
        </w:rPr>
        <w:t>3.6备选投标方案</w:t>
      </w:r>
      <w:bookmarkEnd w:id="134"/>
      <w:bookmarkEnd w:id="135"/>
    </w:p>
    <w:p w14:paraId="0FF5AC7D">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3.6.1 </w:t>
      </w:r>
      <w:r>
        <w:rPr>
          <w:rFonts w:hint="eastAsia" w:ascii="宋体" w:hAnsi="宋体"/>
          <w:color w:val="000000" w:themeColor="text1"/>
          <w14:textFill>
            <w14:solidFill>
              <w14:schemeClr w14:val="tx1"/>
            </w14:solidFill>
          </w14:textFill>
        </w:rPr>
        <w:t>除投标人须知前附表规定允许外，投标人不得递交备选投标方案，否则其投标将被否决。</w:t>
      </w:r>
    </w:p>
    <w:p w14:paraId="5EE6E497">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3.6.2 </w:t>
      </w:r>
      <w:r>
        <w:rPr>
          <w:rFonts w:hint="eastAsia" w:ascii="宋体" w:hAnsi="宋体"/>
          <w:color w:val="000000" w:themeColor="text1"/>
          <w14:textFill>
            <w14:solidFill>
              <w14:schemeClr w14:val="tx1"/>
            </w14:solidFill>
          </w14:textFill>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5ADC6300">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3.6.3 </w:t>
      </w:r>
      <w:r>
        <w:rPr>
          <w:rFonts w:hint="eastAsia" w:ascii="宋体" w:hAnsi="宋体"/>
          <w:color w:val="000000" w:themeColor="text1"/>
          <w14:textFill>
            <w14:solidFill>
              <w14:schemeClr w14:val="tx1"/>
            </w14:solidFill>
          </w14:textFill>
        </w:rPr>
        <w:t>投标人提供两个或两个以上投标报价，或者在投标文件中提供一个报价，但同时提供两个或两个以上</w:t>
      </w:r>
      <w:bookmarkStart w:id="136" w:name="_Toc361508607"/>
      <w:bookmarkStart w:id="137" w:name="_Toc152042326"/>
      <w:bookmarkStart w:id="138" w:name="_Toc247513974"/>
      <w:bookmarkStart w:id="139" w:name="_Toc29902"/>
      <w:bookmarkStart w:id="140" w:name="_Toc352691495"/>
      <w:bookmarkStart w:id="141" w:name="_Toc384308232"/>
      <w:bookmarkStart w:id="142" w:name="_Toc369531538"/>
      <w:bookmarkStart w:id="143" w:name="_Toc300834971"/>
      <w:bookmarkStart w:id="144" w:name="_Toc144974518"/>
      <w:bookmarkStart w:id="145" w:name="_Toc247527575"/>
      <w:bookmarkStart w:id="146" w:name="_Toc152045550"/>
      <w:r>
        <w:rPr>
          <w:rFonts w:hint="eastAsia" w:ascii="宋体" w:hAnsi="宋体"/>
          <w:color w:val="000000" w:themeColor="text1"/>
          <w14:textFill>
            <w14:solidFill>
              <w14:schemeClr w14:val="tx1"/>
            </w14:solidFill>
          </w14:textFill>
        </w:rPr>
        <w:t>监理方案的</w:t>
      </w:r>
      <w:bookmarkEnd w:id="136"/>
      <w:bookmarkEnd w:id="137"/>
      <w:bookmarkEnd w:id="138"/>
      <w:bookmarkEnd w:id="139"/>
      <w:bookmarkEnd w:id="140"/>
      <w:bookmarkEnd w:id="141"/>
      <w:bookmarkEnd w:id="142"/>
      <w:bookmarkEnd w:id="143"/>
      <w:bookmarkEnd w:id="144"/>
      <w:bookmarkEnd w:id="145"/>
      <w:bookmarkEnd w:id="146"/>
      <w:r>
        <w:rPr>
          <w:rFonts w:hint="eastAsia" w:ascii="宋体" w:hAnsi="宋体"/>
          <w:color w:val="000000" w:themeColor="text1"/>
          <w14:textFill>
            <w14:solidFill>
              <w14:schemeClr w14:val="tx1"/>
            </w14:solidFill>
          </w14:textFill>
        </w:rPr>
        <w:t>，视为提供备选方案。</w:t>
      </w:r>
    </w:p>
    <w:p w14:paraId="53CED14A">
      <w:pPr>
        <w:spacing w:before="240" w:beforeLines="100" w:after="240" w:afterLines="100"/>
        <w:rPr>
          <w:rFonts w:ascii="宋体" w:hAnsi="宋体"/>
          <w:b/>
          <w:color w:val="000000" w:themeColor="text1"/>
          <w:sz w:val="28"/>
          <w:szCs w:val="28"/>
          <w14:textFill>
            <w14:solidFill>
              <w14:schemeClr w14:val="tx1"/>
            </w14:solidFill>
          </w14:textFill>
        </w:rPr>
      </w:pPr>
      <w:bookmarkStart w:id="147" w:name="_Toc529196546"/>
      <w:bookmarkStart w:id="148" w:name="_Toc515205219"/>
      <w:r>
        <w:rPr>
          <w:rFonts w:ascii="宋体" w:hAnsi="宋体"/>
          <w:b/>
          <w:color w:val="000000" w:themeColor="text1"/>
          <w:sz w:val="28"/>
          <w:szCs w:val="28"/>
          <w14:textFill>
            <w14:solidFill>
              <w14:schemeClr w14:val="tx1"/>
            </w14:solidFill>
          </w14:textFill>
        </w:rPr>
        <w:t>3.7投标文件的编制</w:t>
      </w:r>
      <w:bookmarkEnd w:id="147"/>
      <w:bookmarkEnd w:id="148"/>
    </w:p>
    <w:p w14:paraId="403FD900">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3.7.1 </w:t>
      </w:r>
      <w:r>
        <w:rPr>
          <w:rFonts w:hint="eastAsia" w:ascii="宋体" w:hAnsi="宋体"/>
          <w:color w:val="000000" w:themeColor="text1"/>
          <w14:textFill>
            <w14:solidFill>
              <w14:schemeClr w14:val="tx1"/>
            </w14:solidFill>
          </w14:textFill>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6C74BC06">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3.7.2 </w:t>
      </w:r>
      <w:r>
        <w:rPr>
          <w:rFonts w:hint="eastAsia" w:ascii="宋体" w:hAnsi="宋体"/>
          <w:color w:val="000000" w:themeColor="text1"/>
          <w14:textFill>
            <w14:solidFill>
              <w14:schemeClr w14:val="tx1"/>
            </w14:solidFill>
          </w14:textFill>
        </w:rPr>
        <w:t>投标文件应当对招标文件有关监理服务期限、投标有效期、委托人要求、招标范围等实质性内容作出响应。</w:t>
      </w:r>
    </w:p>
    <w:p w14:paraId="555E290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18585B97">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10BE813B">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3）投标文件的正本与副本应分别装订，并编制目录，投标文件需分册装订的，具体分册装订要求见投标人须知前附表规定。</w:t>
      </w:r>
    </w:p>
    <w:p w14:paraId="777071F2">
      <w:pPr>
        <w:spacing w:line="360" w:lineRule="auto"/>
        <w:ind w:firstLine="420" w:firstLineChars="200"/>
        <w:rPr>
          <w:rFonts w:ascii="宋体" w:hAnsi="宋体"/>
          <w:color w:val="FF0000"/>
        </w:rPr>
      </w:pPr>
      <w:bookmarkStart w:id="149" w:name="_Toc514946914"/>
      <w:r>
        <w:rPr>
          <w:rFonts w:ascii="宋体" w:hAnsi="宋体"/>
          <w:color w:val="auto"/>
        </w:rPr>
        <w:t>3.7.3（B）投标文件全部采用电子文档，除投标人须知前附表另有规定外，投标文件所附证书证件均为</w:t>
      </w:r>
      <w:r>
        <w:rPr>
          <w:rFonts w:hint="eastAsia" w:ascii="宋体" w:hAnsi="宋体"/>
          <w:color w:val="auto"/>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49"/>
    </w:p>
    <w:p w14:paraId="2FD055FD">
      <w:pPr>
        <w:spacing w:before="260"/>
        <w:outlineLvl w:val="2"/>
        <w:rPr>
          <w:rFonts w:ascii="宋体" w:hAnsi="宋体"/>
          <w:b/>
          <w:color w:val="000000" w:themeColor="text1"/>
          <w:sz w:val="32"/>
          <w:szCs w:val="32"/>
          <w14:textFill>
            <w14:solidFill>
              <w14:schemeClr w14:val="tx1"/>
            </w14:solidFill>
          </w14:textFill>
        </w:rPr>
      </w:pPr>
      <w:bookmarkStart w:id="150" w:name="_Toc529196547"/>
      <w:bookmarkStart w:id="151" w:name="_Toc515205220"/>
      <w:r>
        <w:rPr>
          <w:rFonts w:ascii="宋体" w:hAnsi="宋体"/>
          <w:b/>
          <w:color w:val="000000" w:themeColor="text1"/>
          <w:sz w:val="32"/>
          <w:szCs w:val="32"/>
          <w14:textFill>
            <w14:solidFill>
              <w14:schemeClr w14:val="tx1"/>
            </w14:solidFill>
          </w14:textFill>
        </w:rPr>
        <w:t xml:space="preserve">4. </w:t>
      </w:r>
      <w:r>
        <w:rPr>
          <w:rFonts w:hint="eastAsia" w:ascii="宋体" w:hAnsi="宋体"/>
          <w:b/>
          <w:color w:val="000000" w:themeColor="text1"/>
          <w:sz w:val="32"/>
          <w:szCs w:val="32"/>
          <w14:textFill>
            <w14:solidFill>
              <w14:schemeClr w14:val="tx1"/>
            </w14:solidFill>
          </w14:textFill>
        </w:rPr>
        <w:t>投标</w:t>
      </w:r>
      <w:bookmarkEnd w:id="150"/>
      <w:bookmarkEnd w:id="151"/>
    </w:p>
    <w:p w14:paraId="667F9529">
      <w:pPr>
        <w:spacing w:before="240" w:beforeLines="100" w:after="240" w:afterLines="100"/>
        <w:rPr>
          <w:rFonts w:ascii="宋体" w:hAnsi="宋体"/>
          <w:b/>
          <w:color w:val="000000" w:themeColor="text1"/>
          <w:sz w:val="28"/>
          <w:szCs w:val="28"/>
          <w14:textFill>
            <w14:solidFill>
              <w14:schemeClr w14:val="tx1"/>
            </w14:solidFill>
          </w14:textFill>
        </w:rPr>
      </w:pPr>
      <w:bookmarkStart w:id="152" w:name="_Toc529196548"/>
      <w:bookmarkStart w:id="153" w:name="_Toc515205221"/>
      <w:r>
        <w:rPr>
          <w:rFonts w:ascii="宋体" w:hAnsi="宋体"/>
          <w:b/>
          <w:color w:val="000000" w:themeColor="text1"/>
          <w:sz w:val="28"/>
          <w:szCs w:val="28"/>
          <w14:textFill>
            <w14:solidFill>
              <w14:schemeClr w14:val="tx1"/>
            </w14:solidFill>
          </w14:textFill>
        </w:rPr>
        <w:t>4.1投标文件的密封和标记</w:t>
      </w:r>
      <w:bookmarkEnd w:id="152"/>
      <w:bookmarkEnd w:id="153"/>
    </w:p>
    <w:p w14:paraId="478A4652">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4.1.1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A）投标文件应密封包装，并在封套的封口处加盖投标人单位章或由投标人的法定代表人或其授权的代理人签字。</w:t>
      </w:r>
    </w:p>
    <w:p w14:paraId="1EB89E5E">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4.1.1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B）投标人应当按照招标文件和电子招标投标交易平台的要求加密投标文件，具体要求见投标人须知前附表。</w:t>
      </w:r>
    </w:p>
    <w:p w14:paraId="2BA0492D">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4.1.2 </w:t>
      </w:r>
      <w:r>
        <w:rPr>
          <w:rFonts w:hint="eastAsia" w:ascii="宋体" w:hAnsi="宋体"/>
          <w:color w:val="000000" w:themeColor="text1"/>
          <w14:textFill>
            <w14:solidFill>
              <w14:schemeClr w14:val="tx1"/>
            </w14:solidFill>
          </w14:textFill>
        </w:rPr>
        <w:t>投标文件封套上应写明的内容见投标人须知前附表。</w:t>
      </w:r>
    </w:p>
    <w:p w14:paraId="3F2412B2">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4.1.3 </w:t>
      </w:r>
      <w:r>
        <w:rPr>
          <w:rFonts w:hint="eastAsia" w:ascii="宋体" w:hAnsi="宋体"/>
          <w:color w:val="000000" w:themeColor="text1"/>
          <w14:textFill>
            <w14:solidFill>
              <w14:schemeClr w14:val="tx1"/>
            </w14:solidFill>
          </w14:textFill>
        </w:rPr>
        <w:t>未按本章第</w:t>
      </w:r>
      <w:r>
        <w:rPr>
          <w:rFonts w:ascii="宋体" w:hAnsi="宋体"/>
          <w:color w:val="000000" w:themeColor="text1"/>
          <w14:textFill>
            <w14:solidFill>
              <w14:schemeClr w14:val="tx1"/>
            </w14:solidFill>
          </w14:textFill>
        </w:rPr>
        <w:t>4.1.1项要求密封的投标文件，招标人将予以拒收。</w:t>
      </w:r>
    </w:p>
    <w:p w14:paraId="65EE1E37">
      <w:pPr>
        <w:spacing w:before="240" w:beforeLines="100" w:after="240" w:afterLines="100"/>
        <w:rPr>
          <w:rFonts w:ascii="宋体" w:hAnsi="宋体"/>
          <w:b/>
          <w:color w:val="000000" w:themeColor="text1"/>
          <w:sz w:val="28"/>
          <w:szCs w:val="28"/>
          <w14:textFill>
            <w14:solidFill>
              <w14:schemeClr w14:val="tx1"/>
            </w14:solidFill>
          </w14:textFill>
        </w:rPr>
      </w:pPr>
      <w:bookmarkStart w:id="154" w:name="_Toc529196549"/>
      <w:bookmarkStart w:id="155" w:name="_Toc515205222"/>
      <w:r>
        <w:rPr>
          <w:rFonts w:ascii="宋体" w:hAnsi="宋体"/>
          <w:b/>
          <w:color w:val="000000" w:themeColor="text1"/>
          <w:sz w:val="28"/>
          <w:szCs w:val="28"/>
          <w14:textFill>
            <w14:solidFill>
              <w14:schemeClr w14:val="tx1"/>
            </w14:solidFill>
          </w14:textFill>
        </w:rPr>
        <w:t>4.2投标文件的递交</w:t>
      </w:r>
      <w:bookmarkEnd w:id="154"/>
      <w:bookmarkEnd w:id="155"/>
    </w:p>
    <w:p w14:paraId="7B09FEDD">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4.2.1 </w:t>
      </w:r>
      <w:r>
        <w:rPr>
          <w:rFonts w:hint="eastAsia" w:ascii="宋体" w:hAnsi="宋体"/>
          <w:color w:val="000000" w:themeColor="text1"/>
          <w14:textFill>
            <w14:solidFill>
              <w14:schemeClr w14:val="tx1"/>
            </w14:solidFill>
          </w14:textFill>
        </w:rPr>
        <w:t>投标人应在投标人须知前附表规定的投标截止时间前递交投标文件。</w:t>
      </w:r>
    </w:p>
    <w:p w14:paraId="49837126">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4.2.2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A）投标人递交投标文件的地点：见投标人须知前附表。</w:t>
      </w:r>
    </w:p>
    <w:p w14:paraId="5298AB3A">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4.2.2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B）投标人通过下载招标文件的电子招标投标交易平台递交电子投标文件。</w:t>
      </w:r>
    </w:p>
    <w:p w14:paraId="45EDA38A">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4.2.3 </w:t>
      </w:r>
      <w:r>
        <w:rPr>
          <w:rFonts w:hint="eastAsia" w:ascii="宋体" w:hAnsi="宋体"/>
          <w:color w:val="000000" w:themeColor="text1"/>
          <w14:textFill>
            <w14:solidFill>
              <w14:schemeClr w14:val="tx1"/>
            </w14:solidFill>
          </w14:textFill>
        </w:rPr>
        <w:t>除投标人须知前附表另有规定外，投标人所递交的投标文件不予退还。</w:t>
      </w:r>
    </w:p>
    <w:p w14:paraId="48A7CC4F">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4.2.4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A）招标人收到投标文件后，向投标人出具签收凭证。</w:t>
      </w:r>
    </w:p>
    <w:p w14:paraId="6855D11B">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4.2.4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B）投标人完成电子投标文件上传后，电子招标投标交易平台即时向投标人发出递交回执通知。递交时间以递交回执通知载明的传输完成时间为准。</w:t>
      </w:r>
    </w:p>
    <w:p w14:paraId="3F43F3EB">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4.2.5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A）逾期送达的投标文件，招标人将予以拒收。</w:t>
      </w:r>
    </w:p>
    <w:p w14:paraId="2CF1428F">
      <w:pPr>
        <w:spacing w:line="360" w:lineRule="auto"/>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4.2.5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B）逾期送达的投标文件，电子招标投标交易平台将予以拒收。</w:t>
      </w:r>
    </w:p>
    <w:p w14:paraId="3E9326AA">
      <w:pPr>
        <w:spacing w:before="240" w:beforeLines="100" w:after="240" w:afterLines="100"/>
        <w:rPr>
          <w:rFonts w:ascii="宋体" w:hAnsi="宋体"/>
          <w:b/>
          <w:color w:val="000000" w:themeColor="text1"/>
          <w:sz w:val="28"/>
          <w:szCs w:val="28"/>
          <w14:textFill>
            <w14:solidFill>
              <w14:schemeClr w14:val="tx1"/>
            </w14:solidFill>
          </w14:textFill>
        </w:rPr>
      </w:pPr>
      <w:bookmarkStart w:id="156" w:name="_Toc529196550"/>
      <w:bookmarkStart w:id="157" w:name="_Toc515205223"/>
      <w:r>
        <w:rPr>
          <w:rFonts w:ascii="宋体" w:hAnsi="宋体"/>
          <w:b/>
          <w:color w:val="000000" w:themeColor="text1"/>
          <w:sz w:val="28"/>
          <w:szCs w:val="28"/>
          <w14:textFill>
            <w14:solidFill>
              <w14:schemeClr w14:val="tx1"/>
            </w14:solidFill>
          </w14:textFill>
        </w:rPr>
        <w:t>4.3投标文件的修改与撤回</w:t>
      </w:r>
      <w:bookmarkEnd w:id="156"/>
      <w:bookmarkEnd w:id="157"/>
    </w:p>
    <w:p w14:paraId="2E3F22DF">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4.3.1 </w:t>
      </w:r>
      <w:r>
        <w:rPr>
          <w:rFonts w:hint="eastAsia" w:ascii="宋体" w:hAnsi="宋体"/>
          <w:color w:val="000000" w:themeColor="text1"/>
          <w14:textFill>
            <w14:solidFill>
              <w14:schemeClr w14:val="tx1"/>
            </w14:solidFill>
          </w14:textFill>
        </w:rPr>
        <w:t>在本章第</w:t>
      </w:r>
      <w:r>
        <w:rPr>
          <w:rFonts w:ascii="宋体" w:hAnsi="宋体"/>
          <w:color w:val="000000" w:themeColor="text1"/>
          <w14:textFill>
            <w14:solidFill>
              <w14:schemeClr w14:val="tx1"/>
            </w14:solidFill>
          </w14:textFill>
        </w:rPr>
        <w:t>4.2.1项规定的投标截止时间前，投标人可以修改或撤回已递交的投标文件，但应以书面形式通知招标人。</w:t>
      </w:r>
    </w:p>
    <w:p w14:paraId="47299A0E">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4.3.2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A）投标人修改或撤回已递交投标文件的书面通知应按照本章第3.7.3（A）项的要求签字或盖章。招标人收到书面通知后，向投标人出具签收凭证。</w:t>
      </w:r>
    </w:p>
    <w:p w14:paraId="2207EB25">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4.3.2 </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B）投标人修改或撤回已递交投标文件的通知，应按照本章第3.7.3（B）项的要求加盖电子印章。电子招标投标交易平台收到通知后，即时向投标人发出确认回执通知。</w:t>
      </w:r>
    </w:p>
    <w:p w14:paraId="24D4BF0A">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4.3.3 </w:t>
      </w:r>
      <w:r>
        <w:rPr>
          <w:rFonts w:hint="eastAsia" w:ascii="宋体" w:hAnsi="宋体"/>
          <w:color w:val="000000" w:themeColor="text1"/>
          <w14:textFill>
            <w14:solidFill>
              <w14:schemeClr w14:val="tx1"/>
            </w14:solidFill>
          </w14:textFill>
        </w:rPr>
        <w:t>投标人撤回投标文件的，招标人自收到投标人书面撤回通知之日起</w:t>
      </w:r>
      <w:r>
        <w:rPr>
          <w:rFonts w:ascii="宋体" w:hAnsi="宋体"/>
          <w:color w:val="000000" w:themeColor="text1"/>
          <w14:textFill>
            <w14:solidFill>
              <w14:schemeClr w14:val="tx1"/>
            </w14:solidFill>
          </w14:textFill>
        </w:rPr>
        <w:t>5日内退还已收取的投标保证金。</w:t>
      </w:r>
    </w:p>
    <w:p w14:paraId="10B198E2">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4.3.</w:t>
      </w:r>
      <w:bookmarkStart w:id="158" w:name="_Toc152042329"/>
      <w:bookmarkStart w:id="159" w:name="_Toc247513977"/>
      <w:bookmarkStart w:id="160" w:name="_Toc19203"/>
      <w:bookmarkStart w:id="161" w:name="_Toc152045553"/>
      <w:bookmarkStart w:id="162" w:name="_Toc361508610"/>
      <w:bookmarkStart w:id="163" w:name="_Toc144974521"/>
      <w:bookmarkStart w:id="164" w:name="_Toc300834974"/>
      <w:bookmarkStart w:id="165" w:name="_Toc247527578"/>
      <w:bookmarkStart w:id="166" w:name="_Toc384308235"/>
      <w:bookmarkStart w:id="167" w:name="_Toc369531541"/>
      <w:bookmarkStart w:id="168" w:name="_Toc352691497"/>
      <w:r>
        <w:rPr>
          <w:rFonts w:ascii="宋体" w:hAnsi="宋体"/>
          <w:color w:val="000000" w:themeColor="text1"/>
          <w14:textFill>
            <w14:solidFill>
              <w14:schemeClr w14:val="tx1"/>
            </w14:solidFill>
          </w14:textFill>
        </w:rPr>
        <w:t xml:space="preserve">4 </w:t>
      </w:r>
      <w:r>
        <w:rPr>
          <w:rFonts w:hint="eastAsia" w:ascii="宋体" w:hAnsi="宋体"/>
          <w:color w:val="000000" w:themeColor="text1"/>
          <w14:textFill>
            <w14:solidFill>
              <w14:schemeClr w14:val="tx1"/>
            </w14:solidFill>
          </w14:textFill>
        </w:rPr>
        <w:t>修改的内容为投标</w:t>
      </w:r>
      <w:bookmarkEnd w:id="158"/>
      <w:bookmarkEnd w:id="159"/>
      <w:bookmarkEnd w:id="160"/>
      <w:bookmarkEnd w:id="161"/>
      <w:bookmarkEnd w:id="162"/>
      <w:bookmarkEnd w:id="163"/>
      <w:bookmarkEnd w:id="164"/>
      <w:bookmarkEnd w:id="165"/>
      <w:bookmarkEnd w:id="166"/>
      <w:bookmarkEnd w:id="167"/>
      <w:bookmarkEnd w:id="168"/>
      <w:r>
        <w:rPr>
          <w:rFonts w:hint="eastAsia" w:ascii="宋体" w:hAnsi="宋体"/>
          <w:color w:val="000000" w:themeColor="text1"/>
          <w14:textFill>
            <w14:solidFill>
              <w14:schemeClr w14:val="tx1"/>
            </w14:solidFill>
          </w14:textFill>
        </w:rPr>
        <w:t>文件的组成部分。修改的投标文件应按照本章第</w:t>
      </w:r>
      <w:r>
        <w:rPr>
          <w:rFonts w:ascii="宋体" w:hAnsi="宋体"/>
          <w:color w:val="000000" w:themeColor="text1"/>
          <w14:textFill>
            <w14:solidFill>
              <w14:schemeClr w14:val="tx1"/>
            </w14:solidFill>
          </w14:textFill>
        </w:rPr>
        <w:t>3条、第4条的规定进行编制、密封、标记和递交，并标明“修改”字样。</w:t>
      </w:r>
    </w:p>
    <w:p w14:paraId="0842DD10">
      <w:pPr>
        <w:spacing w:before="260"/>
        <w:outlineLvl w:val="2"/>
        <w:rPr>
          <w:rFonts w:ascii="宋体" w:hAnsi="宋体"/>
          <w:b/>
          <w:color w:val="000000" w:themeColor="text1"/>
          <w:sz w:val="32"/>
          <w:szCs w:val="32"/>
          <w14:textFill>
            <w14:solidFill>
              <w14:schemeClr w14:val="tx1"/>
            </w14:solidFill>
          </w14:textFill>
        </w:rPr>
      </w:pPr>
      <w:bookmarkStart w:id="169" w:name="_Toc515205224"/>
      <w:bookmarkStart w:id="170" w:name="_Toc529196551"/>
      <w:r>
        <w:rPr>
          <w:rFonts w:ascii="宋体" w:hAnsi="宋体"/>
          <w:b/>
          <w:color w:val="000000" w:themeColor="text1"/>
          <w:sz w:val="32"/>
          <w:szCs w:val="32"/>
          <w14:textFill>
            <w14:solidFill>
              <w14:schemeClr w14:val="tx1"/>
            </w14:solidFill>
          </w14:textFill>
        </w:rPr>
        <w:t xml:space="preserve">5. </w:t>
      </w:r>
      <w:r>
        <w:rPr>
          <w:rFonts w:hint="eastAsia" w:ascii="宋体" w:hAnsi="宋体"/>
          <w:b/>
          <w:color w:val="000000" w:themeColor="text1"/>
          <w:sz w:val="32"/>
          <w:szCs w:val="32"/>
          <w14:textFill>
            <w14:solidFill>
              <w14:schemeClr w14:val="tx1"/>
            </w14:solidFill>
          </w14:textFill>
        </w:rPr>
        <w:t>开标</w:t>
      </w:r>
      <w:bookmarkEnd w:id="169"/>
      <w:bookmarkEnd w:id="170"/>
    </w:p>
    <w:p w14:paraId="082762D1">
      <w:pPr>
        <w:spacing w:before="240" w:beforeLines="100" w:after="240" w:afterLines="100"/>
        <w:rPr>
          <w:rFonts w:ascii="宋体" w:hAnsi="宋体"/>
          <w:b/>
          <w:color w:val="000000" w:themeColor="text1"/>
          <w:sz w:val="28"/>
          <w:szCs w:val="28"/>
          <w14:textFill>
            <w14:solidFill>
              <w14:schemeClr w14:val="tx1"/>
            </w14:solidFill>
          </w14:textFill>
        </w:rPr>
      </w:pPr>
      <w:bookmarkStart w:id="171" w:name="_Toc515205225"/>
      <w:bookmarkStart w:id="172" w:name="_Toc529196552"/>
      <w:r>
        <w:rPr>
          <w:rFonts w:ascii="宋体" w:hAnsi="宋体"/>
          <w:b/>
          <w:color w:val="000000" w:themeColor="text1"/>
          <w:sz w:val="28"/>
          <w:szCs w:val="28"/>
          <w14:textFill>
            <w14:solidFill>
              <w14:schemeClr w14:val="tx1"/>
            </w14:solidFill>
          </w14:textFill>
        </w:rPr>
        <w:t>5.1开标时间和地点（A）</w:t>
      </w:r>
      <w:bookmarkEnd w:id="171"/>
      <w:bookmarkEnd w:id="172"/>
    </w:p>
    <w:p w14:paraId="6A06A1A6">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招标人在本章第</w:t>
      </w:r>
      <w:r>
        <w:rPr>
          <w:rFonts w:ascii="宋体" w:hAnsi="宋体"/>
          <w:color w:val="000000" w:themeColor="text1"/>
          <w14:textFill>
            <w14:solidFill>
              <w14:schemeClr w14:val="tx1"/>
            </w14:solidFill>
          </w14:textFill>
        </w:rPr>
        <w:t>4.2.1项规定的投标截止时间（开标时间）和投标人须知前附表规定的地点公开开标，并邀请所有投标人的法定代表人或其委托代理人准时参加。</w:t>
      </w:r>
    </w:p>
    <w:p w14:paraId="1B744036">
      <w:pPr>
        <w:spacing w:before="240" w:beforeLines="100" w:after="240" w:afterLines="100"/>
        <w:rPr>
          <w:rFonts w:ascii="宋体" w:hAnsi="宋体"/>
          <w:b/>
          <w:color w:val="000000" w:themeColor="text1"/>
          <w:sz w:val="28"/>
          <w:szCs w:val="28"/>
          <w14:textFill>
            <w14:solidFill>
              <w14:schemeClr w14:val="tx1"/>
            </w14:solidFill>
          </w14:textFill>
        </w:rPr>
      </w:pPr>
      <w:bookmarkStart w:id="173" w:name="_Toc515205226"/>
      <w:bookmarkStart w:id="174" w:name="_Toc529196553"/>
      <w:r>
        <w:rPr>
          <w:rFonts w:ascii="宋体" w:hAnsi="宋体"/>
          <w:b/>
          <w:color w:val="000000" w:themeColor="text1"/>
          <w:sz w:val="28"/>
          <w:szCs w:val="28"/>
          <w14:textFill>
            <w14:solidFill>
              <w14:schemeClr w14:val="tx1"/>
            </w14:solidFill>
          </w14:textFill>
        </w:rPr>
        <w:t>5.1开标时间和地点（B）</w:t>
      </w:r>
      <w:bookmarkEnd w:id="173"/>
      <w:bookmarkEnd w:id="174"/>
    </w:p>
    <w:p w14:paraId="55D02877">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招标人在本章第</w:t>
      </w:r>
      <w:r>
        <w:rPr>
          <w:rFonts w:ascii="宋体" w:hAnsi="宋体"/>
          <w:color w:val="000000" w:themeColor="text1"/>
          <w14:textFill>
            <w14:solidFill>
              <w14:schemeClr w14:val="tx1"/>
            </w14:solidFill>
          </w14:textFill>
        </w:rPr>
        <w:t>4.2.1项规定的投标截止时间（开标时间）</w:t>
      </w:r>
      <w:r>
        <w:rPr>
          <w:rFonts w:hint="eastAsia" w:ascii="宋体" w:hAnsi="宋体"/>
          <w:color w:val="000000" w:themeColor="text1"/>
          <w:lang w:eastAsia="zh-CN"/>
          <w14:textFill>
            <w14:solidFill>
              <w14:schemeClr w14:val="tx1"/>
            </w14:solidFill>
          </w14:textFill>
        </w:rPr>
        <w:t>，</w:t>
      </w:r>
      <w:r>
        <w:rPr>
          <w:rFonts w:ascii="宋体" w:hAnsi="宋体"/>
          <w:color w:val="000000" w:themeColor="text1"/>
          <w14:textFill>
            <w14:solidFill>
              <w14:schemeClr w14:val="tx1"/>
            </w14:solidFill>
          </w14:textFill>
        </w:rPr>
        <w:t>通过电子招标投标交易平台公开开标，所有投标人的法定代表人或其委托代理人应当准时参加。</w:t>
      </w:r>
    </w:p>
    <w:p w14:paraId="2DAD36B2">
      <w:pPr>
        <w:spacing w:before="240" w:beforeLines="100" w:after="240" w:afterLines="100"/>
        <w:rPr>
          <w:rFonts w:ascii="宋体" w:hAnsi="宋体"/>
          <w:b/>
          <w:color w:val="000000" w:themeColor="text1"/>
          <w:sz w:val="28"/>
          <w:szCs w:val="28"/>
          <w14:textFill>
            <w14:solidFill>
              <w14:schemeClr w14:val="tx1"/>
            </w14:solidFill>
          </w14:textFill>
        </w:rPr>
      </w:pPr>
      <w:bookmarkStart w:id="175" w:name="_Toc529196554"/>
      <w:bookmarkStart w:id="176" w:name="_Toc515205227"/>
      <w:r>
        <w:rPr>
          <w:rFonts w:ascii="宋体" w:hAnsi="宋体"/>
          <w:b/>
          <w:color w:val="000000" w:themeColor="text1"/>
          <w:sz w:val="28"/>
          <w:szCs w:val="28"/>
          <w14:textFill>
            <w14:solidFill>
              <w14:schemeClr w14:val="tx1"/>
            </w14:solidFill>
          </w14:textFill>
        </w:rPr>
        <w:t>5.2开标程序</w:t>
      </w:r>
      <w:bookmarkEnd w:id="175"/>
      <w:bookmarkEnd w:id="176"/>
    </w:p>
    <w:p w14:paraId="69181FDB">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主持人按下列程序进行开标：</w:t>
      </w:r>
    </w:p>
    <w:p w14:paraId="5D8B028D">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1）宣布开标纪律；</w:t>
      </w:r>
    </w:p>
    <w:p w14:paraId="38EDCDF0">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2）公布在投标截止时间前递交投标文件的投标人名称；</w:t>
      </w:r>
    </w:p>
    <w:p w14:paraId="16024D8D">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3）宣布</w:t>
      </w:r>
      <w:bookmarkStart w:id="177" w:name="_Toc152045554"/>
      <w:bookmarkStart w:id="178" w:name="_Toc22119"/>
      <w:bookmarkStart w:id="179" w:name="_Toc361508611"/>
      <w:bookmarkStart w:id="180" w:name="_Toc247513978"/>
      <w:bookmarkStart w:id="181" w:name="_Toc369531542"/>
      <w:bookmarkStart w:id="182" w:name="_Toc300834975"/>
      <w:bookmarkStart w:id="183" w:name="_Toc144974522"/>
      <w:bookmarkStart w:id="184" w:name="_Toc247527579"/>
      <w:bookmarkStart w:id="185" w:name="_Toc152042330"/>
      <w:bookmarkStart w:id="186" w:name="_Toc352691498"/>
      <w:bookmarkStart w:id="187" w:name="_Toc384308236"/>
      <w:r>
        <w:rPr>
          <w:rFonts w:hint="eastAsia" w:ascii="宋体" w:hAnsi="宋体"/>
          <w:color w:val="000000" w:themeColor="text1"/>
          <w14:textFill>
            <w14:solidFill>
              <w14:schemeClr w14:val="tx1"/>
            </w14:solidFill>
          </w14:textFill>
        </w:rPr>
        <w:t>开标人、唱标人、记录人</w:t>
      </w:r>
      <w:bookmarkEnd w:id="177"/>
      <w:bookmarkEnd w:id="178"/>
      <w:bookmarkEnd w:id="179"/>
      <w:bookmarkEnd w:id="180"/>
      <w:bookmarkEnd w:id="181"/>
      <w:bookmarkEnd w:id="182"/>
      <w:bookmarkEnd w:id="183"/>
      <w:bookmarkEnd w:id="184"/>
      <w:bookmarkEnd w:id="185"/>
      <w:bookmarkEnd w:id="186"/>
      <w:bookmarkEnd w:id="187"/>
      <w:r>
        <w:rPr>
          <w:rFonts w:hint="eastAsia" w:ascii="宋体" w:hAnsi="宋体"/>
          <w:color w:val="000000" w:themeColor="text1"/>
          <w14:textFill>
            <w14:solidFill>
              <w14:schemeClr w14:val="tx1"/>
            </w14:solidFill>
          </w14:textFill>
        </w:rPr>
        <w:t>、监标人等有关人员姓名；</w:t>
      </w:r>
    </w:p>
    <w:p w14:paraId="7165DA22">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4）（A）检查投标文件的密封情况，按照投标人须知前附表规定的开标顺序当众开标，公布招标项目名称、投标人名称、投标报价、监理服务期限及其他内容，并记录在案；</w:t>
      </w:r>
    </w:p>
    <w:p w14:paraId="6B6E483B">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4）（B）投标人通过电子招标投标交易平台对已递交的电子投标文件进行解密，公布招标项目名称、投标人名称、投标报价、监理服务期限及其他内容，并记录在案；</w:t>
      </w:r>
    </w:p>
    <w:p w14:paraId="4E62C9F6">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5</w:t>
      </w:r>
      <w:r>
        <w:rPr>
          <w:rFonts w:ascii="宋体" w:hAnsi="宋体"/>
          <w:color w:val="000000" w:themeColor="text1"/>
          <w14:textFill>
            <w14:solidFill>
              <w14:schemeClr w14:val="tx1"/>
            </w14:solidFill>
          </w14:textFill>
        </w:rPr>
        <w:t>）开标结束。</w:t>
      </w:r>
    </w:p>
    <w:p w14:paraId="3EEAAF95">
      <w:pPr>
        <w:spacing w:before="240" w:beforeLines="100" w:after="240" w:afterLines="100"/>
        <w:rPr>
          <w:rFonts w:ascii="宋体" w:hAnsi="宋体"/>
          <w:b/>
          <w:color w:val="000000" w:themeColor="text1"/>
          <w:sz w:val="28"/>
          <w:szCs w:val="28"/>
          <w14:textFill>
            <w14:solidFill>
              <w14:schemeClr w14:val="tx1"/>
            </w14:solidFill>
          </w14:textFill>
        </w:rPr>
      </w:pPr>
      <w:bookmarkStart w:id="188" w:name="_Toc529196555"/>
      <w:bookmarkStart w:id="189" w:name="_Toc515205228"/>
      <w:r>
        <w:rPr>
          <w:rFonts w:ascii="宋体" w:hAnsi="宋体"/>
          <w:b/>
          <w:color w:val="000000" w:themeColor="text1"/>
          <w:sz w:val="28"/>
          <w:szCs w:val="28"/>
          <w14:textFill>
            <w14:solidFill>
              <w14:schemeClr w14:val="tx1"/>
            </w14:solidFill>
          </w14:textFill>
        </w:rPr>
        <w:t>5.3开标异议</w:t>
      </w:r>
      <w:bookmarkEnd w:id="188"/>
      <w:bookmarkEnd w:id="189"/>
    </w:p>
    <w:p w14:paraId="4C5EB4C1">
      <w:pPr>
        <w:spacing w:line="360" w:lineRule="auto"/>
        <w:ind w:firstLine="393" w:firstLineChars="171"/>
        <w:rPr>
          <w:rFonts w:ascii="宋体" w:hAnsi="宋体"/>
          <w:color w:val="000000" w:themeColor="text1"/>
          <w14:textFill>
            <w14:solidFill>
              <w14:schemeClr w14:val="tx1"/>
            </w14:solidFill>
          </w14:textFill>
        </w:rPr>
      </w:pPr>
      <w:r>
        <w:rPr>
          <w:rFonts w:ascii="宋体" w:hAnsi="宋体" w:cs="宋体"/>
          <w:color w:val="000000" w:themeColor="text1"/>
          <w:spacing w:val="10"/>
          <w:szCs w:val="21"/>
          <w:u w:val="single"/>
          <w14:textFill>
            <w14:solidFill>
              <w14:schemeClr w14:val="tx1"/>
            </w14:solidFill>
          </w14:textFill>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olor w:val="000000" w:themeColor="text1"/>
          <w14:textFill>
            <w14:solidFill>
              <w14:schemeClr w14:val="tx1"/>
            </w14:solidFill>
          </w14:textFill>
        </w:rPr>
        <w:t>。</w:t>
      </w:r>
    </w:p>
    <w:p w14:paraId="684930D8">
      <w:pPr>
        <w:spacing w:before="260"/>
        <w:outlineLvl w:val="2"/>
        <w:rPr>
          <w:rFonts w:ascii="宋体" w:hAnsi="宋体"/>
          <w:b/>
          <w:color w:val="000000" w:themeColor="text1"/>
          <w:sz w:val="32"/>
          <w:szCs w:val="32"/>
          <w14:textFill>
            <w14:solidFill>
              <w14:schemeClr w14:val="tx1"/>
            </w14:solidFill>
          </w14:textFill>
        </w:rPr>
      </w:pPr>
      <w:bookmarkStart w:id="190" w:name="_Toc529196556"/>
      <w:bookmarkStart w:id="191" w:name="_Toc515205229"/>
      <w:r>
        <w:rPr>
          <w:rFonts w:ascii="宋体" w:hAnsi="宋体"/>
          <w:b/>
          <w:color w:val="000000" w:themeColor="text1"/>
          <w:sz w:val="32"/>
          <w:szCs w:val="32"/>
          <w14:textFill>
            <w14:solidFill>
              <w14:schemeClr w14:val="tx1"/>
            </w14:solidFill>
          </w14:textFill>
        </w:rPr>
        <w:t xml:space="preserve">6. </w:t>
      </w:r>
      <w:r>
        <w:rPr>
          <w:rFonts w:hint="eastAsia" w:ascii="宋体" w:hAnsi="宋体"/>
          <w:b/>
          <w:color w:val="000000" w:themeColor="text1"/>
          <w:sz w:val="32"/>
          <w:szCs w:val="32"/>
          <w14:textFill>
            <w14:solidFill>
              <w14:schemeClr w14:val="tx1"/>
            </w14:solidFill>
          </w14:textFill>
        </w:rPr>
        <w:t>评标</w:t>
      </w:r>
      <w:bookmarkEnd w:id="190"/>
      <w:bookmarkEnd w:id="191"/>
    </w:p>
    <w:p w14:paraId="5AE3BB6A">
      <w:pPr>
        <w:spacing w:before="240" w:beforeLines="100" w:after="240" w:afterLines="100"/>
        <w:rPr>
          <w:rFonts w:ascii="宋体" w:hAnsi="宋体"/>
          <w:b/>
          <w:color w:val="000000" w:themeColor="text1"/>
          <w:sz w:val="28"/>
          <w:szCs w:val="28"/>
          <w14:textFill>
            <w14:solidFill>
              <w14:schemeClr w14:val="tx1"/>
            </w14:solidFill>
          </w14:textFill>
        </w:rPr>
      </w:pPr>
      <w:bookmarkStart w:id="192" w:name="_Toc515205230"/>
      <w:bookmarkStart w:id="193" w:name="_Toc529196557"/>
      <w:r>
        <w:rPr>
          <w:rFonts w:ascii="宋体" w:hAnsi="宋体"/>
          <w:b/>
          <w:color w:val="000000" w:themeColor="text1"/>
          <w:sz w:val="28"/>
          <w:szCs w:val="28"/>
          <w14:textFill>
            <w14:solidFill>
              <w14:schemeClr w14:val="tx1"/>
            </w14:solidFill>
          </w14:textFill>
        </w:rPr>
        <w:t>6.1评标委员会</w:t>
      </w:r>
      <w:bookmarkEnd w:id="192"/>
      <w:bookmarkEnd w:id="193"/>
    </w:p>
    <w:p w14:paraId="6D99AF6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6.1.1 </w:t>
      </w:r>
      <w:r>
        <w:rPr>
          <w:rFonts w:hint="eastAsia" w:ascii="宋体" w:hAnsi="宋体"/>
          <w:color w:val="000000" w:themeColor="text1"/>
          <w14:textFill>
            <w14:solidFill>
              <w14:schemeClr w14:val="tx1"/>
            </w14:solidFill>
          </w14:textFill>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BEA8005">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6.1.2 </w:t>
      </w:r>
      <w:r>
        <w:rPr>
          <w:rFonts w:hint="eastAsia" w:ascii="宋体" w:hAnsi="宋体"/>
          <w:color w:val="000000" w:themeColor="text1"/>
          <w14:textFill>
            <w14:solidFill>
              <w14:schemeClr w14:val="tx1"/>
            </w14:solidFill>
          </w14:textFill>
        </w:rPr>
        <w:t>评标委员会成员有下列情形之一的，应当回避：</w:t>
      </w:r>
    </w:p>
    <w:p w14:paraId="2E3E20DA">
      <w:pPr>
        <w:spacing w:line="360" w:lineRule="auto"/>
        <w:ind w:firstLine="718" w:firstLineChars="34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1）投标人或投标人主要负责人的近亲属；</w:t>
      </w:r>
    </w:p>
    <w:p w14:paraId="207F074A">
      <w:pPr>
        <w:spacing w:line="360" w:lineRule="auto"/>
        <w:ind w:firstLine="718" w:firstLineChars="34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2）项目主管部门或者行政监督部门的人员；</w:t>
      </w:r>
    </w:p>
    <w:p w14:paraId="44476F49">
      <w:pPr>
        <w:spacing w:line="360" w:lineRule="auto"/>
        <w:ind w:firstLine="718" w:firstLineChars="34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3）与投标人有经济利益关系，可能影响对投标公正评审的；</w:t>
      </w:r>
    </w:p>
    <w:p w14:paraId="03850F5A">
      <w:pPr>
        <w:spacing w:line="360" w:lineRule="auto"/>
        <w:ind w:firstLine="718" w:firstLineChars="34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4）曾因在招标、评</w:t>
      </w:r>
      <w:bookmarkStart w:id="194" w:name="_Toc152042331"/>
      <w:bookmarkStart w:id="195" w:name="_Toc369531543"/>
      <w:bookmarkStart w:id="196" w:name="_Toc247513979"/>
      <w:bookmarkStart w:id="197" w:name="_Toc361508612"/>
      <w:bookmarkStart w:id="198" w:name="_Toc247527580"/>
      <w:bookmarkStart w:id="199" w:name="_Toc6230"/>
      <w:bookmarkStart w:id="200" w:name="_Toc144974523"/>
      <w:bookmarkStart w:id="201" w:name="_Toc384308237"/>
      <w:bookmarkStart w:id="202" w:name="_Toc300834976"/>
      <w:bookmarkStart w:id="203" w:name="_Toc352691499"/>
      <w:bookmarkStart w:id="204" w:name="_Toc152045555"/>
      <w:r>
        <w:rPr>
          <w:rFonts w:hint="eastAsia" w:ascii="宋体" w:hAnsi="宋体"/>
          <w:color w:val="000000" w:themeColor="text1"/>
          <w14:textFill>
            <w14:solidFill>
              <w14:schemeClr w14:val="tx1"/>
            </w14:solidFill>
          </w14:textFill>
        </w:rPr>
        <w:t>标以及其他</w:t>
      </w:r>
      <w:bookmarkEnd w:id="194"/>
      <w:bookmarkEnd w:id="195"/>
      <w:bookmarkEnd w:id="196"/>
      <w:bookmarkEnd w:id="197"/>
      <w:bookmarkEnd w:id="198"/>
      <w:bookmarkEnd w:id="199"/>
      <w:bookmarkEnd w:id="200"/>
      <w:bookmarkEnd w:id="201"/>
      <w:bookmarkEnd w:id="202"/>
      <w:bookmarkEnd w:id="203"/>
      <w:bookmarkEnd w:id="204"/>
      <w:r>
        <w:rPr>
          <w:rFonts w:hint="eastAsia" w:ascii="宋体" w:hAnsi="宋体"/>
          <w:color w:val="000000" w:themeColor="text1"/>
          <w14:textFill>
            <w14:solidFill>
              <w14:schemeClr w14:val="tx1"/>
            </w14:solidFill>
          </w14:textFill>
        </w:rPr>
        <w:t>与</w:t>
      </w:r>
      <w:bookmarkStart w:id="205" w:name="_Toc369531544"/>
      <w:bookmarkStart w:id="206" w:name="_Toc384308238"/>
      <w:bookmarkStart w:id="207" w:name="_Toc247527581"/>
      <w:bookmarkStart w:id="208" w:name="_Toc300834977"/>
      <w:bookmarkStart w:id="209" w:name="_Toc17703"/>
      <w:bookmarkStart w:id="210" w:name="_Toc144974524"/>
      <w:bookmarkStart w:id="211" w:name="_Toc352691500"/>
      <w:bookmarkStart w:id="212" w:name="_Toc152042332"/>
      <w:bookmarkStart w:id="213" w:name="_Toc152045556"/>
      <w:bookmarkStart w:id="214" w:name="_Toc247513980"/>
      <w:bookmarkStart w:id="215" w:name="_Toc361508613"/>
      <w:r>
        <w:rPr>
          <w:rFonts w:hint="eastAsia" w:ascii="宋体" w:hAnsi="宋体"/>
          <w:color w:val="000000" w:themeColor="text1"/>
          <w14:textFill>
            <w14:solidFill>
              <w14:schemeClr w14:val="tx1"/>
            </w14:solidFill>
          </w14:textFill>
        </w:rPr>
        <w:t>招标投标有关活动中从事违法行</w:t>
      </w:r>
      <w:bookmarkEnd w:id="205"/>
      <w:bookmarkEnd w:id="206"/>
      <w:bookmarkEnd w:id="207"/>
      <w:bookmarkEnd w:id="208"/>
      <w:bookmarkEnd w:id="209"/>
      <w:bookmarkEnd w:id="210"/>
      <w:bookmarkEnd w:id="211"/>
      <w:bookmarkEnd w:id="212"/>
      <w:bookmarkEnd w:id="213"/>
      <w:bookmarkEnd w:id="214"/>
      <w:bookmarkEnd w:id="215"/>
      <w:r>
        <w:rPr>
          <w:rFonts w:hint="eastAsia" w:ascii="宋体" w:hAnsi="宋体"/>
          <w:color w:val="000000" w:themeColor="text1"/>
          <w14:textFill>
            <w14:solidFill>
              <w14:schemeClr w14:val="tx1"/>
            </w14:solidFill>
          </w14:textFill>
        </w:rPr>
        <w:t>为而受过行政处罚或刑事处罚的；</w:t>
      </w:r>
    </w:p>
    <w:p w14:paraId="22AA9C48">
      <w:pPr>
        <w:spacing w:line="360" w:lineRule="auto"/>
        <w:ind w:firstLine="718" w:firstLineChars="34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5）与投标人有其他利害关系。</w:t>
      </w:r>
    </w:p>
    <w:p w14:paraId="063A2C8F">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6.1.3 </w:t>
      </w:r>
      <w:r>
        <w:rPr>
          <w:rFonts w:hint="eastAsia" w:ascii="宋体" w:hAnsi="宋体"/>
          <w:color w:val="000000" w:themeColor="text1"/>
          <w14:textFill>
            <w14:solidFill>
              <w14:schemeClr w14:val="tx1"/>
            </w14:solidFill>
          </w14:textFill>
        </w:rPr>
        <w:t>评标过程中，评标委员会成员有回避事由、擅离职守或者因健康等原因不能继续评标的，招标人有权更换。被更换的评标委员会成员作出的评审结论无效，由更换后的评标委员会成员重新进行评审。</w:t>
      </w:r>
    </w:p>
    <w:p w14:paraId="00CC187C">
      <w:pPr>
        <w:spacing w:before="240" w:beforeLines="100" w:after="240" w:afterLines="100"/>
        <w:rPr>
          <w:rFonts w:ascii="宋体" w:hAnsi="宋体"/>
          <w:b/>
          <w:color w:val="000000" w:themeColor="text1"/>
          <w:sz w:val="28"/>
          <w:szCs w:val="28"/>
          <w14:textFill>
            <w14:solidFill>
              <w14:schemeClr w14:val="tx1"/>
            </w14:solidFill>
          </w14:textFill>
        </w:rPr>
      </w:pPr>
      <w:bookmarkStart w:id="216" w:name="_Toc529196558"/>
      <w:bookmarkStart w:id="217" w:name="_Toc515205231"/>
      <w:r>
        <w:rPr>
          <w:rFonts w:ascii="宋体" w:hAnsi="宋体"/>
          <w:b/>
          <w:color w:val="000000" w:themeColor="text1"/>
          <w:sz w:val="28"/>
          <w:szCs w:val="28"/>
          <w14:textFill>
            <w14:solidFill>
              <w14:schemeClr w14:val="tx1"/>
            </w14:solidFill>
          </w14:textFill>
        </w:rPr>
        <w:t>6.2评标原则</w:t>
      </w:r>
      <w:bookmarkEnd w:id="216"/>
      <w:bookmarkEnd w:id="217"/>
    </w:p>
    <w:p w14:paraId="30D3F8CE">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评标活动遵循公平、公正、科学和择优的原</w:t>
      </w:r>
      <w:bookmarkStart w:id="218" w:name="_Toc361508614"/>
      <w:bookmarkStart w:id="219" w:name="_Toc152045557"/>
      <w:bookmarkStart w:id="220" w:name="_Toc300834978"/>
      <w:bookmarkStart w:id="221" w:name="_Toc247527582"/>
      <w:bookmarkStart w:id="222" w:name="_Toc18949"/>
      <w:bookmarkStart w:id="223" w:name="_Toc369531545"/>
      <w:bookmarkStart w:id="224" w:name="_Toc144974525"/>
      <w:bookmarkStart w:id="225" w:name="_Toc152042333"/>
      <w:bookmarkStart w:id="226" w:name="_Toc352691501"/>
      <w:bookmarkStart w:id="227" w:name="_Toc384308239"/>
      <w:bookmarkStart w:id="228" w:name="_Toc247513981"/>
      <w:r>
        <w:rPr>
          <w:rFonts w:hint="eastAsia" w:ascii="宋体" w:hAnsi="宋体"/>
          <w:color w:val="000000" w:themeColor="text1"/>
          <w14:textFill>
            <w14:solidFill>
              <w14:schemeClr w14:val="tx1"/>
            </w14:solidFill>
          </w14:textFill>
        </w:rPr>
        <w:t>则。</w:t>
      </w:r>
    </w:p>
    <w:p w14:paraId="4EFCD3AC">
      <w:pPr>
        <w:spacing w:before="240" w:beforeLines="100" w:after="240" w:afterLines="100"/>
        <w:rPr>
          <w:rFonts w:ascii="宋体" w:hAnsi="宋体"/>
          <w:b/>
          <w:color w:val="000000" w:themeColor="text1"/>
          <w:sz w:val="28"/>
          <w:szCs w:val="28"/>
          <w14:textFill>
            <w14:solidFill>
              <w14:schemeClr w14:val="tx1"/>
            </w14:solidFill>
          </w14:textFill>
        </w:rPr>
      </w:pPr>
      <w:bookmarkStart w:id="229" w:name="_Toc529196559"/>
      <w:bookmarkStart w:id="230" w:name="_Toc515205232"/>
      <w:r>
        <w:rPr>
          <w:rFonts w:ascii="宋体" w:hAnsi="宋体"/>
          <w:b/>
          <w:color w:val="000000" w:themeColor="text1"/>
          <w:sz w:val="28"/>
          <w:szCs w:val="28"/>
          <w14:textFill>
            <w14:solidFill>
              <w14:schemeClr w14:val="tx1"/>
            </w14:solidFill>
          </w14:textFill>
        </w:rPr>
        <w:t>6.3评标</w:t>
      </w:r>
      <w:bookmarkEnd w:id="229"/>
      <w:bookmarkEnd w:id="230"/>
    </w:p>
    <w:p w14:paraId="545154D9">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bookmarkEnd w:id="218"/>
      <w:bookmarkEnd w:id="219"/>
      <w:bookmarkEnd w:id="220"/>
      <w:bookmarkEnd w:id="221"/>
      <w:bookmarkEnd w:id="222"/>
      <w:bookmarkEnd w:id="223"/>
      <w:bookmarkEnd w:id="224"/>
      <w:bookmarkEnd w:id="225"/>
      <w:bookmarkEnd w:id="226"/>
      <w:bookmarkEnd w:id="227"/>
      <w:bookmarkEnd w:id="228"/>
      <w:r>
        <w:rPr>
          <w:rFonts w:ascii="宋体" w:hAnsi="宋体"/>
          <w:color w:val="000000" w:themeColor="text1"/>
          <w14:textFill>
            <w14:solidFill>
              <w14:schemeClr w14:val="tx1"/>
            </w14:solidFill>
          </w14:textFill>
        </w:rPr>
        <w:t>.3.1评标委员会按照第三章“评标办法”规定的方法、评审因素、标准和程序对投标文件进行评审。第三章“评标办法”没有规定的方法、评审因素和标准，不作为评标依据。</w:t>
      </w:r>
    </w:p>
    <w:p w14:paraId="4F30E571">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6.3.2评标完成后，评标委员会应当向招标人提交书面评标报告和中标候选人名单。评标委员会推荐中标</w:t>
      </w:r>
      <w:bookmarkStart w:id="231" w:name="_Toc144974526"/>
      <w:bookmarkStart w:id="232" w:name="_Toc12259"/>
      <w:bookmarkStart w:id="233" w:name="_Toc300834979"/>
      <w:bookmarkStart w:id="234" w:name="_Toc247513982"/>
      <w:bookmarkStart w:id="235" w:name="_Toc384308240"/>
      <w:bookmarkStart w:id="236" w:name="_Toc247527583"/>
      <w:bookmarkStart w:id="237" w:name="_Toc352691502"/>
      <w:bookmarkStart w:id="238" w:name="_Toc152045558"/>
      <w:bookmarkStart w:id="239" w:name="_Toc369531546"/>
      <w:bookmarkStart w:id="240" w:name="_Toc361508615"/>
      <w:bookmarkStart w:id="241" w:name="_Toc152042334"/>
      <w:r>
        <w:rPr>
          <w:rFonts w:hint="eastAsia" w:ascii="宋体" w:hAnsi="宋体"/>
          <w:color w:val="000000" w:themeColor="text1"/>
          <w14:textFill>
            <w14:solidFill>
              <w14:schemeClr w14:val="tx1"/>
            </w14:solidFill>
          </w14:textFill>
        </w:rPr>
        <w:t>候选人的人数见投标人须知前附</w:t>
      </w:r>
      <w:bookmarkEnd w:id="231"/>
      <w:bookmarkEnd w:id="232"/>
      <w:bookmarkEnd w:id="233"/>
      <w:bookmarkEnd w:id="234"/>
      <w:bookmarkEnd w:id="235"/>
      <w:bookmarkEnd w:id="236"/>
      <w:bookmarkEnd w:id="237"/>
      <w:bookmarkEnd w:id="238"/>
      <w:bookmarkEnd w:id="239"/>
      <w:bookmarkEnd w:id="240"/>
      <w:bookmarkEnd w:id="241"/>
      <w:r>
        <w:rPr>
          <w:rFonts w:hint="eastAsia" w:ascii="宋体" w:hAnsi="宋体"/>
          <w:color w:val="000000" w:themeColor="text1"/>
          <w14:textFill>
            <w14:solidFill>
              <w14:schemeClr w14:val="tx1"/>
            </w14:solidFill>
          </w14:textFill>
        </w:rPr>
        <w:t>表。</w:t>
      </w:r>
    </w:p>
    <w:p w14:paraId="21DF0D60">
      <w:pPr>
        <w:spacing w:before="260"/>
        <w:outlineLvl w:val="2"/>
        <w:rPr>
          <w:rFonts w:ascii="宋体" w:hAnsi="宋体"/>
          <w:b/>
          <w:color w:val="000000" w:themeColor="text1"/>
          <w:sz w:val="32"/>
          <w:szCs w:val="32"/>
          <w14:textFill>
            <w14:solidFill>
              <w14:schemeClr w14:val="tx1"/>
            </w14:solidFill>
          </w14:textFill>
        </w:rPr>
      </w:pPr>
      <w:bookmarkStart w:id="242" w:name="_Toc515205233"/>
      <w:bookmarkStart w:id="243" w:name="_Toc529196560"/>
      <w:r>
        <w:rPr>
          <w:rFonts w:ascii="宋体" w:hAnsi="宋体"/>
          <w:b/>
          <w:color w:val="000000" w:themeColor="text1"/>
          <w:sz w:val="32"/>
          <w:szCs w:val="32"/>
          <w14:textFill>
            <w14:solidFill>
              <w14:schemeClr w14:val="tx1"/>
            </w14:solidFill>
          </w14:textFill>
        </w:rPr>
        <w:t xml:space="preserve">7. </w:t>
      </w:r>
      <w:r>
        <w:rPr>
          <w:rFonts w:hint="eastAsia" w:ascii="宋体" w:hAnsi="宋体"/>
          <w:b/>
          <w:color w:val="000000" w:themeColor="text1"/>
          <w:sz w:val="32"/>
          <w:szCs w:val="32"/>
          <w14:textFill>
            <w14:solidFill>
              <w14:schemeClr w14:val="tx1"/>
            </w14:solidFill>
          </w14:textFill>
        </w:rPr>
        <w:t>合同授予</w:t>
      </w:r>
      <w:bookmarkEnd w:id="242"/>
      <w:bookmarkEnd w:id="243"/>
    </w:p>
    <w:p w14:paraId="0510CFE1">
      <w:pPr>
        <w:spacing w:before="240" w:beforeLines="100" w:after="240" w:afterLines="100"/>
        <w:rPr>
          <w:rFonts w:ascii="宋体" w:hAnsi="宋体"/>
          <w:b/>
          <w:color w:val="000000" w:themeColor="text1"/>
          <w:sz w:val="28"/>
          <w:szCs w:val="28"/>
          <w14:textFill>
            <w14:solidFill>
              <w14:schemeClr w14:val="tx1"/>
            </w14:solidFill>
          </w14:textFill>
        </w:rPr>
      </w:pPr>
      <w:bookmarkStart w:id="244" w:name="_Toc529196561"/>
      <w:bookmarkStart w:id="245" w:name="_Toc515205234"/>
      <w:r>
        <w:rPr>
          <w:rFonts w:ascii="宋体" w:hAnsi="宋体"/>
          <w:b/>
          <w:color w:val="000000" w:themeColor="text1"/>
          <w:sz w:val="28"/>
          <w:szCs w:val="28"/>
          <w14:textFill>
            <w14:solidFill>
              <w14:schemeClr w14:val="tx1"/>
            </w14:solidFill>
          </w14:textFill>
        </w:rPr>
        <w:t>7.1中标候选人公示</w:t>
      </w:r>
      <w:bookmarkEnd w:id="244"/>
      <w:bookmarkEnd w:id="245"/>
    </w:p>
    <w:p w14:paraId="7103A076">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招标人在收到评标报告之日起</w:t>
      </w:r>
      <w:r>
        <w:rPr>
          <w:rFonts w:ascii="宋体" w:hAnsi="宋体"/>
          <w:color w:val="000000" w:themeColor="text1"/>
          <w14:textFill>
            <w14:solidFill>
              <w14:schemeClr w14:val="tx1"/>
            </w14:solidFill>
          </w14:textFill>
        </w:rPr>
        <w:t>3日内，按照投标人须知前附表规定的公示媒介和期限公示中标候选人，公示期不得少于3天。</w:t>
      </w:r>
    </w:p>
    <w:p w14:paraId="332FB1C6">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46" w:name="_Toc515205235"/>
      <w:bookmarkStart w:id="247" w:name="_Toc529196562"/>
      <w:r>
        <w:rPr>
          <w:rFonts w:ascii="宋体" w:hAnsi="宋体"/>
          <w:b/>
          <w:color w:val="000000" w:themeColor="text1"/>
          <w:sz w:val="28"/>
          <w:szCs w:val="28"/>
          <w14:textFill>
            <w14:solidFill>
              <w14:schemeClr w14:val="tx1"/>
            </w14:solidFill>
          </w14:textFill>
        </w:rPr>
        <w:t>7.2</w:t>
      </w:r>
      <w:r>
        <w:rPr>
          <w:rFonts w:ascii="宋体" w:hAnsi="宋体"/>
          <w:b/>
          <w:color w:val="000000" w:themeColor="text1"/>
          <w:sz w:val="28"/>
          <w:szCs w:val="28"/>
          <w:highlight w:val="none"/>
          <w14:textFill>
            <w14:solidFill>
              <w14:schemeClr w14:val="tx1"/>
            </w14:solidFill>
          </w14:textFill>
        </w:rPr>
        <w:t>评标结果异议</w:t>
      </w:r>
      <w:bookmarkEnd w:id="246"/>
      <w:bookmarkEnd w:id="247"/>
    </w:p>
    <w:p w14:paraId="10A5860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人或其他利害关系人对评标结果有异议的，应当在中标候选人公示期间提出，可以通过线下或线上的形式提出异议。线上提交的，应通过交易平台进行，招标人也应通过交易平台答复线上提交的异议。线下提出异议的，应将异议书提交给异议受理单位，异议受理单位：</w:t>
      </w:r>
      <w:r>
        <w:rPr>
          <w:rFonts w:hint="eastAsia" w:ascii="宋体" w:hAnsi="宋体" w:cs="宋体"/>
          <w:color w:val="000000" w:themeColor="text1"/>
          <w:szCs w:val="21"/>
          <w:highlight w:val="none"/>
          <w:u w:val="single"/>
          <w:lang w:eastAsia="zh-CN"/>
          <w14:textFill>
            <w14:solidFill>
              <w14:schemeClr w14:val="tx1"/>
            </w14:solidFill>
          </w14:textFill>
        </w:rPr>
        <w:t>广东华南粮食交易中心有限公司</w:t>
      </w:r>
      <w:r>
        <w:rPr>
          <w:rFonts w:hint="eastAsia" w:ascii="宋体" w:hAnsi="宋体" w:cs="宋体"/>
          <w:color w:val="000000" w:themeColor="text1"/>
          <w:szCs w:val="21"/>
          <w:highlight w:val="none"/>
          <w:u w:val="single"/>
          <w14:textFill>
            <w14:solidFill>
              <w14:schemeClr w14:val="tx1"/>
            </w14:solidFill>
          </w14:textFill>
        </w:rPr>
        <w:t>，地址：广州市天河区体育东路115-118号6楼西塔</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联系人：</w:t>
      </w:r>
      <w:r>
        <w:rPr>
          <w:rFonts w:hint="eastAsia" w:ascii="宋体" w:hAnsi="宋体" w:cs="宋体"/>
          <w:color w:val="000000" w:themeColor="text1"/>
          <w:szCs w:val="21"/>
          <w:highlight w:val="none"/>
          <w:u w:val="single"/>
          <w:lang w:eastAsia="zh-CN"/>
          <w14:textFill>
            <w14:solidFill>
              <w14:schemeClr w14:val="tx1"/>
            </w14:solidFill>
          </w14:textFill>
        </w:rPr>
        <w:t>李</w:t>
      </w:r>
      <w:r>
        <w:rPr>
          <w:rFonts w:hint="eastAsia" w:ascii="宋体" w:hAnsi="宋体" w:cs="宋体"/>
          <w:color w:val="000000" w:themeColor="text1"/>
          <w:szCs w:val="21"/>
          <w:highlight w:val="none"/>
          <w:u w:val="single"/>
          <w:lang w:val="en-US" w:eastAsia="zh-CN"/>
          <w14:textFill>
            <w14:solidFill>
              <w14:schemeClr w14:val="tx1"/>
            </w14:solidFill>
          </w14:textFill>
        </w:rPr>
        <w:t>女士</w:t>
      </w:r>
      <w:r>
        <w:rPr>
          <w:rFonts w:hint="eastAsia" w:ascii="宋体" w:hAnsi="宋体" w:cs="宋体"/>
          <w:color w:val="000000" w:themeColor="text1"/>
          <w:szCs w:val="21"/>
          <w:highlight w:val="none"/>
          <w:u w:val="single"/>
          <w14:textFill>
            <w14:solidFill>
              <w14:schemeClr w14:val="tx1"/>
            </w14:solidFill>
          </w14:textFill>
        </w:rPr>
        <w:t>，电话：020-38820933。</w:t>
      </w:r>
      <w:r>
        <w:rPr>
          <w:rFonts w:ascii="宋体" w:hAnsi="宋体" w:cs="宋体"/>
          <w:color w:val="000000" w:themeColor="text1"/>
          <w:szCs w:val="21"/>
          <w:highlight w:val="none"/>
          <w:u w:val="single"/>
          <w14:textFill>
            <w14:solidFill>
              <w14:schemeClr w14:val="tx1"/>
            </w14:solidFill>
          </w14:textFill>
        </w:rPr>
        <w:t>招标人将在收到异议之日起 3 日内作出答复；</w:t>
      </w:r>
      <w:r>
        <w:rPr>
          <w:rFonts w:hint="eastAsia" w:ascii="宋体" w:hAnsi="宋体" w:cs="宋体"/>
          <w:color w:val="000000" w:themeColor="text1"/>
          <w:szCs w:val="21"/>
          <w:highlight w:val="none"/>
          <w:u w:val="single"/>
          <w14:textFill>
            <w14:solidFill>
              <w14:schemeClr w14:val="tx1"/>
            </w14:solidFill>
          </w14:textFill>
        </w:rPr>
        <w:t>作出答复前，应当暂停招标投标活动</w:t>
      </w:r>
      <w:r>
        <w:rPr>
          <w:rFonts w:hint="eastAsia" w:ascii="宋体" w:hAnsi="宋体"/>
          <w:color w:val="000000" w:themeColor="text1"/>
          <w:highlight w:val="none"/>
          <w14:textFill>
            <w14:solidFill>
              <w14:schemeClr w14:val="tx1"/>
            </w14:solidFill>
          </w14:textFill>
        </w:rPr>
        <w:t>。</w:t>
      </w:r>
    </w:p>
    <w:p w14:paraId="2243A91E">
      <w:pPr>
        <w:spacing w:before="240" w:beforeLines="100" w:after="240" w:afterLines="100"/>
        <w:rPr>
          <w:rFonts w:ascii="宋体" w:hAnsi="宋体"/>
          <w:b/>
          <w:color w:val="000000" w:themeColor="text1"/>
          <w:sz w:val="28"/>
          <w:szCs w:val="28"/>
          <w14:textFill>
            <w14:solidFill>
              <w14:schemeClr w14:val="tx1"/>
            </w14:solidFill>
          </w14:textFill>
        </w:rPr>
      </w:pPr>
      <w:bookmarkStart w:id="248" w:name="_Toc515205237"/>
      <w:bookmarkStart w:id="249" w:name="_Toc529196564"/>
      <w:r>
        <w:rPr>
          <w:rFonts w:ascii="宋体" w:hAnsi="宋体"/>
          <w:b/>
          <w:color w:val="000000" w:themeColor="text1"/>
          <w:sz w:val="28"/>
          <w:szCs w:val="28"/>
          <w14:textFill>
            <w14:solidFill>
              <w14:schemeClr w14:val="tx1"/>
            </w14:solidFill>
          </w14:textFill>
        </w:rPr>
        <w:t>7.</w:t>
      </w:r>
      <w:r>
        <w:rPr>
          <w:rFonts w:hint="eastAsia" w:ascii="宋体" w:hAnsi="宋体"/>
          <w:b/>
          <w:color w:val="000000" w:themeColor="text1"/>
          <w:sz w:val="28"/>
          <w:szCs w:val="28"/>
          <w:lang w:val="en-US" w:eastAsia="zh-CN"/>
          <w14:textFill>
            <w14:solidFill>
              <w14:schemeClr w14:val="tx1"/>
            </w14:solidFill>
          </w14:textFill>
        </w:rPr>
        <w:t>3</w:t>
      </w:r>
      <w:r>
        <w:rPr>
          <w:rFonts w:ascii="宋体" w:hAnsi="宋体"/>
          <w:b/>
          <w:color w:val="000000" w:themeColor="text1"/>
          <w:sz w:val="28"/>
          <w:szCs w:val="28"/>
          <w14:textFill>
            <w14:solidFill>
              <w14:schemeClr w14:val="tx1"/>
            </w14:solidFill>
          </w14:textFill>
        </w:rPr>
        <w:t>定标</w:t>
      </w:r>
      <w:bookmarkEnd w:id="248"/>
      <w:bookmarkEnd w:id="249"/>
    </w:p>
    <w:p w14:paraId="18BBB041">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按照投标人须知前附表的规定，招标人或招标人授权的评标委员会依法确定中标人。</w:t>
      </w:r>
    </w:p>
    <w:p w14:paraId="7365649C">
      <w:pPr>
        <w:spacing w:before="240" w:beforeLines="100" w:after="240" w:afterLines="100"/>
        <w:rPr>
          <w:rFonts w:ascii="宋体" w:hAnsi="宋体"/>
          <w:b/>
          <w:color w:val="000000" w:themeColor="text1"/>
          <w:sz w:val="28"/>
          <w:szCs w:val="28"/>
          <w14:textFill>
            <w14:solidFill>
              <w14:schemeClr w14:val="tx1"/>
            </w14:solidFill>
          </w14:textFill>
        </w:rPr>
      </w:pPr>
      <w:bookmarkStart w:id="250" w:name="_Toc529196565"/>
      <w:bookmarkStart w:id="251" w:name="_Toc515205238"/>
      <w:r>
        <w:rPr>
          <w:rFonts w:ascii="宋体" w:hAnsi="宋体"/>
          <w:b/>
          <w:color w:val="000000" w:themeColor="text1"/>
          <w:sz w:val="28"/>
          <w:szCs w:val="28"/>
          <w14:textFill>
            <w14:solidFill>
              <w14:schemeClr w14:val="tx1"/>
            </w14:solidFill>
          </w14:textFill>
        </w:rPr>
        <w:t>7.</w:t>
      </w:r>
      <w:r>
        <w:rPr>
          <w:rFonts w:hint="eastAsia" w:ascii="宋体" w:hAnsi="宋体"/>
          <w:b/>
          <w:color w:val="000000" w:themeColor="text1"/>
          <w:sz w:val="28"/>
          <w:szCs w:val="28"/>
          <w:lang w:val="en-US" w:eastAsia="zh-CN"/>
          <w14:textFill>
            <w14:solidFill>
              <w14:schemeClr w14:val="tx1"/>
            </w14:solidFill>
          </w14:textFill>
        </w:rPr>
        <w:t>4</w:t>
      </w:r>
      <w:r>
        <w:rPr>
          <w:rFonts w:ascii="宋体" w:hAnsi="宋体"/>
          <w:b/>
          <w:color w:val="000000" w:themeColor="text1"/>
          <w:sz w:val="28"/>
          <w:szCs w:val="28"/>
          <w14:textFill>
            <w14:solidFill>
              <w14:schemeClr w14:val="tx1"/>
            </w14:solidFill>
          </w14:textFill>
        </w:rPr>
        <w:t>中标通知</w:t>
      </w:r>
      <w:bookmarkEnd w:id="250"/>
      <w:bookmarkEnd w:id="251"/>
    </w:p>
    <w:p w14:paraId="13D19AF4">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在本章第</w:t>
      </w:r>
      <w:r>
        <w:rPr>
          <w:rFonts w:ascii="宋体" w:hAnsi="宋体"/>
          <w:color w:val="000000" w:themeColor="text1"/>
          <w14:textFill>
            <w14:solidFill>
              <w14:schemeClr w14:val="tx1"/>
            </w14:solidFill>
          </w14:textFill>
        </w:rPr>
        <w:t>3.3款规定的投标有效期内，招标人以书面形式向中标人发出中标</w:t>
      </w:r>
      <w:bookmarkStart w:id="252" w:name="_Toc352691506"/>
      <w:bookmarkStart w:id="253" w:name="_Toc384308244"/>
      <w:bookmarkStart w:id="254" w:name="_Toc300834983"/>
      <w:bookmarkStart w:id="255" w:name="_Toc369531550"/>
      <w:bookmarkStart w:id="256" w:name="_Toc361508619"/>
      <w:bookmarkStart w:id="257" w:name="_Toc5668"/>
      <w:r>
        <w:rPr>
          <w:rFonts w:hint="eastAsia" w:ascii="宋体" w:hAnsi="宋体"/>
          <w:color w:val="000000" w:themeColor="text1"/>
          <w14:textFill>
            <w14:solidFill>
              <w14:schemeClr w14:val="tx1"/>
            </w14:solidFill>
          </w14:textFill>
        </w:rPr>
        <w:t>通知书，同时将中</w:t>
      </w:r>
      <w:bookmarkEnd w:id="252"/>
      <w:bookmarkEnd w:id="253"/>
      <w:bookmarkEnd w:id="254"/>
      <w:bookmarkEnd w:id="255"/>
      <w:bookmarkEnd w:id="256"/>
      <w:bookmarkEnd w:id="257"/>
      <w:r>
        <w:rPr>
          <w:rFonts w:hint="eastAsia" w:ascii="宋体" w:hAnsi="宋体"/>
          <w:color w:val="000000" w:themeColor="text1"/>
          <w14:textFill>
            <w14:solidFill>
              <w14:schemeClr w14:val="tx1"/>
            </w14:solidFill>
          </w14:textFill>
        </w:rPr>
        <w:t>标结果通知未中标的投标人。</w:t>
      </w:r>
    </w:p>
    <w:p w14:paraId="6B3233DE">
      <w:pPr>
        <w:spacing w:before="240" w:beforeLines="100" w:after="240" w:afterLines="100"/>
        <w:rPr>
          <w:rFonts w:ascii="宋体" w:hAnsi="宋体"/>
          <w:b/>
          <w:color w:val="000000" w:themeColor="text1"/>
          <w:sz w:val="28"/>
          <w:szCs w:val="28"/>
          <w14:textFill>
            <w14:solidFill>
              <w14:schemeClr w14:val="tx1"/>
            </w14:solidFill>
          </w14:textFill>
        </w:rPr>
      </w:pPr>
      <w:bookmarkStart w:id="258" w:name="_Toc529196566"/>
      <w:bookmarkStart w:id="259" w:name="_Toc515205239"/>
      <w:r>
        <w:rPr>
          <w:rFonts w:ascii="宋体" w:hAnsi="宋体"/>
          <w:b/>
          <w:color w:val="000000" w:themeColor="text1"/>
          <w:sz w:val="28"/>
          <w:szCs w:val="28"/>
          <w14:textFill>
            <w14:solidFill>
              <w14:schemeClr w14:val="tx1"/>
            </w14:solidFill>
          </w14:textFill>
        </w:rPr>
        <w:t>7.</w:t>
      </w:r>
      <w:r>
        <w:rPr>
          <w:rFonts w:hint="eastAsia" w:ascii="宋体" w:hAnsi="宋体"/>
          <w:b/>
          <w:color w:val="000000" w:themeColor="text1"/>
          <w:sz w:val="28"/>
          <w:szCs w:val="28"/>
          <w:lang w:val="en-US" w:eastAsia="zh-CN"/>
          <w14:textFill>
            <w14:solidFill>
              <w14:schemeClr w14:val="tx1"/>
            </w14:solidFill>
          </w14:textFill>
        </w:rPr>
        <w:t>5</w:t>
      </w:r>
      <w:r>
        <w:rPr>
          <w:rFonts w:ascii="宋体" w:hAnsi="宋体"/>
          <w:b/>
          <w:color w:val="000000" w:themeColor="text1"/>
          <w:sz w:val="28"/>
          <w:szCs w:val="28"/>
          <w14:textFill>
            <w14:solidFill>
              <w14:schemeClr w14:val="tx1"/>
            </w14:solidFill>
          </w14:textFill>
        </w:rPr>
        <w:t>履约保证金</w:t>
      </w:r>
      <w:bookmarkEnd w:id="258"/>
      <w:bookmarkEnd w:id="259"/>
    </w:p>
    <w:p w14:paraId="7FFCB272">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lang w:val="en-US" w:eastAsia="zh-CN"/>
          <w14:textFill>
            <w14:solidFill>
              <w14:schemeClr w14:val="tx1"/>
            </w14:solidFill>
          </w14:textFill>
        </w:rPr>
        <w:t>5</w:t>
      </w:r>
      <w:r>
        <w:rPr>
          <w:rFonts w:ascii="宋体" w:hAnsi="宋体"/>
          <w:color w:val="000000" w:themeColor="text1"/>
          <w14:textFill>
            <w14:solidFill>
              <w14:schemeClr w14:val="tx1"/>
            </w14:solidFill>
          </w14:textFill>
        </w:rPr>
        <w:t xml:space="preserve">.1 </w:t>
      </w:r>
      <w:r>
        <w:rPr>
          <w:rFonts w:hint="eastAsia" w:ascii="宋体" w:hAnsi="宋体"/>
          <w:color w:val="000000" w:themeColor="text1"/>
          <w14:textFill>
            <w14:solidFill>
              <w14:schemeClr w14:val="tx1"/>
            </w14:solidFill>
          </w14:textFill>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000000" w:themeColor="text1"/>
          <w14:textFill>
            <w14:solidFill>
              <w14:schemeClr w14:val="tx1"/>
            </w14:solidFill>
          </w14:textFill>
        </w:rPr>
        <w:t>10%。</w:t>
      </w:r>
    </w:p>
    <w:p w14:paraId="1C56C7B6">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lang w:val="en-US" w:eastAsia="zh-CN"/>
          <w14:textFill>
            <w14:solidFill>
              <w14:schemeClr w14:val="tx1"/>
            </w14:solidFill>
          </w14:textFill>
        </w:rPr>
        <w:t>5</w:t>
      </w:r>
      <w:r>
        <w:rPr>
          <w:rFonts w:ascii="宋体" w:hAnsi="宋体"/>
          <w:color w:val="000000" w:themeColor="text1"/>
          <w14:textFill>
            <w14:solidFill>
              <w14:schemeClr w14:val="tx1"/>
            </w14:solidFill>
          </w14:textFill>
        </w:rPr>
        <w:t xml:space="preserve">.2 </w:t>
      </w:r>
      <w:r>
        <w:rPr>
          <w:rFonts w:hint="eastAsia" w:ascii="宋体" w:hAnsi="宋体"/>
          <w:color w:val="000000" w:themeColor="text1"/>
          <w14:textFill>
            <w14:solidFill>
              <w14:schemeClr w14:val="tx1"/>
            </w14:solidFill>
          </w14:textFill>
        </w:rPr>
        <w:t>中标人不能按本章第</w:t>
      </w:r>
      <w:r>
        <w:rPr>
          <w:rFonts w:ascii="宋体" w:hAnsi="宋体"/>
          <w:color w:val="000000" w:themeColor="text1"/>
          <w14:textFill>
            <w14:solidFill>
              <w14:schemeClr w14:val="tx1"/>
            </w14:solidFill>
          </w14:textFill>
        </w:rPr>
        <w:t>7.6.1项要求提交履约保证金的，视为放弃中标，并按第二章投标人须知前附表10.1条的约定处理。给招标人造成损失的，中标人还应当对损失部分予以赔偿</w:t>
      </w:r>
      <w:r>
        <w:rPr>
          <w:rFonts w:hint="eastAsia" w:ascii="宋体" w:hAnsi="宋体"/>
          <w:color w:val="000000" w:themeColor="text1"/>
          <w14:textFill>
            <w14:solidFill>
              <w14:schemeClr w14:val="tx1"/>
            </w14:solidFill>
          </w14:textFill>
        </w:rPr>
        <w:t>。</w:t>
      </w:r>
    </w:p>
    <w:p w14:paraId="4838542E">
      <w:pPr>
        <w:spacing w:before="240" w:beforeLines="100" w:after="240" w:afterLines="100"/>
        <w:rPr>
          <w:rFonts w:ascii="宋体" w:hAnsi="宋体"/>
          <w:b/>
          <w:color w:val="000000" w:themeColor="text1"/>
          <w:sz w:val="28"/>
          <w:szCs w:val="28"/>
          <w14:textFill>
            <w14:solidFill>
              <w14:schemeClr w14:val="tx1"/>
            </w14:solidFill>
          </w14:textFill>
        </w:rPr>
      </w:pPr>
      <w:bookmarkStart w:id="260" w:name="_Toc515205240"/>
      <w:bookmarkStart w:id="261" w:name="_Toc529196567"/>
      <w:r>
        <w:rPr>
          <w:rFonts w:ascii="宋体" w:hAnsi="宋体"/>
          <w:b/>
          <w:color w:val="000000" w:themeColor="text1"/>
          <w:sz w:val="28"/>
          <w:szCs w:val="28"/>
          <w14:textFill>
            <w14:solidFill>
              <w14:schemeClr w14:val="tx1"/>
            </w14:solidFill>
          </w14:textFill>
        </w:rPr>
        <w:t>7.</w:t>
      </w:r>
      <w:r>
        <w:rPr>
          <w:rFonts w:hint="eastAsia" w:ascii="宋体" w:hAnsi="宋体"/>
          <w:b/>
          <w:color w:val="000000" w:themeColor="text1"/>
          <w:sz w:val="28"/>
          <w:szCs w:val="28"/>
          <w:lang w:val="en-US" w:eastAsia="zh-CN"/>
          <w14:textFill>
            <w14:solidFill>
              <w14:schemeClr w14:val="tx1"/>
            </w14:solidFill>
          </w14:textFill>
        </w:rPr>
        <w:t>6</w:t>
      </w:r>
      <w:r>
        <w:rPr>
          <w:rFonts w:ascii="宋体" w:hAnsi="宋体"/>
          <w:b/>
          <w:color w:val="000000" w:themeColor="text1"/>
          <w:sz w:val="28"/>
          <w:szCs w:val="28"/>
          <w14:textFill>
            <w14:solidFill>
              <w14:schemeClr w14:val="tx1"/>
            </w14:solidFill>
          </w14:textFill>
        </w:rPr>
        <w:t>签订合同</w:t>
      </w:r>
      <w:bookmarkEnd w:id="260"/>
      <w:bookmarkEnd w:id="261"/>
    </w:p>
    <w:p w14:paraId="340231FE">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lang w:val="en-US" w:eastAsia="zh-CN"/>
          <w14:textFill>
            <w14:solidFill>
              <w14:schemeClr w14:val="tx1"/>
            </w14:solidFill>
          </w14:textFill>
        </w:rPr>
        <w:t>6</w:t>
      </w:r>
      <w:r>
        <w:rPr>
          <w:rFonts w:ascii="宋体" w:hAnsi="宋体"/>
          <w:color w:val="000000" w:themeColor="text1"/>
          <w14:textFill>
            <w14:solidFill>
              <w14:schemeClr w14:val="tx1"/>
            </w14:solidFill>
          </w14:textFill>
        </w:rPr>
        <w:t xml:space="preserve">.1 </w:t>
      </w:r>
      <w:r>
        <w:rPr>
          <w:rFonts w:hint="eastAsia" w:ascii="宋体" w:hAnsi="宋体"/>
          <w:color w:val="000000" w:themeColor="text1"/>
          <w14:textFill>
            <w14:solidFill>
              <w14:schemeClr w14:val="tx1"/>
            </w14:solidFill>
          </w14:textFill>
        </w:rPr>
        <w:t>招标人和中标人应当在中标通知书发出之日起</w:t>
      </w:r>
      <w:r>
        <w:rPr>
          <w:rFonts w:ascii="宋体" w:hAnsi="宋体"/>
          <w:color w:val="000000" w:themeColor="text1"/>
          <w14:textFill>
            <w14:solidFill>
              <w14:schemeClr w14:val="tx1"/>
            </w14:solidFill>
          </w14:textFill>
        </w:rPr>
        <w:t>30日内，根据招标文件和中标人的投标文件订立书面合同。中标人无正当理由拒签合同，在签订合同时向招标人提出附加条件，或者不按照招标文件要求提交履约保证金的，招标人有权取消其中标资格，并按第二章投标人须知前附表10.1条的约定处理</w:t>
      </w:r>
      <w:r>
        <w:rPr>
          <w:rFonts w:hint="eastAsia" w:ascii="宋体" w:hAnsi="宋体"/>
          <w:color w:val="000000" w:themeColor="text1"/>
          <w14:textFill>
            <w14:solidFill>
              <w14:schemeClr w14:val="tx1"/>
            </w14:solidFill>
          </w14:textFill>
        </w:rPr>
        <w:t>；给招标人造成的损失的，中标人还应当对损失部分予以赔偿。</w:t>
      </w:r>
    </w:p>
    <w:p w14:paraId="5344A97A">
      <w:pPr>
        <w:spacing w:line="360" w:lineRule="auto"/>
        <w:ind w:firstLine="420" w:firstLineChars="200"/>
        <w:rPr>
          <w:rFonts w:ascii="宋体" w:hAnsi="宋体"/>
          <w:strike/>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lang w:val="en-US" w:eastAsia="zh-CN"/>
          <w14:textFill>
            <w14:solidFill>
              <w14:schemeClr w14:val="tx1"/>
            </w14:solidFill>
          </w14:textFill>
        </w:rPr>
        <w:t>6</w:t>
      </w:r>
      <w:r>
        <w:rPr>
          <w:rFonts w:ascii="宋体" w:hAnsi="宋体"/>
          <w:color w:val="000000" w:themeColor="text1"/>
          <w14:textFill>
            <w14:solidFill>
              <w14:schemeClr w14:val="tx1"/>
            </w14:solidFill>
          </w14:textFill>
        </w:rPr>
        <w:t xml:space="preserve">.2 </w:t>
      </w:r>
      <w:r>
        <w:rPr>
          <w:rFonts w:hint="eastAsia" w:ascii="宋体" w:hAnsi="宋体"/>
          <w:color w:val="000000" w:themeColor="text1"/>
          <w14:textFill>
            <w14:solidFill>
              <w14:schemeClr w14:val="tx1"/>
            </w14:solidFill>
          </w14:textFill>
        </w:rPr>
        <w:t>发出中标通知书后，招标人无正当理由拒签合同，或者在签订合同时向中标人提出附加条件给中标人造成损失的，还应当赔偿损失。</w:t>
      </w:r>
    </w:p>
    <w:p w14:paraId="0C267CBF">
      <w:pPr>
        <w:spacing w:before="260"/>
        <w:outlineLvl w:val="2"/>
        <w:rPr>
          <w:color w:val="000000" w:themeColor="text1"/>
          <w14:textFill>
            <w14:solidFill>
              <w14:schemeClr w14:val="tx1"/>
            </w14:solidFill>
          </w14:textFill>
        </w:rPr>
      </w:pPr>
      <w:bookmarkStart w:id="262" w:name="_Toc384308252"/>
      <w:bookmarkStart w:id="263" w:name="_Toc24067"/>
      <w:bookmarkStart w:id="264" w:name="_Toc361508627"/>
      <w:bookmarkStart w:id="265" w:name="_Toc529196568"/>
      <w:bookmarkStart w:id="266" w:name="_Toc515205241"/>
      <w:bookmarkStart w:id="267" w:name="_Toc144974536"/>
      <w:bookmarkStart w:id="268" w:name="_Toc152045568"/>
      <w:bookmarkStart w:id="269" w:name="_Toc247527593"/>
      <w:bookmarkStart w:id="270" w:name="_Toc300834991"/>
      <w:bookmarkStart w:id="271" w:name="_Toc152042344"/>
      <w:bookmarkStart w:id="272" w:name="_Toc247513992"/>
      <w:r>
        <w:rPr>
          <w:rFonts w:ascii="宋体" w:hAnsi="宋体"/>
          <w:b/>
          <w:color w:val="000000" w:themeColor="text1"/>
          <w:sz w:val="32"/>
          <w:szCs w:val="32"/>
          <w14:textFill>
            <w14:solidFill>
              <w14:schemeClr w14:val="tx1"/>
            </w14:solidFill>
          </w14:textFill>
        </w:rPr>
        <w:t>8.</w:t>
      </w:r>
      <w:bookmarkEnd w:id="262"/>
      <w:bookmarkEnd w:id="263"/>
      <w:bookmarkEnd w:id="264"/>
      <w:r>
        <w:rPr>
          <w:rFonts w:hint="eastAsia" w:ascii="宋体" w:hAnsi="宋体"/>
          <w:b/>
          <w:color w:val="000000" w:themeColor="text1"/>
          <w:sz w:val="32"/>
          <w:szCs w:val="32"/>
          <w14:textFill>
            <w14:solidFill>
              <w14:schemeClr w14:val="tx1"/>
            </w14:solidFill>
          </w14:textFill>
        </w:rPr>
        <w:t>纪律和监督</w:t>
      </w:r>
      <w:bookmarkEnd w:id="265"/>
      <w:bookmarkEnd w:id="266"/>
    </w:p>
    <w:p w14:paraId="3B8C738B">
      <w:pPr>
        <w:spacing w:before="240" w:beforeLines="100" w:after="240" w:afterLines="100"/>
        <w:rPr>
          <w:rFonts w:ascii="宋体" w:hAnsi="宋体"/>
          <w:b/>
          <w:color w:val="000000" w:themeColor="text1"/>
          <w:sz w:val="28"/>
          <w:szCs w:val="28"/>
          <w14:textFill>
            <w14:solidFill>
              <w14:schemeClr w14:val="tx1"/>
            </w14:solidFill>
          </w14:textFill>
        </w:rPr>
      </w:pPr>
      <w:bookmarkStart w:id="273" w:name="_Toc529196569"/>
      <w:bookmarkStart w:id="274" w:name="_Toc515205242"/>
      <w:r>
        <w:rPr>
          <w:rFonts w:ascii="宋体" w:hAnsi="宋体"/>
          <w:b/>
          <w:color w:val="000000" w:themeColor="text1"/>
          <w:sz w:val="28"/>
          <w:szCs w:val="28"/>
          <w14:textFill>
            <w14:solidFill>
              <w14:schemeClr w14:val="tx1"/>
            </w14:solidFill>
          </w14:textFill>
        </w:rPr>
        <w:t>8.1对招标人的纪律要求</w:t>
      </w:r>
      <w:bookmarkEnd w:id="273"/>
      <w:bookmarkEnd w:id="274"/>
    </w:p>
    <w:p w14:paraId="16397244">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招标人不得泄露招标投标活动中应当保密的情况和资料，不得与投标人串通损害国家利益、社会公共利益或者他人合法权益。</w:t>
      </w:r>
    </w:p>
    <w:p w14:paraId="34E15B38">
      <w:pPr>
        <w:spacing w:before="240" w:beforeLines="100" w:after="240" w:afterLines="100"/>
        <w:rPr>
          <w:rFonts w:ascii="宋体" w:hAnsi="宋体"/>
          <w:b/>
          <w:color w:val="000000" w:themeColor="text1"/>
          <w:sz w:val="28"/>
          <w:szCs w:val="28"/>
          <w14:textFill>
            <w14:solidFill>
              <w14:schemeClr w14:val="tx1"/>
            </w14:solidFill>
          </w14:textFill>
        </w:rPr>
      </w:pPr>
      <w:bookmarkStart w:id="275" w:name="_Toc529196570"/>
      <w:bookmarkStart w:id="276" w:name="_Toc515205243"/>
      <w:r>
        <w:rPr>
          <w:rFonts w:ascii="宋体" w:hAnsi="宋体"/>
          <w:b/>
          <w:color w:val="000000" w:themeColor="text1"/>
          <w:sz w:val="28"/>
          <w:szCs w:val="28"/>
          <w14:textFill>
            <w14:solidFill>
              <w14:schemeClr w14:val="tx1"/>
            </w14:solidFill>
          </w14:textFill>
        </w:rPr>
        <w:t>8.2对投标人的纪律要求</w:t>
      </w:r>
      <w:bookmarkEnd w:id="275"/>
      <w:bookmarkEnd w:id="276"/>
    </w:p>
    <w:p w14:paraId="447535E1">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FA0DDF7">
      <w:pPr>
        <w:spacing w:before="240" w:beforeLines="100" w:after="240" w:afterLines="100"/>
        <w:rPr>
          <w:rFonts w:ascii="宋体" w:hAnsi="宋体"/>
          <w:b/>
          <w:color w:val="000000" w:themeColor="text1"/>
          <w:sz w:val="28"/>
          <w:szCs w:val="28"/>
          <w14:textFill>
            <w14:solidFill>
              <w14:schemeClr w14:val="tx1"/>
            </w14:solidFill>
          </w14:textFill>
        </w:rPr>
      </w:pPr>
      <w:bookmarkStart w:id="277" w:name="_Toc529196571"/>
      <w:bookmarkStart w:id="278" w:name="_Toc515205244"/>
      <w:r>
        <w:rPr>
          <w:rFonts w:ascii="宋体" w:hAnsi="宋体"/>
          <w:b/>
          <w:color w:val="000000" w:themeColor="text1"/>
          <w:sz w:val="28"/>
          <w:szCs w:val="28"/>
          <w14:textFill>
            <w14:solidFill>
              <w14:schemeClr w14:val="tx1"/>
            </w14:solidFill>
          </w14:textFill>
        </w:rPr>
        <w:t>8.3对评标委员会成员的纪律要求</w:t>
      </w:r>
      <w:bookmarkEnd w:id="277"/>
      <w:bookmarkEnd w:id="278"/>
    </w:p>
    <w:p w14:paraId="397035C8">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评标委员会成员不得收受他人的财物或者其他好处，不得向他人透露对投标文件的评审</w:t>
      </w:r>
      <w:bookmarkStart w:id="279" w:name="_Toc384308253"/>
      <w:bookmarkStart w:id="280" w:name="_Toc352691515"/>
      <w:bookmarkStart w:id="281" w:name="_Toc369531559"/>
      <w:bookmarkStart w:id="282" w:name="_Toc361508628"/>
      <w:bookmarkStart w:id="283" w:name="_Toc13644"/>
      <w:r>
        <w:rPr>
          <w:rFonts w:hint="eastAsia" w:ascii="宋体" w:hAnsi="宋体"/>
          <w:color w:val="000000" w:themeColor="text1"/>
          <w14:textFill>
            <w14:solidFill>
              <w14:schemeClr w14:val="tx1"/>
            </w14:solidFill>
          </w14:textFill>
        </w:rPr>
        <w:t>和比较、中标候选人</w:t>
      </w:r>
      <w:bookmarkEnd w:id="267"/>
      <w:bookmarkEnd w:id="268"/>
      <w:bookmarkEnd w:id="269"/>
      <w:bookmarkEnd w:id="270"/>
      <w:bookmarkEnd w:id="271"/>
      <w:bookmarkEnd w:id="272"/>
      <w:bookmarkEnd w:id="279"/>
      <w:bookmarkEnd w:id="280"/>
      <w:bookmarkEnd w:id="281"/>
      <w:bookmarkEnd w:id="282"/>
      <w:bookmarkEnd w:id="283"/>
      <w:r>
        <w:rPr>
          <w:rFonts w:hint="eastAsia" w:ascii="宋体" w:hAnsi="宋体"/>
          <w:color w:val="000000" w:themeColor="text1"/>
          <w14:textFill>
            <w14:solidFill>
              <w14:schemeClr w14:val="tx1"/>
            </w14:solidFill>
          </w14:textFill>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0CC0676">
      <w:pPr>
        <w:spacing w:before="240" w:beforeLines="100" w:after="240" w:afterLines="100"/>
        <w:rPr>
          <w:rFonts w:ascii="宋体" w:hAnsi="宋体"/>
          <w:b/>
          <w:color w:val="000000" w:themeColor="text1"/>
          <w:sz w:val="28"/>
          <w:szCs w:val="28"/>
          <w14:textFill>
            <w14:solidFill>
              <w14:schemeClr w14:val="tx1"/>
            </w14:solidFill>
          </w14:textFill>
        </w:rPr>
      </w:pPr>
      <w:bookmarkStart w:id="284" w:name="_Toc529196572"/>
      <w:bookmarkStart w:id="285" w:name="_Toc515205245"/>
      <w:r>
        <w:rPr>
          <w:rFonts w:ascii="宋体" w:hAnsi="宋体"/>
          <w:b/>
          <w:color w:val="000000" w:themeColor="text1"/>
          <w:sz w:val="28"/>
          <w:szCs w:val="28"/>
          <w14:textFill>
            <w14:solidFill>
              <w14:schemeClr w14:val="tx1"/>
            </w14:solidFill>
          </w14:textFill>
        </w:rPr>
        <w:t>8.4对与评标活动有关的工作人员的纪律要求</w:t>
      </w:r>
      <w:bookmarkEnd w:id="284"/>
      <w:bookmarkEnd w:id="285"/>
    </w:p>
    <w:p w14:paraId="4E209750">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与评标活动有关的工作人员不得收受他人的财物或者其他好处，不得向他人透露对投标文件</w:t>
      </w:r>
      <w:bookmarkStart w:id="286" w:name="_Toc300834992"/>
      <w:bookmarkStart w:id="287" w:name="_Toc352691516"/>
      <w:bookmarkStart w:id="288" w:name="_Toc19429"/>
      <w:bookmarkStart w:id="289" w:name="_Toc384308254"/>
      <w:bookmarkStart w:id="290" w:name="_Toc247513993"/>
      <w:bookmarkStart w:id="291" w:name="_Toc152042345"/>
      <w:bookmarkStart w:id="292" w:name="_Toc361508629"/>
      <w:bookmarkStart w:id="293" w:name="_Toc369531560"/>
      <w:bookmarkStart w:id="294" w:name="_Toc152045569"/>
      <w:bookmarkStart w:id="295" w:name="_Toc247527594"/>
      <w:bookmarkStart w:id="296" w:name="_Toc144974537"/>
      <w:r>
        <w:rPr>
          <w:rFonts w:hint="eastAsia" w:ascii="宋体" w:hAnsi="宋体"/>
          <w:color w:val="000000" w:themeColor="text1"/>
          <w14:textFill>
            <w14:solidFill>
              <w14:schemeClr w14:val="tx1"/>
            </w14:solidFill>
          </w14:textFill>
        </w:rPr>
        <w:t>的评审和比较、中标</w:t>
      </w:r>
      <w:bookmarkEnd w:id="286"/>
      <w:bookmarkEnd w:id="287"/>
      <w:bookmarkEnd w:id="288"/>
      <w:bookmarkEnd w:id="289"/>
      <w:bookmarkEnd w:id="290"/>
      <w:bookmarkEnd w:id="291"/>
      <w:bookmarkEnd w:id="292"/>
      <w:bookmarkEnd w:id="293"/>
      <w:bookmarkEnd w:id="294"/>
      <w:bookmarkEnd w:id="295"/>
      <w:bookmarkEnd w:id="296"/>
      <w:r>
        <w:rPr>
          <w:rFonts w:hint="eastAsia" w:ascii="宋体" w:hAnsi="宋体"/>
          <w:color w:val="000000" w:themeColor="text1"/>
          <w14:textFill>
            <w14:solidFill>
              <w14:schemeClr w14:val="tx1"/>
            </w14:solidFill>
          </w14:textFill>
        </w:rPr>
        <w:t>候选人的推荐情况以及评标有关的其他情况。在评标活动中，与评标活动有关的工作人员不得擅离职守，影响评标程序正常进行。</w:t>
      </w:r>
    </w:p>
    <w:p w14:paraId="5359A59D">
      <w:pPr>
        <w:spacing w:before="240" w:beforeLines="100" w:after="240" w:afterLines="100"/>
        <w:rPr>
          <w:rFonts w:ascii="宋体" w:hAnsi="宋体"/>
          <w:b/>
          <w:color w:val="000000" w:themeColor="text1"/>
          <w:sz w:val="28"/>
          <w:szCs w:val="28"/>
          <w14:textFill>
            <w14:solidFill>
              <w14:schemeClr w14:val="tx1"/>
            </w14:solidFill>
          </w14:textFill>
        </w:rPr>
      </w:pPr>
      <w:bookmarkStart w:id="297" w:name="_Toc515205246"/>
      <w:bookmarkStart w:id="298" w:name="_Toc529196573"/>
      <w:r>
        <w:rPr>
          <w:rFonts w:ascii="宋体" w:hAnsi="宋体"/>
          <w:b/>
          <w:color w:val="000000" w:themeColor="text1"/>
          <w:sz w:val="28"/>
          <w:szCs w:val="28"/>
          <w14:textFill>
            <w14:solidFill>
              <w14:schemeClr w14:val="tx1"/>
            </w14:solidFill>
          </w14:textFill>
        </w:rPr>
        <w:t>8.5投诉</w:t>
      </w:r>
      <w:bookmarkEnd w:id="297"/>
      <w:bookmarkEnd w:id="298"/>
    </w:p>
    <w:p w14:paraId="313351CD">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8.5.1 </w:t>
      </w:r>
      <w:r>
        <w:rPr>
          <w:rFonts w:hint="eastAsia" w:ascii="宋体" w:hAnsi="宋体"/>
          <w:color w:val="000000" w:themeColor="text1"/>
          <w14:textFill>
            <w14:solidFill>
              <w14:schemeClr w14:val="tx1"/>
            </w14:solidFill>
          </w14:textFill>
        </w:rPr>
        <w:t>投标人或者其他利害关系人认为招标投标活动不符合法律、行政法规规定的，可以自知道或者应当知道之日起</w:t>
      </w:r>
      <w:r>
        <w:rPr>
          <w:rFonts w:ascii="宋体" w:hAnsi="宋体"/>
          <w:color w:val="000000" w:themeColor="text1"/>
          <w14:textFill>
            <w14:solidFill>
              <w14:schemeClr w14:val="tx1"/>
            </w14:solidFill>
          </w14:textFill>
        </w:rPr>
        <w:t>10日内向有关行政监督部门投诉。投诉应当有明确的请求和必要的证明材料。</w:t>
      </w:r>
    </w:p>
    <w:p w14:paraId="18D5F02E">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8.5.2 </w:t>
      </w:r>
      <w:r>
        <w:rPr>
          <w:rFonts w:hint="eastAsia" w:ascii="宋体" w:hAnsi="宋体"/>
          <w:color w:val="000000" w:themeColor="text1"/>
          <w14:textFill>
            <w14:solidFill>
              <w14:schemeClr w14:val="tx1"/>
            </w14:solidFill>
          </w14:textFill>
        </w:rPr>
        <w:t>投标人或者其他利害关系人对招标文件、开标和评标结果提出投诉的，应当按照投标人须知第</w:t>
      </w:r>
      <w:r>
        <w:rPr>
          <w:rFonts w:ascii="宋体" w:hAnsi="宋体"/>
          <w:color w:val="000000" w:themeColor="text1"/>
          <w14:textFill>
            <w14:solidFill>
              <w14:schemeClr w14:val="tx1"/>
            </w14:solidFill>
          </w14:textFill>
        </w:rPr>
        <w:t>2.4款、第5.3款和第7.2款的规定先向招标人提出异议。异议答复期间</w:t>
      </w:r>
      <w:bookmarkStart w:id="299" w:name="_Toc361508630"/>
      <w:bookmarkStart w:id="300" w:name="_Toc144974538"/>
      <w:bookmarkStart w:id="301" w:name="_Toc384308255"/>
      <w:bookmarkStart w:id="302" w:name="_Toc247513994"/>
      <w:bookmarkStart w:id="303" w:name="_Toc152042346"/>
      <w:bookmarkStart w:id="304" w:name="_Toc247527595"/>
      <w:bookmarkStart w:id="305" w:name="_Toc152045570"/>
      <w:bookmarkStart w:id="306" w:name="_Toc352691517"/>
      <w:bookmarkStart w:id="307" w:name="_Toc300834993"/>
      <w:bookmarkStart w:id="308" w:name="_Toc12776"/>
      <w:bookmarkStart w:id="309" w:name="_Toc369531561"/>
      <w:r>
        <w:rPr>
          <w:rFonts w:hint="eastAsia" w:ascii="宋体" w:hAnsi="宋体"/>
          <w:color w:val="000000" w:themeColor="text1"/>
          <w14:textFill>
            <w14:solidFill>
              <w14:schemeClr w14:val="tx1"/>
            </w14:solidFill>
          </w14:textFill>
        </w:rPr>
        <w:t>不计算在第</w:t>
      </w:r>
      <w:r>
        <w:rPr>
          <w:rFonts w:ascii="宋体" w:hAnsi="宋体"/>
          <w:color w:val="000000" w:themeColor="text1"/>
          <w14:textFill>
            <w14:solidFill>
              <w14:schemeClr w14:val="tx1"/>
            </w14:solidFill>
          </w14:textFill>
        </w:rPr>
        <w:t>8.5.</w:t>
      </w:r>
      <w:bookmarkEnd w:id="299"/>
      <w:bookmarkEnd w:id="300"/>
      <w:bookmarkEnd w:id="301"/>
      <w:bookmarkEnd w:id="302"/>
      <w:bookmarkEnd w:id="303"/>
      <w:bookmarkEnd w:id="304"/>
      <w:bookmarkEnd w:id="305"/>
      <w:bookmarkEnd w:id="306"/>
      <w:bookmarkEnd w:id="307"/>
      <w:bookmarkEnd w:id="308"/>
      <w:bookmarkEnd w:id="309"/>
      <w:r>
        <w:rPr>
          <w:rFonts w:ascii="宋体" w:hAnsi="宋体"/>
          <w:color w:val="000000" w:themeColor="text1"/>
          <w14:textFill>
            <w14:solidFill>
              <w14:schemeClr w14:val="tx1"/>
            </w14:solidFill>
          </w14:textFill>
        </w:rPr>
        <w:t>1项规定的期限内。</w:t>
      </w:r>
    </w:p>
    <w:p w14:paraId="626BCBDB">
      <w:pPr>
        <w:spacing w:before="260"/>
        <w:outlineLvl w:val="2"/>
        <w:rPr>
          <w:rFonts w:ascii="宋体" w:hAnsi="宋体"/>
          <w:b/>
          <w:color w:val="000000" w:themeColor="text1"/>
          <w:sz w:val="32"/>
          <w:szCs w:val="32"/>
          <w14:textFill>
            <w14:solidFill>
              <w14:schemeClr w14:val="tx1"/>
            </w14:solidFill>
          </w14:textFill>
        </w:rPr>
      </w:pPr>
      <w:bookmarkStart w:id="310" w:name="_Toc529196574"/>
      <w:bookmarkStart w:id="311" w:name="_Toc477134992"/>
      <w:bookmarkStart w:id="312" w:name="_Toc515205247"/>
      <w:r>
        <w:rPr>
          <w:rFonts w:ascii="宋体" w:hAnsi="宋体"/>
          <w:b/>
          <w:color w:val="000000" w:themeColor="text1"/>
          <w:sz w:val="32"/>
          <w:szCs w:val="32"/>
          <w14:textFill>
            <w14:solidFill>
              <w14:schemeClr w14:val="tx1"/>
            </w14:solidFill>
          </w14:textFill>
        </w:rPr>
        <w:t xml:space="preserve">9. </w:t>
      </w:r>
      <w:r>
        <w:rPr>
          <w:rFonts w:hint="eastAsia" w:ascii="宋体" w:hAnsi="宋体"/>
          <w:b/>
          <w:color w:val="000000" w:themeColor="text1"/>
          <w:sz w:val="32"/>
          <w:szCs w:val="32"/>
          <w14:textFill>
            <w14:solidFill>
              <w14:schemeClr w14:val="tx1"/>
            </w14:solidFill>
          </w14:textFill>
        </w:rPr>
        <w:t>是否采用电子招标投标</w:t>
      </w:r>
      <w:bookmarkEnd w:id="310"/>
      <w:bookmarkEnd w:id="311"/>
      <w:bookmarkEnd w:id="312"/>
    </w:p>
    <w:p w14:paraId="5C7884C5">
      <w:pPr>
        <w:spacing w:before="240" w:beforeLines="100"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本招标项目是否采用电子招标投标方式，见投标人须知前附表。</w:t>
      </w:r>
    </w:p>
    <w:p w14:paraId="168A6F35">
      <w:pPr>
        <w:spacing w:before="260"/>
        <w:outlineLvl w:val="2"/>
        <w:rPr>
          <w:rFonts w:ascii="宋体" w:hAnsi="宋体"/>
          <w:b/>
          <w:color w:val="000000" w:themeColor="text1"/>
          <w:sz w:val="32"/>
          <w:szCs w:val="32"/>
          <w14:textFill>
            <w14:solidFill>
              <w14:schemeClr w14:val="tx1"/>
            </w14:solidFill>
          </w14:textFill>
        </w:rPr>
      </w:pPr>
      <w:bookmarkStart w:id="313" w:name="_Toc529196575"/>
      <w:bookmarkStart w:id="314" w:name="_Toc515205248"/>
      <w:r>
        <w:rPr>
          <w:rFonts w:ascii="宋体" w:hAnsi="宋体"/>
          <w:b/>
          <w:color w:val="000000" w:themeColor="text1"/>
          <w:sz w:val="32"/>
          <w:szCs w:val="32"/>
          <w14:textFill>
            <w14:solidFill>
              <w14:schemeClr w14:val="tx1"/>
            </w14:solidFill>
          </w14:textFill>
        </w:rPr>
        <w:t xml:space="preserve">10. </w:t>
      </w:r>
      <w:r>
        <w:rPr>
          <w:rFonts w:hint="eastAsia" w:ascii="宋体" w:hAnsi="宋体"/>
          <w:b/>
          <w:color w:val="000000" w:themeColor="text1"/>
          <w:sz w:val="32"/>
          <w:szCs w:val="32"/>
          <w14:textFill>
            <w14:solidFill>
              <w14:schemeClr w14:val="tx1"/>
            </w14:solidFill>
          </w14:textFill>
        </w:rPr>
        <w:t>需要补充的其他内容</w:t>
      </w:r>
      <w:bookmarkEnd w:id="313"/>
      <w:bookmarkEnd w:id="314"/>
    </w:p>
    <w:p w14:paraId="57D8FE79">
      <w:pPr>
        <w:spacing w:before="240" w:beforeLines="100"/>
        <w:ind w:firstLine="420" w:firstLineChars="200"/>
        <w:rPr>
          <w:rFonts w:ascii="宋体" w:hAnsi="宋体"/>
          <w:color w:val="000000" w:themeColor="text1"/>
          <w:sz w:val="18"/>
          <w14:textFill>
            <w14:solidFill>
              <w14:schemeClr w14:val="tx1"/>
            </w14:solidFill>
          </w14:textFill>
        </w:rPr>
      </w:pPr>
      <w:r>
        <w:rPr>
          <w:rFonts w:hint="eastAsia" w:ascii="宋体" w:hAnsi="宋体"/>
          <w:color w:val="000000" w:themeColor="text1"/>
          <w14:textFill>
            <w14:solidFill>
              <w14:schemeClr w14:val="tx1"/>
            </w14:solidFill>
          </w14:textFill>
        </w:rPr>
        <w:t>见投标人须知前附表。</w:t>
      </w:r>
    </w:p>
    <w:p w14:paraId="14E78AE6">
      <w:pPr>
        <w:widowControl/>
        <w:jc w:val="left"/>
        <w:rPr>
          <w:color w:val="000000" w:themeColor="text1"/>
          <w14:textFill>
            <w14:solidFill>
              <w14:schemeClr w14:val="tx1"/>
            </w14:solidFill>
          </w14:textFill>
        </w:rPr>
        <w:sectPr>
          <w:pgSz w:w="11906" w:h="16838"/>
          <w:pgMar w:top="1440" w:right="1800" w:bottom="1440" w:left="1800" w:header="0" w:footer="567" w:gutter="0"/>
          <w:pgNumType w:fmt="decimal"/>
          <w:cols w:space="720" w:num="1"/>
          <w:docGrid w:linePitch="286" w:charSpace="0"/>
        </w:sectPr>
      </w:pPr>
    </w:p>
    <w:p w14:paraId="3E5A57DC">
      <w:pPr>
        <w:spacing w:line="2" w:lineRule="exact"/>
        <w:rPr>
          <w:rFonts w:eastAsia="Times New Roman"/>
          <w:color w:val="000000" w:themeColor="text1"/>
          <w14:textFill>
            <w14:solidFill>
              <w14:schemeClr w14:val="tx1"/>
            </w14:solidFill>
          </w14:textFill>
        </w:rPr>
      </w:pPr>
    </w:p>
    <w:p w14:paraId="2AE95C81">
      <w:pPr>
        <w:spacing w:after="240"/>
        <w:rPr>
          <w:b/>
          <w:color w:val="000000" w:themeColor="text1"/>
          <w:sz w:val="28"/>
          <w14:textFill>
            <w14:solidFill>
              <w14:schemeClr w14:val="tx1"/>
            </w14:solidFill>
          </w14:textFill>
        </w:rPr>
      </w:pPr>
      <w:bookmarkStart w:id="315" w:name="_Toc530470624"/>
      <w:bookmarkStart w:id="316" w:name="_Toc529196576"/>
      <w:bookmarkStart w:id="317" w:name="_Toc535938714"/>
      <w:r>
        <w:rPr>
          <w:rFonts w:hint="eastAsia"/>
          <w:b/>
          <w:color w:val="000000" w:themeColor="text1"/>
          <w:sz w:val="28"/>
          <w:szCs w:val="20"/>
          <w14:textFill>
            <w14:solidFill>
              <w14:schemeClr w14:val="tx1"/>
            </w14:solidFill>
          </w14:textFill>
        </w:rPr>
        <w:t>附件一：开标记录表</w:t>
      </w:r>
      <w:bookmarkEnd w:id="315"/>
      <w:bookmarkEnd w:id="316"/>
      <w:bookmarkEnd w:id="317"/>
      <w:r>
        <w:rPr>
          <w:rFonts w:hint="eastAsia"/>
          <w:b/>
          <w:color w:val="000000" w:themeColor="text1"/>
          <w:sz w:val="28"/>
          <w14:textFill>
            <w14:solidFill>
              <w14:schemeClr w14:val="tx1"/>
            </w14:solidFill>
          </w14:textFill>
        </w:rPr>
        <w:t>（按</w:t>
      </w:r>
      <w:r>
        <w:rPr>
          <w:rFonts w:hint="eastAsia"/>
          <w:b/>
          <w:color w:val="000000" w:themeColor="text1"/>
          <w:sz w:val="28"/>
          <w:lang w:eastAsia="zh-CN"/>
          <w14:textFill>
            <w14:solidFill>
              <w14:schemeClr w14:val="tx1"/>
            </w14:solidFill>
          </w14:textFill>
        </w:rPr>
        <w:t>广州交易集团有限公司（广州公共资源交易中心）</w:t>
      </w:r>
      <w:r>
        <w:rPr>
          <w:rFonts w:hint="eastAsia"/>
          <w:b/>
          <w:color w:val="000000" w:themeColor="text1"/>
          <w:sz w:val="28"/>
          <w14:textFill>
            <w14:solidFill>
              <w14:schemeClr w14:val="tx1"/>
            </w14:solidFill>
          </w14:textFill>
        </w:rPr>
        <w:t>系统导出为准）</w:t>
      </w:r>
    </w:p>
    <w:p w14:paraId="558E8293">
      <w:pPr>
        <w:spacing w:line="440" w:lineRule="exact"/>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开标记录表</w:t>
      </w:r>
    </w:p>
    <w:p w14:paraId="573426B4">
      <w:pPr>
        <w:spacing w:before="120" w:beforeLines="50" w:after="120" w:afterLines="50" w:line="400" w:lineRule="exact"/>
        <w:ind w:right="525"/>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开标时间：</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时</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分</w:t>
      </w:r>
    </w:p>
    <w:p w14:paraId="06BDB76A">
      <w:pPr>
        <w:spacing w:before="120" w:beforeLines="50" w:after="120" w:afterLines="50" w:line="400" w:lineRule="exact"/>
        <w:ind w:right="42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项目名称：</w:t>
      </w:r>
    </w:p>
    <w:tbl>
      <w:tblPr>
        <w:tblStyle w:val="23"/>
        <w:tblW w:w="9243" w:type="dxa"/>
        <w:tblInd w:w="0" w:type="dxa"/>
        <w:tblLayout w:type="fixed"/>
        <w:tblCellMar>
          <w:top w:w="0" w:type="dxa"/>
          <w:left w:w="108" w:type="dxa"/>
          <w:bottom w:w="0" w:type="dxa"/>
          <w:right w:w="108" w:type="dxa"/>
        </w:tblCellMar>
      </w:tblPr>
      <w:tblGrid>
        <w:gridCol w:w="499"/>
        <w:gridCol w:w="642"/>
        <w:gridCol w:w="783"/>
        <w:gridCol w:w="1200"/>
        <w:gridCol w:w="1067"/>
        <w:gridCol w:w="1067"/>
        <w:gridCol w:w="1351"/>
        <w:gridCol w:w="1351"/>
        <w:gridCol w:w="500"/>
        <w:gridCol w:w="783"/>
      </w:tblGrid>
      <w:tr w14:paraId="34EF3E1E">
        <w:tblPrEx>
          <w:tblCellMar>
            <w:top w:w="0" w:type="dxa"/>
            <w:left w:w="108" w:type="dxa"/>
            <w:bottom w:w="0" w:type="dxa"/>
            <w:right w:w="108" w:type="dxa"/>
          </w:tblCellMar>
        </w:tblPrEx>
        <w:trPr>
          <w:trHeight w:val="850" w:hRule="atLeast"/>
        </w:trPr>
        <w:tc>
          <w:tcPr>
            <w:tcW w:w="499" w:type="dxa"/>
            <w:tcBorders>
              <w:top w:val="single" w:color="auto" w:sz="4" w:space="0"/>
              <w:left w:val="single" w:color="auto" w:sz="4" w:space="0"/>
              <w:bottom w:val="single" w:color="auto" w:sz="4" w:space="0"/>
              <w:right w:val="single" w:color="auto" w:sz="4" w:space="0"/>
            </w:tcBorders>
            <w:noWrap/>
            <w:vAlign w:val="center"/>
          </w:tcPr>
          <w:p w14:paraId="3731FFD3">
            <w:pPr>
              <w:spacing w:line="276"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642" w:type="dxa"/>
            <w:tcBorders>
              <w:top w:val="single" w:color="auto" w:sz="4" w:space="0"/>
              <w:left w:val="single" w:color="auto" w:sz="4" w:space="0"/>
              <w:bottom w:val="single" w:color="auto" w:sz="4" w:space="0"/>
              <w:right w:val="single" w:color="auto" w:sz="4" w:space="0"/>
            </w:tcBorders>
            <w:noWrap/>
            <w:vAlign w:val="center"/>
          </w:tcPr>
          <w:p w14:paraId="143022D6">
            <w:pPr>
              <w:spacing w:line="276"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w:t>
            </w:r>
          </w:p>
        </w:tc>
        <w:tc>
          <w:tcPr>
            <w:tcW w:w="783" w:type="dxa"/>
            <w:tcBorders>
              <w:top w:val="single" w:color="auto" w:sz="4" w:space="0"/>
              <w:left w:val="single" w:color="auto" w:sz="4" w:space="0"/>
              <w:bottom w:val="single" w:color="auto" w:sz="4" w:space="0"/>
              <w:right w:val="single" w:color="auto" w:sz="4" w:space="0"/>
            </w:tcBorders>
            <w:noWrap/>
            <w:vAlign w:val="center"/>
          </w:tcPr>
          <w:p w14:paraId="15B535C6">
            <w:pPr>
              <w:spacing w:line="276"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密封情况</w:t>
            </w:r>
          </w:p>
        </w:tc>
        <w:tc>
          <w:tcPr>
            <w:tcW w:w="1200" w:type="dxa"/>
            <w:tcBorders>
              <w:top w:val="single" w:color="auto" w:sz="4" w:space="0"/>
              <w:left w:val="single" w:color="auto" w:sz="4" w:space="0"/>
              <w:bottom w:val="single" w:color="auto" w:sz="4" w:space="0"/>
              <w:right w:val="single" w:color="auto" w:sz="4" w:space="0"/>
            </w:tcBorders>
            <w:noWrap/>
            <w:vAlign w:val="center"/>
          </w:tcPr>
          <w:p w14:paraId="63DCB216">
            <w:pPr>
              <w:spacing w:line="276" w:lineRule="auto"/>
              <w:ind w:right="-13" w:rightChars="-6"/>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投标报价（元）</w:t>
            </w:r>
          </w:p>
        </w:tc>
        <w:tc>
          <w:tcPr>
            <w:tcW w:w="1067" w:type="dxa"/>
            <w:tcBorders>
              <w:top w:val="single" w:color="auto" w:sz="4" w:space="0"/>
              <w:left w:val="single" w:color="auto" w:sz="4" w:space="0"/>
              <w:bottom w:val="single" w:color="auto" w:sz="4" w:space="0"/>
              <w:right w:val="single" w:color="auto" w:sz="4" w:space="0"/>
            </w:tcBorders>
            <w:noWrap/>
            <w:vAlign w:val="center"/>
          </w:tcPr>
          <w:p w14:paraId="24A8E8EF">
            <w:pPr>
              <w:spacing w:line="276"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总监理工程师</w:t>
            </w:r>
          </w:p>
        </w:tc>
        <w:tc>
          <w:tcPr>
            <w:tcW w:w="1067" w:type="dxa"/>
            <w:tcBorders>
              <w:top w:val="single" w:color="auto" w:sz="4" w:space="0"/>
              <w:left w:val="single" w:color="auto" w:sz="4" w:space="0"/>
              <w:bottom w:val="single" w:color="auto" w:sz="4" w:space="0"/>
              <w:right w:val="single" w:color="auto" w:sz="4" w:space="0"/>
            </w:tcBorders>
            <w:noWrap/>
            <w:vAlign w:val="center"/>
          </w:tcPr>
          <w:p w14:paraId="7EFCE4B9">
            <w:pPr>
              <w:spacing w:line="276"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监理服务期限</w:t>
            </w:r>
          </w:p>
        </w:tc>
        <w:tc>
          <w:tcPr>
            <w:tcW w:w="1351" w:type="dxa"/>
            <w:tcBorders>
              <w:top w:val="single" w:color="auto" w:sz="4" w:space="0"/>
              <w:left w:val="single" w:color="auto" w:sz="4" w:space="0"/>
              <w:bottom w:val="single" w:color="auto" w:sz="4" w:space="0"/>
              <w:right w:val="single" w:color="auto" w:sz="4" w:space="0"/>
            </w:tcBorders>
            <w:noWrap/>
            <w:vAlign w:val="center"/>
          </w:tcPr>
          <w:p w14:paraId="46DF8D7C">
            <w:pPr>
              <w:spacing w:line="276"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投标文件递交情况</w:t>
            </w:r>
          </w:p>
        </w:tc>
        <w:tc>
          <w:tcPr>
            <w:tcW w:w="1351" w:type="dxa"/>
            <w:tcBorders>
              <w:top w:val="single" w:color="auto" w:sz="4" w:space="0"/>
              <w:left w:val="single" w:color="auto" w:sz="4" w:space="0"/>
              <w:bottom w:val="single" w:color="auto" w:sz="4" w:space="0"/>
              <w:right w:val="single" w:color="auto" w:sz="4" w:space="0"/>
            </w:tcBorders>
            <w:noWrap/>
            <w:vAlign w:val="center"/>
          </w:tcPr>
          <w:p w14:paraId="0943A6B1">
            <w:pPr>
              <w:spacing w:line="276"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投标文件解密情况</w:t>
            </w:r>
          </w:p>
        </w:tc>
        <w:tc>
          <w:tcPr>
            <w:tcW w:w="500" w:type="dxa"/>
            <w:tcBorders>
              <w:top w:val="single" w:color="auto" w:sz="4" w:space="0"/>
              <w:left w:val="single" w:color="auto" w:sz="4" w:space="0"/>
              <w:bottom w:val="single" w:color="auto" w:sz="4" w:space="0"/>
              <w:right w:val="single" w:color="auto" w:sz="4" w:space="0"/>
            </w:tcBorders>
            <w:noWrap/>
            <w:vAlign w:val="center"/>
          </w:tcPr>
          <w:p w14:paraId="035E8336">
            <w:pPr>
              <w:spacing w:line="276"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c>
          <w:tcPr>
            <w:tcW w:w="783" w:type="dxa"/>
            <w:tcBorders>
              <w:top w:val="single" w:color="auto" w:sz="4" w:space="0"/>
              <w:left w:val="single" w:color="auto" w:sz="4" w:space="0"/>
              <w:bottom w:val="single" w:color="auto" w:sz="4" w:space="0"/>
              <w:right w:val="single" w:color="auto" w:sz="4" w:space="0"/>
            </w:tcBorders>
            <w:noWrap/>
            <w:vAlign w:val="center"/>
          </w:tcPr>
          <w:p w14:paraId="5BDC56DA">
            <w:pPr>
              <w:spacing w:line="276"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w:t>
            </w:r>
          </w:p>
          <w:p w14:paraId="2EFCD7CA">
            <w:pPr>
              <w:spacing w:line="276"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代表签名</w:t>
            </w:r>
          </w:p>
        </w:tc>
      </w:tr>
      <w:tr w14:paraId="0419A947">
        <w:tblPrEx>
          <w:tblCellMar>
            <w:top w:w="0" w:type="dxa"/>
            <w:left w:w="108" w:type="dxa"/>
            <w:bottom w:w="0" w:type="dxa"/>
            <w:right w:w="108" w:type="dxa"/>
          </w:tblCellMar>
        </w:tblPrEx>
        <w:tc>
          <w:tcPr>
            <w:tcW w:w="499" w:type="dxa"/>
            <w:tcBorders>
              <w:top w:val="single" w:color="auto" w:sz="4" w:space="0"/>
              <w:left w:val="single" w:color="auto" w:sz="4" w:space="0"/>
              <w:bottom w:val="single" w:color="auto" w:sz="4" w:space="0"/>
              <w:right w:val="single" w:color="auto" w:sz="4" w:space="0"/>
            </w:tcBorders>
            <w:noWrap/>
            <w:vAlign w:val="center"/>
          </w:tcPr>
          <w:p w14:paraId="592EE7A7">
            <w:pPr>
              <w:spacing w:line="500" w:lineRule="exact"/>
              <w:jc w:val="center"/>
              <w:rPr>
                <w:rFonts w:ascii="宋体" w:hAnsi="宋体"/>
                <w:color w:val="000000" w:themeColor="text1"/>
                <w14:textFill>
                  <w14:solidFill>
                    <w14:schemeClr w14:val="tx1"/>
                  </w14:solidFill>
                </w14:textFill>
              </w:rPr>
            </w:pPr>
          </w:p>
        </w:tc>
        <w:tc>
          <w:tcPr>
            <w:tcW w:w="642" w:type="dxa"/>
            <w:tcBorders>
              <w:top w:val="single" w:color="auto" w:sz="4" w:space="0"/>
              <w:left w:val="single" w:color="auto" w:sz="4" w:space="0"/>
              <w:bottom w:val="single" w:color="auto" w:sz="4" w:space="0"/>
              <w:right w:val="single" w:color="auto" w:sz="4" w:space="0"/>
            </w:tcBorders>
            <w:noWrap/>
            <w:vAlign w:val="center"/>
          </w:tcPr>
          <w:p w14:paraId="7779DAF0">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18D13143">
            <w:pPr>
              <w:spacing w:line="5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2C5B856C">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4E1A4EE9">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62520FD8">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0136AB16">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294E27C3">
            <w:pPr>
              <w:spacing w:line="500" w:lineRule="exact"/>
              <w:jc w:val="center"/>
              <w:rPr>
                <w:rFonts w:ascii="宋体" w:hAnsi="宋体"/>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noWrap/>
            <w:vAlign w:val="center"/>
          </w:tcPr>
          <w:p w14:paraId="3658233B">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6E4C6709">
            <w:pPr>
              <w:spacing w:line="500" w:lineRule="exact"/>
              <w:jc w:val="center"/>
              <w:rPr>
                <w:rFonts w:ascii="宋体" w:hAnsi="宋体"/>
                <w:color w:val="000000" w:themeColor="text1"/>
                <w14:textFill>
                  <w14:solidFill>
                    <w14:schemeClr w14:val="tx1"/>
                  </w14:solidFill>
                </w14:textFill>
              </w:rPr>
            </w:pPr>
          </w:p>
        </w:tc>
      </w:tr>
      <w:tr w14:paraId="0BC2E5E0">
        <w:tblPrEx>
          <w:tblCellMar>
            <w:top w:w="0" w:type="dxa"/>
            <w:left w:w="108" w:type="dxa"/>
            <w:bottom w:w="0" w:type="dxa"/>
            <w:right w:w="108" w:type="dxa"/>
          </w:tblCellMar>
        </w:tblPrEx>
        <w:tc>
          <w:tcPr>
            <w:tcW w:w="499" w:type="dxa"/>
            <w:tcBorders>
              <w:top w:val="single" w:color="auto" w:sz="4" w:space="0"/>
              <w:left w:val="single" w:color="auto" w:sz="4" w:space="0"/>
              <w:bottom w:val="single" w:color="auto" w:sz="4" w:space="0"/>
              <w:right w:val="single" w:color="auto" w:sz="4" w:space="0"/>
            </w:tcBorders>
            <w:noWrap/>
            <w:vAlign w:val="center"/>
          </w:tcPr>
          <w:p w14:paraId="677FB692">
            <w:pPr>
              <w:spacing w:line="500" w:lineRule="exact"/>
              <w:jc w:val="center"/>
              <w:rPr>
                <w:rFonts w:ascii="宋体" w:hAnsi="宋体"/>
                <w:color w:val="000000" w:themeColor="text1"/>
                <w14:textFill>
                  <w14:solidFill>
                    <w14:schemeClr w14:val="tx1"/>
                  </w14:solidFill>
                </w14:textFill>
              </w:rPr>
            </w:pPr>
          </w:p>
        </w:tc>
        <w:tc>
          <w:tcPr>
            <w:tcW w:w="642" w:type="dxa"/>
            <w:tcBorders>
              <w:top w:val="single" w:color="auto" w:sz="4" w:space="0"/>
              <w:left w:val="single" w:color="auto" w:sz="4" w:space="0"/>
              <w:bottom w:val="single" w:color="auto" w:sz="4" w:space="0"/>
              <w:right w:val="single" w:color="auto" w:sz="4" w:space="0"/>
            </w:tcBorders>
            <w:noWrap/>
            <w:vAlign w:val="center"/>
          </w:tcPr>
          <w:p w14:paraId="298BFE92">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7AB1E05B">
            <w:pPr>
              <w:spacing w:line="5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14F9018A">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2FBCD5FD">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7A6A0FFE">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51F46F3F">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295C93FD">
            <w:pPr>
              <w:spacing w:line="500" w:lineRule="exact"/>
              <w:jc w:val="center"/>
              <w:rPr>
                <w:rFonts w:ascii="宋体" w:hAnsi="宋体"/>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noWrap/>
            <w:vAlign w:val="center"/>
          </w:tcPr>
          <w:p w14:paraId="5FA60B0E">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0002F022">
            <w:pPr>
              <w:spacing w:line="500" w:lineRule="exact"/>
              <w:jc w:val="center"/>
              <w:rPr>
                <w:rFonts w:ascii="宋体" w:hAnsi="宋体"/>
                <w:color w:val="000000" w:themeColor="text1"/>
                <w14:textFill>
                  <w14:solidFill>
                    <w14:schemeClr w14:val="tx1"/>
                  </w14:solidFill>
                </w14:textFill>
              </w:rPr>
            </w:pPr>
          </w:p>
        </w:tc>
      </w:tr>
      <w:tr w14:paraId="3D541C99">
        <w:tblPrEx>
          <w:tblCellMar>
            <w:top w:w="0" w:type="dxa"/>
            <w:left w:w="108" w:type="dxa"/>
            <w:bottom w:w="0" w:type="dxa"/>
            <w:right w:w="108" w:type="dxa"/>
          </w:tblCellMar>
        </w:tblPrEx>
        <w:tc>
          <w:tcPr>
            <w:tcW w:w="499" w:type="dxa"/>
            <w:tcBorders>
              <w:top w:val="single" w:color="auto" w:sz="4" w:space="0"/>
              <w:left w:val="single" w:color="auto" w:sz="4" w:space="0"/>
              <w:bottom w:val="single" w:color="auto" w:sz="4" w:space="0"/>
              <w:right w:val="single" w:color="auto" w:sz="4" w:space="0"/>
            </w:tcBorders>
            <w:noWrap/>
            <w:vAlign w:val="center"/>
          </w:tcPr>
          <w:p w14:paraId="4EF98B95">
            <w:pPr>
              <w:spacing w:line="500" w:lineRule="exact"/>
              <w:jc w:val="center"/>
              <w:rPr>
                <w:rFonts w:ascii="宋体" w:hAnsi="宋体"/>
                <w:color w:val="000000" w:themeColor="text1"/>
                <w14:textFill>
                  <w14:solidFill>
                    <w14:schemeClr w14:val="tx1"/>
                  </w14:solidFill>
                </w14:textFill>
              </w:rPr>
            </w:pPr>
          </w:p>
        </w:tc>
        <w:tc>
          <w:tcPr>
            <w:tcW w:w="642" w:type="dxa"/>
            <w:tcBorders>
              <w:top w:val="single" w:color="auto" w:sz="4" w:space="0"/>
              <w:left w:val="single" w:color="auto" w:sz="4" w:space="0"/>
              <w:bottom w:val="single" w:color="auto" w:sz="4" w:space="0"/>
              <w:right w:val="single" w:color="auto" w:sz="4" w:space="0"/>
            </w:tcBorders>
            <w:noWrap/>
            <w:vAlign w:val="center"/>
          </w:tcPr>
          <w:p w14:paraId="566CA632">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2130AF72">
            <w:pPr>
              <w:spacing w:line="5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63C775BD">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75FCBEE1">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7C33BB2A">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67A03D28">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09570DF6">
            <w:pPr>
              <w:spacing w:line="500" w:lineRule="exact"/>
              <w:jc w:val="center"/>
              <w:rPr>
                <w:rFonts w:ascii="宋体" w:hAnsi="宋体"/>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noWrap/>
            <w:vAlign w:val="center"/>
          </w:tcPr>
          <w:p w14:paraId="6BBF5574">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263E4119">
            <w:pPr>
              <w:spacing w:line="500" w:lineRule="exact"/>
              <w:jc w:val="center"/>
              <w:rPr>
                <w:rFonts w:ascii="宋体" w:hAnsi="宋体"/>
                <w:color w:val="000000" w:themeColor="text1"/>
                <w14:textFill>
                  <w14:solidFill>
                    <w14:schemeClr w14:val="tx1"/>
                  </w14:solidFill>
                </w14:textFill>
              </w:rPr>
            </w:pPr>
          </w:p>
        </w:tc>
      </w:tr>
      <w:tr w14:paraId="1A781929">
        <w:tblPrEx>
          <w:tblCellMar>
            <w:top w:w="0" w:type="dxa"/>
            <w:left w:w="108" w:type="dxa"/>
            <w:bottom w:w="0" w:type="dxa"/>
            <w:right w:w="108" w:type="dxa"/>
          </w:tblCellMar>
        </w:tblPrEx>
        <w:tc>
          <w:tcPr>
            <w:tcW w:w="499" w:type="dxa"/>
            <w:tcBorders>
              <w:top w:val="single" w:color="auto" w:sz="4" w:space="0"/>
              <w:left w:val="single" w:color="auto" w:sz="4" w:space="0"/>
              <w:bottom w:val="single" w:color="auto" w:sz="4" w:space="0"/>
              <w:right w:val="single" w:color="auto" w:sz="4" w:space="0"/>
            </w:tcBorders>
            <w:noWrap/>
            <w:vAlign w:val="center"/>
          </w:tcPr>
          <w:p w14:paraId="5ED9DC1E">
            <w:pPr>
              <w:spacing w:line="500" w:lineRule="exact"/>
              <w:jc w:val="center"/>
              <w:rPr>
                <w:rFonts w:ascii="宋体" w:hAnsi="宋体"/>
                <w:color w:val="000000" w:themeColor="text1"/>
                <w14:textFill>
                  <w14:solidFill>
                    <w14:schemeClr w14:val="tx1"/>
                  </w14:solidFill>
                </w14:textFill>
              </w:rPr>
            </w:pPr>
          </w:p>
        </w:tc>
        <w:tc>
          <w:tcPr>
            <w:tcW w:w="642" w:type="dxa"/>
            <w:tcBorders>
              <w:top w:val="single" w:color="auto" w:sz="4" w:space="0"/>
              <w:left w:val="single" w:color="auto" w:sz="4" w:space="0"/>
              <w:bottom w:val="single" w:color="auto" w:sz="4" w:space="0"/>
              <w:right w:val="single" w:color="auto" w:sz="4" w:space="0"/>
            </w:tcBorders>
            <w:noWrap/>
            <w:vAlign w:val="center"/>
          </w:tcPr>
          <w:p w14:paraId="66DE5020">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79B4C4AC">
            <w:pPr>
              <w:spacing w:line="5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26E9EDA7">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774EDA2F">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271537F5">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741087A5">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3930B662">
            <w:pPr>
              <w:spacing w:line="500" w:lineRule="exact"/>
              <w:jc w:val="center"/>
              <w:rPr>
                <w:rFonts w:ascii="宋体" w:hAnsi="宋体"/>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noWrap/>
            <w:vAlign w:val="center"/>
          </w:tcPr>
          <w:p w14:paraId="1CD1A7BE">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321CEB35">
            <w:pPr>
              <w:spacing w:line="500" w:lineRule="exact"/>
              <w:jc w:val="center"/>
              <w:rPr>
                <w:rFonts w:ascii="宋体" w:hAnsi="宋体"/>
                <w:color w:val="000000" w:themeColor="text1"/>
                <w14:textFill>
                  <w14:solidFill>
                    <w14:schemeClr w14:val="tx1"/>
                  </w14:solidFill>
                </w14:textFill>
              </w:rPr>
            </w:pPr>
          </w:p>
        </w:tc>
      </w:tr>
      <w:tr w14:paraId="146CE71F">
        <w:tblPrEx>
          <w:tblCellMar>
            <w:top w:w="0" w:type="dxa"/>
            <w:left w:w="108" w:type="dxa"/>
            <w:bottom w:w="0" w:type="dxa"/>
            <w:right w:w="108" w:type="dxa"/>
          </w:tblCellMar>
        </w:tblPrEx>
        <w:tc>
          <w:tcPr>
            <w:tcW w:w="499" w:type="dxa"/>
            <w:tcBorders>
              <w:top w:val="single" w:color="auto" w:sz="4" w:space="0"/>
              <w:left w:val="single" w:color="auto" w:sz="4" w:space="0"/>
              <w:bottom w:val="single" w:color="auto" w:sz="4" w:space="0"/>
              <w:right w:val="single" w:color="auto" w:sz="4" w:space="0"/>
            </w:tcBorders>
            <w:noWrap/>
            <w:vAlign w:val="center"/>
          </w:tcPr>
          <w:p w14:paraId="0C6A099F">
            <w:pPr>
              <w:spacing w:line="500" w:lineRule="exact"/>
              <w:jc w:val="center"/>
              <w:rPr>
                <w:rFonts w:ascii="宋体" w:hAnsi="宋体"/>
                <w:color w:val="000000" w:themeColor="text1"/>
                <w14:textFill>
                  <w14:solidFill>
                    <w14:schemeClr w14:val="tx1"/>
                  </w14:solidFill>
                </w14:textFill>
              </w:rPr>
            </w:pPr>
          </w:p>
        </w:tc>
        <w:tc>
          <w:tcPr>
            <w:tcW w:w="642" w:type="dxa"/>
            <w:tcBorders>
              <w:top w:val="single" w:color="auto" w:sz="4" w:space="0"/>
              <w:left w:val="single" w:color="auto" w:sz="4" w:space="0"/>
              <w:bottom w:val="single" w:color="auto" w:sz="4" w:space="0"/>
              <w:right w:val="single" w:color="auto" w:sz="4" w:space="0"/>
            </w:tcBorders>
            <w:noWrap/>
            <w:vAlign w:val="center"/>
          </w:tcPr>
          <w:p w14:paraId="5AFFD66D">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23D2003F">
            <w:pPr>
              <w:spacing w:line="5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4A6032E6">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678D7C5E">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39E901AF">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3AF260C1">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7F769F35">
            <w:pPr>
              <w:spacing w:line="500" w:lineRule="exact"/>
              <w:jc w:val="center"/>
              <w:rPr>
                <w:rFonts w:ascii="宋体" w:hAnsi="宋体"/>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noWrap/>
            <w:vAlign w:val="center"/>
          </w:tcPr>
          <w:p w14:paraId="04C69EF5">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52CCC34B">
            <w:pPr>
              <w:spacing w:line="500" w:lineRule="exact"/>
              <w:jc w:val="center"/>
              <w:rPr>
                <w:rFonts w:ascii="宋体" w:hAnsi="宋体"/>
                <w:color w:val="000000" w:themeColor="text1"/>
                <w14:textFill>
                  <w14:solidFill>
                    <w14:schemeClr w14:val="tx1"/>
                  </w14:solidFill>
                </w14:textFill>
              </w:rPr>
            </w:pPr>
          </w:p>
        </w:tc>
      </w:tr>
      <w:tr w14:paraId="295E87F5">
        <w:tblPrEx>
          <w:tblCellMar>
            <w:top w:w="0" w:type="dxa"/>
            <w:left w:w="108" w:type="dxa"/>
            <w:bottom w:w="0" w:type="dxa"/>
            <w:right w:w="108" w:type="dxa"/>
          </w:tblCellMar>
        </w:tblPrEx>
        <w:tc>
          <w:tcPr>
            <w:tcW w:w="499" w:type="dxa"/>
            <w:tcBorders>
              <w:top w:val="single" w:color="auto" w:sz="4" w:space="0"/>
              <w:left w:val="single" w:color="auto" w:sz="4" w:space="0"/>
              <w:bottom w:val="single" w:color="auto" w:sz="4" w:space="0"/>
              <w:right w:val="single" w:color="auto" w:sz="4" w:space="0"/>
            </w:tcBorders>
            <w:noWrap/>
            <w:vAlign w:val="center"/>
          </w:tcPr>
          <w:p w14:paraId="30EB3FB1">
            <w:pPr>
              <w:spacing w:line="500" w:lineRule="exact"/>
              <w:jc w:val="center"/>
              <w:rPr>
                <w:rFonts w:ascii="宋体" w:hAnsi="宋体"/>
                <w:color w:val="000000" w:themeColor="text1"/>
                <w14:textFill>
                  <w14:solidFill>
                    <w14:schemeClr w14:val="tx1"/>
                  </w14:solidFill>
                </w14:textFill>
              </w:rPr>
            </w:pPr>
          </w:p>
        </w:tc>
        <w:tc>
          <w:tcPr>
            <w:tcW w:w="642" w:type="dxa"/>
            <w:tcBorders>
              <w:top w:val="single" w:color="auto" w:sz="4" w:space="0"/>
              <w:left w:val="single" w:color="auto" w:sz="4" w:space="0"/>
              <w:bottom w:val="single" w:color="auto" w:sz="4" w:space="0"/>
              <w:right w:val="single" w:color="auto" w:sz="4" w:space="0"/>
            </w:tcBorders>
            <w:noWrap/>
            <w:vAlign w:val="center"/>
          </w:tcPr>
          <w:p w14:paraId="4BF74251">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67B7EF2C">
            <w:pPr>
              <w:spacing w:line="5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165F4B58">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60DA3912">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2ECC5A08">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70A6AD5C">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45559510">
            <w:pPr>
              <w:spacing w:line="500" w:lineRule="exact"/>
              <w:jc w:val="center"/>
              <w:rPr>
                <w:rFonts w:ascii="宋体" w:hAnsi="宋体"/>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noWrap/>
            <w:vAlign w:val="center"/>
          </w:tcPr>
          <w:p w14:paraId="7F445D5A">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7CBE3E07">
            <w:pPr>
              <w:spacing w:line="500" w:lineRule="exact"/>
              <w:jc w:val="center"/>
              <w:rPr>
                <w:rFonts w:ascii="宋体" w:hAnsi="宋体"/>
                <w:color w:val="000000" w:themeColor="text1"/>
                <w14:textFill>
                  <w14:solidFill>
                    <w14:schemeClr w14:val="tx1"/>
                  </w14:solidFill>
                </w14:textFill>
              </w:rPr>
            </w:pPr>
          </w:p>
        </w:tc>
      </w:tr>
      <w:tr w14:paraId="75E01D8D">
        <w:tblPrEx>
          <w:tblCellMar>
            <w:top w:w="0" w:type="dxa"/>
            <w:left w:w="108" w:type="dxa"/>
            <w:bottom w:w="0" w:type="dxa"/>
            <w:right w:w="108" w:type="dxa"/>
          </w:tblCellMar>
        </w:tblPrEx>
        <w:tc>
          <w:tcPr>
            <w:tcW w:w="499" w:type="dxa"/>
            <w:tcBorders>
              <w:top w:val="single" w:color="auto" w:sz="4" w:space="0"/>
              <w:left w:val="single" w:color="auto" w:sz="4" w:space="0"/>
              <w:bottom w:val="single" w:color="auto" w:sz="4" w:space="0"/>
              <w:right w:val="single" w:color="auto" w:sz="4" w:space="0"/>
            </w:tcBorders>
            <w:noWrap/>
            <w:vAlign w:val="center"/>
          </w:tcPr>
          <w:p w14:paraId="2A928DC2">
            <w:pPr>
              <w:spacing w:line="500" w:lineRule="exact"/>
              <w:jc w:val="center"/>
              <w:rPr>
                <w:rFonts w:ascii="宋体" w:hAnsi="宋体"/>
                <w:color w:val="000000" w:themeColor="text1"/>
                <w14:textFill>
                  <w14:solidFill>
                    <w14:schemeClr w14:val="tx1"/>
                  </w14:solidFill>
                </w14:textFill>
              </w:rPr>
            </w:pPr>
          </w:p>
        </w:tc>
        <w:tc>
          <w:tcPr>
            <w:tcW w:w="642" w:type="dxa"/>
            <w:tcBorders>
              <w:top w:val="single" w:color="auto" w:sz="4" w:space="0"/>
              <w:left w:val="single" w:color="auto" w:sz="4" w:space="0"/>
              <w:bottom w:val="single" w:color="auto" w:sz="4" w:space="0"/>
              <w:right w:val="single" w:color="auto" w:sz="4" w:space="0"/>
            </w:tcBorders>
            <w:noWrap/>
            <w:vAlign w:val="center"/>
          </w:tcPr>
          <w:p w14:paraId="53551774">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02719E07">
            <w:pPr>
              <w:spacing w:line="5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5BC820B3">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279B48AD">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0B3FD092">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2A311B9A">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38FC9D04">
            <w:pPr>
              <w:spacing w:line="500" w:lineRule="exact"/>
              <w:jc w:val="center"/>
              <w:rPr>
                <w:rFonts w:ascii="宋体" w:hAnsi="宋体"/>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noWrap/>
            <w:vAlign w:val="center"/>
          </w:tcPr>
          <w:p w14:paraId="4E207386">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4DFCCA0C">
            <w:pPr>
              <w:spacing w:line="500" w:lineRule="exact"/>
              <w:jc w:val="center"/>
              <w:rPr>
                <w:rFonts w:ascii="宋体" w:hAnsi="宋体"/>
                <w:color w:val="000000" w:themeColor="text1"/>
                <w14:textFill>
                  <w14:solidFill>
                    <w14:schemeClr w14:val="tx1"/>
                  </w14:solidFill>
                </w14:textFill>
              </w:rPr>
            </w:pPr>
          </w:p>
        </w:tc>
      </w:tr>
      <w:tr w14:paraId="3005EFC6">
        <w:tblPrEx>
          <w:tblCellMar>
            <w:top w:w="0" w:type="dxa"/>
            <w:left w:w="108" w:type="dxa"/>
            <w:bottom w:w="0" w:type="dxa"/>
            <w:right w:w="108" w:type="dxa"/>
          </w:tblCellMar>
        </w:tblPrEx>
        <w:tc>
          <w:tcPr>
            <w:tcW w:w="499" w:type="dxa"/>
            <w:tcBorders>
              <w:top w:val="single" w:color="auto" w:sz="4" w:space="0"/>
              <w:left w:val="single" w:color="auto" w:sz="4" w:space="0"/>
              <w:bottom w:val="single" w:color="auto" w:sz="4" w:space="0"/>
              <w:right w:val="single" w:color="auto" w:sz="4" w:space="0"/>
            </w:tcBorders>
            <w:noWrap/>
            <w:vAlign w:val="center"/>
          </w:tcPr>
          <w:p w14:paraId="31DA9958">
            <w:pPr>
              <w:spacing w:line="500" w:lineRule="exact"/>
              <w:jc w:val="center"/>
              <w:rPr>
                <w:rFonts w:ascii="宋体" w:hAnsi="宋体"/>
                <w:color w:val="000000" w:themeColor="text1"/>
                <w14:textFill>
                  <w14:solidFill>
                    <w14:schemeClr w14:val="tx1"/>
                  </w14:solidFill>
                </w14:textFill>
              </w:rPr>
            </w:pPr>
          </w:p>
        </w:tc>
        <w:tc>
          <w:tcPr>
            <w:tcW w:w="642" w:type="dxa"/>
            <w:tcBorders>
              <w:top w:val="single" w:color="auto" w:sz="4" w:space="0"/>
              <w:left w:val="single" w:color="auto" w:sz="4" w:space="0"/>
              <w:bottom w:val="single" w:color="auto" w:sz="4" w:space="0"/>
              <w:right w:val="single" w:color="auto" w:sz="4" w:space="0"/>
            </w:tcBorders>
            <w:noWrap/>
            <w:vAlign w:val="center"/>
          </w:tcPr>
          <w:p w14:paraId="2A3986D5">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7BF66641">
            <w:pPr>
              <w:spacing w:line="5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6BDB364">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2697CCD6">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2899E87D">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3378C679">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3B62D93D">
            <w:pPr>
              <w:spacing w:line="500" w:lineRule="exact"/>
              <w:jc w:val="center"/>
              <w:rPr>
                <w:rFonts w:ascii="宋体" w:hAnsi="宋体"/>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noWrap/>
            <w:vAlign w:val="center"/>
          </w:tcPr>
          <w:p w14:paraId="5A34C55C">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35845036">
            <w:pPr>
              <w:spacing w:line="500" w:lineRule="exact"/>
              <w:jc w:val="center"/>
              <w:rPr>
                <w:rFonts w:ascii="宋体" w:hAnsi="宋体"/>
                <w:color w:val="000000" w:themeColor="text1"/>
                <w14:textFill>
                  <w14:solidFill>
                    <w14:schemeClr w14:val="tx1"/>
                  </w14:solidFill>
                </w14:textFill>
              </w:rPr>
            </w:pPr>
          </w:p>
        </w:tc>
      </w:tr>
      <w:tr w14:paraId="1FD25730">
        <w:tblPrEx>
          <w:tblCellMar>
            <w:top w:w="0" w:type="dxa"/>
            <w:left w:w="108" w:type="dxa"/>
            <w:bottom w:w="0" w:type="dxa"/>
            <w:right w:w="108" w:type="dxa"/>
          </w:tblCellMar>
        </w:tblPrEx>
        <w:trPr>
          <w:trHeight w:val="502" w:hRule="atLeast"/>
        </w:trPr>
        <w:tc>
          <w:tcPr>
            <w:tcW w:w="499" w:type="dxa"/>
            <w:tcBorders>
              <w:top w:val="single" w:color="auto" w:sz="4" w:space="0"/>
              <w:left w:val="single" w:color="auto" w:sz="4" w:space="0"/>
              <w:bottom w:val="single" w:color="auto" w:sz="4" w:space="0"/>
              <w:right w:val="single" w:color="auto" w:sz="4" w:space="0"/>
            </w:tcBorders>
            <w:noWrap/>
            <w:vAlign w:val="center"/>
          </w:tcPr>
          <w:p w14:paraId="6ECC55B2">
            <w:pPr>
              <w:spacing w:line="500" w:lineRule="exact"/>
              <w:jc w:val="center"/>
              <w:rPr>
                <w:rFonts w:ascii="宋体" w:hAnsi="宋体"/>
                <w:color w:val="000000" w:themeColor="text1"/>
                <w14:textFill>
                  <w14:solidFill>
                    <w14:schemeClr w14:val="tx1"/>
                  </w14:solidFill>
                </w14:textFill>
              </w:rPr>
            </w:pPr>
          </w:p>
        </w:tc>
        <w:tc>
          <w:tcPr>
            <w:tcW w:w="642" w:type="dxa"/>
            <w:tcBorders>
              <w:top w:val="single" w:color="auto" w:sz="4" w:space="0"/>
              <w:left w:val="single" w:color="auto" w:sz="4" w:space="0"/>
              <w:bottom w:val="single" w:color="auto" w:sz="4" w:space="0"/>
              <w:right w:val="single" w:color="auto" w:sz="4" w:space="0"/>
            </w:tcBorders>
            <w:noWrap/>
            <w:vAlign w:val="center"/>
          </w:tcPr>
          <w:p w14:paraId="3000748B">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1C83BB1C">
            <w:pPr>
              <w:spacing w:line="5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04ADE702">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1E83F64B">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478C686C">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708ED484">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327BD1A0">
            <w:pPr>
              <w:spacing w:line="500" w:lineRule="exact"/>
              <w:jc w:val="center"/>
              <w:rPr>
                <w:rFonts w:ascii="宋体" w:hAnsi="宋体"/>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noWrap/>
            <w:vAlign w:val="center"/>
          </w:tcPr>
          <w:p w14:paraId="5325C2C3">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6AAD924C">
            <w:pPr>
              <w:spacing w:line="500" w:lineRule="exact"/>
              <w:jc w:val="center"/>
              <w:rPr>
                <w:rFonts w:ascii="宋体" w:hAnsi="宋体"/>
                <w:color w:val="000000" w:themeColor="text1"/>
                <w14:textFill>
                  <w14:solidFill>
                    <w14:schemeClr w14:val="tx1"/>
                  </w14:solidFill>
                </w14:textFill>
              </w:rPr>
            </w:pPr>
          </w:p>
        </w:tc>
      </w:tr>
      <w:tr w14:paraId="3D6CB499">
        <w:tblPrEx>
          <w:tblCellMar>
            <w:top w:w="0" w:type="dxa"/>
            <w:left w:w="108" w:type="dxa"/>
            <w:bottom w:w="0" w:type="dxa"/>
            <w:right w:w="108" w:type="dxa"/>
          </w:tblCellMar>
        </w:tblPrEx>
        <w:tc>
          <w:tcPr>
            <w:tcW w:w="499" w:type="dxa"/>
            <w:tcBorders>
              <w:top w:val="single" w:color="auto" w:sz="4" w:space="0"/>
              <w:left w:val="single" w:color="auto" w:sz="4" w:space="0"/>
              <w:bottom w:val="single" w:color="auto" w:sz="4" w:space="0"/>
              <w:right w:val="single" w:color="auto" w:sz="4" w:space="0"/>
            </w:tcBorders>
            <w:noWrap/>
            <w:vAlign w:val="center"/>
          </w:tcPr>
          <w:p w14:paraId="63677D4A">
            <w:pPr>
              <w:spacing w:line="500" w:lineRule="exact"/>
              <w:jc w:val="center"/>
              <w:rPr>
                <w:rFonts w:ascii="宋体" w:hAnsi="宋体"/>
                <w:color w:val="000000" w:themeColor="text1"/>
                <w14:textFill>
                  <w14:solidFill>
                    <w14:schemeClr w14:val="tx1"/>
                  </w14:solidFill>
                </w14:textFill>
              </w:rPr>
            </w:pPr>
          </w:p>
        </w:tc>
        <w:tc>
          <w:tcPr>
            <w:tcW w:w="642" w:type="dxa"/>
            <w:tcBorders>
              <w:top w:val="single" w:color="auto" w:sz="4" w:space="0"/>
              <w:left w:val="single" w:color="auto" w:sz="4" w:space="0"/>
              <w:bottom w:val="single" w:color="auto" w:sz="4" w:space="0"/>
              <w:right w:val="single" w:color="auto" w:sz="4" w:space="0"/>
            </w:tcBorders>
            <w:noWrap/>
            <w:vAlign w:val="center"/>
          </w:tcPr>
          <w:p w14:paraId="143E6A36">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397D436E">
            <w:pPr>
              <w:spacing w:line="5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15909414">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668D70D2">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5B2E12E9">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119860B2">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1DC23D4C">
            <w:pPr>
              <w:spacing w:line="500" w:lineRule="exact"/>
              <w:jc w:val="center"/>
              <w:rPr>
                <w:rFonts w:ascii="宋体" w:hAnsi="宋体"/>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noWrap/>
            <w:vAlign w:val="center"/>
          </w:tcPr>
          <w:p w14:paraId="3FB63BAA">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4D1BC54B">
            <w:pPr>
              <w:spacing w:line="500" w:lineRule="exact"/>
              <w:jc w:val="center"/>
              <w:rPr>
                <w:rFonts w:ascii="宋体" w:hAnsi="宋体"/>
                <w:color w:val="000000" w:themeColor="text1"/>
                <w14:textFill>
                  <w14:solidFill>
                    <w14:schemeClr w14:val="tx1"/>
                  </w14:solidFill>
                </w14:textFill>
              </w:rPr>
            </w:pPr>
          </w:p>
        </w:tc>
      </w:tr>
      <w:tr w14:paraId="14A9D950">
        <w:tblPrEx>
          <w:tblCellMar>
            <w:top w:w="0" w:type="dxa"/>
            <w:left w:w="108" w:type="dxa"/>
            <w:bottom w:w="0" w:type="dxa"/>
            <w:right w:w="108" w:type="dxa"/>
          </w:tblCellMar>
        </w:tblPrEx>
        <w:tc>
          <w:tcPr>
            <w:tcW w:w="499" w:type="dxa"/>
            <w:tcBorders>
              <w:top w:val="single" w:color="auto" w:sz="4" w:space="0"/>
              <w:left w:val="single" w:color="auto" w:sz="4" w:space="0"/>
              <w:bottom w:val="single" w:color="auto" w:sz="4" w:space="0"/>
              <w:right w:val="single" w:color="auto" w:sz="4" w:space="0"/>
            </w:tcBorders>
            <w:noWrap/>
            <w:vAlign w:val="center"/>
          </w:tcPr>
          <w:p w14:paraId="0E593012">
            <w:pPr>
              <w:spacing w:line="500" w:lineRule="exact"/>
              <w:jc w:val="center"/>
              <w:rPr>
                <w:rFonts w:ascii="宋体" w:hAnsi="宋体"/>
                <w:color w:val="000000" w:themeColor="text1"/>
                <w14:textFill>
                  <w14:solidFill>
                    <w14:schemeClr w14:val="tx1"/>
                  </w14:solidFill>
                </w14:textFill>
              </w:rPr>
            </w:pPr>
          </w:p>
        </w:tc>
        <w:tc>
          <w:tcPr>
            <w:tcW w:w="642" w:type="dxa"/>
            <w:tcBorders>
              <w:top w:val="single" w:color="auto" w:sz="4" w:space="0"/>
              <w:left w:val="single" w:color="auto" w:sz="4" w:space="0"/>
              <w:bottom w:val="single" w:color="auto" w:sz="4" w:space="0"/>
              <w:right w:val="single" w:color="auto" w:sz="4" w:space="0"/>
            </w:tcBorders>
            <w:noWrap/>
            <w:vAlign w:val="center"/>
          </w:tcPr>
          <w:p w14:paraId="0E95D7E4">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258805E5">
            <w:pPr>
              <w:spacing w:line="5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6E56E147">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160D5EC0">
            <w:pPr>
              <w:spacing w:line="500" w:lineRule="exact"/>
              <w:jc w:val="center"/>
              <w:rPr>
                <w:rFonts w:ascii="宋体" w:hAnsi="宋体"/>
                <w:color w:val="000000" w:themeColor="text1"/>
                <w14:textFill>
                  <w14:solidFill>
                    <w14:schemeClr w14:val="tx1"/>
                  </w14:solidFill>
                </w14:textFill>
              </w:rPr>
            </w:pPr>
          </w:p>
        </w:tc>
        <w:tc>
          <w:tcPr>
            <w:tcW w:w="1067" w:type="dxa"/>
            <w:tcBorders>
              <w:top w:val="single" w:color="auto" w:sz="4" w:space="0"/>
              <w:left w:val="single" w:color="auto" w:sz="4" w:space="0"/>
              <w:bottom w:val="single" w:color="auto" w:sz="4" w:space="0"/>
              <w:right w:val="single" w:color="auto" w:sz="4" w:space="0"/>
            </w:tcBorders>
            <w:noWrap/>
            <w:vAlign w:val="center"/>
          </w:tcPr>
          <w:p w14:paraId="19F8AC44">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73F56F3D">
            <w:pPr>
              <w:spacing w:line="500" w:lineRule="exact"/>
              <w:jc w:val="center"/>
              <w:rPr>
                <w:rFonts w:ascii="宋体" w:hAnsi="宋体"/>
                <w:color w:val="000000" w:themeColor="text1"/>
                <w14:textFill>
                  <w14:solidFill>
                    <w14:schemeClr w14:val="tx1"/>
                  </w14:solidFill>
                </w14:textFill>
              </w:rPr>
            </w:pPr>
          </w:p>
        </w:tc>
        <w:tc>
          <w:tcPr>
            <w:tcW w:w="1351" w:type="dxa"/>
            <w:tcBorders>
              <w:top w:val="single" w:color="auto" w:sz="4" w:space="0"/>
              <w:left w:val="single" w:color="auto" w:sz="4" w:space="0"/>
              <w:bottom w:val="single" w:color="auto" w:sz="4" w:space="0"/>
              <w:right w:val="single" w:color="auto" w:sz="4" w:space="0"/>
            </w:tcBorders>
            <w:noWrap/>
            <w:vAlign w:val="center"/>
          </w:tcPr>
          <w:p w14:paraId="29B95C64">
            <w:pPr>
              <w:spacing w:line="500" w:lineRule="exact"/>
              <w:jc w:val="center"/>
              <w:rPr>
                <w:rFonts w:ascii="宋体" w:hAnsi="宋体"/>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noWrap/>
            <w:vAlign w:val="center"/>
          </w:tcPr>
          <w:p w14:paraId="471A2B17">
            <w:pPr>
              <w:spacing w:line="500" w:lineRule="exact"/>
              <w:jc w:val="center"/>
              <w:rPr>
                <w:rFonts w:ascii="宋体" w:hAnsi="宋体"/>
                <w:color w:val="000000" w:themeColor="text1"/>
                <w14:textFill>
                  <w14:solidFill>
                    <w14:schemeClr w14:val="tx1"/>
                  </w14:solidFill>
                </w14:textFill>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51F3E520">
            <w:pPr>
              <w:spacing w:line="500" w:lineRule="exact"/>
              <w:jc w:val="center"/>
              <w:rPr>
                <w:rFonts w:ascii="宋体" w:hAnsi="宋体"/>
                <w:color w:val="000000" w:themeColor="text1"/>
                <w14:textFill>
                  <w14:solidFill>
                    <w14:schemeClr w14:val="tx1"/>
                  </w14:solidFill>
                </w14:textFill>
              </w:rPr>
            </w:pPr>
          </w:p>
        </w:tc>
      </w:tr>
      <w:tr w14:paraId="26C08328">
        <w:tblPrEx>
          <w:tblCellMar>
            <w:top w:w="0" w:type="dxa"/>
            <w:left w:w="108" w:type="dxa"/>
            <w:bottom w:w="0" w:type="dxa"/>
            <w:right w:w="108" w:type="dxa"/>
          </w:tblCellMar>
        </w:tblPrEx>
        <w:trPr>
          <w:gridAfter w:val="7"/>
          <w:wAfter w:w="7319" w:type="dxa"/>
        </w:trPr>
        <w:tc>
          <w:tcPr>
            <w:tcW w:w="1924" w:type="dxa"/>
            <w:gridSpan w:val="3"/>
            <w:tcBorders>
              <w:top w:val="single" w:color="auto" w:sz="4" w:space="0"/>
              <w:left w:val="single" w:color="auto" w:sz="4" w:space="0"/>
              <w:bottom w:val="single" w:color="auto" w:sz="4" w:space="0"/>
              <w:right w:val="single" w:color="auto" w:sz="4" w:space="0"/>
            </w:tcBorders>
            <w:noWrap/>
            <w:vAlign w:val="center"/>
          </w:tcPr>
          <w:p w14:paraId="53029FFD">
            <w:pPr>
              <w:spacing w:line="5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最高投标限价：</w:t>
            </w:r>
          </w:p>
        </w:tc>
      </w:tr>
    </w:tbl>
    <w:p w14:paraId="42744BA1">
      <w:pPr>
        <w:spacing w:line="440" w:lineRule="exact"/>
        <w:rPr>
          <w:rFonts w:ascii="宋体" w:hAnsi="宋体"/>
          <w:color w:val="000000" w:themeColor="text1"/>
          <w14:textFill>
            <w14:solidFill>
              <w14:schemeClr w14:val="tx1"/>
            </w14:solidFill>
          </w14:textFill>
        </w:rPr>
      </w:pPr>
    </w:p>
    <w:p w14:paraId="02863EE0">
      <w:pPr>
        <w:spacing w:line="62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招标人代表：</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记录人：</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t xml:space="preserve"> 监标人：</w:t>
      </w:r>
      <w:r>
        <w:rPr>
          <w:rFonts w:ascii="宋体" w:hAnsi="宋体"/>
          <w:color w:val="000000" w:themeColor="text1"/>
          <w:sz w:val="28"/>
          <w:szCs w:val="28"/>
          <w:u w:val="single"/>
          <w14:textFill>
            <w14:solidFill>
              <w14:schemeClr w14:val="tx1"/>
            </w14:solidFill>
          </w14:textFill>
        </w:rPr>
        <w:t xml:space="preserve">          </w:t>
      </w:r>
    </w:p>
    <w:p w14:paraId="7326D39D">
      <w:pPr>
        <w:wordWrap w:val="0"/>
        <w:spacing w:line="620" w:lineRule="exact"/>
        <w:jc w:val="righ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p>
    <w:p w14:paraId="33912FBD">
      <w:pPr>
        <w:rPr>
          <w:rFonts w:ascii="宋体" w:hAnsi="宋体"/>
          <w:color w:val="000000" w:themeColor="text1"/>
          <w14:textFill>
            <w14:solidFill>
              <w14:schemeClr w14:val="tx1"/>
            </w14:solidFill>
          </w14:textFill>
        </w:rPr>
      </w:pPr>
      <w:bookmarkStart w:id="318" w:name="_Toc529196577"/>
    </w:p>
    <w:p w14:paraId="63E1403F">
      <w:pPr>
        <w:rPr>
          <w:rFonts w:ascii="宋体" w:hAnsi="宋体"/>
          <w:color w:val="000000" w:themeColor="text1"/>
          <w14:textFill>
            <w14:solidFill>
              <w14:schemeClr w14:val="tx1"/>
            </w14:solidFill>
          </w14:textFill>
        </w:rPr>
      </w:pPr>
    </w:p>
    <w:p w14:paraId="536AA1E1">
      <w:pPr>
        <w:spacing w:after="240"/>
        <w:rPr>
          <w:rFonts w:ascii="宋体" w:hAnsi="宋体"/>
          <w:color w:val="000000" w:themeColor="text1"/>
          <w14:textFill>
            <w14:solidFill>
              <w14:schemeClr w14:val="tx1"/>
            </w14:solidFill>
          </w14:textFill>
        </w:rPr>
      </w:pPr>
      <w:r>
        <w:rPr>
          <w:rFonts w:ascii="宋体" w:hAnsi="宋体"/>
          <w:b/>
          <w:color w:val="000000" w:themeColor="text1"/>
          <w:sz w:val="28"/>
          <w:szCs w:val="20"/>
          <w14:textFill>
            <w14:solidFill>
              <w14:schemeClr w14:val="tx1"/>
            </w14:solidFill>
          </w14:textFill>
        </w:rPr>
        <w:br w:type="page"/>
      </w:r>
      <w:bookmarkEnd w:id="318"/>
    </w:p>
    <w:p w14:paraId="3CD10B48">
      <w:pPr>
        <w:pStyle w:val="5"/>
        <w:keepNext w:val="0"/>
        <w:keepLines w:val="0"/>
        <w:spacing w:line="240" w:lineRule="auto"/>
        <w:jc w:val="center"/>
        <w:rPr>
          <w:rFonts w:ascii="宋体" w:hAnsi="宋体"/>
          <w:color w:val="000000" w:themeColor="text1"/>
          <w14:textFill>
            <w14:solidFill>
              <w14:schemeClr w14:val="tx1"/>
            </w14:solidFill>
          </w14:textFill>
        </w:rPr>
      </w:pPr>
      <w:bookmarkStart w:id="319" w:name="_Toc171430678"/>
      <w:r>
        <w:rPr>
          <w:rFonts w:hint="eastAsia" w:ascii="宋体" w:hAnsi="宋体"/>
          <w:color w:val="000000" w:themeColor="text1"/>
          <w14:textFill>
            <w14:solidFill>
              <w14:schemeClr w14:val="tx1"/>
            </w14:solidFill>
          </w14:textFill>
        </w:rPr>
        <w:t>第三章</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评标办法（综合评估法）</w:t>
      </w:r>
      <w:bookmarkEnd w:id="319"/>
    </w:p>
    <w:p w14:paraId="3AAA9B21">
      <w:pPr>
        <w:pStyle w:val="7"/>
        <w:rPr>
          <w:rFonts w:ascii="宋体" w:hAnsi="宋体" w:cs="宋体"/>
          <w:color w:val="000000" w:themeColor="text1"/>
          <w14:textFill>
            <w14:solidFill>
              <w14:schemeClr w14:val="tx1"/>
            </w14:solidFill>
          </w14:textFill>
        </w:rPr>
      </w:pPr>
      <w:bookmarkStart w:id="320" w:name="_Toc11850344"/>
      <w:bookmarkStart w:id="321" w:name="_Toc8656911"/>
      <w:r>
        <w:rPr>
          <w:rFonts w:hint="eastAsia" w:ascii="宋体" w:hAnsi="宋体" w:cs="宋体"/>
          <w:color w:val="000000" w:themeColor="text1"/>
          <w14:textFill>
            <w14:solidFill>
              <w14:schemeClr w14:val="tx1"/>
            </w14:solidFill>
          </w14:textFill>
        </w:rPr>
        <w:t>评标办法前附表</w:t>
      </w:r>
    </w:p>
    <w:tbl>
      <w:tblPr>
        <w:tblStyle w:val="23"/>
        <w:tblW w:w="907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80"/>
        <w:gridCol w:w="9"/>
        <w:gridCol w:w="914"/>
        <w:gridCol w:w="586"/>
        <w:gridCol w:w="1515"/>
        <w:gridCol w:w="5371"/>
      </w:tblGrid>
      <w:tr w14:paraId="3C9F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1603" w:type="dxa"/>
            <w:gridSpan w:val="3"/>
            <w:shd w:val="clear" w:color="auto" w:fill="FFFFFF"/>
            <w:tcMar>
              <w:top w:w="0" w:type="dxa"/>
              <w:left w:w="108" w:type="dxa"/>
              <w:bottom w:w="0" w:type="dxa"/>
              <w:right w:w="108" w:type="dxa"/>
            </w:tcMar>
            <w:vAlign w:val="center"/>
          </w:tcPr>
          <w:p w14:paraId="3E0E0FE3">
            <w:pPr>
              <w:widowControl/>
              <w:spacing w:before="100" w:beforeAutospacing="1" w:after="100" w:afterAutospacing="1"/>
              <w:jc w:val="center"/>
              <w:rPr>
                <w:rFonts w:ascii="宋体" w:hAnsi="宋体" w:cs="楷体"/>
                <w:color w:val="000000" w:themeColor="text1"/>
                <w:kern w:val="0"/>
                <w:sz w:val="24"/>
                <w:szCs w:val="24"/>
                <w14:textFill>
                  <w14:solidFill>
                    <w14:schemeClr w14:val="tx1"/>
                  </w14:solidFill>
                </w14:textFill>
              </w:rPr>
            </w:pPr>
            <w:r>
              <w:rPr>
                <w:rFonts w:hint="eastAsia" w:ascii="宋体" w:hAnsi="宋体" w:cs="楷体"/>
                <w:b/>
                <w:bCs/>
                <w:color w:val="000000" w:themeColor="text1"/>
                <w:kern w:val="0"/>
                <w:sz w:val="24"/>
                <w:szCs w:val="24"/>
                <w14:textFill>
                  <w14:solidFill>
                    <w14:schemeClr w14:val="tx1"/>
                  </w14:solidFill>
                </w14:textFill>
              </w:rPr>
              <w:t>条款号</w:t>
            </w:r>
          </w:p>
        </w:tc>
        <w:tc>
          <w:tcPr>
            <w:tcW w:w="2101" w:type="dxa"/>
            <w:gridSpan w:val="2"/>
            <w:shd w:val="clear" w:color="auto" w:fill="FFFFFF"/>
            <w:tcMar>
              <w:top w:w="0" w:type="dxa"/>
              <w:left w:w="108" w:type="dxa"/>
              <w:bottom w:w="0" w:type="dxa"/>
              <w:right w:w="108" w:type="dxa"/>
            </w:tcMar>
            <w:vAlign w:val="center"/>
          </w:tcPr>
          <w:p w14:paraId="3C845B92">
            <w:pPr>
              <w:widowControl/>
              <w:spacing w:before="100" w:beforeAutospacing="1" w:after="100" w:afterAutospacing="1"/>
              <w:jc w:val="center"/>
              <w:rPr>
                <w:rFonts w:ascii="宋体" w:hAnsi="宋体" w:cs="楷体"/>
                <w:color w:val="000000" w:themeColor="text1"/>
                <w:kern w:val="0"/>
                <w:sz w:val="24"/>
                <w:szCs w:val="24"/>
                <w14:textFill>
                  <w14:solidFill>
                    <w14:schemeClr w14:val="tx1"/>
                  </w14:solidFill>
                </w14:textFill>
              </w:rPr>
            </w:pPr>
            <w:r>
              <w:rPr>
                <w:rFonts w:hint="eastAsia" w:ascii="宋体" w:hAnsi="宋体" w:cs="楷体"/>
                <w:b/>
                <w:bCs/>
                <w:color w:val="000000" w:themeColor="text1"/>
                <w:kern w:val="0"/>
                <w:sz w:val="24"/>
                <w:szCs w:val="24"/>
                <w14:textFill>
                  <w14:solidFill>
                    <w14:schemeClr w14:val="tx1"/>
                  </w14:solidFill>
                </w14:textFill>
              </w:rPr>
              <w:t>评审因素</w:t>
            </w:r>
          </w:p>
        </w:tc>
        <w:tc>
          <w:tcPr>
            <w:tcW w:w="5371" w:type="dxa"/>
            <w:shd w:val="clear" w:color="auto" w:fill="FFFFFF"/>
            <w:tcMar>
              <w:top w:w="0" w:type="dxa"/>
              <w:left w:w="108" w:type="dxa"/>
              <w:bottom w:w="0" w:type="dxa"/>
              <w:right w:w="108" w:type="dxa"/>
            </w:tcMar>
            <w:vAlign w:val="center"/>
          </w:tcPr>
          <w:p w14:paraId="3CB9BD4A">
            <w:pPr>
              <w:widowControl/>
              <w:spacing w:before="100" w:beforeAutospacing="1" w:after="100" w:afterAutospacing="1"/>
              <w:jc w:val="center"/>
              <w:rPr>
                <w:rFonts w:ascii="宋体" w:hAnsi="宋体" w:cs="楷体"/>
                <w:color w:val="000000" w:themeColor="text1"/>
                <w:kern w:val="0"/>
                <w:sz w:val="24"/>
                <w:szCs w:val="24"/>
                <w14:textFill>
                  <w14:solidFill>
                    <w14:schemeClr w14:val="tx1"/>
                  </w14:solidFill>
                </w14:textFill>
              </w:rPr>
            </w:pPr>
            <w:r>
              <w:rPr>
                <w:rFonts w:hint="eastAsia" w:ascii="宋体" w:hAnsi="宋体" w:cs="楷体"/>
                <w:b/>
                <w:bCs/>
                <w:color w:val="000000" w:themeColor="text1"/>
                <w:kern w:val="0"/>
                <w:sz w:val="24"/>
                <w:szCs w:val="24"/>
                <w14:textFill>
                  <w14:solidFill>
                    <w14:schemeClr w14:val="tx1"/>
                  </w14:solidFill>
                </w14:textFill>
              </w:rPr>
              <w:t>评审标准</w:t>
            </w:r>
          </w:p>
        </w:tc>
      </w:tr>
      <w:tr w14:paraId="7648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shd w:val="clear" w:color="auto" w:fill="FFFFFF"/>
            <w:tcMar>
              <w:top w:w="0" w:type="dxa"/>
              <w:left w:w="108" w:type="dxa"/>
              <w:bottom w:w="0" w:type="dxa"/>
              <w:right w:w="108" w:type="dxa"/>
            </w:tcMar>
            <w:vAlign w:val="center"/>
          </w:tcPr>
          <w:p w14:paraId="5368ADE7">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ascii="宋体" w:hAnsi="宋体" w:cs="楷体"/>
                <w:color w:val="000000" w:themeColor="text1"/>
                <w:kern w:val="0"/>
                <w:szCs w:val="21"/>
                <w14:textFill>
                  <w14:solidFill>
                    <w14:schemeClr w14:val="tx1"/>
                  </w14:solidFill>
                </w14:textFill>
              </w:rPr>
              <w:t>1</w:t>
            </w:r>
          </w:p>
        </w:tc>
        <w:tc>
          <w:tcPr>
            <w:tcW w:w="923" w:type="dxa"/>
            <w:gridSpan w:val="2"/>
            <w:shd w:val="clear" w:color="auto" w:fill="FFFFFF"/>
            <w:tcMar>
              <w:top w:w="0" w:type="dxa"/>
              <w:left w:w="108" w:type="dxa"/>
              <w:bottom w:w="0" w:type="dxa"/>
              <w:right w:w="108" w:type="dxa"/>
            </w:tcMar>
            <w:vAlign w:val="center"/>
          </w:tcPr>
          <w:p w14:paraId="71E452ED">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评标方法</w:t>
            </w:r>
          </w:p>
        </w:tc>
        <w:tc>
          <w:tcPr>
            <w:tcW w:w="2101" w:type="dxa"/>
            <w:gridSpan w:val="2"/>
            <w:shd w:val="clear" w:color="auto" w:fill="FFFFFF"/>
            <w:tcMar>
              <w:top w:w="0" w:type="dxa"/>
              <w:left w:w="108" w:type="dxa"/>
              <w:bottom w:w="0" w:type="dxa"/>
              <w:right w:w="108" w:type="dxa"/>
            </w:tcMar>
            <w:vAlign w:val="center"/>
          </w:tcPr>
          <w:p w14:paraId="5F4E5065">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中标候选人排序方法</w:t>
            </w:r>
          </w:p>
        </w:tc>
        <w:tc>
          <w:tcPr>
            <w:tcW w:w="5371" w:type="dxa"/>
            <w:shd w:val="clear" w:color="auto" w:fill="FFFFFF"/>
            <w:tcMar>
              <w:top w:w="0" w:type="dxa"/>
              <w:left w:w="108" w:type="dxa"/>
              <w:bottom w:w="0" w:type="dxa"/>
              <w:right w:w="108" w:type="dxa"/>
            </w:tcMar>
            <w:vAlign w:val="center"/>
          </w:tcPr>
          <w:p w14:paraId="5A6F2E19">
            <w:pPr>
              <w:widowControl/>
              <w:spacing w:before="48" w:beforeLines="20"/>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本次评标采用综合评估法。评标委员会对满足招标文件实质性要求的投标文件，按照本章规定的评分标准进行打分，并按得分由高到低顺序推荐前</w:t>
            </w:r>
            <w:r>
              <w:rPr>
                <w:rFonts w:hint="eastAsia" w:ascii="宋体" w:hAnsi="宋体" w:cs="楷体"/>
                <w:color w:val="000000" w:themeColor="text1"/>
                <w:kern w:val="0"/>
                <w:szCs w:val="21"/>
                <w:lang w:val="en-US" w:eastAsia="zh-CN"/>
                <w14:textFill>
                  <w14:solidFill>
                    <w14:schemeClr w14:val="tx1"/>
                  </w14:solidFill>
                </w14:textFill>
              </w:rPr>
              <w:t>两</w:t>
            </w:r>
            <w:r>
              <w:rPr>
                <w:rFonts w:hint="eastAsia" w:ascii="宋体" w:hAnsi="宋体" w:cs="楷体"/>
                <w:color w:val="000000" w:themeColor="text1"/>
                <w:kern w:val="0"/>
                <w:szCs w:val="21"/>
                <w14:textFill>
                  <w14:solidFill>
                    <w14:schemeClr w14:val="tx1"/>
                  </w14:solidFill>
                </w14:textFill>
              </w:rPr>
              <w:t>名作为中标候选人，综合评分相等的，以投标报价低的优先；投标报价也相等的，以技术方案得分高的优先；如果技术方案得分也相等，则由评委采用记名投票方式，确定相等得分的中标候选人的排序。</w:t>
            </w:r>
          </w:p>
        </w:tc>
      </w:tr>
      <w:tr w14:paraId="051E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restart"/>
            <w:shd w:val="clear" w:color="auto" w:fill="FFFFFF"/>
            <w:tcMar>
              <w:top w:w="0" w:type="dxa"/>
              <w:left w:w="108" w:type="dxa"/>
              <w:bottom w:w="0" w:type="dxa"/>
              <w:right w:w="108" w:type="dxa"/>
            </w:tcMar>
            <w:vAlign w:val="center"/>
          </w:tcPr>
          <w:p w14:paraId="4FF71AAC">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ascii="宋体" w:hAnsi="宋体" w:cs="楷体"/>
                <w:color w:val="000000" w:themeColor="text1"/>
                <w:kern w:val="0"/>
                <w:szCs w:val="21"/>
                <w14:textFill>
                  <w14:solidFill>
                    <w14:schemeClr w14:val="tx1"/>
                  </w14:solidFill>
                </w14:textFill>
              </w:rPr>
              <w:t>2.1.1</w:t>
            </w:r>
          </w:p>
        </w:tc>
        <w:tc>
          <w:tcPr>
            <w:tcW w:w="923" w:type="dxa"/>
            <w:gridSpan w:val="2"/>
            <w:vMerge w:val="restart"/>
            <w:shd w:val="clear" w:color="auto" w:fill="FFFFFF"/>
            <w:tcMar>
              <w:top w:w="0" w:type="dxa"/>
              <w:left w:w="108" w:type="dxa"/>
              <w:bottom w:w="0" w:type="dxa"/>
              <w:right w:w="108" w:type="dxa"/>
            </w:tcMar>
            <w:vAlign w:val="center"/>
          </w:tcPr>
          <w:p w14:paraId="55C7152B">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形式评审标准</w:t>
            </w:r>
          </w:p>
        </w:tc>
        <w:tc>
          <w:tcPr>
            <w:tcW w:w="2101" w:type="dxa"/>
            <w:gridSpan w:val="2"/>
            <w:shd w:val="clear" w:color="auto" w:fill="FFFFFF"/>
            <w:tcMar>
              <w:top w:w="0" w:type="dxa"/>
              <w:left w:w="108" w:type="dxa"/>
              <w:bottom w:w="0" w:type="dxa"/>
              <w:right w:w="108" w:type="dxa"/>
            </w:tcMar>
            <w:vAlign w:val="center"/>
          </w:tcPr>
          <w:p w14:paraId="518406E9">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投标人名称</w:t>
            </w:r>
          </w:p>
        </w:tc>
        <w:tc>
          <w:tcPr>
            <w:tcW w:w="5371" w:type="dxa"/>
            <w:shd w:val="clear" w:color="auto" w:fill="FFFFFF"/>
            <w:tcMar>
              <w:top w:w="0" w:type="dxa"/>
              <w:left w:w="108" w:type="dxa"/>
              <w:bottom w:w="0" w:type="dxa"/>
              <w:right w:w="108" w:type="dxa"/>
            </w:tcMar>
            <w:vAlign w:val="center"/>
          </w:tcPr>
          <w:p w14:paraId="5109EEE3">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与营业执照、资质证书一致。</w:t>
            </w:r>
          </w:p>
        </w:tc>
      </w:tr>
      <w:tr w14:paraId="18A4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vAlign w:val="center"/>
          </w:tcPr>
          <w:p w14:paraId="77F9A17A">
            <w:pPr>
              <w:widowControl/>
              <w:jc w:val="left"/>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vAlign w:val="center"/>
          </w:tcPr>
          <w:p w14:paraId="3EB4CE4A">
            <w:pPr>
              <w:widowControl/>
              <w:jc w:val="left"/>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395AC839">
            <w:pPr>
              <w:widowControl/>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投标函及投标函</w:t>
            </w:r>
          </w:p>
          <w:p w14:paraId="6ABFF64A">
            <w:pPr>
              <w:widowControl/>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附录签字盖章</w:t>
            </w:r>
          </w:p>
        </w:tc>
        <w:tc>
          <w:tcPr>
            <w:tcW w:w="5371" w:type="dxa"/>
            <w:shd w:val="clear" w:color="auto" w:fill="FFFFFF"/>
            <w:tcMar>
              <w:top w:w="0" w:type="dxa"/>
              <w:left w:w="108" w:type="dxa"/>
              <w:bottom w:w="0" w:type="dxa"/>
              <w:right w:w="108" w:type="dxa"/>
            </w:tcMar>
            <w:vAlign w:val="center"/>
          </w:tcPr>
          <w:p w14:paraId="61586EF0">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有法定代表人或被授权人签字（或盖章）并加盖单位章。由法定代表人签字（或盖章）的，应附法定代表人身份证明；由被授权人签字（或盖章）的，应附授权委托书、法定代表人身份证明。</w:t>
            </w:r>
          </w:p>
        </w:tc>
      </w:tr>
      <w:tr w14:paraId="7C60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vAlign w:val="center"/>
          </w:tcPr>
          <w:p w14:paraId="0995CE1E">
            <w:pPr>
              <w:widowControl/>
              <w:jc w:val="left"/>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vAlign w:val="center"/>
          </w:tcPr>
          <w:p w14:paraId="53110467">
            <w:pPr>
              <w:widowControl/>
              <w:jc w:val="left"/>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4EE2C367">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spacing w:val="-7"/>
                <w14:textFill>
                  <w14:solidFill>
                    <w14:schemeClr w14:val="tx1"/>
                  </w14:solidFill>
                </w14:textFill>
              </w:rPr>
              <w:t>备选投标方案</w:t>
            </w:r>
          </w:p>
        </w:tc>
        <w:tc>
          <w:tcPr>
            <w:tcW w:w="5371" w:type="dxa"/>
            <w:shd w:val="clear" w:color="auto" w:fill="FFFFFF"/>
            <w:tcMar>
              <w:top w:w="0" w:type="dxa"/>
              <w:left w:w="108" w:type="dxa"/>
              <w:bottom w:w="0" w:type="dxa"/>
              <w:right w:w="108" w:type="dxa"/>
            </w:tcMar>
            <w:vAlign w:val="center"/>
          </w:tcPr>
          <w:p w14:paraId="6C6F140B">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u w:val="single"/>
                <w14:textFill>
                  <w14:solidFill>
                    <w14:schemeClr w14:val="tx1"/>
                  </w14:solidFill>
                </w14:textFill>
              </w:rPr>
              <w:t>不接受备选投标方案。</w:t>
            </w:r>
          </w:p>
        </w:tc>
      </w:tr>
      <w:tr w14:paraId="12E3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vAlign w:val="center"/>
          </w:tcPr>
          <w:p w14:paraId="284E2E98">
            <w:pPr>
              <w:widowControl/>
              <w:jc w:val="left"/>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vAlign w:val="center"/>
          </w:tcPr>
          <w:p w14:paraId="5A5E3BC8">
            <w:pPr>
              <w:widowControl/>
              <w:jc w:val="left"/>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6C285B31">
            <w:pPr>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投标人机器码</w:t>
            </w:r>
          </w:p>
        </w:tc>
        <w:tc>
          <w:tcPr>
            <w:tcW w:w="5371" w:type="dxa"/>
            <w:shd w:val="clear" w:color="auto" w:fill="FFFFFF"/>
            <w:tcMar>
              <w:top w:w="0" w:type="dxa"/>
              <w:left w:w="108" w:type="dxa"/>
              <w:bottom w:w="0" w:type="dxa"/>
              <w:right w:w="108" w:type="dxa"/>
            </w:tcMar>
            <w:vAlign w:val="center"/>
          </w:tcPr>
          <w:p w14:paraId="633F6A73">
            <w:pPr>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u w:val="single"/>
                <w14:textFill>
                  <w14:solidFill>
                    <w14:schemeClr w14:val="tx1"/>
                  </w14:solidFill>
                </w14:textFill>
              </w:rPr>
              <w:t>本项目</w:t>
            </w:r>
            <w:r>
              <w:rPr>
                <w:rFonts w:hint="eastAsia" w:ascii="宋体" w:hAnsi="宋体" w:cs="楷体"/>
                <w:color w:val="000000" w:themeColor="text1"/>
                <w:kern w:val="0"/>
                <w:szCs w:val="21"/>
                <w14:textFill>
                  <w14:solidFill>
                    <w14:schemeClr w14:val="tx1"/>
                  </w14:solidFill>
                </w14:textFill>
              </w:rPr>
              <w:t>不同投标人机器码相同，视为不合格。</w:t>
            </w:r>
          </w:p>
        </w:tc>
      </w:tr>
      <w:tr w14:paraId="165A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restart"/>
            <w:shd w:val="clear" w:color="auto" w:fill="FFFFFF"/>
            <w:tcMar>
              <w:top w:w="0" w:type="dxa"/>
              <w:left w:w="108" w:type="dxa"/>
              <w:bottom w:w="0" w:type="dxa"/>
              <w:right w:w="108" w:type="dxa"/>
            </w:tcMar>
            <w:vAlign w:val="center"/>
          </w:tcPr>
          <w:p w14:paraId="41111080">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ascii="宋体" w:hAnsi="宋体" w:cs="楷体"/>
                <w:color w:val="000000" w:themeColor="text1"/>
                <w:kern w:val="0"/>
                <w:szCs w:val="21"/>
                <w14:textFill>
                  <w14:solidFill>
                    <w14:schemeClr w14:val="tx1"/>
                  </w14:solidFill>
                </w14:textFill>
              </w:rPr>
              <w:t>2.1.2</w:t>
            </w:r>
          </w:p>
        </w:tc>
        <w:tc>
          <w:tcPr>
            <w:tcW w:w="923" w:type="dxa"/>
            <w:gridSpan w:val="2"/>
            <w:vMerge w:val="restart"/>
            <w:shd w:val="clear" w:color="auto" w:fill="FFFFFF"/>
            <w:tcMar>
              <w:top w:w="0" w:type="dxa"/>
              <w:left w:w="108" w:type="dxa"/>
              <w:bottom w:w="0" w:type="dxa"/>
              <w:right w:w="108" w:type="dxa"/>
            </w:tcMar>
            <w:vAlign w:val="center"/>
          </w:tcPr>
          <w:p w14:paraId="46B2D9D6">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资格评审标准</w:t>
            </w:r>
          </w:p>
        </w:tc>
        <w:tc>
          <w:tcPr>
            <w:tcW w:w="2101" w:type="dxa"/>
            <w:gridSpan w:val="2"/>
            <w:shd w:val="clear" w:color="auto" w:fill="FFFFFF"/>
            <w:tcMar>
              <w:top w:w="0" w:type="dxa"/>
              <w:left w:w="108" w:type="dxa"/>
              <w:bottom w:w="0" w:type="dxa"/>
              <w:right w:w="108" w:type="dxa"/>
            </w:tcMar>
            <w:vAlign w:val="center"/>
          </w:tcPr>
          <w:p w14:paraId="565BD0B1">
            <w:pPr>
              <w:pStyle w:val="44"/>
              <w:wordWrap w:val="0"/>
              <w:rPr>
                <w:rFonts w:ascii="宋体" w:hAnsi="宋体" w:cs="楷体"/>
                <w:color w:val="000000" w:themeColor="text1"/>
                <w:kern w:val="0"/>
                <w:szCs w:val="21"/>
                <w14:textFill>
                  <w14:solidFill>
                    <w14:schemeClr w14:val="tx1"/>
                  </w14:solidFill>
                </w14:textFill>
              </w:rPr>
            </w:pPr>
            <w:r>
              <w:rPr>
                <w:rFonts w:hint="eastAsia"/>
              </w:rPr>
              <w:t>营业执照（或事业单位法人证书）</w:t>
            </w:r>
          </w:p>
        </w:tc>
        <w:tc>
          <w:tcPr>
            <w:tcW w:w="5371" w:type="dxa"/>
            <w:shd w:val="clear" w:color="auto" w:fill="FFFFFF"/>
            <w:tcMar>
              <w:top w:w="0" w:type="dxa"/>
              <w:left w:w="108" w:type="dxa"/>
              <w:bottom w:w="0" w:type="dxa"/>
              <w:right w:w="108" w:type="dxa"/>
            </w:tcMar>
            <w:vAlign w:val="center"/>
          </w:tcPr>
          <w:p w14:paraId="1B61EA00">
            <w:pPr>
              <w:pStyle w:val="44"/>
              <w:wordWrap w:val="0"/>
              <w:rPr>
                <w:rFonts w:ascii="宋体" w:hAnsi="宋体" w:cs="楷体"/>
                <w:color w:val="000000" w:themeColor="text1"/>
                <w:kern w:val="0"/>
                <w:szCs w:val="21"/>
                <w14:textFill>
                  <w14:solidFill>
                    <w14:schemeClr w14:val="tx1"/>
                  </w14:solidFill>
                </w14:textFill>
              </w:rPr>
            </w:pPr>
            <w:r>
              <w:rPr>
                <w:rFonts w:hint="eastAsia"/>
              </w:rPr>
              <w:t>符合第二章“投标人须知”第3.5.1项规定，具备有效的营业执照（或事业单位法人证书）</w:t>
            </w:r>
          </w:p>
        </w:tc>
      </w:tr>
      <w:tr w14:paraId="7192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tcMar>
              <w:top w:w="0" w:type="dxa"/>
              <w:left w:w="108" w:type="dxa"/>
              <w:bottom w:w="0" w:type="dxa"/>
              <w:right w:w="108" w:type="dxa"/>
            </w:tcMar>
            <w:vAlign w:val="center"/>
          </w:tcPr>
          <w:p w14:paraId="3052C21B">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tcMar>
              <w:top w:w="0" w:type="dxa"/>
              <w:left w:w="108" w:type="dxa"/>
              <w:bottom w:w="0" w:type="dxa"/>
              <w:right w:w="108" w:type="dxa"/>
            </w:tcMar>
            <w:vAlign w:val="center"/>
          </w:tcPr>
          <w:p w14:paraId="71ED5BAC">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39E2DBD5">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14:textFill>
                  <w14:solidFill>
                    <w14:schemeClr w14:val="tx1"/>
                  </w14:solidFill>
                </w14:textFill>
              </w:rPr>
              <w:t>资质要求</w:t>
            </w:r>
          </w:p>
        </w:tc>
        <w:tc>
          <w:tcPr>
            <w:tcW w:w="5371" w:type="dxa"/>
            <w:shd w:val="clear" w:color="auto" w:fill="FFFFFF"/>
            <w:tcMar>
              <w:top w:w="0" w:type="dxa"/>
              <w:left w:w="108" w:type="dxa"/>
              <w:bottom w:w="0" w:type="dxa"/>
              <w:right w:w="108" w:type="dxa"/>
            </w:tcMar>
            <w:vAlign w:val="center"/>
          </w:tcPr>
          <w:p w14:paraId="4F184814">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14:textFill>
                  <w14:solidFill>
                    <w14:schemeClr w14:val="tx1"/>
                  </w14:solidFill>
                </w14:textFill>
              </w:rPr>
              <w:t>符合第二章“投标人须知”第</w:t>
            </w:r>
            <w:r>
              <w:rPr>
                <w:rFonts w:ascii="宋体" w:hAnsi="宋体" w:cs="楷体"/>
                <w:color w:val="000000" w:themeColor="text1"/>
                <w14:textFill>
                  <w14:solidFill>
                    <w14:schemeClr w14:val="tx1"/>
                  </w14:solidFill>
                </w14:textFill>
              </w:rPr>
              <w:t>1.4.1项规定</w:t>
            </w:r>
          </w:p>
        </w:tc>
      </w:tr>
      <w:tr w14:paraId="2AE3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tcMar>
              <w:top w:w="0" w:type="dxa"/>
              <w:left w:w="108" w:type="dxa"/>
              <w:bottom w:w="0" w:type="dxa"/>
              <w:right w:w="108" w:type="dxa"/>
            </w:tcMar>
            <w:vAlign w:val="center"/>
          </w:tcPr>
          <w:p w14:paraId="0B55028F">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tcMar>
              <w:top w:w="0" w:type="dxa"/>
              <w:left w:w="108" w:type="dxa"/>
              <w:bottom w:w="0" w:type="dxa"/>
              <w:right w:w="108" w:type="dxa"/>
            </w:tcMar>
            <w:vAlign w:val="center"/>
          </w:tcPr>
          <w:p w14:paraId="574FDFEB">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2E4E2E83">
            <w:pPr>
              <w:spacing w:before="100" w:beforeAutospacing="1" w:after="100" w:afterAutospacing="1"/>
              <w:jc w:val="center"/>
              <w:rPr>
                <w:rFonts w:ascii="宋体" w:hAnsi="宋体" w:cs="楷体"/>
                <w:color w:val="000000" w:themeColor="text1"/>
                <w14:textFill>
                  <w14:solidFill>
                    <w14:schemeClr w14:val="tx1"/>
                  </w14:solidFill>
                </w14:textFill>
              </w:rPr>
            </w:pPr>
            <w:r>
              <w:rPr>
                <w:rFonts w:hint="eastAsia" w:ascii="宋体" w:hAnsi="宋体" w:cs="楷体"/>
                <w:color w:val="000000" w:themeColor="text1"/>
                <w14:textFill>
                  <w14:solidFill>
                    <w14:schemeClr w14:val="tx1"/>
                  </w14:solidFill>
                </w14:textFill>
              </w:rPr>
              <w:t>业绩要求</w:t>
            </w:r>
          </w:p>
        </w:tc>
        <w:tc>
          <w:tcPr>
            <w:tcW w:w="5371" w:type="dxa"/>
            <w:shd w:val="clear" w:color="auto" w:fill="FFFFFF"/>
            <w:tcMar>
              <w:top w:w="0" w:type="dxa"/>
              <w:left w:w="108" w:type="dxa"/>
              <w:bottom w:w="0" w:type="dxa"/>
              <w:right w:w="108" w:type="dxa"/>
            </w:tcMar>
            <w:vAlign w:val="center"/>
          </w:tcPr>
          <w:p w14:paraId="085B1FE6">
            <w:pPr>
              <w:spacing w:before="100" w:beforeAutospacing="1" w:after="100" w:afterAutospacing="1"/>
              <w:jc w:val="left"/>
              <w:rPr>
                <w:rFonts w:ascii="宋体" w:hAnsi="宋体" w:cs="楷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符合第二章“投标人须知”第</w:t>
            </w:r>
            <w:r>
              <w:rPr>
                <w:rFonts w:ascii="宋体" w:hAnsi="宋体" w:cs="宋体"/>
                <w:color w:val="000000" w:themeColor="text1"/>
                <w14:textFill>
                  <w14:solidFill>
                    <w14:schemeClr w14:val="tx1"/>
                  </w14:solidFill>
                </w14:textFill>
              </w:rPr>
              <w:t>1.4.1项规定</w:t>
            </w:r>
          </w:p>
        </w:tc>
      </w:tr>
      <w:tr w14:paraId="469F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tcMar>
              <w:top w:w="0" w:type="dxa"/>
              <w:left w:w="108" w:type="dxa"/>
              <w:bottom w:w="0" w:type="dxa"/>
              <w:right w:w="108" w:type="dxa"/>
            </w:tcMar>
            <w:vAlign w:val="center"/>
          </w:tcPr>
          <w:p w14:paraId="73A1C7D3">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tcMar>
              <w:top w:w="0" w:type="dxa"/>
              <w:left w:w="108" w:type="dxa"/>
              <w:bottom w:w="0" w:type="dxa"/>
              <w:right w:w="108" w:type="dxa"/>
            </w:tcMar>
            <w:vAlign w:val="center"/>
          </w:tcPr>
          <w:p w14:paraId="207BD34E">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49660F4F">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14:textFill>
                  <w14:solidFill>
                    <w14:schemeClr w14:val="tx1"/>
                  </w14:solidFill>
                </w14:textFill>
              </w:rPr>
              <w:t>总监理工程师</w:t>
            </w:r>
          </w:p>
        </w:tc>
        <w:tc>
          <w:tcPr>
            <w:tcW w:w="5371" w:type="dxa"/>
            <w:shd w:val="clear" w:color="auto" w:fill="FFFFFF"/>
            <w:tcMar>
              <w:top w:w="0" w:type="dxa"/>
              <w:left w:w="108" w:type="dxa"/>
              <w:bottom w:w="0" w:type="dxa"/>
              <w:right w:w="108" w:type="dxa"/>
            </w:tcMar>
            <w:vAlign w:val="center"/>
          </w:tcPr>
          <w:p w14:paraId="6B661779">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14:textFill>
                  <w14:solidFill>
                    <w14:schemeClr w14:val="tx1"/>
                  </w14:solidFill>
                </w14:textFill>
              </w:rPr>
              <w:t>符合第二章“投标人须知”第</w:t>
            </w:r>
            <w:r>
              <w:rPr>
                <w:rFonts w:ascii="宋体" w:hAnsi="宋体" w:cs="楷体"/>
                <w:color w:val="000000" w:themeColor="text1"/>
                <w14:textFill>
                  <w14:solidFill>
                    <w14:schemeClr w14:val="tx1"/>
                  </w14:solidFill>
                </w14:textFill>
              </w:rPr>
              <w:t>1.4.1项规定</w:t>
            </w:r>
          </w:p>
        </w:tc>
      </w:tr>
      <w:tr w14:paraId="32F2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tcMar>
              <w:top w:w="0" w:type="dxa"/>
              <w:left w:w="108" w:type="dxa"/>
              <w:bottom w:w="0" w:type="dxa"/>
              <w:right w:w="108" w:type="dxa"/>
            </w:tcMar>
            <w:vAlign w:val="center"/>
          </w:tcPr>
          <w:p w14:paraId="6CF0BDE7">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tcMar>
              <w:top w:w="0" w:type="dxa"/>
              <w:left w:w="108" w:type="dxa"/>
              <w:bottom w:w="0" w:type="dxa"/>
              <w:right w:w="108" w:type="dxa"/>
            </w:tcMar>
            <w:vAlign w:val="center"/>
          </w:tcPr>
          <w:p w14:paraId="6AB22C85">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5062CFD8">
            <w:pPr>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14:textFill>
                  <w14:solidFill>
                    <w14:schemeClr w14:val="tx1"/>
                  </w14:solidFill>
                </w14:textFill>
              </w:rPr>
              <w:t>其他要求</w:t>
            </w:r>
          </w:p>
        </w:tc>
        <w:tc>
          <w:tcPr>
            <w:tcW w:w="5371" w:type="dxa"/>
            <w:shd w:val="clear" w:color="auto" w:fill="FFFFFF"/>
            <w:tcMar>
              <w:top w:w="0" w:type="dxa"/>
              <w:left w:w="108" w:type="dxa"/>
              <w:bottom w:w="0" w:type="dxa"/>
              <w:right w:w="108" w:type="dxa"/>
            </w:tcMar>
            <w:vAlign w:val="center"/>
          </w:tcPr>
          <w:p w14:paraId="79CC7006">
            <w:pPr>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14:textFill>
                  <w14:solidFill>
                    <w14:schemeClr w14:val="tx1"/>
                  </w14:solidFill>
                </w14:textFill>
              </w:rPr>
              <w:t>符合第二章“投标人须知”第</w:t>
            </w:r>
            <w:r>
              <w:rPr>
                <w:rFonts w:ascii="宋体" w:hAnsi="宋体" w:cs="楷体"/>
                <w:color w:val="000000" w:themeColor="text1"/>
                <w14:textFill>
                  <w14:solidFill>
                    <w14:schemeClr w14:val="tx1"/>
                  </w14:solidFill>
                </w14:textFill>
              </w:rPr>
              <w:t>1.4.1项规定</w:t>
            </w:r>
          </w:p>
        </w:tc>
      </w:tr>
      <w:tr w14:paraId="2CC0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tcMar>
              <w:top w:w="0" w:type="dxa"/>
              <w:left w:w="108" w:type="dxa"/>
              <w:bottom w:w="0" w:type="dxa"/>
              <w:right w:w="108" w:type="dxa"/>
            </w:tcMar>
            <w:vAlign w:val="center"/>
          </w:tcPr>
          <w:p w14:paraId="20D33017">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tcMar>
              <w:top w:w="0" w:type="dxa"/>
              <w:left w:w="108" w:type="dxa"/>
              <w:bottom w:w="0" w:type="dxa"/>
              <w:right w:w="108" w:type="dxa"/>
            </w:tcMar>
            <w:vAlign w:val="center"/>
          </w:tcPr>
          <w:p w14:paraId="60E8A8C9">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58A01D55">
            <w:pPr>
              <w:widowControl/>
              <w:spacing w:before="100" w:beforeAutospacing="1" w:after="100" w:afterAutospacing="1"/>
              <w:jc w:val="center"/>
              <w:rPr>
                <w:rFonts w:ascii="宋体" w:hAnsi="宋体" w:cs="楷体"/>
                <w:color w:val="000000" w:themeColor="text1"/>
                <w14:textFill>
                  <w14:solidFill>
                    <w14:schemeClr w14:val="tx1"/>
                  </w14:solidFill>
                </w14:textFill>
              </w:rPr>
            </w:pPr>
            <w:r>
              <w:rPr>
                <w:rFonts w:hint="eastAsia" w:ascii="宋体" w:hAnsi="宋体" w:cs="楷体"/>
                <w:color w:val="000000" w:themeColor="text1"/>
                <w14:textFill>
                  <w14:solidFill>
                    <w14:schemeClr w14:val="tx1"/>
                  </w14:solidFill>
                </w14:textFill>
              </w:rPr>
              <w:t>联合体投标人</w:t>
            </w:r>
          </w:p>
        </w:tc>
        <w:tc>
          <w:tcPr>
            <w:tcW w:w="5371" w:type="dxa"/>
            <w:shd w:val="clear" w:color="auto" w:fill="FFFFFF"/>
            <w:tcMar>
              <w:top w:w="0" w:type="dxa"/>
              <w:left w:w="108" w:type="dxa"/>
              <w:bottom w:w="0" w:type="dxa"/>
              <w:right w:w="108" w:type="dxa"/>
            </w:tcMar>
            <w:vAlign w:val="center"/>
          </w:tcPr>
          <w:p w14:paraId="11921874">
            <w:pPr>
              <w:widowControl/>
              <w:spacing w:before="100" w:beforeAutospacing="1" w:after="100" w:afterAutospacing="1"/>
              <w:jc w:val="left"/>
              <w:rPr>
                <w:rFonts w:ascii="宋体" w:hAnsi="宋体" w:cs="楷体"/>
                <w:color w:val="000000" w:themeColor="text1"/>
                <w14:textFill>
                  <w14:solidFill>
                    <w14:schemeClr w14:val="tx1"/>
                  </w14:solidFill>
                </w14:textFill>
              </w:rPr>
            </w:pPr>
            <w:r>
              <w:rPr>
                <w:rFonts w:hint="eastAsia" w:ascii="宋体" w:hAnsi="宋体" w:cs="楷体"/>
                <w:color w:val="000000" w:themeColor="text1"/>
                <w14:textFill>
                  <w14:solidFill>
                    <w14:schemeClr w14:val="tx1"/>
                  </w14:solidFill>
                </w14:textFill>
              </w:rPr>
              <w:t>不接受联合体投标。</w:t>
            </w:r>
          </w:p>
        </w:tc>
      </w:tr>
      <w:tr w14:paraId="4912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tcMar>
              <w:top w:w="0" w:type="dxa"/>
              <w:left w:w="108" w:type="dxa"/>
              <w:bottom w:w="0" w:type="dxa"/>
              <w:right w:w="108" w:type="dxa"/>
            </w:tcMar>
            <w:vAlign w:val="center"/>
          </w:tcPr>
          <w:p w14:paraId="7C942CF2">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tcMar>
              <w:top w:w="0" w:type="dxa"/>
              <w:left w:w="108" w:type="dxa"/>
              <w:bottom w:w="0" w:type="dxa"/>
              <w:right w:w="108" w:type="dxa"/>
            </w:tcMar>
            <w:vAlign w:val="center"/>
          </w:tcPr>
          <w:p w14:paraId="5B8D3686">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5371A133">
            <w:pPr>
              <w:widowControl/>
              <w:jc w:val="center"/>
              <w:rPr>
                <w:rFonts w:ascii="宋体" w:hAnsi="宋体" w:cs="楷体"/>
                <w:color w:val="000000" w:themeColor="text1"/>
                <w14:textFill>
                  <w14:solidFill>
                    <w14:schemeClr w14:val="tx1"/>
                  </w14:solidFill>
                </w14:textFill>
              </w:rPr>
            </w:pPr>
            <w:r>
              <w:rPr>
                <w:rFonts w:hint="eastAsia" w:ascii="宋体" w:hAnsi="宋体" w:cs="楷体"/>
                <w:color w:val="000000" w:themeColor="text1"/>
                <w14:textFill>
                  <w14:solidFill>
                    <w14:schemeClr w14:val="tx1"/>
                  </w14:solidFill>
                </w14:textFill>
              </w:rPr>
              <w:t>不存在禁止</w:t>
            </w:r>
          </w:p>
          <w:p w14:paraId="4941F84B">
            <w:pPr>
              <w:widowControl/>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14:textFill>
                  <w14:solidFill>
                    <w14:schemeClr w14:val="tx1"/>
                  </w14:solidFill>
                </w14:textFill>
              </w:rPr>
              <w:t>投标的情形</w:t>
            </w:r>
          </w:p>
        </w:tc>
        <w:tc>
          <w:tcPr>
            <w:tcW w:w="5371" w:type="dxa"/>
            <w:shd w:val="clear" w:color="auto" w:fill="FFFFFF"/>
            <w:tcMar>
              <w:top w:w="0" w:type="dxa"/>
              <w:left w:w="108" w:type="dxa"/>
              <w:bottom w:w="0" w:type="dxa"/>
              <w:right w:w="108" w:type="dxa"/>
            </w:tcMar>
            <w:vAlign w:val="center"/>
          </w:tcPr>
          <w:p w14:paraId="02DF3C20">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不存在第二章“投标人须知”第</w:t>
            </w:r>
            <w:r>
              <w:rPr>
                <w:rFonts w:ascii="宋体" w:hAnsi="宋体" w:cs="楷体"/>
                <w:color w:val="000000" w:themeColor="text1"/>
                <w:kern w:val="0"/>
                <w:szCs w:val="21"/>
                <w14:textFill>
                  <w14:solidFill>
                    <w14:schemeClr w14:val="tx1"/>
                  </w14:solidFill>
                </w14:textFill>
              </w:rPr>
              <w:t>1.4.3项规定的任何一种情形</w:t>
            </w:r>
          </w:p>
        </w:tc>
      </w:tr>
      <w:tr w14:paraId="64ED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restart"/>
            <w:shd w:val="clear" w:color="auto" w:fill="FFFFFF"/>
            <w:tcMar>
              <w:top w:w="0" w:type="dxa"/>
              <w:left w:w="108" w:type="dxa"/>
              <w:bottom w:w="0" w:type="dxa"/>
              <w:right w:w="108" w:type="dxa"/>
            </w:tcMar>
            <w:vAlign w:val="center"/>
          </w:tcPr>
          <w:p w14:paraId="6019BC20">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ascii="宋体" w:hAnsi="宋体" w:cs="楷体"/>
                <w:color w:val="000000" w:themeColor="text1"/>
                <w:kern w:val="0"/>
                <w:szCs w:val="21"/>
                <w14:textFill>
                  <w14:solidFill>
                    <w14:schemeClr w14:val="tx1"/>
                  </w14:solidFill>
                </w14:textFill>
              </w:rPr>
              <w:t>2.1.3</w:t>
            </w:r>
          </w:p>
        </w:tc>
        <w:tc>
          <w:tcPr>
            <w:tcW w:w="923" w:type="dxa"/>
            <w:gridSpan w:val="2"/>
            <w:vMerge w:val="restart"/>
            <w:shd w:val="clear" w:color="auto" w:fill="FFFFFF"/>
            <w:tcMar>
              <w:top w:w="0" w:type="dxa"/>
              <w:left w:w="108" w:type="dxa"/>
              <w:bottom w:w="0" w:type="dxa"/>
              <w:right w:w="108" w:type="dxa"/>
            </w:tcMar>
            <w:vAlign w:val="center"/>
          </w:tcPr>
          <w:p w14:paraId="5652F150">
            <w:pPr>
              <w:widowControl/>
              <w:spacing w:before="100" w:beforeAutospacing="1" w:after="100" w:afterAutospacing="1"/>
              <w:jc w:val="center"/>
              <w:rPr>
                <w:rFonts w:ascii="宋体" w:hAnsi="宋体" w:cs="楷体"/>
                <w:strike/>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响应性评审标准</w:t>
            </w:r>
          </w:p>
        </w:tc>
        <w:tc>
          <w:tcPr>
            <w:tcW w:w="2101" w:type="dxa"/>
            <w:gridSpan w:val="2"/>
            <w:shd w:val="clear" w:color="auto" w:fill="FFFFFF"/>
            <w:tcMar>
              <w:top w:w="0" w:type="dxa"/>
              <w:left w:w="108" w:type="dxa"/>
              <w:bottom w:w="0" w:type="dxa"/>
              <w:right w:w="108" w:type="dxa"/>
            </w:tcMar>
            <w:vAlign w:val="center"/>
          </w:tcPr>
          <w:p w14:paraId="47007429">
            <w:pPr>
              <w:spacing w:before="100" w:beforeAutospacing="1" w:after="100" w:afterAutospacing="1"/>
              <w:jc w:val="center"/>
              <w:rPr>
                <w:color w:val="000000" w:themeColor="text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投标报价</w:t>
            </w:r>
          </w:p>
        </w:tc>
        <w:tc>
          <w:tcPr>
            <w:tcW w:w="5371" w:type="dxa"/>
            <w:shd w:val="clear" w:color="auto" w:fill="FFFFFF"/>
            <w:tcMar>
              <w:top w:w="0" w:type="dxa"/>
              <w:left w:w="108" w:type="dxa"/>
              <w:bottom w:w="0" w:type="dxa"/>
              <w:right w:w="108" w:type="dxa"/>
            </w:tcMar>
          </w:tcPr>
          <w:p w14:paraId="77752A86">
            <w:pPr>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符合第二章“投标人须知”第</w:t>
            </w:r>
            <w:r>
              <w:rPr>
                <w:rFonts w:ascii="宋体" w:hAnsi="宋体" w:cs="楷体"/>
                <w:color w:val="000000" w:themeColor="text1"/>
                <w:kern w:val="0"/>
                <w:szCs w:val="21"/>
                <w14:textFill>
                  <w14:solidFill>
                    <w14:schemeClr w14:val="tx1"/>
                  </w14:solidFill>
                </w14:textFill>
              </w:rPr>
              <w:t>3.2款规定，且不得超过最高投标限价</w:t>
            </w:r>
          </w:p>
        </w:tc>
      </w:tr>
      <w:tr w14:paraId="4867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vAlign w:val="center"/>
          </w:tcPr>
          <w:p w14:paraId="7E50A342">
            <w:pPr>
              <w:widowControl/>
              <w:jc w:val="left"/>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vAlign w:val="center"/>
          </w:tcPr>
          <w:p w14:paraId="76941E19">
            <w:pPr>
              <w:widowControl/>
              <w:jc w:val="left"/>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2B53A07E">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投标内容</w:t>
            </w:r>
          </w:p>
        </w:tc>
        <w:tc>
          <w:tcPr>
            <w:tcW w:w="5371" w:type="dxa"/>
            <w:shd w:val="clear" w:color="auto" w:fill="FFFFFF"/>
            <w:tcMar>
              <w:top w:w="0" w:type="dxa"/>
              <w:left w:w="108" w:type="dxa"/>
              <w:bottom w:w="0" w:type="dxa"/>
              <w:right w:w="108" w:type="dxa"/>
            </w:tcMar>
            <w:vAlign w:val="center"/>
          </w:tcPr>
          <w:p w14:paraId="4240BB8B">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符合第二章“投标人须知”第</w:t>
            </w:r>
            <w:r>
              <w:rPr>
                <w:rFonts w:ascii="宋体" w:hAnsi="宋体" w:cs="楷体"/>
                <w:color w:val="000000" w:themeColor="text1"/>
                <w:kern w:val="0"/>
                <w:szCs w:val="21"/>
                <w14:textFill>
                  <w14:solidFill>
                    <w14:schemeClr w14:val="tx1"/>
                  </w14:solidFill>
                </w14:textFill>
              </w:rPr>
              <w:t>1.3.1项规定</w:t>
            </w:r>
          </w:p>
        </w:tc>
      </w:tr>
      <w:tr w14:paraId="4477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vAlign w:val="center"/>
          </w:tcPr>
          <w:p w14:paraId="4A4DDAF0">
            <w:pPr>
              <w:widowControl/>
              <w:jc w:val="left"/>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vAlign w:val="center"/>
          </w:tcPr>
          <w:p w14:paraId="27D516E2">
            <w:pPr>
              <w:widowControl/>
              <w:jc w:val="left"/>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34DBB2F2">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监理服务期限</w:t>
            </w:r>
          </w:p>
        </w:tc>
        <w:tc>
          <w:tcPr>
            <w:tcW w:w="5371" w:type="dxa"/>
            <w:shd w:val="clear" w:color="auto" w:fill="FFFFFF"/>
            <w:tcMar>
              <w:top w:w="0" w:type="dxa"/>
              <w:left w:w="108" w:type="dxa"/>
              <w:bottom w:w="0" w:type="dxa"/>
              <w:right w:w="108" w:type="dxa"/>
            </w:tcMar>
            <w:vAlign w:val="center"/>
          </w:tcPr>
          <w:p w14:paraId="6B6CB565">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符合第二章“投标人须知”第</w:t>
            </w:r>
            <w:r>
              <w:rPr>
                <w:rFonts w:ascii="宋体" w:hAnsi="宋体" w:cs="楷体"/>
                <w:color w:val="000000" w:themeColor="text1"/>
                <w:kern w:val="0"/>
                <w:szCs w:val="21"/>
                <w14:textFill>
                  <w14:solidFill>
                    <w14:schemeClr w14:val="tx1"/>
                  </w14:solidFill>
                </w14:textFill>
              </w:rPr>
              <w:t>1.3.2项规定</w:t>
            </w:r>
          </w:p>
        </w:tc>
      </w:tr>
      <w:tr w14:paraId="5ACC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vAlign w:val="center"/>
          </w:tcPr>
          <w:p w14:paraId="42528946">
            <w:pPr>
              <w:widowControl/>
              <w:jc w:val="left"/>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vAlign w:val="center"/>
          </w:tcPr>
          <w:p w14:paraId="7369088F">
            <w:pPr>
              <w:widowControl/>
              <w:jc w:val="left"/>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vAlign w:val="center"/>
          </w:tcPr>
          <w:p w14:paraId="1F7A56C1">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质量标准</w:t>
            </w:r>
          </w:p>
        </w:tc>
        <w:tc>
          <w:tcPr>
            <w:tcW w:w="5371" w:type="dxa"/>
            <w:shd w:val="clear" w:color="auto" w:fill="FFFFFF"/>
            <w:tcMar>
              <w:top w:w="0" w:type="dxa"/>
              <w:left w:w="108" w:type="dxa"/>
              <w:bottom w:w="0" w:type="dxa"/>
              <w:right w:w="108" w:type="dxa"/>
            </w:tcMar>
            <w:vAlign w:val="center"/>
          </w:tcPr>
          <w:p w14:paraId="335EE6E2">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符合第二章“投标人须知”第</w:t>
            </w:r>
            <w:r>
              <w:rPr>
                <w:rFonts w:ascii="宋体" w:hAnsi="宋体" w:cs="楷体"/>
                <w:color w:val="000000" w:themeColor="text1"/>
                <w:kern w:val="0"/>
                <w:szCs w:val="21"/>
                <w14:textFill>
                  <w14:solidFill>
                    <w14:schemeClr w14:val="tx1"/>
                  </w14:solidFill>
                </w14:textFill>
              </w:rPr>
              <w:t>1.3.3项规定</w:t>
            </w:r>
          </w:p>
        </w:tc>
      </w:tr>
      <w:tr w14:paraId="55A1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vAlign w:val="center"/>
          </w:tcPr>
          <w:p w14:paraId="65AD4DDF">
            <w:pPr>
              <w:widowControl/>
              <w:jc w:val="left"/>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vAlign w:val="center"/>
          </w:tcPr>
          <w:p w14:paraId="449160B1">
            <w:pPr>
              <w:widowControl/>
              <w:jc w:val="left"/>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tcPr>
          <w:p w14:paraId="183749BC">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投标有效期</w:t>
            </w:r>
          </w:p>
        </w:tc>
        <w:tc>
          <w:tcPr>
            <w:tcW w:w="5371" w:type="dxa"/>
            <w:shd w:val="clear" w:color="auto" w:fill="FFFFFF"/>
            <w:tcMar>
              <w:top w:w="0" w:type="dxa"/>
              <w:left w:w="108" w:type="dxa"/>
              <w:bottom w:w="0" w:type="dxa"/>
              <w:right w:w="108" w:type="dxa"/>
            </w:tcMar>
          </w:tcPr>
          <w:p w14:paraId="1C146633">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符合第二章“投标人须知”第</w:t>
            </w:r>
            <w:r>
              <w:rPr>
                <w:rFonts w:ascii="宋体" w:hAnsi="宋体" w:cs="楷体"/>
                <w:color w:val="000000" w:themeColor="text1"/>
                <w:kern w:val="0"/>
                <w:szCs w:val="21"/>
                <w14:textFill>
                  <w14:solidFill>
                    <w14:schemeClr w14:val="tx1"/>
                  </w14:solidFill>
                </w14:textFill>
              </w:rPr>
              <w:t>3.3.1项规定</w:t>
            </w:r>
          </w:p>
        </w:tc>
      </w:tr>
      <w:tr w14:paraId="3BE1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vAlign w:val="center"/>
          </w:tcPr>
          <w:p w14:paraId="507B118C">
            <w:pPr>
              <w:widowControl/>
              <w:jc w:val="left"/>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vAlign w:val="center"/>
          </w:tcPr>
          <w:p w14:paraId="1C5D1854">
            <w:pPr>
              <w:widowControl/>
              <w:jc w:val="left"/>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tcPr>
          <w:p w14:paraId="3A7B1AA5">
            <w:pPr>
              <w:widowControl/>
              <w:spacing w:before="100" w:beforeAutospacing="1" w:after="100" w:afterAutospacing="1"/>
              <w:jc w:val="center"/>
              <w:rPr>
                <w:rFonts w:hint="eastAsia"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投标保证金</w:t>
            </w:r>
          </w:p>
        </w:tc>
        <w:tc>
          <w:tcPr>
            <w:tcW w:w="5371" w:type="dxa"/>
            <w:shd w:val="clear" w:color="auto" w:fill="FFFFFF"/>
            <w:tcMar>
              <w:top w:w="0" w:type="dxa"/>
              <w:left w:w="108" w:type="dxa"/>
              <w:bottom w:w="0" w:type="dxa"/>
              <w:right w:w="108" w:type="dxa"/>
            </w:tcMar>
          </w:tcPr>
          <w:p w14:paraId="1FB9F466">
            <w:pPr>
              <w:widowControl/>
              <w:spacing w:before="100" w:beforeAutospacing="1" w:after="100" w:afterAutospacing="1"/>
              <w:jc w:val="left"/>
              <w:rPr>
                <w:rFonts w:hint="eastAsia"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符合第二章“投标人须知”第3.4.1项规定</w:t>
            </w:r>
          </w:p>
        </w:tc>
      </w:tr>
      <w:tr w14:paraId="411A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0" w:type="dxa"/>
            <w:vMerge w:val="continue"/>
            <w:shd w:val="clear" w:color="auto" w:fill="FFFFFF"/>
            <w:vAlign w:val="center"/>
          </w:tcPr>
          <w:p w14:paraId="2D31B642">
            <w:pPr>
              <w:widowControl/>
              <w:jc w:val="left"/>
              <w:rPr>
                <w:rFonts w:ascii="宋体" w:hAnsi="宋体" w:cs="楷体"/>
                <w:color w:val="000000" w:themeColor="text1"/>
                <w:kern w:val="0"/>
                <w:szCs w:val="21"/>
                <w14:textFill>
                  <w14:solidFill>
                    <w14:schemeClr w14:val="tx1"/>
                  </w14:solidFill>
                </w14:textFill>
              </w:rPr>
            </w:pPr>
          </w:p>
        </w:tc>
        <w:tc>
          <w:tcPr>
            <w:tcW w:w="923" w:type="dxa"/>
            <w:gridSpan w:val="2"/>
            <w:vMerge w:val="continue"/>
            <w:shd w:val="clear" w:color="auto" w:fill="FFFFFF"/>
            <w:vAlign w:val="center"/>
          </w:tcPr>
          <w:p w14:paraId="6729D751">
            <w:pPr>
              <w:widowControl/>
              <w:jc w:val="left"/>
              <w:rPr>
                <w:rFonts w:ascii="宋体" w:hAnsi="宋体" w:cs="楷体"/>
                <w:color w:val="000000" w:themeColor="text1"/>
                <w:kern w:val="0"/>
                <w:szCs w:val="21"/>
                <w14:textFill>
                  <w14:solidFill>
                    <w14:schemeClr w14:val="tx1"/>
                  </w14:solidFill>
                </w14:textFill>
              </w:rPr>
            </w:pPr>
          </w:p>
        </w:tc>
        <w:tc>
          <w:tcPr>
            <w:tcW w:w="2101" w:type="dxa"/>
            <w:gridSpan w:val="2"/>
            <w:shd w:val="clear" w:color="auto" w:fill="FFFFFF"/>
            <w:tcMar>
              <w:top w:w="0" w:type="dxa"/>
              <w:left w:w="108" w:type="dxa"/>
              <w:bottom w:w="0" w:type="dxa"/>
              <w:right w:w="108" w:type="dxa"/>
            </w:tcMar>
          </w:tcPr>
          <w:p w14:paraId="4B363A5B">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串通投标情形</w:t>
            </w:r>
          </w:p>
        </w:tc>
        <w:tc>
          <w:tcPr>
            <w:tcW w:w="5371" w:type="dxa"/>
            <w:shd w:val="clear" w:color="auto" w:fill="FFFFFF"/>
            <w:tcMar>
              <w:top w:w="0" w:type="dxa"/>
              <w:left w:w="108" w:type="dxa"/>
              <w:bottom w:w="0" w:type="dxa"/>
              <w:right w:w="108" w:type="dxa"/>
            </w:tcMar>
          </w:tcPr>
          <w:p w14:paraId="7A699F87">
            <w:pPr>
              <w:rPr>
                <w:rFonts w:ascii="宋体" w:hAnsi="宋体" w:cs="楷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不存在串通投标情形（串通投标情形以《广东省实施</w:t>
            </w:r>
            <w:r>
              <w:rPr>
                <w:rFonts w:hint="eastAsia" w:ascii="宋体" w:hAnsi="宋体" w:cs="宋体"/>
                <w:color w:val="000000" w:themeColor="text1"/>
                <w:kern w:val="0"/>
                <w:szCs w:val="21"/>
                <w:lang w:eastAsia="zh-CN" w:bidi="ar"/>
                <w14:textFill>
                  <w14:solidFill>
                    <w14:schemeClr w14:val="tx1"/>
                  </w14:solidFill>
                </w14:textFill>
              </w:rPr>
              <w:t>〈</w:t>
            </w:r>
            <w:r>
              <w:rPr>
                <w:rFonts w:ascii="宋体" w:hAnsi="宋体" w:cs="宋体"/>
                <w:color w:val="000000" w:themeColor="text1"/>
                <w:kern w:val="0"/>
                <w:szCs w:val="21"/>
                <w:lang w:bidi="ar"/>
                <w14:textFill>
                  <w14:solidFill>
                    <w14:schemeClr w14:val="tx1"/>
                  </w14:solidFill>
                </w14:textFill>
              </w:rPr>
              <w:t>中华人民共和国招标投标法</w:t>
            </w:r>
            <w:r>
              <w:rPr>
                <w:rFonts w:hint="eastAsia" w:ascii="宋体" w:hAnsi="宋体" w:cs="宋体"/>
                <w:color w:val="000000" w:themeColor="text1"/>
                <w:kern w:val="0"/>
                <w:szCs w:val="21"/>
                <w:lang w:eastAsia="zh-CN" w:bidi="ar"/>
                <w14:textFill>
                  <w14:solidFill>
                    <w14:schemeClr w14:val="tx1"/>
                  </w14:solidFill>
                </w14:textFill>
              </w:rPr>
              <w:t>〉</w:t>
            </w:r>
            <w:r>
              <w:rPr>
                <w:rFonts w:ascii="宋体" w:hAnsi="宋体" w:cs="宋体"/>
                <w:color w:val="000000" w:themeColor="text1"/>
                <w:kern w:val="0"/>
                <w:szCs w:val="21"/>
                <w:lang w:bidi="ar"/>
                <w14:textFill>
                  <w14:solidFill>
                    <w14:schemeClr w14:val="tx1"/>
                  </w14:solidFill>
                </w14:textFill>
              </w:rPr>
              <w:t>》第十六条的规定为准）</w:t>
            </w:r>
            <w:r>
              <w:rPr>
                <w:rFonts w:hint="eastAsia" w:ascii="宋体" w:hAnsi="宋体" w:cs="楷体"/>
                <w:color w:val="000000" w:themeColor="text1"/>
                <w:kern w:val="0"/>
                <w:szCs w:val="21"/>
                <w14:textFill>
                  <w14:solidFill>
                    <w14:schemeClr w14:val="tx1"/>
                  </w14:solidFill>
                </w14:textFill>
              </w:rPr>
              <w:t>。</w:t>
            </w:r>
          </w:p>
        </w:tc>
      </w:tr>
      <w:tr w14:paraId="0508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1603" w:type="dxa"/>
            <w:gridSpan w:val="3"/>
            <w:shd w:val="clear" w:color="auto" w:fill="FFFFFF"/>
            <w:tcMar>
              <w:top w:w="0" w:type="dxa"/>
              <w:left w:w="108" w:type="dxa"/>
              <w:bottom w:w="0" w:type="dxa"/>
              <w:right w:w="108" w:type="dxa"/>
            </w:tcMar>
            <w:vAlign w:val="center"/>
          </w:tcPr>
          <w:p w14:paraId="1DDF6130">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b/>
                <w:bCs/>
                <w:color w:val="000000" w:themeColor="text1"/>
                <w:kern w:val="0"/>
                <w:szCs w:val="21"/>
                <w14:textFill>
                  <w14:solidFill>
                    <w14:schemeClr w14:val="tx1"/>
                  </w14:solidFill>
                </w14:textFill>
              </w:rPr>
              <w:t>条款号</w:t>
            </w:r>
          </w:p>
        </w:tc>
        <w:tc>
          <w:tcPr>
            <w:tcW w:w="2101" w:type="dxa"/>
            <w:gridSpan w:val="2"/>
            <w:shd w:val="clear" w:color="auto" w:fill="FFFFFF"/>
            <w:tcMar>
              <w:top w:w="0" w:type="dxa"/>
              <w:left w:w="108" w:type="dxa"/>
              <w:bottom w:w="0" w:type="dxa"/>
              <w:right w:w="108" w:type="dxa"/>
            </w:tcMar>
            <w:vAlign w:val="center"/>
          </w:tcPr>
          <w:p w14:paraId="1DA0431C">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b/>
                <w:bCs/>
                <w:color w:val="000000" w:themeColor="text1"/>
                <w:kern w:val="0"/>
                <w:szCs w:val="21"/>
                <w14:textFill>
                  <w14:solidFill>
                    <w14:schemeClr w14:val="tx1"/>
                  </w14:solidFill>
                </w14:textFill>
              </w:rPr>
              <w:t>条款内容</w:t>
            </w:r>
          </w:p>
        </w:tc>
        <w:tc>
          <w:tcPr>
            <w:tcW w:w="5371" w:type="dxa"/>
            <w:shd w:val="clear" w:color="auto" w:fill="FFFFFF"/>
            <w:tcMar>
              <w:top w:w="0" w:type="dxa"/>
              <w:left w:w="108" w:type="dxa"/>
              <w:bottom w:w="0" w:type="dxa"/>
              <w:right w:w="108" w:type="dxa"/>
            </w:tcMar>
            <w:vAlign w:val="center"/>
          </w:tcPr>
          <w:p w14:paraId="283B4664">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b/>
                <w:bCs/>
                <w:color w:val="000000" w:themeColor="text1"/>
                <w:kern w:val="0"/>
                <w:szCs w:val="21"/>
                <w14:textFill>
                  <w14:solidFill>
                    <w14:schemeClr w14:val="tx1"/>
                  </w14:solidFill>
                </w14:textFill>
              </w:rPr>
              <w:t>编列内容</w:t>
            </w:r>
          </w:p>
        </w:tc>
      </w:tr>
      <w:tr w14:paraId="2C26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1603" w:type="dxa"/>
            <w:gridSpan w:val="3"/>
            <w:shd w:val="clear" w:color="auto" w:fill="FFFFFF"/>
            <w:tcMar>
              <w:top w:w="0" w:type="dxa"/>
              <w:left w:w="108" w:type="dxa"/>
              <w:bottom w:w="0" w:type="dxa"/>
              <w:right w:w="108" w:type="dxa"/>
            </w:tcMar>
            <w:vAlign w:val="center"/>
          </w:tcPr>
          <w:p w14:paraId="25B97EFF">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ascii="宋体" w:hAnsi="宋体" w:cs="楷体"/>
                <w:color w:val="000000" w:themeColor="text1"/>
                <w:kern w:val="0"/>
                <w:szCs w:val="21"/>
                <w14:textFill>
                  <w14:solidFill>
                    <w14:schemeClr w14:val="tx1"/>
                  </w14:solidFill>
                </w14:textFill>
              </w:rPr>
              <w:t>2.2.1</w:t>
            </w:r>
          </w:p>
        </w:tc>
        <w:tc>
          <w:tcPr>
            <w:tcW w:w="2101" w:type="dxa"/>
            <w:gridSpan w:val="2"/>
            <w:shd w:val="clear" w:color="auto" w:fill="FFFFFF"/>
            <w:tcMar>
              <w:top w:w="0" w:type="dxa"/>
              <w:left w:w="108" w:type="dxa"/>
              <w:bottom w:w="0" w:type="dxa"/>
              <w:right w:w="108" w:type="dxa"/>
            </w:tcMar>
            <w:vAlign w:val="center"/>
          </w:tcPr>
          <w:p w14:paraId="5849D533">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分值构成</w:t>
            </w:r>
            <w:r>
              <w:rPr>
                <w:rFonts w:ascii="宋体" w:hAnsi="宋体" w:cs="楷体"/>
                <w:color w:val="000000" w:themeColor="text1"/>
                <w:kern w:val="0"/>
                <w:szCs w:val="21"/>
                <w14:textFill>
                  <w14:solidFill>
                    <w14:schemeClr w14:val="tx1"/>
                  </w14:solidFill>
                </w14:textFill>
              </w:rPr>
              <w:t>(总分100分)</w:t>
            </w:r>
          </w:p>
        </w:tc>
        <w:tc>
          <w:tcPr>
            <w:tcW w:w="5371" w:type="dxa"/>
            <w:shd w:val="clear" w:color="auto" w:fill="FFFFFF"/>
            <w:tcMar>
              <w:top w:w="0" w:type="dxa"/>
              <w:left w:w="108" w:type="dxa"/>
              <w:bottom w:w="0" w:type="dxa"/>
              <w:right w:w="108" w:type="dxa"/>
            </w:tcMar>
            <w:vAlign w:val="center"/>
          </w:tcPr>
          <w:p w14:paraId="2384FA31">
            <w:pPr>
              <w:widowControl/>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lang w:val="en-US" w:eastAsia="zh-CN"/>
                <w14:textFill>
                  <w14:solidFill>
                    <w14:schemeClr w14:val="tx1"/>
                  </w14:solidFill>
                </w14:textFill>
              </w:rPr>
              <w:t>资信</w:t>
            </w:r>
            <w:r>
              <w:rPr>
                <w:rFonts w:hint="eastAsia" w:ascii="宋体" w:hAnsi="宋体" w:cs="楷体"/>
                <w:color w:val="000000" w:themeColor="text1"/>
                <w:kern w:val="0"/>
                <w:szCs w:val="21"/>
                <w14:textFill>
                  <w14:solidFill>
                    <w14:schemeClr w14:val="tx1"/>
                  </w14:solidFill>
                </w14:textFill>
              </w:rPr>
              <w:t>方案部分</w:t>
            </w:r>
            <w:r>
              <w:rPr>
                <w:rFonts w:hint="eastAsia" w:ascii="宋体" w:hAnsi="宋体" w:cs="楷体"/>
                <w:color w:val="000000" w:themeColor="text1"/>
                <w:kern w:val="0"/>
                <w:szCs w:val="21"/>
                <w:lang w:val="en-US" w:eastAsia="zh-CN"/>
                <w14:textFill>
                  <w14:solidFill>
                    <w14:schemeClr w14:val="tx1"/>
                  </w14:solidFill>
                </w14:textFill>
              </w:rPr>
              <w:t>+</w:t>
            </w:r>
            <w:r>
              <w:rPr>
                <w:rFonts w:hint="eastAsia" w:ascii="宋体" w:hAnsi="宋体" w:cs="楷体"/>
                <w:color w:val="000000" w:themeColor="text1"/>
                <w:kern w:val="0"/>
                <w:szCs w:val="21"/>
                <w14:textFill>
                  <w14:solidFill>
                    <w14:schemeClr w14:val="tx1"/>
                  </w14:solidFill>
                </w14:textFill>
              </w:rPr>
              <w:t>投标报价部分：</w:t>
            </w:r>
            <w:r>
              <w:rPr>
                <w:rFonts w:hint="eastAsia" w:ascii="宋体" w:hAnsi="宋体" w:cs="楷体"/>
                <w:color w:val="000000" w:themeColor="text1"/>
                <w:kern w:val="0"/>
                <w:szCs w:val="21"/>
                <w:lang w:val="en-US" w:eastAsia="zh-CN"/>
                <w14:textFill>
                  <w14:solidFill>
                    <w14:schemeClr w14:val="tx1"/>
                  </w14:solidFill>
                </w14:textFill>
              </w:rPr>
              <w:t>100</w:t>
            </w:r>
            <w:r>
              <w:rPr>
                <w:rFonts w:hint="eastAsia" w:ascii="宋体" w:hAnsi="宋体" w:cs="楷体"/>
                <w:color w:val="000000" w:themeColor="text1"/>
                <w:kern w:val="0"/>
                <w:szCs w:val="21"/>
                <w14:textFill>
                  <w14:solidFill>
                    <w14:schemeClr w14:val="tx1"/>
                  </w14:solidFill>
                </w14:textFill>
              </w:rPr>
              <w:t>分（权重</w:t>
            </w:r>
            <w:r>
              <w:rPr>
                <w:rFonts w:hint="eastAsia" w:ascii="宋体" w:hAnsi="宋体" w:cs="楷体"/>
                <w:color w:val="000000" w:themeColor="text1"/>
                <w:kern w:val="0"/>
                <w:szCs w:val="21"/>
                <w:lang w:val="en-US" w:eastAsia="zh-CN"/>
                <w14:textFill>
                  <w14:solidFill>
                    <w14:schemeClr w14:val="tx1"/>
                  </w14:solidFill>
                </w14:textFill>
              </w:rPr>
              <w:t>85</w:t>
            </w:r>
            <w:r>
              <w:rPr>
                <w:rFonts w:ascii="宋体" w:hAnsi="宋体" w:cs="楷体"/>
                <w:color w:val="000000" w:themeColor="text1"/>
                <w:kern w:val="0"/>
                <w:szCs w:val="21"/>
                <w14:textFill>
                  <w14:solidFill>
                    <w14:schemeClr w14:val="tx1"/>
                  </w14:solidFill>
                </w14:textFill>
              </w:rPr>
              <w:t>%</w:t>
            </w:r>
            <w:r>
              <w:rPr>
                <w:rFonts w:hint="eastAsia" w:ascii="宋体" w:hAnsi="宋体" w:cs="楷体"/>
                <w:color w:val="000000" w:themeColor="text1"/>
                <w:kern w:val="0"/>
                <w:szCs w:val="21"/>
                <w14:textFill>
                  <w14:solidFill>
                    <w14:schemeClr w14:val="tx1"/>
                  </w14:solidFill>
                </w14:textFill>
              </w:rPr>
              <w:t>）</w:t>
            </w:r>
          </w:p>
          <w:p w14:paraId="4890355A">
            <w:pPr>
              <w:widowControl/>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诚信综合评价排名</w:t>
            </w:r>
            <w:r>
              <w:rPr>
                <w:rFonts w:hint="eastAsia" w:ascii="宋体" w:hAnsi="宋体" w:cs="楷体"/>
                <w:color w:val="000000" w:themeColor="text1"/>
                <w:kern w:val="0"/>
                <w:szCs w:val="21"/>
                <w:lang w:val="en-US" w:eastAsia="zh-CN"/>
                <w14:textFill>
                  <w14:solidFill>
                    <w14:schemeClr w14:val="tx1"/>
                  </w14:solidFill>
                </w14:textFill>
              </w:rPr>
              <w:t>部分</w:t>
            </w:r>
            <w:r>
              <w:rPr>
                <w:rFonts w:hint="eastAsia" w:ascii="宋体" w:hAnsi="宋体" w:cs="楷体"/>
                <w:color w:val="000000" w:themeColor="text1"/>
                <w:kern w:val="0"/>
                <w:szCs w:val="21"/>
                <w14:textFill>
                  <w14:solidFill>
                    <w14:schemeClr w14:val="tx1"/>
                  </w14:solidFill>
                </w14:textFill>
              </w:rPr>
              <w:t>：</w:t>
            </w:r>
            <w:r>
              <w:rPr>
                <w:rFonts w:hint="eastAsia" w:ascii="宋体" w:hAnsi="宋体" w:cs="楷体"/>
                <w:color w:val="000000" w:themeColor="text1"/>
                <w:kern w:val="0"/>
                <w:szCs w:val="21"/>
                <w:lang w:val="en-US" w:eastAsia="zh-CN"/>
                <w14:textFill>
                  <w14:solidFill>
                    <w14:schemeClr w14:val="tx1"/>
                  </w14:solidFill>
                </w14:textFill>
              </w:rPr>
              <w:t>100</w:t>
            </w:r>
            <w:r>
              <w:rPr>
                <w:rFonts w:ascii="宋体" w:hAnsi="宋体" w:cs="楷体"/>
                <w:color w:val="000000" w:themeColor="text1"/>
                <w:kern w:val="0"/>
                <w:szCs w:val="21"/>
                <w14:textFill>
                  <w14:solidFill>
                    <w14:schemeClr w14:val="tx1"/>
                  </w14:solidFill>
                </w14:textFill>
              </w:rPr>
              <w:t>分（权重</w:t>
            </w:r>
            <w:r>
              <w:rPr>
                <w:rFonts w:hint="eastAsia" w:ascii="宋体" w:hAnsi="宋体" w:cs="楷体"/>
                <w:color w:val="000000" w:themeColor="text1"/>
                <w:kern w:val="0"/>
                <w:szCs w:val="21"/>
                <w:lang w:val="en-US" w:eastAsia="zh-CN"/>
                <w14:textFill>
                  <w14:solidFill>
                    <w14:schemeClr w14:val="tx1"/>
                  </w14:solidFill>
                </w14:textFill>
              </w:rPr>
              <w:t>15</w:t>
            </w:r>
            <w:r>
              <w:rPr>
                <w:rFonts w:ascii="宋体" w:hAnsi="宋体" w:cs="楷体"/>
                <w:color w:val="000000" w:themeColor="text1"/>
                <w:kern w:val="0"/>
                <w:szCs w:val="21"/>
                <w14:textFill>
                  <w14:solidFill>
                    <w14:schemeClr w14:val="tx1"/>
                  </w14:solidFill>
                </w14:textFill>
              </w:rPr>
              <w:t>%）</w:t>
            </w:r>
          </w:p>
          <w:p w14:paraId="5FB320BA">
            <w:pPr>
              <w:pStyle w:val="2"/>
              <w:ind w:left="0" w:leftChars="0" w:firstLine="0"/>
            </w:pPr>
            <w:r>
              <w:rPr>
                <w:rFonts w:hint="eastAsia"/>
              </w:rPr>
              <w:t>投标人得分=</w:t>
            </w:r>
            <w:r>
              <w:rPr>
                <w:rFonts w:hint="eastAsia" w:ascii="宋体" w:hAnsi="宋体" w:cs="宋体"/>
              </w:rPr>
              <w:t>(资信方案部分+投标报价部分)*85%+诚信综合评价排名部分*15%</w:t>
            </w:r>
          </w:p>
        </w:tc>
      </w:tr>
      <w:tr w14:paraId="0AF9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1603" w:type="dxa"/>
            <w:gridSpan w:val="3"/>
            <w:shd w:val="clear" w:color="auto" w:fill="FFFFFF"/>
            <w:tcMar>
              <w:top w:w="0" w:type="dxa"/>
              <w:left w:w="108" w:type="dxa"/>
              <w:bottom w:w="0" w:type="dxa"/>
              <w:right w:w="108" w:type="dxa"/>
            </w:tcMar>
            <w:vAlign w:val="center"/>
          </w:tcPr>
          <w:p w14:paraId="67F6BE7A">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ascii="宋体" w:hAnsi="宋体" w:cs="楷体"/>
                <w:color w:val="000000" w:themeColor="text1"/>
                <w:kern w:val="0"/>
                <w:szCs w:val="21"/>
                <w14:textFill>
                  <w14:solidFill>
                    <w14:schemeClr w14:val="tx1"/>
                  </w14:solidFill>
                </w14:textFill>
              </w:rPr>
              <w:t>2.2.2</w:t>
            </w:r>
          </w:p>
        </w:tc>
        <w:tc>
          <w:tcPr>
            <w:tcW w:w="2101" w:type="dxa"/>
            <w:gridSpan w:val="2"/>
            <w:shd w:val="clear" w:color="auto" w:fill="FFFFFF"/>
            <w:tcMar>
              <w:top w:w="0" w:type="dxa"/>
              <w:left w:w="108" w:type="dxa"/>
              <w:bottom w:w="0" w:type="dxa"/>
              <w:right w:w="108" w:type="dxa"/>
            </w:tcMar>
            <w:vAlign w:val="center"/>
          </w:tcPr>
          <w:p w14:paraId="7FF63A5D">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评标基准价计算方法</w:t>
            </w:r>
          </w:p>
        </w:tc>
        <w:tc>
          <w:tcPr>
            <w:tcW w:w="5371" w:type="dxa"/>
            <w:shd w:val="clear" w:color="auto" w:fill="FFFFFF"/>
            <w:tcMar>
              <w:top w:w="0" w:type="dxa"/>
              <w:left w:w="108" w:type="dxa"/>
              <w:bottom w:w="0" w:type="dxa"/>
              <w:right w:w="108" w:type="dxa"/>
            </w:tcMar>
            <w:vAlign w:val="center"/>
          </w:tcPr>
          <w:p w14:paraId="21C02DCB">
            <w:pPr>
              <w:widowControl/>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评标</w:t>
            </w:r>
            <w:r>
              <w:rPr>
                <w:rFonts w:hint="eastAsia" w:ascii="宋体" w:hAnsi="宋体" w:cs="楷体"/>
                <w:color w:val="000000" w:themeColor="text1"/>
                <w:kern w:val="0"/>
                <w:szCs w:val="21"/>
                <w:lang w:val="en-US" w:eastAsia="zh-CN"/>
                <w14:textFill>
                  <w14:solidFill>
                    <w14:schemeClr w14:val="tx1"/>
                  </w14:solidFill>
                </w14:textFill>
              </w:rPr>
              <w:t>的价格基准</w:t>
            </w:r>
            <w:r>
              <w:rPr>
                <w:rFonts w:hint="eastAsia" w:ascii="宋体" w:hAnsi="宋体" w:cs="楷体"/>
                <w:color w:val="000000" w:themeColor="text1"/>
                <w:kern w:val="0"/>
                <w:szCs w:val="21"/>
                <w14:textFill>
                  <w14:solidFill>
                    <w14:schemeClr w14:val="tx1"/>
                  </w14:solidFill>
                </w14:textFill>
              </w:rPr>
              <w:t>价</w:t>
            </w:r>
            <w:r>
              <w:rPr>
                <w:rFonts w:hint="eastAsia" w:ascii="宋体" w:hAnsi="宋体" w:cs="楷体"/>
                <w:color w:val="000000" w:themeColor="text1"/>
                <w:kern w:val="0"/>
                <w:szCs w:val="21"/>
                <w:lang w:eastAsia="zh-CN"/>
                <w14:textFill>
                  <w14:solidFill>
                    <w14:schemeClr w14:val="tx1"/>
                  </w14:solidFill>
                </w14:textFill>
              </w:rPr>
              <w:t>，</w:t>
            </w:r>
            <w:r>
              <w:rPr>
                <w:rFonts w:hint="eastAsia" w:ascii="宋体" w:hAnsi="宋体" w:cs="楷体"/>
                <w:color w:val="000000" w:themeColor="text1"/>
                <w:kern w:val="0"/>
                <w:szCs w:val="21"/>
                <w14:textFill>
                  <w14:solidFill>
                    <w14:schemeClr w14:val="tx1"/>
                  </w14:solidFill>
                </w14:textFill>
              </w:rPr>
              <w:t>加权平均法</w:t>
            </w:r>
            <w:r>
              <w:rPr>
                <w:rFonts w:hint="eastAsia" w:ascii="宋体" w:hAnsi="宋体" w:cs="楷体"/>
                <w:color w:val="000000" w:themeColor="text1"/>
                <w:kern w:val="0"/>
                <w:szCs w:val="21"/>
                <w:lang w:eastAsia="zh-CN"/>
                <w14:textFill>
                  <w14:solidFill>
                    <w14:schemeClr w14:val="tx1"/>
                  </w14:solidFill>
                </w14:textFill>
              </w:rPr>
              <w:t>：</w:t>
            </w:r>
            <w:r>
              <w:rPr>
                <w:rFonts w:hint="eastAsia" w:ascii="宋体" w:hAnsi="宋体" w:cs="楷体"/>
                <w:color w:val="000000" w:themeColor="text1"/>
                <w:kern w:val="0"/>
                <w:szCs w:val="21"/>
                <w14:textFill>
                  <w14:solidFill>
                    <w14:schemeClr w14:val="tx1"/>
                  </w14:solidFill>
                </w14:textFill>
              </w:rPr>
              <w:t>若有效的投标人大于等于5家时</w:t>
            </w:r>
            <w:r>
              <w:rPr>
                <w:rFonts w:hint="eastAsia" w:ascii="宋体" w:hAnsi="宋体" w:cs="楷体"/>
                <w:color w:val="000000" w:themeColor="text1"/>
                <w:kern w:val="0"/>
                <w:szCs w:val="21"/>
                <w:lang w:eastAsia="zh-CN"/>
                <w14:textFill>
                  <w14:solidFill>
                    <w14:schemeClr w14:val="tx1"/>
                  </w14:solidFill>
                </w14:textFill>
              </w:rPr>
              <w:t>，</w:t>
            </w:r>
            <w:r>
              <w:rPr>
                <w:rFonts w:hint="eastAsia" w:ascii="宋体" w:hAnsi="宋体" w:cs="楷体"/>
                <w:color w:val="000000" w:themeColor="text1"/>
                <w:kern w:val="0"/>
                <w:szCs w:val="21"/>
                <w14:textFill>
                  <w14:solidFill>
                    <w14:schemeClr w14:val="tx1"/>
                  </w14:solidFill>
                </w14:textFill>
              </w:rPr>
              <w:t>N=5；若有效的投标人小于5家时</w:t>
            </w:r>
            <w:r>
              <w:rPr>
                <w:rFonts w:hint="eastAsia" w:ascii="宋体" w:hAnsi="宋体" w:cs="楷体"/>
                <w:color w:val="000000" w:themeColor="text1"/>
                <w:kern w:val="0"/>
                <w:szCs w:val="21"/>
                <w:lang w:eastAsia="zh-CN"/>
                <w14:textFill>
                  <w14:solidFill>
                    <w14:schemeClr w14:val="tx1"/>
                  </w14:solidFill>
                </w14:textFill>
              </w:rPr>
              <w:t>，</w:t>
            </w:r>
            <w:r>
              <w:rPr>
                <w:rFonts w:hint="eastAsia" w:ascii="宋体" w:hAnsi="宋体" w:cs="楷体"/>
                <w:color w:val="000000" w:themeColor="text1"/>
                <w:kern w:val="0"/>
                <w:szCs w:val="21"/>
                <w14:textFill>
                  <w14:solidFill>
                    <w14:schemeClr w14:val="tx1"/>
                  </w14:solidFill>
                </w14:textFill>
              </w:rPr>
              <w:t>N=有效的投标人个数；若技术分相同</w:t>
            </w:r>
            <w:r>
              <w:rPr>
                <w:rFonts w:hint="eastAsia" w:ascii="宋体" w:hAnsi="宋体" w:cs="楷体"/>
                <w:color w:val="000000" w:themeColor="text1"/>
                <w:kern w:val="0"/>
                <w:szCs w:val="21"/>
                <w:lang w:eastAsia="zh-CN"/>
                <w14:textFill>
                  <w14:solidFill>
                    <w14:schemeClr w14:val="tx1"/>
                  </w14:solidFill>
                </w14:textFill>
              </w:rPr>
              <w:t>，</w:t>
            </w:r>
            <w:r>
              <w:rPr>
                <w:rFonts w:hint="eastAsia" w:ascii="宋体" w:hAnsi="宋体" w:cs="楷体"/>
                <w:color w:val="000000" w:themeColor="text1"/>
                <w:kern w:val="0"/>
                <w:szCs w:val="21"/>
                <w14:textFill>
                  <w14:solidFill>
                    <w14:schemeClr w14:val="tx1"/>
                  </w14:solidFill>
                </w14:textFill>
              </w:rPr>
              <w:t>则以报价较低的排前，如仍存在相同情况，则对具有相同情况的投标人，由评标委员会采用记名投票方式决定先后顺序，确定投标人的排序。</w:t>
            </w:r>
            <w:r>
              <w:rPr>
                <w:rFonts w:hint="eastAsia" w:ascii="宋体" w:hAnsi="宋体" w:cs="楷体"/>
                <w:color w:val="000000" w:themeColor="text1"/>
                <w:kern w:val="0"/>
                <w:szCs w:val="21"/>
                <w:lang w:val="en-US" w:eastAsia="zh-CN"/>
                <w14:textFill>
                  <w14:solidFill>
                    <w14:schemeClr w14:val="tx1"/>
                  </w14:solidFill>
                </w14:textFill>
              </w:rPr>
              <w:t>基准价</w:t>
            </w:r>
            <w:r>
              <w:rPr>
                <w:rFonts w:hint="eastAsia" w:ascii="宋体" w:hAnsi="宋体" w:cs="楷体"/>
                <w:color w:val="000000" w:themeColor="text1"/>
                <w:kern w:val="0"/>
                <w:szCs w:val="21"/>
                <w14:textFill>
                  <w14:solidFill>
                    <w14:schemeClr w14:val="tx1"/>
                  </w14:solidFill>
                </w14:textFill>
              </w:rPr>
              <w:t>公式=Σ（投标人的投标报价*报价权重）</w:t>
            </w:r>
            <w:r>
              <w:rPr>
                <w:rFonts w:hint="eastAsia" w:ascii="宋体" w:hAnsi="宋体" w:cs="楷体"/>
                <w:color w:val="000000" w:themeColor="text1"/>
                <w:kern w:val="0"/>
                <w:szCs w:val="21"/>
                <w:lang w:eastAsia="zh-CN"/>
                <w14:textFill>
                  <w14:solidFill>
                    <w14:schemeClr w14:val="tx1"/>
                  </w14:solidFill>
                </w14:textFill>
              </w:rPr>
              <w:t>。</w:t>
            </w:r>
            <w:r>
              <w:rPr>
                <w:rFonts w:hint="eastAsia" w:ascii="宋体" w:hAnsi="宋体" w:cs="楷体"/>
                <w:color w:val="000000" w:themeColor="text1"/>
                <w:kern w:val="0"/>
                <w:szCs w:val="21"/>
                <w14:textFill>
                  <w14:solidFill>
                    <w14:schemeClr w14:val="tx1"/>
                  </w14:solidFill>
                </w14:textFill>
              </w:rPr>
              <w:t>其中：报价权重的计算方法为：将N名投标人按技术分由高至低进行排序，第一名投标人的权重为</w:t>
            </w:r>
            <w:r>
              <w:rPr>
                <w:rFonts w:ascii="宋体" w:hAnsi="宋体" w:cs="楷体"/>
                <w:color w:val="000000" w:themeColor="text1"/>
                <w:kern w:val="0"/>
                <w:szCs w:val="21"/>
                <w14:textFill>
                  <w14:solidFill>
                    <w14:schemeClr w14:val="tx1"/>
                  </w14:solidFill>
                </w14:textFill>
              </w:rPr>
              <w:drawing>
                <wp:inline distT="0" distB="0" distL="114300" distR="114300">
                  <wp:extent cx="347980" cy="363855"/>
                  <wp:effectExtent l="0" t="0" r="13970" b="1714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1"/>
                          <a:stretch>
                            <a:fillRect/>
                          </a:stretch>
                        </pic:blipFill>
                        <pic:spPr>
                          <a:xfrm>
                            <a:off x="0" y="0"/>
                            <a:ext cx="347980" cy="363855"/>
                          </a:xfrm>
                          <a:prstGeom prst="rect">
                            <a:avLst/>
                          </a:prstGeom>
                          <a:noFill/>
                          <a:ln>
                            <a:noFill/>
                          </a:ln>
                        </pic:spPr>
                      </pic:pic>
                    </a:graphicData>
                  </a:graphic>
                </wp:inline>
              </w:drawing>
            </w:r>
            <w:r>
              <w:rPr>
                <w:rFonts w:hint="eastAsia" w:ascii="宋体" w:hAnsi="宋体" w:cs="楷体"/>
                <w:color w:val="000000" w:themeColor="text1"/>
                <w:kern w:val="0"/>
                <w:szCs w:val="21"/>
                <w14:textFill>
                  <w14:solidFill>
                    <w14:schemeClr w14:val="tx1"/>
                  </w14:solidFill>
                </w14:textFill>
              </w:rPr>
              <w:t>，第二名投标人的权重为</w:t>
            </w:r>
            <w:r>
              <w:rPr>
                <w:rFonts w:ascii="宋体" w:hAnsi="宋体" w:cs="楷体"/>
                <w:color w:val="000000" w:themeColor="text1"/>
                <w:kern w:val="0"/>
                <w:szCs w:val="21"/>
                <w14:textFill>
                  <w14:solidFill>
                    <w14:schemeClr w14:val="tx1"/>
                  </w14:solidFill>
                </w14:textFill>
              </w:rPr>
              <w:drawing>
                <wp:inline distT="0" distB="0" distL="114300" distR="114300">
                  <wp:extent cx="346710" cy="298450"/>
                  <wp:effectExtent l="0" t="0" r="15240" b="635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12"/>
                          <a:stretch>
                            <a:fillRect/>
                          </a:stretch>
                        </pic:blipFill>
                        <pic:spPr>
                          <a:xfrm>
                            <a:off x="0" y="0"/>
                            <a:ext cx="346710" cy="298450"/>
                          </a:xfrm>
                          <a:prstGeom prst="rect">
                            <a:avLst/>
                          </a:prstGeom>
                          <a:noFill/>
                          <a:ln>
                            <a:noFill/>
                          </a:ln>
                        </pic:spPr>
                      </pic:pic>
                    </a:graphicData>
                  </a:graphic>
                </wp:inline>
              </w:drawing>
            </w:r>
            <w:r>
              <w:rPr>
                <w:rFonts w:hint="eastAsia" w:ascii="宋体" w:hAnsi="宋体" w:cs="楷体"/>
                <w:color w:val="000000" w:themeColor="text1"/>
                <w:kern w:val="0"/>
                <w:szCs w:val="21"/>
                <w14:textFill>
                  <w14:solidFill>
                    <w14:schemeClr w14:val="tx1"/>
                  </w14:solidFill>
                </w14:textFill>
              </w:rPr>
              <w:t>，以此类推，最后一名投标人的权重为</w:t>
            </w:r>
            <w:r>
              <w:rPr>
                <w:rFonts w:ascii="宋体" w:hAnsi="宋体" w:cs="楷体"/>
                <w:color w:val="000000" w:themeColor="text1"/>
                <w:kern w:val="0"/>
                <w:szCs w:val="21"/>
                <w14:textFill>
                  <w14:solidFill>
                    <w14:schemeClr w14:val="tx1"/>
                  </w14:solidFill>
                </w14:textFill>
              </w:rPr>
              <w:drawing>
                <wp:inline distT="0" distB="0" distL="114300" distR="114300">
                  <wp:extent cx="326390" cy="285115"/>
                  <wp:effectExtent l="0" t="0" r="16510" b="63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3"/>
                          <a:stretch>
                            <a:fillRect/>
                          </a:stretch>
                        </pic:blipFill>
                        <pic:spPr>
                          <a:xfrm>
                            <a:off x="0" y="0"/>
                            <a:ext cx="326390" cy="285115"/>
                          </a:xfrm>
                          <a:prstGeom prst="rect">
                            <a:avLst/>
                          </a:prstGeom>
                          <a:noFill/>
                          <a:ln>
                            <a:noFill/>
                          </a:ln>
                        </pic:spPr>
                      </pic:pic>
                    </a:graphicData>
                  </a:graphic>
                </wp:inline>
              </w:drawing>
            </w:r>
            <w:r>
              <w:rPr>
                <w:rFonts w:hint="eastAsia" w:ascii="宋体" w:hAnsi="宋体" w:cs="楷体"/>
                <w:color w:val="000000" w:themeColor="text1"/>
                <w:kern w:val="0"/>
                <w:szCs w:val="21"/>
                <w14:textFill>
                  <w14:solidFill>
                    <w14:schemeClr w14:val="tx1"/>
                  </w14:solidFill>
                </w14:textFill>
              </w:rPr>
              <w:t>。</w:t>
            </w:r>
          </w:p>
        </w:tc>
      </w:tr>
      <w:tr w14:paraId="174E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1603" w:type="dxa"/>
            <w:gridSpan w:val="3"/>
            <w:shd w:val="clear" w:color="auto" w:fill="FFFFFF"/>
            <w:tcMar>
              <w:top w:w="0" w:type="dxa"/>
              <w:left w:w="108" w:type="dxa"/>
              <w:bottom w:w="0" w:type="dxa"/>
              <w:right w:w="108" w:type="dxa"/>
            </w:tcMar>
            <w:vAlign w:val="center"/>
          </w:tcPr>
          <w:p w14:paraId="65990627">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ascii="宋体" w:hAnsi="宋体" w:cs="楷体"/>
                <w:color w:val="000000" w:themeColor="text1"/>
                <w:kern w:val="0"/>
                <w:szCs w:val="21"/>
                <w14:textFill>
                  <w14:solidFill>
                    <w14:schemeClr w14:val="tx1"/>
                  </w14:solidFill>
                </w14:textFill>
              </w:rPr>
              <w:t>2.2.3</w:t>
            </w:r>
          </w:p>
        </w:tc>
        <w:tc>
          <w:tcPr>
            <w:tcW w:w="2101" w:type="dxa"/>
            <w:gridSpan w:val="2"/>
            <w:shd w:val="clear" w:color="auto" w:fill="FFFFFF"/>
            <w:tcMar>
              <w:top w:w="0" w:type="dxa"/>
              <w:left w:w="108" w:type="dxa"/>
              <w:bottom w:w="0" w:type="dxa"/>
              <w:right w:w="108" w:type="dxa"/>
            </w:tcMar>
            <w:vAlign w:val="center"/>
          </w:tcPr>
          <w:p w14:paraId="3A8DEC98">
            <w:pPr>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14:textFill>
                  <w14:solidFill>
                    <w14:schemeClr w14:val="tx1"/>
                  </w14:solidFill>
                </w14:textFill>
              </w:rPr>
              <w:t>投标报价的偏差率计算公式</w:t>
            </w:r>
          </w:p>
        </w:tc>
        <w:tc>
          <w:tcPr>
            <w:tcW w:w="5371" w:type="dxa"/>
            <w:shd w:val="clear" w:color="auto" w:fill="FFFFFF"/>
            <w:tcMar>
              <w:top w:w="0" w:type="dxa"/>
              <w:left w:w="108" w:type="dxa"/>
              <w:bottom w:w="0" w:type="dxa"/>
              <w:right w:w="108" w:type="dxa"/>
            </w:tcMar>
            <w:vAlign w:val="center"/>
          </w:tcPr>
          <w:p w14:paraId="20648E57">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rPr>
              <w:t>（（投标报价-评标参考价）/评标参考价）*100%</w:t>
            </w:r>
          </w:p>
        </w:tc>
      </w:tr>
      <w:tr w14:paraId="6BA3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1603" w:type="dxa"/>
            <w:gridSpan w:val="3"/>
            <w:shd w:val="clear" w:color="auto" w:fill="FFFFFF"/>
            <w:tcMar>
              <w:top w:w="0" w:type="dxa"/>
              <w:left w:w="108" w:type="dxa"/>
              <w:bottom w:w="0" w:type="dxa"/>
              <w:right w:w="108" w:type="dxa"/>
            </w:tcMar>
            <w:vAlign w:val="center"/>
          </w:tcPr>
          <w:p w14:paraId="35AECDC8">
            <w:pPr>
              <w:jc w:val="center"/>
              <w:rPr>
                <w:rFonts w:ascii="宋体" w:hAnsi="宋体" w:cs="楷体"/>
                <w:b/>
                <w:color w:val="000000" w:themeColor="text1"/>
                <w14:textFill>
                  <w14:solidFill>
                    <w14:schemeClr w14:val="tx1"/>
                  </w14:solidFill>
                </w14:textFill>
              </w:rPr>
            </w:pPr>
            <w:r>
              <w:rPr>
                <w:rFonts w:hint="eastAsia" w:ascii="宋体" w:hAnsi="宋体" w:cs="楷体"/>
                <w:b/>
                <w:color w:val="000000" w:themeColor="text1"/>
                <w14:textFill>
                  <w14:solidFill>
                    <w14:schemeClr w14:val="tx1"/>
                  </w14:solidFill>
                </w14:textFill>
              </w:rPr>
              <w:t>条款号</w:t>
            </w:r>
          </w:p>
        </w:tc>
        <w:tc>
          <w:tcPr>
            <w:tcW w:w="2101" w:type="dxa"/>
            <w:gridSpan w:val="2"/>
            <w:shd w:val="clear" w:color="auto" w:fill="FFFFFF"/>
            <w:tcMar>
              <w:top w:w="0" w:type="dxa"/>
              <w:left w:w="108" w:type="dxa"/>
              <w:bottom w:w="0" w:type="dxa"/>
              <w:right w:w="108" w:type="dxa"/>
            </w:tcMar>
            <w:vAlign w:val="center"/>
          </w:tcPr>
          <w:p w14:paraId="0E193432">
            <w:pPr>
              <w:jc w:val="center"/>
              <w:rPr>
                <w:rFonts w:ascii="宋体" w:hAnsi="宋体" w:cs="楷体"/>
                <w:b/>
                <w:color w:val="000000" w:themeColor="text1"/>
                <w14:textFill>
                  <w14:solidFill>
                    <w14:schemeClr w14:val="tx1"/>
                  </w14:solidFill>
                </w14:textFill>
              </w:rPr>
            </w:pPr>
            <w:r>
              <w:rPr>
                <w:rFonts w:hint="eastAsia" w:ascii="宋体" w:hAnsi="宋体" w:cs="楷体"/>
                <w:b/>
                <w:color w:val="000000" w:themeColor="text1"/>
                <w14:textFill>
                  <w14:solidFill>
                    <w14:schemeClr w14:val="tx1"/>
                  </w14:solidFill>
                </w14:textFill>
              </w:rPr>
              <w:t>评分因素（偏差率）</w:t>
            </w:r>
          </w:p>
        </w:tc>
        <w:tc>
          <w:tcPr>
            <w:tcW w:w="5371" w:type="dxa"/>
            <w:shd w:val="clear" w:color="auto" w:fill="FFFFFF"/>
            <w:tcMar>
              <w:top w:w="0" w:type="dxa"/>
              <w:left w:w="108" w:type="dxa"/>
              <w:bottom w:w="0" w:type="dxa"/>
              <w:right w:w="108" w:type="dxa"/>
            </w:tcMar>
            <w:vAlign w:val="center"/>
          </w:tcPr>
          <w:p w14:paraId="77F42107">
            <w:pPr>
              <w:widowControl/>
              <w:spacing w:before="100" w:beforeAutospacing="1" w:after="100" w:afterAutospacing="1"/>
              <w:jc w:val="center"/>
              <w:rPr>
                <w:rFonts w:ascii="宋体" w:hAnsi="宋体" w:cs="楷体"/>
                <w:b/>
                <w:color w:val="000000" w:themeColor="text1"/>
                <w:kern w:val="0"/>
                <w:szCs w:val="21"/>
                <w14:textFill>
                  <w14:solidFill>
                    <w14:schemeClr w14:val="tx1"/>
                  </w14:solidFill>
                </w14:textFill>
              </w:rPr>
            </w:pPr>
            <w:r>
              <w:rPr>
                <w:rFonts w:hint="eastAsia" w:ascii="宋体" w:hAnsi="宋体" w:cs="楷体"/>
                <w:b/>
                <w:color w:val="000000" w:themeColor="text1"/>
                <w:kern w:val="0"/>
                <w:szCs w:val="21"/>
                <w14:textFill>
                  <w14:solidFill>
                    <w14:schemeClr w14:val="tx1"/>
                  </w14:solidFill>
                </w14:textFill>
              </w:rPr>
              <w:t>评分标准</w:t>
            </w:r>
          </w:p>
        </w:tc>
      </w:tr>
      <w:tr w14:paraId="3DA8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restart"/>
            <w:shd w:val="clear" w:color="auto" w:fill="FFFFFF"/>
            <w:tcMar>
              <w:top w:w="0" w:type="dxa"/>
              <w:left w:w="108" w:type="dxa"/>
              <w:bottom w:w="0" w:type="dxa"/>
              <w:right w:w="108" w:type="dxa"/>
            </w:tcMar>
            <w:vAlign w:val="center"/>
          </w:tcPr>
          <w:p w14:paraId="0B9E7E2C">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ascii="宋体" w:hAnsi="宋体" w:cs="楷体"/>
                <w:color w:val="000000" w:themeColor="text1"/>
                <w:kern w:val="0"/>
                <w:szCs w:val="21"/>
                <w14:textFill>
                  <w14:solidFill>
                    <w14:schemeClr w14:val="tx1"/>
                  </w14:solidFill>
                </w14:textFill>
              </w:rPr>
              <w:t>2.2.4</w:t>
            </w:r>
            <w:r>
              <w:rPr>
                <w:rFonts w:hint="eastAsia" w:ascii="宋体" w:hAnsi="宋体" w:cs="楷体"/>
                <w:color w:val="000000" w:themeColor="text1"/>
                <w:kern w:val="0"/>
                <w:szCs w:val="21"/>
                <w:lang w:eastAsia="zh-CN"/>
                <w14:textFill>
                  <w14:solidFill>
                    <w14:schemeClr w14:val="tx1"/>
                  </w14:solidFill>
                </w14:textFill>
              </w:rPr>
              <w:t>(</w:t>
            </w:r>
            <w:r>
              <w:rPr>
                <w:rFonts w:ascii="宋体" w:hAnsi="宋体" w:cs="楷体"/>
                <w:color w:val="000000" w:themeColor="text1"/>
                <w:kern w:val="0"/>
                <w:szCs w:val="21"/>
                <w14:textFill>
                  <w14:solidFill>
                    <w14:schemeClr w14:val="tx1"/>
                  </w14:solidFill>
                </w14:textFill>
              </w:rPr>
              <w:t>1</w:t>
            </w:r>
            <w:r>
              <w:rPr>
                <w:rFonts w:hint="eastAsia" w:ascii="宋体" w:hAnsi="宋体" w:cs="楷体"/>
                <w:color w:val="000000" w:themeColor="text1"/>
                <w:kern w:val="0"/>
                <w:szCs w:val="21"/>
                <w:lang w:eastAsia="zh-CN"/>
                <w14:textFill>
                  <w14:solidFill>
                    <w14:schemeClr w14:val="tx1"/>
                  </w14:solidFill>
                </w14:textFill>
              </w:rPr>
              <w:t>)</w:t>
            </w:r>
          </w:p>
        </w:tc>
        <w:tc>
          <w:tcPr>
            <w:tcW w:w="914" w:type="dxa"/>
            <w:vMerge w:val="restart"/>
            <w:shd w:val="clear" w:color="auto" w:fill="FFFFFF"/>
            <w:tcMar>
              <w:top w:w="0" w:type="dxa"/>
              <w:left w:w="108" w:type="dxa"/>
              <w:bottom w:w="0" w:type="dxa"/>
              <w:right w:w="108" w:type="dxa"/>
            </w:tcMar>
            <w:vAlign w:val="center"/>
          </w:tcPr>
          <w:p w14:paraId="5A5B2670">
            <w:pPr>
              <w:jc w:val="center"/>
              <w:rPr>
                <w:rFonts w:ascii="宋体" w:hAnsi="宋体" w:cs="楷体"/>
                <w:color w:val="000000" w:themeColor="text1"/>
                <w14:textFill>
                  <w14:solidFill>
                    <w14:schemeClr w14:val="tx1"/>
                  </w14:solidFill>
                </w14:textFill>
              </w:rPr>
            </w:pPr>
            <w:r>
              <w:rPr>
                <w:rFonts w:hint="eastAsia" w:ascii="宋体" w:hAnsi="宋体" w:cs="楷体"/>
                <w:color w:val="000000" w:themeColor="text1"/>
                <w14:textFill>
                  <w14:solidFill>
                    <w14:schemeClr w14:val="tx1"/>
                  </w14:solidFill>
                </w14:textFill>
              </w:rPr>
              <w:t>资信方案部分</w:t>
            </w:r>
          </w:p>
          <w:p w14:paraId="75DE8953">
            <w:pPr>
              <w:jc w:val="center"/>
              <w:rPr>
                <w:rFonts w:ascii="宋体" w:hAnsi="宋体" w:cs="楷体"/>
                <w:color w:val="000000" w:themeColor="text1"/>
                <w14:textFill>
                  <w14:solidFill>
                    <w14:schemeClr w14:val="tx1"/>
                  </w14:solidFill>
                </w14:textFill>
              </w:rPr>
            </w:pPr>
            <w:r>
              <w:rPr>
                <w:rFonts w:hint="eastAsia" w:ascii="宋体" w:hAnsi="宋体" w:cs="楷体"/>
                <w:color w:val="000000" w:themeColor="text1"/>
                <w14:textFill>
                  <w14:solidFill>
                    <w14:schemeClr w14:val="tx1"/>
                  </w14:solidFill>
                </w14:textFill>
              </w:rPr>
              <w:t>（</w:t>
            </w:r>
            <w:r>
              <w:rPr>
                <w:rFonts w:hint="eastAsia" w:ascii="宋体" w:hAnsi="宋体" w:cs="楷体"/>
                <w:color w:val="000000" w:themeColor="text1"/>
                <w:lang w:val="en-US" w:eastAsia="zh-CN"/>
                <w14:textFill>
                  <w14:solidFill>
                    <w14:schemeClr w14:val="tx1"/>
                  </w14:solidFill>
                </w14:textFill>
              </w:rPr>
              <w:t>50</w:t>
            </w:r>
            <w:r>
              <w:rPr>
                <w:rFonts w:hint="eastAsia" w:ascii="宋体" w:hAnsi="宋体" w:cs="楷体"/>
                <w:color w:val="000000" w:themeColor="text1"/>
                <w14:textFill>
                  <w14:solidFill>
                    <w14:schemeClr w14:val="tx1"/>
                  </w14:solidFill>
                </w14:textFill>
              </w:rPr>
              <w:t>分）</w:t>
            </w:r>
          </w:p>
        </w:tc>
        <w:tc>
          <w:tcPr>
            <w:tcW w:w="586" w:type="dxa"/>
            <w:vMerge w:val="restart"/>
            <w:shd w:val="clear" w:color="auto" w:fill="FFFFFF"/>
            <w:tcMar>
              <w:top w:w="0" w:type="dxa"/>
              <w:left w:w="108" w:type="dxa"/>
              <w:bottom w:w="0" w:type="dxa"/>
              <w:right w:w="108" w:type="dxa"/>
            </w:tcMar>
            <w:vAlign w:val="center"/>
          </w:tcPr>
          <w:p w14:paraId="754731E8">
            <w:pPr>
              <w:spacing w:line="240" w:lineRule="exact"/>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资信部分</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22分</w:t>
            </w:r>
            <w:r>
              <w:rPr>
                <w:rFonts w:hint="eastAsia" w:asciiTheme="minorEastAsia" w:hAnsiTheme="minorEastAsia" w:eastAsiaTheme="minorEastAsia"/>
                <w:color w:val="000000" w:themeColor="text1"/>
                <w:szCs w:val="21"/>
                <w:lang w:eastAsia="zh-CN"/>
                <w14:textFill>
                  <w14:solidFill>
                    <w14:schemeClr w14:val="tx1"/>
                  </w14:solidFill>
                </w14:textFill>
              </w:rPr>
              <w:t>）</w:t>
            </w:r>
          </w:p>
        </w:tc>
        <w:tc>
          <w:tcPr>
            <w:tcW w:w="1515" w:type="dxa"/>
            <w:shd w:val="clear" w:color="auto" w:fill="FFFFFF"/>
            <w:vAlign w:val="center"/>
          </w:tcPr>
          <w:p w14:paraId="4262794C">
            <w:pPr>
              <w:spacing w:line="2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企业监理业绩（</w:t>
            </w: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分）</w:t>
            </w:r>
          </w:p>
        </w:tc>
        <w:tc>
          <w:tcPr>
            <w:tcW w:w="5371" w:type="dxa"/>
            <w:shd w:val="clear" w:color="auto" w:fill="FFFFFF"/>
            <w:tcMar>
              <w:top w:w="0" w:type="dxa"/>
              <w:left w:w="108" w:type="dxa"/>
              <w:bottom w:w="0" w:type="dxa"/>
              <w:right w:w="108" w:type="dxa"/>
            </w:tcMar>
            <w:vAlign w:val="center"/>
          </w:tcPr>
          <w:p w14:paraId="21546C76">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14:textFill>
                  <w14:solidFill>
                    <w14:schemeClr w14:val="tx1"/>
                  </w14:solidFill>
                </w14:textFill>
              </w:rPr>
              <w:t>(1)投标人</w:t>
            </w:r>
            <w:r>
              <w:rPr>
                <w:rFonts w:hint="eastAsia" w:asciiTheme="minorEastAsia" w:hAnsiTheme="minorEastAsia" w:eastAsiaTheme="minorEastAsia"/>
                <w:color w:val="000000" w:themeColor="text1"/>
                <w:szCs w:val="21"/>
                <w:lang w:val="zh-TW" w:eastAsia="zh-CN"/>
                <w14:textFill>
                  <w14:solidFill>
                    <w14:schemeClr w14:val="tx1"/>
                  </w14:solidFill>
                </w14:textFill>
              </w:rPr>
              <w:t>2020年1月1日</w:t>
            </w:r>
            <w:r>
              <w:rPr>
                <w:rFonts w:hint="eastAsia" w:asciiTheme="minorEastAsia" w:hAnsiTheme="minorEastAsia" w:eastAsiaTheme="minorEastAsia"/>
                <w:color w:val="000000" w:themeColor="text1"/>
                <w:szCs w:val="21"/>
                <w:lang w:val="zh-TW"/>
                <w14:textFill>
                  <w14:solidFill>
                    <w14:schemeClr w14:val="tx1"/>
                  </w14:solidFill>
                </w14:textFill>
              </w:rPr>
              <w:t>至</w:t>
            </w:r>
            <w:r>
              <w:rPr>
                <w:rFonts w:hint="eastAsia" w:asciiTheme="minorEastAsia" w:hAnsiTheme="minorEastAsia" w:eastAsiaTheme="minorEastAsia"/>
                <w:color w:val="000000" w:themeColor="text1"/>
                <w:szCs w:val="21"/>
                <w:lang w:val="zh-TW" w:eastAsia="zh-CN"/>
                <w14:textFill>
                  <w14:solidFill>
                    <w14:schemeClr w14:val="tx1"/>
                  </w14:solidFill>
                </w14:textFill>
              </w:rPr>
              <w:t>投标截止日，</w:t>
            </w:r>
            <w:r>
              <w:rPr>
                <w:rFonts w:hint="eastAsia" w:asciiTheme="minorEastAsia" w:hAnsiTheme="minorEastAsia" w:eastAsiaTheme="minorEastAsia"/>
                <w:color w:val="000000" w:themeColor="text1"/>
                <w:szCs w:val="21"/>
                <w:lang w:val="zh-TW"/>
                <w14:textFill>
                  <w14:solidFill>
                    <w14:schemeClr w14:val="tx1"/>
                  </w14:solidFill>
                </w14:textFill>
              </w:rPr>
              <w:t>完成质量合格的钢筋混凝土粮食筒仓（浅圆仓</w:t>
            </w:r>
            <w:r>
              <w:rPr>
                <w:rFonts w:hint="eastAsia" w:asciiTheme="minorEastAsia" w:hAnsiTheme="minorEastAsia" w:eastAsiaTheme="minorEastAsia"/>
                <w:color w:val="000000" w:themeColor="text1"/>
                <w:szCs w:val="21"/>
                <w:lang w:val="zh-TW"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大直径筒仓</w:t>
            </w:r>
            <w:r>
              <w:rPr>
                <w:rFonts w:hint="eastAsia" w:asciiTheme="minorEastAsia" w:hAnsiTheme="minorEastAsia" w:eastAsiaTheme="minorEastAsia"/>
                <w:color w:val="000000" w:themeColor="text1"/>
                <w:szCs w:val="21"/>
                <w:lang w:val="zh-TW"/>
                <w14:textFill>
                  <w14:solidFill>
                    <w14:schemeClr w14:val="tx1"/>
                  </w14:solidFill>
                </w14:textFill>
              </w:rPr>
              <w:t>或立筒仓）工程</w:t>
            </w:r>
            <w:r>
              <w:rPr>
                <w:rFonts w:hint="eastAsia" w:asciiTheme="minorEastAsia" w:hAnsiTheme="minorEastAsia" w:eastAsiaTheme="minorEastAsia"/>
                <w:color w:val="000000" w:themeColor="text1"/>
                <w:szCs w:val="21"/>
                <w:lang w:val="zh-TW" w:eastAsia="zh-CN"/>
                <w14:textFill>
                  <w14:solidFill>
                    <w14:schemeClr w14:val="tx1"/>
                  </w14:solidFill>
                </w14:textFill>
              </w:rPr>
              <w:t>的监理业绩的：</w:t>
            </w:r>
          </w:p>
          <w:p w14:paraId="7D705E94">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eastAsia="zh-CN"/>
                <w14:textFill>
                  <w14:solidFill>
                    <w14:schemeClr w14:val="tx1"/>
                  </w14:solidFill>
                </w14:textFill>
              </w:rPr>
              <w:t>5万吨≤单项合同</w:t>
            </w:r>
            <w:r>
              <w:rPr>
                <w:rFonts w:asciiTheme="minorEastAsia" w:hAnsiTheme="minorEastAsia" w:eastAsiaTheme="minorEastAsia"/>
                <w:color w:val="000000" w:themeColor="text1"/>
                <w:szCs w:val="21"/>
                <w:lang w:val="zh-TW"/>
                <w14:textFill>
                  <w14:solidFill>
                    <w14:schemeClr w14:val="tx1"/>
                  </w14:solidFill>
                </w14:textFill>
              </w:rPr>
              <w:t>&lt;</w:t>
            </w:r>
            <w:r>
              <w:rPr>
                <w:rFonts w:hint="eastAsia" w:asciiTheme="minorEastAsia" w:hAnsiTheme="minorEastAsia" w:eastAsiaTheme="minorEastAsia"/>
                <w:color w:val="000000" w:themeColor="text1"/>
                <w:szCs w:val="21"/>
                <w:lang w:val="zh-TW" w:eastAsia="zh-CN"/>
                <w14:textFill>
                  <w14:solidFill>
                    <w14:schemeClr w14:val="tx1"/>
                  </w14:solidFill>
                </w14:textFill>
              </w:rPr>
              <w:t>10万吨的，每项得</w:t>
            </w:r>
            <w:r>
              <w:rPr>
                <w:rFonts w:hint="eastAsia" w:asciiTheme="minorEastAsia" w:hAnsiTheme="minorEastAsia" w:eastAsia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olor w:val="000000" w:themeColor="text1"/>
                <w:szCs w:val="21"/>
                <w:lang w:val="zh-TW" w:eastAsia="zh-CN"/>
                <w14:textFill>
                  <w14:solidFill>
                    <w14:schemeClr w14:val="tx1"/>
                  </w14:solidFill>
                </w14:textFill>
              </w:rPr>
              <w:t>分；</w:t>
            </w:r>
          </w:p>
          <w:p w14:paraId="7E83A755">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eastAsia="zh-CN"/>
                <w14:textFill>
                  <w14:solidFill>
                    <w14:schemeClr w14:val="tx1"/>
                  </w14:solidFill>
                </w14:textFill>
              </w:rPr>
              <w:t>10万吨≤单项合同的，每项得</w:t>
            </w: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lang w:val="zh-TW" w:eastAsia="zh-CN"/>
                <w14:textFill>
                  <w14:solidFill>
                    <w14:schemeClr w14:val="tx1"/>
                  </w14:solidFill>
                </w14:textFill>
              </w:rPr>
              <w:t>分；</w:t>
            </w:r>
          </w:p>
          <w:p w14:paraId="60091504">
            <w:pPr>
              <w:numPr>
                <w:ilvl w:val="0"/>
                <w:numId w:val="1"/>
              </w:num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14:textFill>
                  <w14:solidFill>
                    <w14:schemeClr w14:val="tx1"/>
                  </w14:solidFill>
                </w14:textFill>
              </w:rPr>
              <w:t>投标人</w:t>
            </w:r>
            <w:r>
              <w:rPr>
                <w:rFonts w:hint="eastAsia" w:asciiTheme="minorEastAsia" w:hAnsiTheme="minorEastAsia" w:eastAsiaTheme="minorEastAsia"/>
                <w:color w:val="000000" w:themeColor="text1"/>
                <w:szCs w:val="21"/>
                <w:lang w:val="zh-TW" w:eastAsia="zh-CN"/>
                <w14:textFill>
                  <w14:solidFill>
                    <w14:schemeClr w14:val="tx1"/>
                  </w14:solidFill>
                </w14:textFill>
              </w:rPr>
              <w:t>2020年1月1日</w:t>
            </w:r>
            <w:r>
              <w:rPr>
                <w:rFonts w:hint="eastAsia" w:asciiTheme="minorEastAsia" w:hAnsiTheme="minorEastAsia" w:eastAsiaTheme="minorEastAsia"/>
                <w:color w:val="000000" w:themeColor="text1"/>
                <w:szCs w:val="21"/>
                <w:lang w:val="zh-TW"/>
                <w14:textFill>
                  <w14:solidFill>
                    <w14:schemeClr w14:val="tx1"/>
                  </w14:solidFill>
                </w14:textFill>
              </w:rPr>
              <w:t>至</w:t>
            </w:r>
            <w:r>
              <w:rPr>
                <w:rFonts w:hint="eastAsia" w:asciiTheme="minorEastAsia" w:hAnsiTheme="minorEastAsia" w:eastAsiaTheme="minorEastAsia"/>
                <w:color w:val="000000" w:themeColor="text1"/>
                <w:szCs w:val="21"/>
                <w:lang w:val="zh-TW" w:eastAsia="zh-CN"/>
                <w14:textFill>
                  <w14:solidFill>
                    <w14:schemeClr w14:val="tx1"/>
                  </w14:solidFill>
                </w14:textFill>
              </w:rPr>
              <w:t>投标截止日，</w:t>
            </w:r>
            <w:r>
              <w:rPr>
                <w:rFonts w:hint="eastAsia" w:asciiTheme="minorEastAsia" w:hAnsiTheme="minorEastAsia" w:eastAsiaTheme="minorEastAsia"/>
                <w:color w:val="000000" w:themeColor="text1"/>
                <w:szCs w:val="21"/>
                <w:lang w:val="zh-TW"/>
                <w14:textFill>
                  <w14:solidFill>
                    <w14:schemeClr w14:val="tx1"/>
                  </w14:solidFill>
                </w14:textFill>
              </w:rPr>
              <w:t>完成过质量合格的单项合同规模容积5万立方米</w:t>
            </w:r>
            <w:r>
              <w:rPr>
                <w:rFonts w:hint="eastAsia" w:asciiTheme="minorEastAsia" w:hAnsiTheme="minorEastAsia" w:eastAsiaTheme="minorEastAsia"/>
                <w:color w:val="000000" w:themeColor="text1"/>
                <w:szCs w:val="21"/>
                <w14:textFill>
                  <w14:solidFill>
                    <w14:schemeClr w14:val="tx1"/>
                  </w14:solidFill>
                </w14:textFill>
              </w:rPr>
              <w:t>（或以上）</w:t>
            </w:r>
            <w:r>
              <w:rPr>
                <w:rFonts w:hint="eastAsia" w:asciiTheme="minorEastAsia" w:hAnsiTheme="minorEastAsia" w:eastAsiaTheme="minorEastAsia"/>
                <w:color w:val="000000" w:themeColor="text1"/>
                <w:szCs w:val="21"/>
                <w:lang w:val="zh-TW"/>
                <w14:textFill>
                  <w14:solidFill>
                    <w14:schemeClr w14:val="tx1"/>
                  </w14:solidFill>
                </w14:textFill>
              </w:rPr>
              <w:t>的</w:t>
            </w:r>
            <w:r>
              <w:rPr>
                <w:rFonts w:hint="eastAsia" w:asciiTheme="minorEastAsia" w:hAnsiTheme="minorEastAsia" w:eastAsiaTheme="minorEastAsia"/>
                <w:color w:val="000000" w:themeColor="text1"/>
                <w:szCs w:val="21"/>
                <w:lang w:val="en-US" w:eastAsia="zh-CN"/>
                <w14:textFill>
                  <w14:solidFill>
                    <w14:schemeClr w14:val="tx1"/>
                  </w14:solidFill>
                </w14:textFill>
              </w:rPr>
              <w:t>非粮食</w:t>
            </w:r>
            <w:r>
              <w:rPr>
                <w:rFonts w:hint="eastAsia" w:asciiTheme="minorEastAsia" w:hAnsiTheme="minorEastAsia" w:eastAsiaTheme="minorEastAsia"/>
                <w:color w:val="000000" w:themeColor="text1"/>
                <w:szCs w:val="21"/>
                <w:lang w:val="zh-TW"/>
                <w14:textFill>
                  <w14:solidFill>
                    <w14:schemeClr w14:val="tx1"/>
                  </w14:solidFill>
                </w14:textFill>
              </w:rPr>
              <w:t>钢筋混凝土筒仓工程</w:t>
            </w:r>
            <w:r>
              <w:rPr>
                <w:rFonts w:hint="eastAsia" w:asciiTheme="minorEastAsia" w:hAnsiTheme="minorEastAsia" w:eastAsiaTheme="minorEastAsia"/>
                <w:color w:val="000000" w:themeColor="text1"/>
                <w:szCs w:val="21"/>
                <w:lang w:val="zh-TW" w:eastAsia="zh-CN"/>
                <w14:textFill>
                  <w14:solidFill>
                    <w14:schemeClr w14:val="tx1"/>
                  </w14:solidFill>
                </w14:textFill>
              </w:rPr>
              <w:t>（含水泥仓或面粉仓或高层建筑中心塔或麦芽生产塔或混凝土油罐或混凝土烟囱等）的监理</w:t>
            </w:r>
            <w:r>
              <w:rPr>
                <w:rFonts w:hint="eastAsia" w:asciiTheme="minorEastAsia" w:hAnsiTheme="minorEastAsia" w:eastAsiaTheme="minorEastAsia"/>
                <w:color w:val="000000" w:themeColor="text1"/>
                <w:szCs w:val="21"/>
                <w:lang w:val="zh-TW"/>
                <w14:textFill>
                  <w14:solidFill>
                    <w14:schemeClr w14:val="tx1"/>
                  </w14:solidFill>
                </w14:textFill>
              </w:rPr>
              <w:t>业绩的</w:t>
            </w:r>
            <w:r>
              <w:rPr>
                <w:rFonts w:hint="eastAsia" w:asciiTheme="minorEastAsia" w:hAnsiTheme="minorEastAsia" w:eastAsiaTheme="minorEastAsia"/>
                <w:color w:val="000000" w:themeColor="text1"/>
                <w:szCs w:val="21"/>
                <w:lang w:val="zh-TW" w:eastAsia="zh-CN"/>
                <w14:textFill>
                  <w14:solidFill>
                    <w14:schemeClr w14:val="tx1"/>
                  </w14:solidFill>
                </w14:textFill>
              </w:rPr>
              <w:t>：</w:t>
            </w:r>
          </w:p>
          <w:p w14:paraId="3CB36C33">
            <w:pPr>
              <w:numPr>
                <w:ilvl w:val="-1"/>
                <w:numId w:val="0"/>
              </w:num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eastAsia="zh-CN"/>
                <w14:textFill>
                  <w14:solidFill>
                    <w14:schemeClr w14:val="tx1"/>
                  </w14:solidFill>
                </w14:textFill>
              </w:rPr>
              <w:t>5万</w:t>
            </w:r>
            <w:r>
              <w:rPr>
                <w:rFonts w:hint="eastAsia" w:asciiTheme="minorEastAsia" w:hAnsiTheme="minorEastAsia" w:eastAsiaTheme="minorEastAsia"/>
                <w:color w:val="000000" w:themeColor="text1"/>
                <w:szCs w:val="21"/>
                <w:lang w:val="zh-TW"/>
                <w14:textFill>
                  <w14:solidFill>
                    <w14:schemeClr w14:val="tx1"/>
                  </w14:solidFill>
                </w14:textFill>
              </w:rPr>
              <w:t>立方米</w:t>
            </w:r>
            <w:r>
              <w:rPr>
                <w:rFonts w:hint="eastAsia" w:asciiTheme="minorEastAsia" w:hAnsiTheme="minorEastAsia" w:eastAsiaTheme="minorEastAsia"/>
                <w:color w:val="000000" w:themeColor="text1"/>
                <w:szCs w:val="21"/>
                <w:lang w:val="zh-TW" w:eastAsia="zh-CN"/>
                <w14:textFill>
                  <w14:solidFill>
                    <w14:schemeClr w14:val="tx1"/>
                  </w14:solidFill>
                </w14:textFill>
              </w:rPr>
              <w:t>≤单项合同</w:t>
            </w:r>
            <w:r>
              <w:rPr>
                <w:rFonts w:asciiTheme="minorEastAsia" w:hAnsiTheme="minorEastAsia" w:eastAsiaTheme="minorEastAsia"/>
                <w:color w:val="000000" w:themeColor="text1"/>
                <w:szCs w:val="21"/>
                <w:lang w:val="zh-TW"/>
                <w14:textFill>
                  <w14:solidFill>
                    <w14:schemeClr w14:val="tx1"/>
                  </w14:solidFill>
                </w14:textFill>
              </w:rPr>
              <w:t>&lt;</w:t>
            </w:r>
            <w:r>
              <w:rPr>
                <w:rFonts w:hint="eastAsia" w:asciiTheme="minorEastAsia" w:hAnsiTheme="minorEastAsia" w:eastAsiaTheme="minorEastAsia"/>
                <w:color w:val="000000" w:themeColor="text1"/>
                <w:szCs w:val="21"/>
                <w:lang w:val="zh-TW" w:eastAsia="zh-CN"/>
                <w14:textFill>
                  <w14:solidFill>
                    <w14:schemeClr w14:val="tx1"/>
                  </w14:solidFill>
                </w14:textFill>
              </w:rPr>
              <w:t>10万</w:t>
            </w:r>
            <w:r>
              <w:rPr>
                <w:rFonts w:hint="eastAsia" w:asciiTheme="minorEastAsia" w:hAnsiTheme="minorEastAsia" w:eastAsiaTheme="minorEastAsia"/>
                <w:color w:val="000000" w:themeColor="text1"/>
                <w:szCs w:val="21"/>
                <w:lang w:val="zh-TW"/>
                <w14:textFill>
                  <w14:solidFill>
                    <w14:schemeClr w14:val="tx1"/>
                  </w14:solidFill>
                </w14:textFill>
              </w:rPr>
              <w:t>立方米</w:t>
            </w:r>
            <w:r>
              <w:rPr>
                <w:rFonts w:hint="eastAsia" w:asciiTheme="minorEastAsia" w:hAnsiTheme="minorEastAsia" w:eastAsiaTheme="minorEastAsia"/>
                <w:color w:val="000000" w:themeColor="text1"/>
                <w:szCs w:val="21"/>
                <w:lang w:val="zh-TW" w:eastAsia="zh-CN"/>
                <w14:textFill>
                  <w14:solidFill>
                    <w14:schemeClr w14:val="tx1"/>
                  </w14:solidFill>
                </w14:textFill>
              </w:rPr>
              <w:t>的，每项得</w:t>
            </w:r>
            <w:r>
              <w:rPr>
                <w:rFonts w:hint="eastAsia" w:asciiTheme="minorEastAsia" w:hAnsiTheme="minorEastAsia" w:eastAsia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olor w:val="000000" w:themeColor="text1"/>
                <w:szCs w:val="21"/>
                <w:lang w:val="zh-TW" w:eastAsia="zh-CN"/>
                <w14:textFill>
                  <w14:solidFill>
                    <w14:schemeClr w14:val="tx1"/>
                  </w14:solidFill>
                </w14:textFill>
              </w:rPr>
              <w:t>分；</w:t>
            </w:r>
          </w:p>
          <w:p w14:paraId="070A4F73">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eastAsia="zh-CN"/>
                <w14:textFill>
                  <w14:solidFill>
                    <w14:schemeClr w14:val="tx1"/>
                  </w14:solidFill>
                </w14:textFill>
              </w:rPr>
              <w:t>10万</w:t>
            </w:r>
            <w:r>
              <w:rPr>
                <w:rFonts w:hint="eastAsia" w:asciiTheme="minorEastAsia" w:hAnsiTheme="minorEastAsia" w:eastAsiaTheme="minorEastAsia"/>
                <w:color w:val="000000" w:themeColor="text1"/>
                <w:szCs w:val="21"/>
                <w:lang w:val="zh-TW"/>
                <w14:textFill>
                  <w14:solidFill>
                    <w14:schemeClr w14:val="tx1"/>
                  </w14:solidFill>
                </w14:textFill>
              </w:rPr>
              <w:t>立方米</w:t>
            </w:r>
            <w:r>
              <w:rPr>
                <w:rFonts w:hint="eastAsia" w:asciiTheme="minorEastAsia" w:hAnsiTheme="minorEastAsia" w:eastAsiaTheme="minorEastAsia"/>
                <w:color w:val="000000" w:themeColor="text1"/>
                <w:szCs w:val="21"/>
                <w:lang w:val="zh-TW" w:eastAsia="zh-CN"/>
                <w14:textFill>
                  <w14:solidFill>
                    <w14:schemeClr w14:val="tx1"/>
                  </w14:solidFill>
                </w14:textFill>
              </w:rPr>
              <w:t>≤单项合同的，每项得</w:t>
            </w: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lang w:val="zh-TW" w:eastAsia="zh-CN"/>
                <w14:textFill>
                  <w14:solidFill>
                    <w14:schemeClr w14:val="tx1"/>
                  </w14:solidFill>
                </w14:textFill>
              </w:rPr>
              <w:t>分；</w:t>
            </w:r>
          </w:p>
          <w:p w14:paraId="12EFCECA">
            <w:pPr>
              <w:keepNext w:val="0"/>
              <w:keepLines w:val="0"/>
              <w:pageBreakBefore w:val="0"/>
              <w:widowControl/>
              <w:kinsoku/>
              <w:wordWrap/>
              <w:overflowPunct/>
              <w:topLinePunct w:val="0"/>
              <w:autoSpaceDE/>
              <w:autoSpaceDN/>
              <w:bidi w:val="0"/>
              <w:adjustRightInd/>
              <w:snapToGrid/>
              <w:spacing w:after="0" w:line="240" w:lineRule="exact"/>
              <w:ind w:left="0" w:leftChars="0" w:firstLineChars="0"/>
              <w:textAlignment w:val="auto"/>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val="zh-TW"/>
                <w14:textFill>
                  <w14:solidFill>
                    <w14:schemeClr w14:val="tx1"/>
                  </w14:solidFill>
                </w14:textFill>
              </w:rPr>
              <w:t>投标人</w:t>
            </w:r>
            <w:r>
              <w:rPr>
                <w:rFonts w:hint="eastAsia" w:asciiTheme="minorEastAsia" w:hAnsiTheme="minorEastAsia" w:eastAsiaTheme="minorEastAsia"/>
                <w:color w:val="000000" w:themeColor="text1"/>
                <w:szCs w:val="21"/>
                <w:lang w:val="zh-TW" w:eastAsia="zh-CN"/>
                <w14:textFill>
                  <w14:solidFill>
                    <w14:schemeClr w14:val="tx1"/>
                  </w14:solidFill>
                </w14:textFill>
              </w:rPr>
              <w:t>2020年1月1日</w:t>
            </w:r>
            <w:r>
              <w:rPr>
                <w:rFonts w:hint="eastAsia" w:asciiTheme="minorEastAsia" w:hAnsiTheme="minorEastAsia" w:eastAsiaTheme="minorEastAsia"/>
                <w:color w:val="000000" w:themeColor="text1"/>
                <w:szCs w:val="21"/>
                <w:lang w:val="zh-TW"/>
                <w14:textFill>
                  <w14:solidFill>
                    <w14:schemeClr w14:val="tx1"/>
                  </w14:solidFill>
                </w14:textFill>
              </w:rPr>
              <w:t>至</w:t>
            </w:r>
            <w:r>
              <w:rPr>
                <w:rFonts w:hint="eastAsia" w:asciiTheme="minorEastAsia" w:hAnsiTheme="minorEastAsia" w:eastAsiaTheme="minorEastAsia"/>
                <w:color w:val="000000" w:themeColor="text1"/>
                <w:szCs w:val="21"/>
                <w:lang w:val="zh-TW" w:eastAsia="zh-CN"/>
                <w14:textFill>
                  <w14:solidFill>
                    <w14:schemeClr w14:val="tx1"/>
                  </w14:solidFill>
                </w14:textFill>
              </w:rPr>
              <w:t>投标截止日，</w:t>
            </w:r>
            <w:r>
              <w:rPr>
                <w:rFonts w:hint="eastAsia" w:asciiTheme="minorEastAsia" w:hAnsiTheme="minorEastAsia" w:eastAsiaTheme="minorEastAsia"/>
                <w:color w:val="000000" w:themeColor="text1"/>
                <w:szCs w:val="21"/>
                <w:lang w:val="zh-TW"/>
                <w14:textFill>
                  <w14:solidFill>
                    <w14:schemeClr w14:val="tx1"/>
                  </w14:solidFill>
                </w14:textFill>
              </w:rPr>
              <w:t>完成过质量合格的</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单个项目投资 20000 万元(含)以上房屋建筑工程项目的监理业绩的：</w:t>
            </w:r>
          </w:p>
          <w:p w14:paraId="0B2A89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20000万元（含）≤单项合同≤40000 万元的，得2分；</w:t>
            </w:r>
          </w:p>
          <w:p w14:paraId="3D9E9C77">
            <w:pPr>
              <w:spacing w:line="240" w:lineRule="exact"/>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40000万元（含）≤单项合同≤60000 万元的，得4分；60000万元（含）≤单项合同≤80000 万元的，得6分；</w:t>
            </w:r>
          </w:p>
          <w:p w14:paraId="799D9382">
            <w:pPr>
              <w:pStyle w:val="2"/>
              <w:ind w:left="0" w:leftChars="0" w:firstLine="0"/>
              <w:rPr>
                <w:rFonts w:hint="default"/>
                <w:lang w:val="en-US" w:eastAsia="zh-CN"/>
              </w:rPr>
            </w:pP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80000万元（含）≤单项合同的，得10分；</w:t>
            </w:r>
          </w:p>
          <w:p w14:paraId="6266694C">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eastAsia="zh-CN"/>
                <w14:textFill>
                  <w14:solidFill>
                    <w14:schemeClr w14:val="tx1"/>
                  </w14:solidFill>
                </w14:textFill>
              </w:rPr>
              <w:t>（1）、（2）、（</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val="zh-TW" w:eastAsia="zh-CN"/>
                <w14:textFill>
                  <w14:solidFill>
                    <w14:schemeClr w14:val="tx1"/>
                  </w14:solidFill>
                </w14:textFill>
              </w:rPr>
              <w:t>）两项分数合并计算，但总分不超过10分。</w:t>
            </w:r>
          </w:p>
          <w:p w14:paraId="27E67EE5">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eastAsia="zh-CN"/>
                <w14:textFill>
                  <w14:solidFill>
                    <w14:schemeClr w14:val="tx1"/>
                  </w14:solidFill>
                </w14:textFill>
              </w:rPr>
              <w:t>本项最高得分10分。</w:t>
            </w:r>
          </w:p>
          <w:p w14:paraId="5BD66964">
            <w:pPr>
              <w:spacing w:line="240" w:lineRule="exact"/>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备注：1.每项业绩需同时提供：中标通知书或免招标的相关证明、监理合同等能证明合同规模的材料、竣工验收证明材料或质监部门验收证明材料。</w:t>
            </w:r>
          </w:p>
          <w:p w14:paraId="24579244">
            <w:pPr>
              <w:spacing w:line="240" w:lineRule="exact"/>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2.（1）、（2）项的工程监理业绩应提供含仓身平面图、立面图等关键施工图纸两张。</w:t>
            </w:r>
          </w:p>
          <w:p w14:paraId="23235707">
            <w:pPr>
              <w:spacing w:line="240" w:lineRule="exact"/>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3.每个业绩仅能计分一次，多个条件符合时，按得分最高的计取。</w:t>
            </w:r>
          </w:p>
        </w:tc>
      </w:tr>
      <w:tr w14:paraId="3A2A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continue"/>
            <w:shd w:val="clear" w:color="auto" w:fill="FFFFFF"/>
            <w:vAlign w:val="center"/>
          </w:tcPr>
          <w:p w14:paraId="7A872205">
            <w:pPr>
              <w:widowControl/>
              <w:jc w:val="left"/>
              <w:rPr>
                <w:rFonts w:ascii="宋体" w:hAnsi="宋体" w:cs="楷体"/>
                <w:color w:val="000000" w:themeColor="text1"/>
                <w:kern w:val="0"/>
                <w:szCs w:val="21"/>
                <w14:textFill>
                  <w14:solidFill>
                    <w14:schemeClr w14:val="tx1"/>
                  </w14:solidFill>
                </w14:textFill>
              </w:rPr>
            </w:pPr>
          </w:p>
        </w:tc>
        <w:tc>
          <w:tcPr>
            <w:tcW w:w="914" w:type="dxa"/>
            <w:vMerge w:val="continue"/>
            <w:shd w:val="clear" w:color="auto" w:fill="FFFFFF"/>
            <w:vAlign w:val="center"/>
          </w:tcPr>
          <w:p w14:paraId="2D310D48">
            <w:pPr>
              <w:jc w:val="center"/>
              <w:rPr>
                <w:rFonts w:ascii="宋体" w:hAnsi="宋体" w:cs="楷体"/>
                <w:color w:val="000000" w:themeColor="text1"/>
                <w14:textFill>
                  <w14:solidFill>
                    <w14:schemeClr w14:val="tx1"/>
                  </w14:solidFill>
                </w14:textFill>
              </w:rPr>
            </w:pPr>
          </w:p>
        </w:tc>
        <w:tc>
          <w:tcPr>
            <w:tcW w:w="586" w:type="dxa"/>
            <w:vMerge w:val="continue"/>
            <w:shd w:val="clear" w:color="auto" w:fill="FFFFFF"/>
            <w:tcMar>
              <w:top w:w="0" w:type="dxa"/>
              <w:left w:w="108" w:type="dxa"/>
              <w:bottom w:w="0" w:type="dxa"/>
              <w:right w:w="108" w:type="dxa"/>
            </w:tcMar>
            <w:vAlign w:val="center"/>
          </w:tcPr>
          <w:p w14:paraId="4DD7598C">
            <w:pPr>
              <w:spacing w:line="2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15" w:type="dxa"/>
            <w:shd w:val="clear" w:color="auto" w:fill="FFFFFF"/>
            <w:vAlign w:val="center"/>
          </w:tcPr>
          <w:p w14:paraId="59933A42">
            <w:pPr>
              <w:spacing w:line="240" w:lineRule="exact"/>
              <w:jc w:val="both"/>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项目总监（</w:t>
            </w: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分）</w:t>
            </w:r>
          </w:p>
        </w:tc>
        <w:tc>
          <w:tcPr>
            <w:tcW w:w="5371" w:type="dxa"/>
            <w:shd w:val="clear" w:color="auto" w:fill="FFFFFF"/>
            <w:tcMar>
              <w:top w:w="0" w:type="dxa"/>
              <w:left w:w="108" w:type="dxa"/>
              <w:bottom w:w="0" w:type="dxa"/>
              <w:right w:w="108" w:type="dxa"/>
            </w:tcMar>
            <w:vAlign w:val="center"/>
          </w:tcPr>
          <w:p w14:paraId="0BCC0373">
            <w:pPr>
              <w:spacing w:line="240" w:lineRule="exac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(1)具有</w:t>
            </w:r>
            <w:r>
              <w:rPr>
                <w:rFonts w:hint="eastAsia" w:asciiTheme="minorEastAsia" w:hAnsiTheme="minorEastAsia" w:eastAsiaTheme="minorEastAsia"/>
                <w:color w:val="000000" w:themeColor="text1"/>
                <w:szCs w:val="21"/>
                <w:lang w:val="en-US" w:eastAsia="zh-CN"/>
                <w14:textFill>
                  <w14:solidFill>
                    <w14:schemeClr w14:val="tx1"/>
                  </w14:solidFill>
                </w14:textFill>
              </w:rPr>
              <w:t>工程类</w:t>
            </w:r>
            <w:r>
              <w:rPr>
                <w:rFonts w:hint="eastAsia" w:asciiTheme="minorEastAsia" w:hAnsiTheme="minorEastAsia" w:eastAsiaTheme="minorEastAsia"/>
                <w:color w:val="000000" w:themeColor="text1"/>
                <w:szCs w:val="21"/>
                <w14:textFill>
                  <w14:solidFill>
                    <w14:schemeClr w14:val="tx1"/>
                  </w14:solidFill>
                </w14:textFill>
              </w:rPr>
              <w:t>高级职称（或以上）得1分。</w:t>
            </w:r>
          </w:p>
          <w:p w14:paraId="24CAEB92">
            <w:pPr>
              <w:spacing w:line="240" w:lineRule="exac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(2)监理工程师证书核发日期距开标日期达到5年或以上的，得1分。</w:t>
            </w:r>
          </w:p>
          <w:p w14:paraId="602A1922">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-①</w:t>
            </w:r>
            <w:r>
              <w:rPr>
                <w:rFonts w:hint="eastAsia" w:asciiTheme="minorEastAsia" w:hAnsiTheme="minorEastAsia" w:eastAsiaTheme="minorEastAsia"/>
                <w:color w:val="000000" w:themeColor="text1"/>
                <w:szCs w:val="21"/>
                <w14:textFill>
                  <w14:solidFill>
                    <w14:schemeClr w14:val="tx1"/>
                  </w14:solidFill>
                </w14:textFill>
              </w:rPr>
              <w:t>自</w:t>
            </w:r>
            <w:r>
              <w:rPr>
                <w:rFonts w:hint="eastAsia" w:asciiTheme="minorEastAsia" w:hAnsiTheme="minorEastAsia" w:eastAsiaTheme="minorEastAsia"/>
                <w:color w:val="000000" w:themeColor="text1"/>
                <w:szCs w:val="21"/>
                <w:lang w:eastAsia="zh-CN"/>
                <w14:textFill>
                  <w14:solidFill>
                    <w14:schemeClr w14:val="tx1"/>
                  </w14:solidFill>
                </w14:textFill>
              </w:rPr>
              <w:t>2020年1月1日至投标截止日</w:t>
            </w:r>
            <w:r>
              <w:rPr>
                <w:rFonts w:hint="eastAsia" w:asciiTheme="minorEastAsia" w:hAnsiTheme="minorEastAsia" w:eastAsiaTheme="minorEastAsia"/>
                <w:color w:val="000000" w:themeColor="text1"/>
                <w:szCs w:val="21"/>
                <w14:textFill>
                  <w14:solidFill>
                    <w14:schemeClr w14:val="tx1"/>
                  </w14:solidFill>
                </w14:textFill>
              </w:rPr>
              <w:t>担任总监职务完成过质量合格</w:t>
            </w:r>
            <w:r>
              <w:rPr>
                <w:rFonts w:hint="eastAsia" w:asciiTheme="minorEastAsia" w:hAnsiTheme="minorEastAsia" w:eastAsiaTheme="minorEastAsia"/>
                <w:color w:val="000000" w:themeColor="text1"/>
                <w:szCs w:val="21"/>
                <w:lang w:val="zh-TW"/>
                <w14:textFill>
                  <w14:solidFill>
                    <w14:schemeClr w14:val="tx1"/>
                  </w14:solidFill>
                </w14:textFill>
              </w:rPr>
              <w:t>钢筋混凝土粮食筒仓（浅圆仓</w:t>
            </w:r>
            <w:r>
              <w:rPr>
                <w:rFonts w:hint="eastAsia" w:asciiTheme="minorEastAsia" w:hAnsiTheme="minorEastAsia" w:eastAsiaTheme="minorEastAsia"/>
                <w:color w:val="000000" w:themeColor="text1"/>
                <w:szCs w:val="21"/>
                <w:lang w:val="zh-TW"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大直径筒仓</w:t>
            </w:r>
            <w:r>
              <w:rPr>
                <w:rFonts w:hint="eastAsia" w:asciiTheme="minorEastAsia" w:hAnsiTheme="minorEastAsia" w:eastAsiaTheme="minorEastAsia"/>
                <w:color w:val="000000" w:themeColor="text1"/>
                <w:szCs w:val="21"/>
                <w:lang w:val="zh-TW"/>
                <w14:textFill>
                  <w14:solidFill>
                    <w14:schemeClr w14:val="tx1"/>
                  </w14:solidFill>
                </w14:textFill>
              </w:rPr>
              <w:t>或立筒仓）工程</w:t>
            </w:r>
            <w:r>
              <w:rPr>
                <w:rFonts w:hint="eastAsia" w:asciiTheme="minorEastAsia" w:hAnsiTheme="minorEastAsia" w:eastAsiaTheme="minorEastAsia"/>
                <w:color w:val="000000" w:themeColor="text1"/>
                <w:szCs w:val="21"/>
                <w:lang w:val="zh-TW" w:eastAsia="zh-CN"/>
                <w14:textFill>
                  <w14:solidFill>
                    <w14:schemeClr w14:val="tx1"/>
                  </w14:solidFill>
                </w14:textFill>
              </w:rPr>
              <w:t>的监理业绩的：</w:t>
            </w:r>
          </w:p>
          <w:p w14:paraId="7E199B41">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eastAsia="zh-CN"/>
                <w14:textFill>
                  <w14:solidFill>
                    <w14:schemeClr w14:val="tx1"/>
                  </w14:solidFill>
                </w14:textFill>
              </w:rPr>
              <w:t>5万吨≤单项合同</w:t>
            </w:r>
            <w:r>
              <w:rPr>
                <w:rFonts w:asciiTheme="minorEastAsia" w:hAnsiTheme="minorEastAsia" w:eastAsiaTheme="minorEastAsia"/>
                <w:color w:val="000000" w:themeColor="text1"/>
                <w:szCs w:val="21"/>
                <w:lang w:val="zh-TW"/>
                <w14:textFill>
                  <w14:solidFill>
                    <w14:schemeClr w14:val="tx1"/>
                  </w14:solidFill>
                </w14:textFill>
              </w:rPr>
              <w:t>&lt;</w:t>
            </w:r>
            <w:r>
              <w:rPr>
                <w:rFonts w:hint="eastAsia" w:asciiTheme="minorEastAsia" w:hAnsiTheme="minorEastAsia" w:eastAsiaTheme="minorEastAsia"/>
                <w:color w:val="000000" w:themeColor="text1"/>
                <w:szCs w:val="21"/>
                <w:lang w:val="zh-TW" w:eastAsia="zh-CN"/>
                <w14:textFill>
                  <w14:solidFill>
                    <w14:schemeClr w14:val="tx1"/>
                  </w14:solidFill>
                </w14:textFill>
              </w:rPr>
              <w:t>10万吨的，得</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val="zh-TW" w:eastAsia="zh-CN"/>
                <w14:textFill>
                  <w14:solidFill>
                    <w14:schemeClr w14:val="tx1"/>
                  </w14:solidFill>
                </w14:textFill>
              </w:rPr>
              <w:t>分；</w:t>
            </w:r>
          </w:p>
          <w:p w14:paraId="3062C2BC">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eastAsia="zh-CN"/>
                <w14:textFill>
                  <w14:solidFill>
                    <w14:schemeClr w14:val="tx1"/>
                  </w14:solidFill>
                </w14:textFill>
              </w:rPr>
              <w:t>10万吨≤单项合同，得</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lang w:val="zh-TW" w:eastAsia="zh-CN"/>
                <w14:textFill>
                  <w14:solidFill>
                    <w14:schemeClr w14:val="tx1"/>
                  </w14:solidFill>
                </w14:textFill>
              </w:rPr>
              <w:t>分；</w:t>
            </w:r>
          </w:p>
          <w:p w14:paraId="2C13E301">
            <w:pPr>
              <w:spacing w:line="240" w:lineRule="exac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本小项</w:t>
            </w:r>
            <w:r>
              <w:rPr>
                <w:rFonts w:hint="eastAsia" w:asciiTheme="minorEastAsia" w:hAnsiTheme="minorEastAsia" w:eastAsiaTheme="minorEastAsia"/>
                <w:color w:val="000000" w:themeColor="text1"/>
                <w:szCs w:val="21"/>
                <w:lang w:val="zh-TW" w:eastAsia="zh-CN"/>
                <w14:textFill>
                  <w14:solidFill>
                    <w14:schemeClr w14:val="tx1"/>
                  </w14:solidFill>
                </w14:textFill>
              </w:rPr>
              <w:t>最高得</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lang w:val="zh-TW" w:eastAsia="zh-CN"/>
                <w14:textFill>
                  <w14:solidFill>
                    <w14:schemeClr w14:val="tx1"/>
                  </w14:solidFill>
                </w14:textFill>
              </w:rPr>
              <w:t>分。</w:t>
            </w:r>
          </w:p>
          <w:p w14:paraId="3CC955F2">
            <w:pPr>
              <w:spacing w:line="240" w:lineRule="exact"/>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②自</w:t>
            </w:r>
            <w:r>
              <w:rPr>
                <w:rFonts w:hint="eastAsia" w:asciiTheme="minorEastAsia" w:hAnsiTheme="minorEastAsia" w:eastAsiaTheme="minorEastAsia"/>
                <w:color w:val="000000" w:themeColor="text1"/>
                <w:szCs w:val="21"/>
                <w:lang w:eastAsia="zh-CN"/>
                <w14:textFill>
                  <w14:solidFill>
                    <w14:schemeClr w14:val="tx1"/>
                  </w14:solidFill>
                </w14:textFill>
              </w:rPr>
              <w:t>2020年1月1日至投标截止日</w:t>
            </w:r>
            <w:r>
              <w:rPr>
                <w:rFonts w:hint="eastAsia" w:asciiTheme="minorEastAsia" w:hAnsiTheme="minorEastAsia" w:eastAsiaTheme="minorEastAsia"/>
                <w:color w:val="000000" w:themeColor="text1"/>
                <w:szCs w:val="21"/>
                <w14:textFill>
                  <w14:solidFill>
                    <w14:schemeClr w14:val="tx1"/>
                  </w14:solidFill>
                </w14:textFill>
              </w:rPr>
              <w:t>担任总监职务完成过质量合格的</w:t>
            </w:r>
            <w:r>
              <w:rPr>
                <w:rFonts w:hint="eastAsia" w:asciiTheme="minorEastAsia" w:hAnsiTheme="minorEastAsia" w:eastAsiaTheme="minorEastAsia"/>
                <w:color w:val="000000" w:themeColor="text1"/>
                <w:szCs w:val="21"/>
                <w:lang w:val="en-US" w:eastAsia="zh-CN"/>
                <w14:textFill>
                  <w14:solidFill>
                    <w14:schemeClr w14:val="tx1"/>
                  </w14:solidFill>
                </w14:textFill>
              </w:rPr>
              <w:t>非粮食</w:t>
            </w:r>
            <w:r>
              <w:rPr>
                <w:rFonts w:hint="eastAsia" w:asciiTheme="minorEastAsia" w:hAnsiTheme="minorEastAsia" w:eastAsiaTheme="minorEastAsia"/>
                <w:color w:val="000000" w:themeColor="text1"/>
                <w:szCs w:val="21"/>
                <w14:textFill>
                  <w14:solidFill>
                    <w14:schemeClr w14:val="tx1"/>
                  </w14:solidFill>
                </w14:textFill>
              </w:rPr>
              <w:t>钢筋混凝土筒仓工程</w:t>
            </w:r>
            <w:r>
              <w:rPr>
                <w:rFonts w:hint="eastAsia" w:asciiTheme="minorEastAsia" w:hAnsiTheme="minorEastAsia" w:eastAsiaTheme="minorEastAsia"/>
                <w:color w:val="000000" w:themeColor="text1"/>
                <w:szCs w:val="21"/>
                <w:lang w:eastAsia="zh-CN"/>
                <w14:textFill>
                  <w14:solidFill>
                    <w14:schemeClr w14:val="tx1"/>
                  </w14:solidFill>
                </w14:textFill>
              </w:rPr>
              <w:t>（含水泥仓或面粉仓或高层建筑中心塔或麦芽生产塔或混凝土油罐或混凝土烟囱等）的监理</w:t>
            </w:r>
            <w:r>
              <w:rPr>
                <w:rFonts w:hint="eastAsia" w:asciiTheme="minorEastAsia" w:hAnsiTheme="minorEastAsia" w:eastAsiaTheme="minorEastAsia"/>
                <w:color w:val="000000" w:themeColor="text1"/>
                <w:szCs w:val="21"/>
                <w14:textFill>
                  <w14:solidFill>
                    <w14:schemeClr w14:val="tx1"/>
                  </w14:solidFill>
                </w14:textFill>
              </w:rPr>
              <w:t>业绩的</w:t>
            </w:r>
            <w:r>
              <w:rPr>
                <w:rFonts w:hint="eastAsia" w:asciiTheme="minorEastAsia" w:hAnsiTheme="minorEastAsia" w:eastAsiaTheme="minorEastAsia"/>
                <w:color w:val="000000" w:themeColor="text1"/>
                <w:szCs w:val="21"/>
                <w:lang w:eastAsia="zh-CN"/>
                <w14:textFill>
                  <w14:solidFill>
                    <w14:schemeClr w14:val="tx1"/>
                  </w14:solidFill>
                </w14:textFill>
              </w:rPr>
              <w:t>：</w:t>
            </w:r>
          </w:p>
          <w:p w14:paraId="453F3907">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eastAsia="zh-CN"/>
                <w14:textFill>
                  <w14:solidFill>
                    <w14:schemeClr w14:val="tx1"/>
                  </w14:solidFill>
                </w14:textFill>
              </w:rPr>
              <w:t>5万吨≤单项合同</w:t>
            </w:r>
            <w:r>
              <w:rPr>
                <w:rFonts w:asciiTheme="minorEastAsia" w:hAnsiTheme="minorEastAsia" w:eastAsiaTheme="minorEastAsia"/>
                <w:color w:val="000000" w:themeColor="text1"/>
                <w:szCs w:val="21"/>
                <w:lang w:val="zh-TW"/>
                <w14:textFill>
                  <w14:solidFill>
                    <w14:schemeClr w14:val="tx1"/>
                  </w14:solidFill>
                </w14:textFill>
              </w:rPr>
              <w:t>&lt;</w:t>
            </w:r>
            <w:r>
              <w:rPr>
                <w:rFonts w:hint="eastAsia" w:asciiTheme="minorEastAsia" w:hAnsiTheme="minorEastAsia" w:eastAsiaTheme="minorEastAsia"/>
                <w:color w:val="000000" w:themeColor="text1"/>
                <w:szCs w:val="21"/>
                <w:lang w:val="zh-TW" w:eastAsia="zh-CN"/>
                <w14:textFill>
                  <w14:solidFill>
                    <w14:schemeClr w14:val="tx1"/>
                  </w14:solidFill>
                </w14:textFill>
              </w:rPr>
              <w:t>10万吨的，得</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val="zh-TW" w:eastAsia="zh-CN"/>
                <w14:textFill>
                  <w14:solidFill>
                    <w14:schemeClr w14:val="tx1"/>
                  </w14:solidFill>
                </w14:textFill>
              </w:rPr>
              <w:t>分；</w:t>
            </w:r>
          </w:p>
          <w:p w14:paraId="1934ACC3">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zh-TW" w:eastAsia="zh-CN"/>
                <w14:textFill>
                  <w14:solidFill>
                    <w14:schemeClr w14:val="tx1"/>
                  </w14:solidFill>
                </w14:textFill>
              </w:rPr>
              <w:t>10万吨≤单项合同的，得</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lang w:val="zh-TW" w:eastAsia="zh-CN"/>
                <w14:textFill>
                  <w14:solidFill>
                    <w14:schemeClr w14:val="tx1"/>
                  </w14:solidFill>
                </w14:textFill>
              </w:rPr>
              <w:t>分；</w:t>
            </w:r>
          </w:p>
          <w:p w14:paraId="7C44FFE1">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本小项</w:t>
            </w:r>
            <w:r>
              <w:rPr>
                <w:rFonts w:hint="eastAsia" w:asciiTheme="minorEastAsia" w:hAnsiTheme="minorEastAsia" w:eastAsiaTheme="minorEastAsia"/>
                <w:color w:val="000000" w:themeColor="text1"/>
                <w:szCs w:val="21"/>
                <w:lang w:val="zh-TW" w:eastAsia="zh-CN"/>
                <w14:textFill>
                  <w14:solidFill>
                    <w14:schemeClr w14:val="tx1"/>
                  </w14:solidFill>
                </w14:textFill>
              </w:rPr>
              <w:t>最高得</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lang w:val="zh-TW" w:eastAsia="zh-CN"/>
                <w14:textFill>
                  <w14:solidFill>
                    <w14:schemeClr w14:val="tx1"/>
                  </w14:solidFill>
                </w14:textFill>
              </w:rPr>
              <w:t>分。</w:t>
            </w:r>
          </w:p>
          <w:p w14:paraId="45463CA3">
            <w:pPr>
              <w:keepNext w:val="0"/>
              <w:keepLines w:val="0"/>
              <w:pageBreakBefore w:val="0"/>
              <w:widowControl w:val="0"/>
              <w:kinsoku/>
              <w:wordWrap/>
              <w:overflowPunct/>
              <w:topLinePunct w:val="0"/>
              <w:autoSpaceDE/>
              <w:autoSpaceDN/>
              <w:bidi w:val="0"/>
              <w:adjustRightInd/>
              <w:snapToGrid/>
              <w:spacing w:after="0" w:line="240" w:lineRule="exact"/>
              <w:ind w:left="0" w:leftChars="0" w:firstLineChars="200"/>
              <w:textAlignment w:val="auto"/>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③单个项目投资 20000 万元(含)以上房屋建筑工程项目的监理业绩的：</w:t>
            </w:r>
          </w:p>
          <w:p w14:paraId="4487C74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20000万元（含）≤单项合同≤30000 万元的，得1分；</w:t>
            </w:r>
          </w:p>
          <w:p w14:paraId="6C4DBA0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alibri" w:hAnsi="Calibri" w:eastAsia="宋体" w:cs="Times New Roman"/>
                <w:sz w:val="21"/>
                <w:szCs w:val="24"/>
                <w:lang w:val="en-US" w:eastAsia="zh-CN"/>
              </w:rPr>
            </w:pP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30000万元（含）≤单项合同≤40000 万元的，得3分；40000万元（含）≤单项合同的，得6分；</w:t>
            </w:r>
          </w:p>
          <w:p w14:paraId="003AB686">
            <w:pPr>
              <w:keepNext w:val="0"/>
              <w:keepLines w:val="0"/>
              <w:pageBreakBefore w:val="0"/>
              <w:widowControl/>
              <w:numPr>
                <w:ilvl w:val="-1"/>
                <w:numId w:val="0"/>
              </w:numPr>
              <w:kinsoku/>
              <w:wordWrap/>
              <w:overflowPunct/>
              <w:topLinePunct w:val="0"/>
              <w:autoSpaceDE/>
              <w:autoSpaceDN/>
              <w:bidi w:val="0"/>
              <w:adjustRightInd/>
              <w:snapToGrid/>
              <w:spacing w:line="240" w:lineRule="exact"/>
              <w:ind w:firstLine="0"/>
              <w:jc w:val="left"/>
              <w:textAlignment w:val="auto"/>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本小项</w:t>
            </w:r>
            <w:r>
              <w:rPr>
                <w:rFonts w:hint="eastAsia" w:cs="Times New Roman" w:asciiTheme="minorEastAsia" w:hAnsiTheme="minorEastAsia" w:eastAsiaTheme="minorEastAsia"/>
                <w:color w:val="000000" w:themeColor="text1"/>
                <w:sz w:val="21"/>
                <w:szCs w:val="21"/>
                <w:lang w:val="zh-TW" w:eastAsia="zh-CN"/>
                <w14:textFill>
                  <w14:solidFill>
                    <w14:schemeClr w14:val="tx1"/>
                  </w14:solidFill>
                </w14:textFill>
              </w:rPr>
              <w:t>最高得</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6</w:t>
            </w:r>
            <w:r>
              <w:rPr>
                <w:rFonts w:hint="eastAsia" w:cs="Times New Roman" w:asciiTheme="minorEastAsia" w:hAnsiTheme="minorEastAsia" w:eastAsiaTheme="minorEastAsia"/>
                <w:color w:val="000000" w:themeColor="text1"/>
                <w:sz w:val="21"/>
                <w:szCs w:val="21"/>
                <w:lang w:val="zh-TW" w:eastAsia="zh-CN"/>
                <w14:textFill>
                  <w14:solidFill>
                    <w14:schemeClr w14:val="tx1"/>
                  </w14:solidFill>
                </w14:textFill>
              </w:rPr>
              <w:t>分。</w:t>
            </w:r>
          </w:p>
          <w:p w14:paraId="1ED471BF">
            <w:pPr>
              <w:spacing w:line="240" w:lineRule="exact"/>
              <w:rPr>
                <w:rFonts w:hint="eastAsia" w:asciiTheme="minorEastAsia" w:hAnsiTheme="minorEastAsia" w:eastAsiaTheme="minorEastAsia"/>
                <w:color w:val="000000" w:themeColor="text1"/>
                <w:szCs w:val="21"/>
                <w:lang w:val="zh-TW"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①、②、③三</w:t>
            </w:r>
            <w:r>
              <w:rPr>
                <w:rFonts w:hint="eastAsia" w:cs="Times New Roman" w:asciiTheme="minorEastAsia" w:hAnsiTheme="minorEastAsia" w:eastAsiaTheme="minorEastAsia"/>
                <w:color w:val="000000" w:themeColor="text1"/>
                <w:sz w:val="21"/>
                <w:szCs w:val="21"/>
                <w:lang w:val="zh-TW" w:eastAsia="zh-CN"/>
                <w14:textFill>
                  <w14:solidFill>
                    <w14:schemeClr w14:val="tx1"/>
                  </w14:solidFill>
                </w14:textFill>
              </w:rPr>
              <w:t>项分数合并计算，但总分不超过</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6</w:t>
            </w:r>
            <w:r>
              <w:rPr>
                <w:rFonts w:hint="eastAsia" w:cs="Times New Roman" w:asciiTheme="minorEastAsia" w:hAnsiTheme="minorEastAsia" w:eastAsiaTheme="minorEastAsia"/>
                <w:color w:val="000000" w:themeColor="text1"/>
                <w:sz w:val="21"/>
                <w:szCs w:val="21"/>
                <w:lang w:val="zh-TW" w:eastAsia="zh-CN"/>
                <w14:textFill>
                  <w14:solidFill>
                    <w14:schemeClr w14:val="tx1"/>
                  </w14:solidFill>
                </w14:textFill>
              </w:rPr>
              <w:t>分。</w:t>
            </w:r>
          </w:p>
          <w:p w14:paraId="2385C132">
            <w:pPr>
              <w:spacing w:line="240" w:lineRule="exact"/>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第（</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）项满分</w:t>
            </w:r>
            <w:r>
              <w:rPr>
                <w:rFonts w:hint="eastAsia" w:asciiTheme="minorEastAsia" w:hAnsiTheme="minorEastAsia" w:eastAsiaTheme="minorEastAsia"/>
                <w:color w:val="000000" w:themeColor="text1"/>
                <w:szCs w:val="21"/>
                <w:lang w:val="en-US" w:eastAsia="zh-CN"/>
                <w14:textFill>
                  <w14:solidFill>
                    <w14:schemeClr w14:val="tx1"/>
                  </w14:solidFill>
                </w14:textFill>
              </w:rPr>
              <w:t>6分。</w:t>
            </w:r>
          </w:p>
          <w:p w14:paraId="44FB3C35">
            <w:pPr>
              <w:spacing w:line="240" w:lineRule="exact"/>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备注：1.每项业绩需同时提供：监理合同等能证明总监职务及合同规模的材料、竣工验收证明材料或质监部门验收证明材料。</w:t>
            </w:r>
          </w:p>
          <w:p w14:paraId="5A0F15F8">
            <w:pPr>
              <w:spacing w:line="240" w:lineRule="exact"/>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-①、</w:t>
            </w:r>
            <w:r>
              <w:rPr>
                <w:rFonts w:hint="eastAsia" w:asciiTheme="minorEastAsia" w:hAnsiTheme="minorEastAsia" w:eastAsiaTheme="minorEastAsia"/>
                <w:color w:val="000000" w:themeColor="text1"/>
                <w:szCs w:val="21"/>
                <w:lang w:eastAsia="zh-CN"/>
                <w14:textFill>
                  <w14:solidFill>
                    <w14:schemeClr w14:val="tx1"/>
                  </w14:solidFill>
                </w14:textFill>
              </w:rPr>
              <w:t>（</w:t>
            </w:r>
            <w:bookmarkStart w:id="461" w:name="_GoBack"/>
            <w:bookmarkEnd w:id="461"/>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②</w:t>
            </w:r>
            <w:r>
              <w:rPr>
                <w:rFonts w:hint="eastAsia" w:asciiTheme="minorEastAsia" w:hAnsiTheme="minorEastAsia" w:eastAsiaTheme="minorEastAsia"/>
                <w:color w:val="000000" w:themeColor="text1"/>
                <w:szCs w:val="21"/>
                <w:lang w:val="en-US" w:eastAsia="zh-CN"/>
                <w14:textFill>
                  <w14:solidFill>
                    <w14:schemeClr w14:val="tx1"/>
                  </w14:solidFill>
                </w14:textFill>
              </w:rPr>
              <w:t>项工程监理业绩应提供含仓身平面图、立面图等关键施工图纸两张。</w:t>
            </w:r>
          </w:p>
          <w:p w14:paraId="5788BF31">
            <w:pPr>
              <w:spacing w:line="240" w:lineRule="exact"/>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3.每个业绩仅能计分一次，多个条件符合时，按得分最高的计取。</w:t>
            </w:r>
          </w:p>
        </w:tc>
      </w:tr>
      <w:tr w14:paraId="1387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continue"/>
            <w:shd w:val="clear" w:color="auto" w:fill="FFFFFF"/>
            <w:vAlign w:val="center"/>
          </w:tcPr>
          <w:p w14:paraId="7100A614">
            <w:pPr>
              <w:widowControl/>
              <w:jc w:val="left"/>
              <w:rPr>
                <w:rFonts w:ascii="宋体" w:hAnsi="宋体" w:cs="楷体"/>
                <w:color w:val="000000" w:themeColor="text1"/>
                <w:kern w:val="0"/>
                <w:szCs w:val="21"/>
                <w14:textFill>
                  <w14:solidFill>
                    <w14:schemeClr w14:val="tx1"/>
                  </w14:solidFill>
                </w14:textFill>
              </w:rPr>
            </w:pPr>
          </w:p>
        </w:tc>
        <w:tc>
          <w:tcPr>
            <w:tcW w:w="914" w:type="dxa"/>
            <w:vMerge w:val="continue"/>
            <w:shd w:val="clear" w:color="auto" w:fill="FFFFFF"/>
            <w:vAlign w:val="center"/>
          </w:tcPr>
          <w:p w14:paraId="40F03857">
            <w:pPr>
              <w:jc w:val="center"/>
              <w:rPr>
                <w:rFonts w:ascii="宋体" w:hAnsi="宋体" w:cs="楷体"/>
                <w:color w:val="000000" w:themeColor="text1"/>
                <w14:textFill>
                  <w14:solidFill>
                    <w14:schemeClr w14:val="tx1"/>
                  </w14:solidFill>
                </w14:textFill>
              </w:rPr>
            </w:pPr>
          </w:p>
        </w:tc>
        <w:tc>
          <w:tcPr>
            <w:tcW w:w="586" w:type="dxa"/>
            <w:vMerge w:val="continue"/>
            <w:shd w:val="clear" w:color="auto" w:fill="FFFFFF"/>
            <w:tcMar>
              <w:top w:w="0" w:type="dxa"/>
              <w:left w:w="108" w:type="dxa"/>
              <w:bottom w:w="0" w:type="dxa"/>
              <w:right w:w="108" w:type="dxa"/>
            </w:tcMar>
            <w:vAlign w:val="center"/>
          </w:tcPr>
          <w:p w14:paraId="5AAE2ACF">
            <w:pPr>
              <w:spacing w:line="2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15" w:type="dxa"/>
            <w:shd w:val="clear" w:color="auto" w:fill="FFFFFF"/>
            <w:vAlign w:val="center"/>
          </w:tcPr>
          <w:p w14:paraId="66AD32CB">
            <w:pPr>
              <w:spacing w:line="2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监理人员综合素质</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分</w:t>
            </w:r>
            <w:r>
              <w:rPr>
                <w:rFonts w:asciiTheme="minorEastAsia" w:hAnsiTheme="minorEastAsia" w:eastAsiaTheme="minorEastAsia"/>
                <w:color w:val="000000" w:themeColor="text1"/>
                <w:szCs w:val="21"/>
                <w14:textFill>
                  <w14:solidFill>
                    <w14:schemeClr w14:val="tx1"/>
                  </w14:solidFill>
                </w14:textFill>
              </w:rPr>
              <w:t>）</w:t>
            </w:r>
          </w:p>
        </w:tc>
        <w:tc>
          <w:tcPr>
            <w:tcW w:w="5371" w:type="dxa"/>
            <w:shd w:val="clear" w:color="auto" w:fill="FFFFFF"/>
            <w:tcMar>
              <w:top w:w="0" w:type="dxa"/>
              <w:left w:w="108" w:type="dxa"/>
              <w:bottom w:w="0" w:type="dxa"/>
              <w:right w:w="108" w:type="dxa"/>
            </w:tcMar>
            <w:vAlign w:val="center"/>
          </w:tcPr>
          <w:p w14:paraId="0E0A3EE1">
            <w:pPr>
              <w:adjustRightInd w:val="0"/>
              <w:snapToGrid w:val="0"/>
              <w:rPr>
                <w:rFonts w:hint="eastAsia"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(1) 除总</w:t>
            </w:r>
            <w:r>
              <w:rPr>
                <w:rFonts w:hint="eastAsia" w:eastAsiaTheme="minorEastAsia"/>
                <w:color w:val="000000" w:themeColor="text1"/>
                <w:lang w:val="en-US" w:eastAsia="zh-CN"/>
                <w14:textFill>
                  <w14:solidFill>
                    <w14:schemeClr w14:val="tx1"/>
                  </w14:solidFill>
                </w14:textFill>
              </w:rPr>
              <w:t>监理工程师</w:t>
            </w:r>
            <w:r>
              <w:rPr>
                <w:rFonts w:hint="eastAsia" w:eastAsiaTheme="minorEastAsia"/>
                <w:color w:val="000000" w:themeColor="text1"/>
                <w14:textFill>
                  <w14:solidFill>
                    <w14:schemeClr w14:val="tx1"/>
                  </w14:solidFill>
                </w14:textFill>
              </w:rPr>
              <w:t>外，其他监理人员具备</w:t>
            </w:r>
            <w:r>
              <w:rPr>
                <w:rFonts w:hint="eastAsia" w:asciiTheme="minorEastAsia" w:hAnsiTheme="minorEastAsia" w:eastAsiaTheme="minorEastAsia"/>
                <w:color w:val="000000" w:themeColor="text1"/>
                <w:szCs w:val="21"/>
                <w:lang w:val="en-US" w:eastAsia="zh-CN"/>
                <w14:textFill>
                  <w14:solidFill>
                    <w14:schemeClr w14:val="tx1"/>
                  </w14:solidFill>
                </w14:textFill>
              </w:rPr>
              <w:t>工程类</w:t>
            </w:r>
            <w:r>
              <w:rPr>
                <w:rFonts w:hint="eastAsia" w:eastAsiaTheme="minorEastAsia"/>
                <w:color w:val="000000" w:themeColor="text1"/>
                <w14:textFill>
                  <w14:solidFill>
                    <w14:schemeClr w14:val="tx1"/>
                  </w14:solidFill>
                </w14:textFill>
              </w:rPr>
              <w:t>高级职称</w:t>
            </w:r>
            <w:r>
              <w:rPr>
                <w:rFonts w:hint="eastAsia" w:asciiTheme="minorEastAsia" w:hAnsiTheme="minorEastAsia" w:eastAsiaTheme="minorEastAsia"/>
                <w:color w:val="000000" w:themeColor="text1"/>
                <w:szCs w:val="21"/>
                <w14:textFill>
                  <w14:solidFill>
                    <w14:schemeClr w14:val="tx1"/>
                  </w14:solidFill>
                </w14:textFill>
              </w:rPr>
              <w:t>（或以上）</w:t>
            </w:r>
            <w:r>
              <w:rPr>
                <w:rFonts w:hint="eastAsia" w:eastAsiaTheme="minorEastAsia"/>
                <w:color w:val="000000" w:themeColor="text1"/>
                <w14:textFill>
                  <w14:solidFill>
                    <w14:schemeClr w14:val="tx1"/>
                  </w14:solidFill>
                </w14:textFill>
              </w:rPr>
              <w:t>的，每人可增加1分，最多加</w:t>
            </w:r>
            <w:r>
              <w:rPr>
                <w:rFonts w:hint="eastAsia" w:eastAsiaTheme="minorEastAsia"/>
                <w:color w:val="000000" w:themeColor="text1"/>
                <w:lang w:val="en-US" w:eastAsia="zh-CN"/>
                <w14:textFill>
                  <w14:solidFill>
                    <w14:schemeClr w14:val="tx1"/>
                  </w14:solidFill>
                </w14:textFill>
              </w:rPr>
              <w:t>2</w:t>
            </w:r>
            <w:r>
              <w:rPr>
                <w:rFonts w:hint="eastAsia" w:eastAsiaTheme="minorEastAsia"/>
                <w:color w:val="000000" w:themeColor="text1"/>
                <w14:textFill>
                  <w14:solidFill>
                    <w14:schemeClr w14:val="tx1"/>
                  </w14:solidFill>
                </w14:textFill>
              </w:rPr>
              <w:t>分。</w:t>
            </w:r>
          </w:p>
          <w:p w14:paraId="51B4D938">
            <w:pPr>
              <w:adjustRightInd w:val="0"/>
              <w:snapToGrid w:val="0"/>
              <w:rPr>
                <w:rFonts w:hint="eastAsia"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(2) 除总</w:t>
            </w:r>
            <w:r>
              <w:rPr>
                <w:rFonts w:hint="eastAsia" w:eastAsiaTheme="minorEastAsia"/>
                <w:color w:val="000000" w:themeColor="text1"/>
                <w:lang w:val="en-US" w:eastAsia="zh-CN"/>
                <w14:textFill>
                  <w14:solidFill>
                    <w14:schemeClr w14:val="tx1"/>
                  </w14:solidFill>
                </w14:textFill>
              </w:rPr>
              <w:t>监理工程师</w:t>
            </w:r>
            <w:r>
              <w:rPr>
                <w:rFonts w:hint="eastAsia" w:eastAsiaTheme="minorEastAsia"/>
                <w:color w:val="000000" w:themeColor="text1"/>
                <w14:textFill>
                  <w14:solidFill>
                    <w14:schemeClr w14:val="tx1"/>
                  </w14:solidFill>
                </w14:textFill>
              </w:rPr>
              <w:t>外，其他监理人员具有注册监理工程师或注册造价师或注册建造师或注册结构师或注册建筑师证书的，每人可增加1分，最多加</w:t>
            </w:r>
            <w:r>
              <w:rPr>
                <w:rFonts w:hint="eastAsia" w:eastAsiaTheme="minorEastAsia"/>
                <w:color w:val="000000" w:themeColor="text1"/>
                <w:lang w:val="en-US" w:eastAsia="zh-CN"/>
                <w14:textFill>
                  <w14:solidFill>
                    <w14:schemeClr w14:val="tx1"/>
                  </w14:solidFill>
                </w14:textFill>
              </w:rPr>
              <w:t>2</w:t>
            </w:r>
            <w:r>
              <w:rPr>
                <w:rFonts w:hint="eastAsia" w:eastAsiaTheme="minorEastAsia"/>
                <w:color w:val="000000" w:themeColor="text1"/>
                <w14:textFill>
                  <w14:solidFill>
                    <w14:schemeClr w14:val="tx1"/>
                  </w14:solidFill>
                </w14:textFill>
              </w:rPr>
              <w:t>分。</w:t>
            </w:r>
          </w:p>
          <w:p w14:paraId="34C4A121">
            <w:pPr>
              <w:adjustRightInd w:val="0"/>
              <w:snapToGrid w:val="0"/>
              <w:rPr>
                <w:rFonts w:hint="eastAsia"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本项最多得</w:t>
            </w:r>
            <w:r>
              <w:rPr>
                <w:rFonts w:hint="eastAsia" w:eastAsiaTheme="minorEastAsia"/>
                <w:color w:val="000000" w:themeColor="text1"/>
                <w:lang w:val="en-US" w:eastAsia="zh-CN"/>
                <w14:textFill>
                  <w14:solidFill>
                    <w14:schemeClr w14:val="tx1"/>
                  </w14:solidFill>
                </w14:textFill>
              </w:rPr>
              <w:t>4</w:t>
            </w:r>
            <w:r>
              <w:rPr>
                <w:rFonts w:hint="eastAsia" w:eastAsiaTheme="minorEastAsia"/>
                <w:color w:val="000000" w:themeColor="text1"/>
                <w14:textFill>
                  <w14:solidFill>
                    <w14:schemeClr w14:val="tx1"/>
                  </w14:solidFill>
                </w14:textFill>
              </w:rPr>
              <w:t>分。</w:t>
            </w:r>
          </w:p>
          <w:p w14:paraId="04D2524B">
            <w:pPr>
              <w:adjustRightInd w:val="0"/>
              <w:snapToGrid w:val="0"/>
              <w:rPr>
                <w:rFonts w:hint="eastAsia"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备</w:t>
            </w:r>
            <w:r>
              <w:rPr>
                <w:rFonts w:hint="eastAsia" w:eastAsiaTheme="minorEastAsia"/>
                <w:color w:val="000000" w:themeColor="text1"/>
                <w:highlight w:val="none"/>
                <w:lang w:val="en-US" w:eastAsia="zh-CN"/>
                <w14:textFill>
                  <w14:solidFill>
                    <w14:schemeClr w14:val="tx1"/>
                  </w14:solidFill>
                </w14:textFill>
              </w:rPr>
              <w:t>注：同一人员同时满足（1）和（2）条件的可累计计分。需同时提供：①以上人员上述相关证书复印件②</w:t>
            </w:r>
            <w:r>
              <w:rPr>
                <w:rFonts w:hint="eastAsia" w:ascii="Calibri" w:hAnsi="Calibri" w:cs="Times New Roman" w:eastAsiaTheme="minorEastAsia"/>
                <w:color w:val="000000" w:themeColor="text1"/>
                <w:sz w:val="21"/>
                <w:highlight w:val="none"/>
                <w:u w:val="none"/>
                <w14:textFill>
                  <w14:solidFill>
                    <w14:schemeClr w14:val="tx1"/>
                  </w14:solidFill>
                </w14:textFill>
              </w:rPr>
              <w:t>需提供近</w:t>
            </w:r>
            <w:r>
              <w:rPr>
                <w:rFonts w:hint="eastAsia" w:ascii="Calibri" w:hAnsi="Calibri" w:cs="Times New Roman" w:eastAsiaTheme="minorEastAsia"/>
                <w:color w:val="000000" w:themeColor="text1"/>
                <w:sz w:val="21"/>
                <w:highlight w:val="none"/>
                <w:u w:val="none"/>
                <w:lang w:val="en-US" w:eastAsia="zh-CN"/>
                <w14:textFill>
                  <w14:solidFill>
                    <w14:schemeClr w14:val="tx1"/>
                  </w14:solidFill>
                </w14:textFill>
              </w:rPr>
              <w:t>3</w:t>
            </w:r>
            <w:r>
              <w:rPr>
                <w:rFonts w:hint="eastAsia" w:ascii="Calibri" w:hAnsi="Calibri" w:cs="Times New Roman" w:eastAsiaTheme="minorEastAsia"/>
                <w:color w:val="000000" w:themeColor="text1"/>
                <w:sz w:val="21"/>
                <w:highlight w:val="none"/>
                <w:u w:val="none"/>
                <w14:textFill>
                  <w14:solidFill>
                    <w14:schemeClr w14:val="tx1"/>
                  </w14:solidFill>
                </w14:textFill>
              </w:rPr>
              <w:t>个月</w:t>
            </w:r>
            <w:r>
              <w:rPr>
                <w:rFonts w:hint="eastAsia" w:ascii="Calibri" w:hAnsi="Calibri" w:cs="Times New Roman" w:eastAsiaTheme="minorEastAsia"/>
                <w:color w:val="000000" w:themeColor="text1"/>
                <w:sz w:val="21"/>
                <w:highlight w:val="none"/>
                <w:u w:val="none"/>
                <w:lang w:eastAsia="zh-CN"/>
                <w14:textFill>
                  <w14:solidFill>
                    <w14:schemeClr w14:val="tx1"/>
                  </w14:solidFill>
                </w14:textFill>
              </w:rPr>
              <w:t>（</w:t>
            </w:r>
            <w:r>
              <w:rPr>
                <w:rFonts w:hint="eastAsia" w:cs="Times New Roman" w:eastAsiaTheme="minorEastAsia"/>
                <w:color w:val="000000" w:themeColor="text1"/>
                <w:sz w:val="21"/>
                <w:highlight w:val="none"/>
                <w:u w:val="none"/>
                <w:lang w:val="en-US" w:eastAsia="zh-CN"/>
                <w14:textFill>
                  <w14:solidFill>
                    <w14:schemeClr w14:val="tx1"/>
                  </w14:solidFill>
                </w14:textFill>
              </w:rPr>
              <w:t>2025年7月-9月</w:t>
            </w:r>
            <w:r>
              <w:rPr>
                <w:rFonts w:hint="eastAsia" w:ascii="Calibri" w:hAnsi="Calibri" w:cs="Times New Roman" w:eastAsiaTheme="minorEastAsia"/>
                <w:color w:val="000000" w:themeColor="text1"/>
                <w:sz w:val="21"/>
                <w:highlight w:val="none"/>
                <w:u w:val="none"/>
                <w:lang w:val="en-US" w:eastAsia="zh-CN"/>
                <w14:textFill>
                  <w14:solidFill>
                    <w14:schemeClr w14:val="tx1"/>
                  </w14:solidFill>
                </w14:textFill>
              </w:rPr>
              <w:t>）</w:t>
            </w:r>
            <w:r>
              <w:rPr>
                <w:rFonts w:hint="eastAsia" w:ascii="Calibri" w:hAnsi="Calibri" w:cs="Times New Roman" w:eastAsiaTheme="minorEastAsia"/>
                <w:color w:val="000000" w:themeColor="text1"/>
                <w:sz w:val="21"/>
                <w:highlight w:val="none"/>
                <w:u w:val="none"/>
                <w14:textFill>
                  <w14:solidFill>
                    <w14:schemeClr w14:val="tx1"/>
                  </w14:solidFill>
                </w14:textFill>
              </w:rPr>
              <w:t>在本单位（不含子公司）购买的社保证明，社保证明需能反映参保人在相应单位（不含子公司）缴纳</w:t>
            </w:r>
          </w:p>
        </w:tc>
      </w:tr>
      <w:tr w14:paraId="0F6D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continue"/>
            <w:shd w:val="clear" w:color="auto" w:fill="FFFFFF"/>
            <w:vAlign w:val="center"/>
          </w:tcPr>
          <w:p w14:paraId="5038CC76">
            <w:pPr>
              <w:widowControl/>
              <w:jc w:val="left"/>
              <w:rPr>
                <w:rFonts w:ascii="宋体" w:hAnsi="宋体" w:cs="楷体"/>
                <w:color w:val="000000" w:themeColor="text1"/>
                <w:kern w:val="0"/>
                <w:szCs w:val="21"/>
                <w14:textFill>
                  <w14:solidFill>
                    <w14:schemeClr w14:val="tx1"/>
                  </w14:solidFill>
                </w14:textFill>
              </w:rPr>
            </w:pPr>
          </w:p>
        </w:tc>
        <w:tc>
          <w:tcPr>
            <w:tcW w:w="914" w:type="dxa"/>
            <w:vMerge w:val="continue"/>
            <w:shd w:val="clear" w:color="auto" w:fill="FFFFFF"/>
            <w:vAlign w:val="center"/>
          </w:tcPr>
          <w:p w14:paraId="3113E6CC">
            <w:pPr>
              <w:jc w:val="center"/>
              <w:rPr>
                <w:rFonts w:ascii="宋体" w:hAnsi="宋体" w:cs="楷体"/>
                <w:color w:val="000000" w:themeColor="text1"/>
                <w14:textFill>
                  <w14:solidFill>
                    <w14:schemeClr w14:val="tx1"/>
                  </w14:solidFill>
                </w14:textFill>
              </w:rPr>
            </w:pPr>
          </w:p>
        </w:tc>
        <w:tc>
          <w:tcPr>
            <w:tcW w:w="586" w:type="dxa"/>
            <w:vMerge w:val="restart"/>
            <w:shd w:val="clear" w:color="auto" w:fill="FFFFFF"/>
            <w:tcMar>
              <w:top w:w="0" w:type="dxa"/>
              <w:left w:w="108" w:type="dxa"/>
              <w:bottom w:w="0" w:type="dxa"/>
              <w:right w:w="108" w:type="dxa"/>
            </w:tcMar>
            <w:vAlign w:val="center"/>
          </w:tcPr>
          <w:p w14:paraId="638A0064">
            <w:pPr>
              <w:spacing w:line="240" w:lineRule="exact"/>
              <w:jc w:val="center"/>
              <w:rPr>
                <w:rFonts w:hint="eastAsia" w:eastAsia="宋体" w:asciiTheme="minorEastAsia" w:hAnsiTheme="minorEastAsia"/>
                <w:color w:val="000000" w:themeColor="text1"/>
                <w:szCs w:val="21"/>
                <w:lang w:eastAsia="zh-CN"/>
                <w14:textFill>
                  <w14:solidFill>
                    <w14:schemeClr w14:val="tx1"/>
                  </w14:solidFill>
                </w14:textFill>
              </w:rPr>
            </w:pPr>
            <w:r>
              <w:rPr>
                <w:rFonts w:hint="eastAsia"/>
                <w:color w:val="000000" w:themeColor="text1"/>
                <w14:textFill>
                  <w14:solidFill>
                    <w14:schemeClr w14:val="tx1"/>
                  </w14:solidFill>
                </w14:textFill>
              </w:rPr>
              <w:t>技术方案部分</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28分</w:t>
            </w:r>
            <w:r>
              <w:rPr>
                <w:rFonts w:hint="eastAsia"/>
                <w:color w:val="000000" w:themeColor="text1"/>
                <w:lang w:eastAsia="zh-CN"/>
                <w14:textFill>
                  <w14:solidFill>
                    <w14:schemeClr w14:val="tx1"/>
                  </w14:solidFill>
                </w14:textFill>
              </w:rPr>
              <w:t>）</w:t>
            </w:r>
          </w:p>
        </w:tc>
        <w:tc>
          <w:tcPr>
            <w:tcW w:w="1515" w:type="dxa"/>
            <w:shd w:val="clear" w:color="auto" w:fill="FFFFFF"/>
            <w:vAlign w:val="center"/>
          </w:tcPr>
          <w:p w14:paraId="403DE5D4">
            <w:pPr>
              <w:spacing w:line="2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投资控制措施（</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分）</w:t>
            </w:r>
          </w:p>
        </w:tc>
        <w:tc>
          <w:tcPr>
            <w:tcW w:w="5371" w:type="dxa"/>
            <w:shd w:val="clear" w:color="auto" w:fill="FFFFFF"/>
            <w:tcMar>
              <w:top w:w="0" w:type="dxa"/>
              <w:left w:w="108" w:type="dxa"/>
              <w:bottom w:w="0" w:type="dxa"/>
              <w:right w:w="108" w:type="dxa"/>
            </w:tcMar>
            <w:vAlign w:val="center"/>
          </w:tcPr>
          <w:p w14:paraId="746630DC">
            <w:pPr>
              <w:adjustRightInd w:val="0"/>
              <w:snapToGrid w:val="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要求目标明确、方法合理可行、措施具体、针对性强，并加强对工程变更的控制。措施为优得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分；措施</w:t>
            </w:r>
            <w:r>
              <w:rPr>
                <w:rFonts w:hint="eastAsia" w:asciiTheme="minorEastAsia" w:hAnsiTheme="minorEastAsia" w:eastAsiaTheme="minorEastAsia"/>
                <w:color w:val="000000" w:themeColor="text1"/>
                <w:szCs w:val="21"/>
                <w:lang w:val="en-US" w:eastAsia="zh-CN"/>
                <w14:textFill>
                  <w14:solidFill>
                    <w14:schemeClr w14:val="tx1"/>
                  </w14:solidFill>
                </w14:textFill>
              </w:rPr>
              <w:t>一般</w:t>
            </w:r>
            <w:r>
              <w:rPr>
                <w:rFonts w:hint="eastAsia" w:asciiTheme="minorEastAsia" w:hAnsiTheme="minorEastAsia" w:eastAsiaTheme="minorEastAsia"/>
                <w:color w:val="000000" w:themeColor="text1"/>
                <w:szCs w:val="21"/>
                <w14:textFill>
                  <w14:solidFill>
                    <w14:schemeClr w14:val="tx1"/>
                  </w14:solidFill>
                </w14:textFill>
              </w:rPr>
              <w:t>得</w:t>
            </w:r>
            <w:r>
              <w:rPr>
                <w:rFonts w:hint="eastAsia" w:asciiTheme="minorEastAsia" w:hAnsiTheme="minorEastAsia" w:eastAsiaTheme="minorEastAsia"/>
                <w:color w:val="000000" w:themeColor="text1"/>
                <w:szCs w:val="21"/>
                <w:lang w:val="en-US" w:eastAsia="zh-CN"/>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分；无措施不得分；</w:t>
            </w:r>
          </w:p>
        </w:tc>
      </w:tr>
      <w:tr w14:paraId="740A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continue"/>
            <w:shd w:val="clear" w:color="auto" w:fill="FFFFFF"/>
            <w:vAlign w:val="center"/>
          </w:tcPr>
          <w:p w14:paraId="71045F08">
            <w:pPr>
              <w:widowControl/>
              <w:jc w:val="left"/>
              <w:rPr>
                <w:rFonts w:ascii="宋体" w:hAnsi="宋体" w:cs="楷体"/>
                <w:color w:val="000000" w:themeColor="text1"/>
                <w:kern w:val="0"/>
                <w:szCs w:val="21"/>
                <w14:textFill>
                  <w14:solidFill>
                    <w14:schemeClr w14:val="tx1"/>
                  </w14:solidFill>
                </w14:textFill>
              </w:rPr>
            </w:pPr>
          </w:p>
        </w:tc>
        <w:tc>
          <w:tcPr>
            <w:tcW w:w="914" w:type="dxa"/>
            <w:vMerge w:val="continue"/>
            <w:shd w:val="clear" w:color="auto" w:fill="FFFFFF"/>
            <w:vAlign w:val="center"/>
          </w:tcPr>
          <w:p w14:paraId="4FBE9DC2">
            <w:pPr>
              <w:jc w:val="center"/>
              <w:rPr>
                <w:rFonts w:ascii="宋体" w:hAnsi="宋体" w:cs="楷体"/>
                <w:color w:val="000000" w:themeColor="text1"/>
                <w14:textFill>
                  <w14:solidFill>
                    <w14:schemeClr w14:val="tx1"/>
                  </w14:solidFill>
                </w14:textFill>
              </w:rPr>
            </w:pPr>
          </w:p>
        </w:tc>
        <w:tc>
          <w:tcPr>
            <w:tcW w:w="586" w:type="dxa"/>
            <w:vMerge w:val="continue"/>
            <w:shd w:val="clear" w:color="auto" w:fill="FFFFFF"/>
            <w:tcMar>
              <w:top w:w="0" w:type="dxa"/>
              <w:left w:w="108" w:type="dxa"/>
              <w:bottom w:w="0" w:type="dxa"/>
              <w:right w:w="108" w:type="dxa"/>
            </w:tcMar>
            <w:vAlign w:val="center"/>
          </w:tcPr>
          <w:p w14:paraId="5EB6EC06">
            <w:pPr>
              <w:spacing w:line="2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15" w:type="dxa"/>
            <w:shd w:val="clear" w:color="auto" w:fill="FFFFFF"/>
            <w:vAlign w:val="center"/>
          </w:tcPr>
          <w:p w14:paraId="2A898623">
            <w:pPr>
              <w:jc w:val="center"/>
              <w:rPr>
                <w:rFonts w:asciiTheme="minorEastAsia" w:hAnsiTheme="minorEastAsia"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进度控制措施（</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分）</w:t>
            </w:r>
          </w:p>
        </w:tc>
        <w:tc>
          <w:tcPr>
            <w:tcW w:w="5371" w:type="dxa"/>
            <w:shd w:val="clear" w:color="auto" w:fill="FFFFFF"/>
            <w:tcMar>
              <w:top w:w="0" w:type="dxa"/>
              <w:left w:w="108" w:type="dxa"/>
              <w:bottom w:w="0" w:type="dxa"/>
              <w:right w:w="108" w:type="dxa"/>
            </w:tcMar>
            <w:vAlign w:val="center"/>
          </w:tcPr>
          <w:p w14:paraId="256A2499">
            <w:pPr>
              <w:adjustRightInd w:val="0"/>
              <w:snapToGrid w:val="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要求目标明确、方法合理可行、措施具体、针对性强。措施为优得</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分；措施为良得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分；措施为一般得</w:t>
            </w:r>
            <w:r>
              <w:rPr>
                <w:rFonts w:hint="eastAsia" w:asciiTheme="minorEastAsia" w:hAnsiTheme="minorEastAsia" w:eastAsiaTheme="minorEastAsia"/>
                <w:color w:val="000000" w:themeColor="text1"/>
                <w:szCs w:val="21"/>
                <w:lang w:val="en-US" w:eastAsia="zh-CN"/>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分。无措施不得分</w:t>
            </w:r>
            <w:r>
              <w:rPr>
                <w:rFonts w:hint="eastAsia" w:cs="Times New Roman" w:asciiTheme="minorEastAsia" w:hAnsiTheme="minorEastAsia" w:eastAsiaTheme="minorEastAsia"/>
                <w:color w:val="000000" w:themeColor="text1"/>
                <w:szCs w:val="21"/>
                <w14:textFill>
                  <w14:solidFill>
                    <w14:schemeClr w14:val="tx1"/>
                  </w14:solidFill>
                </w14:textFill>
              </w:rPr>
              <w:t>。</w:t>
            </w:r>
          </w:p>
        </w:tc>
      </w:tr>
      <w:tr w14:paraId="6940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continue"/>
            <w:shd w:val="clear" w:color="auto" w:fill="FFFFFF"/>
            <w:vAlign w:val="center"/>
          </w:tcPr>
          <w:p w14:paraId="5A8E8996">
            <w:pPr>
              <w:widowControl/>
              <w:jc w:val="left"/>
              <w:rPr>
                <w:rFonts w:ascii="宋体" w:hAnsi="宋体" w:cs="楷体"/>
                <w:color w:val="000000" w:themeColor="text1"/>
                <w:kern w:val="0"/>
                <w:szCs w:val="21"/>
                <w14:textFill>
                  <w14:solidFill>
                    <w14:schemeClr w14:val="tx1"/>
                  </w14:solidFill>
                </w14:textFill>
              </w:rPr>
            </w:pPr>
          </w:p>
        </w:tc>
        <w:tc>
          <w:tcPr>
            <w:tcW w:w="914" w:type="dxa"/>
            <w:vMerge w:val="continue"/>
            <w:shd w:val="clear" w:color="auto" w:fill="FFFFFF"/>
            <w:vAlign w:val="center"/>
          </w:tcPr>
          <w:p w14:paraId="29411570">
            <w:pPr>
              <w:jc w:val="center"/>
              <w:rPr>
                <w:rFonts w:ascii="宋体" w:hAnsi="宋体" w:cs="楷体"/>
                <w:color w:val="000000" w:themeColor="text1"/>
                <w14:textFill>
                  <w14:solidFill>
                    <w14:schemeClr w14:val="tx1"/>
                  </w14:solidFill>
                </w14:textFill>
              </w:rPr>
            </w:pPr>
          </w:p>
        </w:tc>
        <w:tc>
          <w:tcPr>
            <w:tcW w:w="586" w:type="dxa"/>
            <w:vMerge w:val="continue"/>
            <w:shd w:val="clear" w:color="auto" w:fill="FFFFFF"/>
            <w:tcMar>
              <w:top w:w="0" w:type="dxa"/>
              <w:left w:w="108" w:type="dxa"/>
              <w:bottom w:w="0" w:type="dxa"/>
              <w:right w:w="108" w:type="dxa"/>
            </w:tcMar>
            <w:vAlign w:val="center"/>
          </w:tcPr>
          <w:p w14:paraId="40E02A47">
            <w:pPr>
              <w:spacing w:line="2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15" w:type="dxa"/>
            <w:shd w:val="clear" w:color="auto" w:fill="FFFFFF"/>
            <w:vAlign w:val="center"/>
          </w:tcPr>
          <w:p w14:paraId="72C2AF4B">
            <w:pPr>
              <w:spacing w:line="2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质量控制措施（</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分）</w:t>
            </w:r>
          </w:p>
        </w:tc>
        <w:tc>
          <w:tcPr>
            <w:tcW w:w="5371" w:type="dxa"/>
            <w:shd w:val="clear" w:color="auto" w:fill="FFFFFF"/>
            <w:tcMar>
              <w:top w:w="0" w:type="dxa"/>
              <w:left w:w="108" w:type="dxa"/>
              <w:bottom w:w="0" w:type="dxa"/>
              <w:right w:w="108" w:type="dxa"/>
            </w:tcMar>
            <w:vAlign w:val="center"/>
          </w:tcPr>
          <w:p w14:paraId="29958CA0">
            <w:pPr>
              <w:adjustRightInd w:val="0"/>
              <w:snapToGrid w:val="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要求目标明确、方法合理可行、措施具体、针对性强。措施为优得</w:t>
            </w:r>
            <w:r>
              <w:rPr>
                <w:rFonts w:hint="eastAsia" w:asciiTheme="minorEastAsia" w:hAnsiTheme="minorEastAsia" w:eastAsiaTheme="minorEastAsia"/>
                <w:color w:val="000000" w:themeColor="text1"/>
                <w:szCs w:val="21"/>
                <w:lang w:val="en-US" w:eastAsia="zh-CN"/>
                <w14:textFill>
                  <w14:solidFill>
                    <w14:schemeClr w14:val="tx1"/>
                  </w14:solidFill>
                </w14:textFill>
              </w:rPr>
              <w:t>3.5</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分；措施为良得</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3.5</w:t>
            </w:r>
            <w:r>
              <w:rPr>
                <w:rFonts w:hint="eastAsia" w:asciiTheme="minorEastAsia" w:hAnsiTheme="minorEastAsia" w:eastAsiaTheme="minorEastAsia"/>
                <w:color w:val="000000" w:themeColor="text1"/>
                <w:szCs w:val="21"/>
                <w14:textFill>
                  <w14:solidFill>
                    <w14:schemeClr w14:val="tx1"/>
                  </w14:solidFill>
                </w14:textFill>
              </w:rPr>
              <w:t>分；措施为一般得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分；</w:t>
            </w:r>
            <w:r>
              <w:rPr>
                <w:rFonts w:hint="eastAsia" w:asciiTheme="minorEastAsia" w:hAnsiTheme="minorEastAsia" w:eastAsiaTheme="minorEastAsia"/>
                <w:color w:val="000000" w:themeColor="text1"/>
                <w:szCs w:val="21"/>
                <w:lang w:eastAsia="zh-CN"/>
                <w14:textFill>
                  <w14:solidFill>
                    <w14:schemeClr w14:val="tx1"/>
                  </w14:solidFill>
                </w14:textFill>
              </w:rPr>
              <w:t>措施不全得</w:t>
            </w:r>
            <w:r>
              <w:rPr>
                <w:rFonts w:hint="eastAsia" w:asciiTheme="minorEastAsia" w:hAnsiTheme="minorEastAsia" w:eastAsiaTheme="minorEastAsia"/>
                <w:color w:val="000000" w:themeColor="text1"/>
                <w:szCs w:val="21"/>
                <w:lang w:val="en-US" w:eastAsia="zh-CN"/>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分。无措施不得分</w:t>
            </w:r>
            <w:r>
              <w:rPr>
                <w:rFonts w:hint="eastAsia" w:cs="Times New Roman" w:asciiTheme="minorEastAsia" w:hAnsiTheme="minorEastAsia" w:eastAsiaTheme="minorEastAsia"/>
                <w:color w:val="000000" w:themeColor="text1"/>
                <w:szCs w:val="21"/>
                <w14:textFill>
                  <w14:solidFill>
                    <w14:schemeClr w14:val="tx1"/>
                  </w14:solidFill>
                </w14:textFill>
              </w:rPr>
              <w:t>。</w:t>
            </w:r>
          </w:p>
        </w:tc>
      </w:tr>
      <w:tr w14:paraId="748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continue"/>
            <w:shd w:val="clear" w:color="auto" w:fill="FFFFFF"/>
            <w:vAlign w:val="center"/>
          </w:tcPr>
          <w:p w14:paraId="7201A485">
            <w:pPr>
              <w:widowControl/>
              <w:jc w:val="left"/>
              <w:rPr>
                <w:rFonts w:ascii="宋体" w:hAnsi="宋体" w:cs="楷体"/>
                <w:color w:val="000000" w:themeColor="text1"/>
                <w:kern w:val="0"/>
                <w:szCs w:val="21"/>
                <w14:textFill>
                  <w14:solidFill>
                    <w14:schemeClr w14:val="tx1"/>
                  </w14:solidFill>
                </w14:textFill>
              </w:rPr>
            </w:pPr>
          </w:p>
        </w:tc>
        <w:tc>
          <w:tcPr>
            <w:tcW w:w="914" w:type="dxa"/>
            <w:vMerge w:val="continue"/>
            <w:shd w:val="clear" w:color="auto" w:fill="FFFFFF"/>
            <w:vAlign w:val="center"/>
          </w:tcPr>
          <w:p w14:paraId="44117987">
            <w:pPr>
              <w:jc w:val="center"/>
              <w:rPr>
                <w:rFonts w:ascii="宋体" w:hAnsi="宋体" w:cs="楷体"/>
                <w:color w:val="000000" w:themeColor="text1"/>
                <w14:textFill>
                  <w14:solidFill>
                    <w14:schemeClr w14:val="tx1"/>
                  </w14:solidFill>
                </w14:textFill>
              </w:rPr>
            </w:pPr>
          </w:p>
        </w:tc>
        <w:tc>
          <w:tcPr>
            <w:tcW w:w="586" w:type="dxa"/>
            <w:vMerge w:val="continue"/>
            <w:shd w:val="clear" w:color="auto" w:fill="FFFFFF"/>
            <w:tcMar>
              <w:top w:w="0" w:type="dxa"/>
              <w:left w:w="108" w:type="dxa"/>
              <w:bottom w:w="0" w:type="dxa"/>
              <w:right w:w="108" w:type="dxa"/>
            </w:tcMar>
            <w:vAlign w:val="center"/>
          </w:tcPr>
          <w:p w14:paraId="6D700994">
            <w:pPr>
              <w:spacing w:line="2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15" w:type="dxa"/>
            <w:shd w:val="clear" w:color="auto" w:fill="FFFFFF"/>
            <w:vAlign w:val="center"/>
          </w:tcPr>
          <w:p w14:paraId="7E2C754A">
            <w:pPr>
              <w:spacing w:line="2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olor w:val="000000" w:themeColor="text1"/>
                <w14:textFill>
                  <w14:solidFill>
                    <w14:schemeClr w14:val="tx1"/>
                  </w14:solidFill>
                </w14:textFill>
              </w:rPr>
              <w:t>合同管理、信息管理（</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w:t>
            </w:r>
          </w:p>
        </w:tc>
        <w:tc>
          <w:tcPr>
            <w:tcW w:w="5371" w:type="dxa"/>
            <w:shd w:val="clear" w:color="auto" w:fill="FFFFFF"/>
            <w:tcMar>
              <w:top w:w="0" w:type="dxa"/>
              <w:left w:w="108" w:type="dxa"/>
              <w:bottom w:w="0" w:type="dxa"/>
              <w:right w:w="108" w:type="dxa"/>
            </w:tcMar>
            <w:vAlign w:val="center"/>
          </w:tcPr>
          <w:p w14:paraId="755C646E">
            <w:pPr>
              <w:adjustRightInd w:val="0"/>
              <w:snapToGrid w:val="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管理方法合理有效，针对性强、措施具体得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分；措施不具体得</w:t>
            </w:r>
            <w:r>
              <w:rPr>
                <w:rFonts w:hint="eastAsia" w:asciiTheme="minorEastAsia" w:hAnsiTheme="minorEastAsia" w:eastAsiaTheme="minorEastAsia"/>
                <w:color w:val="000000" w:themeColor="text1"/>
                <w:szCs w:val="21"/>
                <w:lang w:val="en-US" w:eastAsia="zh-CN"/>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分；无措施不得分。</w:t>
            </w:r>
          </w:p>
        </w:tc>
      </w:tr>
      <w:tr w14:paraId="293A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continue"/>
            <w:shd w:val="clear" w:color="auto" w:fill="FFFFFF"/>
            <w:vAlign w:val="center"/>
          </w:tcPr>
          <w:p w14:paraId="4654518A">
            <w:pPr>
              <w:widowControl/>
              <w:jc w:val="left"/>
              <w:rPr>
                <w:rFonts w:ascii="宋体" w:hAnsi="宋体" w:cs="楷体"/>
                <w:color w:val="000000" w:themeColor="text1"/>
                <w:kern w:val="0"/>
                <w:szCs w:val="21"/>
                <w14:textFill>
                  <w14:solidFill>
                    <w14:schemeClr w14:val="tx1"/>
                  </w14:solidFill>
                </w14:textFill>
              </w:rPr>
            </w:pPr>
          </w:p>
        </w:tc>
        <w:tc>
          <w:tcPr>
            <w:tcW w:w="914" w:type="dxa"/>
            <w:vMerge w:val="continue"/>
            <w:shd w:val="clear" w:color="auto" w:fill="FFFFFF"/>
            <w:vAlign w:val="center"/>
          </w:tcPr>
          <w:p w14:paraId="1767C31C">
            <w:pPr>
              <w:jc w:val="center"/>
              <w:rPr>
                <w:rFonts w:ascii="宋体" w:hAnsi="宋体" w:cs="楷体"/>
                <w:color w:val="000000" w:themeColor="text1"/>
                <w14:textFill>
                  <w14:solidFill>
                    <w14:schemeClr w14:val="tx1"/>
                  </w14:solidFill>
                </w14:textFill>
              </w:rPr>
            </w:pPr>
          </w:p>
        </w:tc>
        <w:tc>
          <w:tcPr>
            <w:tcW w:w="586" w:type="dxa"/>
            <w:vMerge w:val="continue"/>
            <w:shd w:val="clear" w:color="auto" w:fill="FFFFFF"/>
            <w:tcMar>
              <w:top w:w="0" w:type="dxa"/>
              <w:left w:w="108" w:type="dxa"/>
              <w:bottom w:w="0" w:type="dxa"/>
              <w:right w:w="108" w:type="dxa"/>
            </w:tcMar>
            <w:vAlign w:val="center"/>
          </w:tcPr>
          <w:p w14:paraId="72C47348">
            <w:pPr>
              <w:spacing w:line="2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15" w:type="dxa"/>
            <w:shd w:val="clear" w:color="auto" w:fill="FFFFFF"/>
            <w:vAlign w:val="center"/>
          </w:tcPr>
          <w:p w14:paraId="2E7C5C48">
            <w:pPr>
              <w:adjustRightInd w:val="0"/>
              <w:snapToGrid w:val="0"/>
              <w:rPr>
                <w:rFonts w:hint="eastAsia" w:cs="Times New Roman" w:asciiTheme="minorEastAsia" w:hAnsiTheme="minorEastAsia" w:eastAsiaTheme="minorEastAsia"/>
                <w:color w:val="000000" w:themeColor="text1"/>
                <w:szCs w:val="21"/>
                <w:lang w:eastAsia="zh-CN"/>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组织协调</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2分</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p>
        </w:tc>
        <w:tc>
          <w:tcPr>
            <w:tcW w:w="5371" w:type="dxa"/>
            <w:shd w:val="clear" w:color="auto" w:fill="FFFFFF"/>
            <w:tcMar>
              <w:top w:w="0" w:type="dxa"/>
              <w:left w:w="108" w:type="dxa"/>
              <w:bottom w:w="0" w:type="dxa"/>
              <w:right w:w="108" w:type="dxa"/>
            </w:tcMar>
            <w:vAlign w:val="center"/>
          </w:tcPr>
          <w:p w14:paraId="032A43C3">
            <w:pPr>
              <w:adjustRightInd w:val="0"/>
              <w:snapToGrid w:val="0"/>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协调方法合理有效，针对性强、措施具体</w:t>
            </w:r>
            <w:r>
              <w:rPr>
                <w:rFonts w:hint="eastAsia" w:asciiTheme="minorEastAsia" w:hAnsiTheme="minorEastAsia" w:eastAsiaTheme="minorEastAsia"/>
                <w:color w:val="000000" w:themeColor="text1"/>
                <w:szCs w:val="21"/>
                <w14:textFill>
                  <w14:solidFill>
                    <w14:schemeClr w14:val="tx1"/>
                  </w14:solidFill>
                </w14:textFill>
              </w:rPr>
              <w:t>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分；措施不具体得</w:t>
            </w:r>
            <w:r>
              <w:rPr>
                <w:rFonts w:hint="eastAsia" w:asciiTheme="minorEastAsia" w:hAnsiTheme="minorEastAsia" w:eastAsiaTheme="minorEastAsia"/>
                <w:color w:val="000000" w:themeColor="text1"/>
                <w:szCs w:val="21"/>
                <w:lang w:val="en-US" w:eastAsia="zh-CN"/>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分；无措施不得分</w:t>
            </w:r>
            <w:r>
              <w:rPr>
                <w:rFonts w:hint="eastAsia" w:cs="Times New Roman" w:asciiTheme="minorEastAsia" w:hAnsiTheme="minorEastAsia" w:eastAsiaTheme="minorEastAsia"/>
                <w:color w:val="000000" w:themeColor="text1"/>
                <w:szCs w:val="21"/>
                <w14:textFill>
                  <w14:solidFill>
                    <w14:schemeClr w14:val="tx1"/>
                  </w14:solidFill>
                </w14:textFill>
              </w:rPr>
              <w:t>。</w:t>
            </w:r>
          </w:p>
        </w:tc>
      </w:tr>
      <w:tr w14:paraId="7C23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continue"/>
            <w:shd w:val="clear" w:color="auto" w:fill="FFFFFF"/>
            <w:vAlign w:val="center"/>
          </w:tcPr>
          <w:p w14:paraId="2B149A74">
            <w:pPr>
              <w:widowControl/>
              <w:jc w:val="left"/>
              <w:rPr>
                <w:rFonts w:ascii="宋体" w:hAnsi="宋体" w:cs="楷体"/>
                <w:color w:val="000000" w:themeColor="text1"/>
                <w:kern w:val="0"/>
                <w:szCs w:val="21"/>
                <w14:textFill>
                  <w14:solidFill>
                    <w14:schemeClr w14:val="tx1"/>
                  </w14:solidFill>
                </w14:textFill>
              </w:rPr>
            </w:pPr>
          </w:p>
        </w:tc>
        <w:tc>
          <w:tcPr>
            <w:tcW w:w="914" w:type="dxa"/>
            <w:vMerge w:val="continue"/>
            <w:shd w:val="clear" w:color="auto" w:fill="FFFFFF"/>
            <w:vAlign w:val="center"/>
          </w:tcPr>
          <w:p w14:paraId="3E193CC2">
            <w:pPr>
              <w:jc w:val="center"/>
              <w:rPr>
                <w:rFonts w:ascii="宋体" w:hAnsi="宋体" w:cs="楷体"/>
                <w:color w:val="000000" w:themeColor="text1"/>
                <w14:textFill>
                  <w14:solidFill>
                    <w14:schemeClr w14:val="tx1"/>
                  </w14:solidFill>
                </w14:textFill>
              </w:rPr>
            </w:pPr>
          </w:p>
        </w:tc>
        <w:tc>
          <w:tcPr>
            <w:tcW w:w="586" w:type="dxa"/>
            <w:vMerge w:val="continue"/>
            <w:shd w:val="clear" w:color="auto" w:fill="FFFFFF"/>
            <w:tcMar>
              <w:top w:w="0" w:type="dxa"/>
              <w:left w:w="108" w:type="dxa"/>
              <w:bottom w:w="0" w:type="dxa"/>
              <w:right w:w="108" w:type="dxa"/>
            </w:tcMar>
            <w:vAlign w:val="center"/>
          </w:tcPr>
          <w:p w14:paraId="17970153">
            <w:pPr>
              <w:spacing w:line="2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15" w:type="dxa"/>
            <w:shd w:val="clear" w:color="auto" w:fill="FFFFFF"/>
            <w:vAlign w:val="center"/>
          </w:tcPr>
          <w:p w14:paraId="1009E331">
            <w:pPr>
              <w:adjustRightInd w:val="0"/>
              <w:snapToGrid w:val="0"/>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安全、文明施工管理</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2分</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p>
        </w:tc>
        <w:tc>
          <w:tcPr>
            <w:tcW w:w="5371" w:type="dxa"/>
            <w:shd w:val="clear" w:color="auto" w:fill="FFFFFF"/>
            <w:tcMar>
              <w:top w:w="0" w:type="dxa"/>
              <w:left w:w="108" w:type="dxa"/>
              <w:bottom w:w="0" w:type="dxa"/>
              <w:right w:w="108" w:type="dxa"/>
            </w:tcMar>
            <w:vAlign w:val="center"/>
          </w:tcPr>
          <w:p w14:paraId="018F5A7B">
            <w:pPr>
              <w:adjustRightInd w:val="0"/>
              <w:snapToGrid w:val="0"/>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管理措施优</w:t>
            </w:r>
            <w:r>
              <w:rPr>
                <w:rFonts w:hint="eastAsia" w:asciiTheme="minorEastAsia" w:hAnsiTheme="minorEastAsia" w:eastAsiaTheme="minorEastAsia"/>
                <w:color w:val="000000" w:themeColor="text1"/>
                <w:szCs w:val="21"/>
                <w14:textFill>
                  <w14:solidFill>
                    <w14:schemeClr w14:val="tx1"/>
                  </w14:solidFill>
                </w14:textFill>
              </w:rPr>
              <w:t>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分；措施不具体得</w:t>
            </w:r>
            <w:r>
              <w:rPr>
                <w:rFonts w:hint="eastAsia" w:asciiTheme="minorEastAsia" w:hAnsiTheme="minorEastAsia" w:eastAsiaTheme="minorEastAsia"/>
                <w:color w:val="000000" w:themeColor="text1"/>
                <w:szCs w:val="21"/>
                <w:lang w:val="en-US" w:eastAsia="zh-CN"/>
                <w14:textFill>
                  <w14:solidFill>
                    <w14:schemeClr w14:val="tx1"/>
                  </w14:solidFill>
                </w14:textFill>
              </w:rPr>
              <w:t>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分；无措施不得分</w:t>
            </w:r>
            <w:r>
              <w:rPr>
                <w:rFonts w:hint="eastAsia" w:cs="Times New Roman" w:asciiTheme="minorEastAsia" w:hAnsiTheme="minorEastAsia" w:eastAsiaTheme="minorEastAsia"/>
                <w:color w:val="000000" w:themeColor="text1"/>
                <w:szCs w:val="21"/>
                <w14:textFill>
                  <w14:solidFill>
                    <w14:schemeClr w14:val="tx1"/>
                  </w14:solidFill>
                </w14:textFill>
              </w:rPr>
              <w:t>。</w:t>
            </w:r>
          </w:p>
        </w:tc>
      </w:tr>
      <w:tr w14:paraId="74BE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continue"/>
            <w:shd w:val="clear" w:color="auto" w:fill="FFFFFF"/>
            <w:vAlign w:val="center"/>
          </w:tcPr>
          <w:p w14:paraId="5B3B5322">
            <w:pPr>
              <w:widowControl/>
              <w:jc w:val="left"/>
              <w:rPr>
                <w:rFonts w:ascii="宋体" w:hAnsi="宋体" w:cs="楷体"/>
                <w:color w:val="000000" w:themeColor="text1"/>
                <w:kern w:val="0"/>
                <w:szCs w:val="21"/>
                <w14:textFill>
                  <w14:solidFill>
                    <w14:schemeClr w14:val="tx1"/>
                  </w14:solidFill>
                </w14:textFill>
              </w:rPr>
            </w:pPr>
          </w:p>
        </w:tc>
        <w:tc>
          <w:tcPr>
            <w:tcW w:w="914" w:type="dxa"/>
            <w:vMerge w:val="continue"/>
            <w:shd w:val="clear" w:color="auto" w:fill="FFFFFF"/>
            <w:vAlign w:val="center"/>
          </w:tcPr>
          <w:p w14:paraId="1E19A218">
            <w:pPr>
              <w:jc w:val="center"/>
              <w:rPr>
                <w:rFonts w:ascii="宋体" w:hAnsi="宋体" w:cs="楷体"/>
                <w:color w:val="000000" w:themeColor="text1"/>
                <w14:textFill>
                  <w14:solidFill>
                    <w14:schemeClr w14:val="tx1"/>
                  </w14:solidFill>
                </w14:textFill>
              </w:rPr>
            </w:pPr>
          </w:p>
        </w:tc>
        <w:tc>
          <w:tcPr>
            <w:tcW w:w="586" w:type="dxa"/>
            <w:vMerge w:val="continue"/>
            <w:shd w:val="clear" w:color="auto" w:fill="FFFFFF"/>
            <w:tcMar>
              <w:top w:w="0" w:type="dxa"/>
              <w:left w:w="108" w:type="dxa"/>
              <w:bottom w:w="0" w:type="dxa"/>
              <w:right w:w="108" w:type="dxa"/>
            </w:tcMar>
            <w:vAlign w:val="center"/>
          </w:tcPr>
          <w:p w14:paraId="31150807">
            <w:pPr>
              <w:spacing w:line="2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15" w:type="dxa"/>
            <w:shd w:val="clear" w:color="auto" w:fill="FFFFFF"/>
            <w:vAlign w:val="center"/>
          </w:tcPr>
          <w:p w14:paraId="150466FC">
            <w:pPr>
              <w:adjustRightInd w:val="0"/>
              <w:snapToGrid w:val="0"/>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筒仓施工重点难点监控措施</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5分</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p>
        </w:tc>
        <w:tc>
          <w:tcPr>
            <w:tcW w:w="5371" w:type="dxa"/>
            <w:shd w:val="clear" w:color="auto" w:fill="FFFFFF"/>
            <w:tcMar>
              <w:top w:w="0" w:type="dxa"/>
              <w:left w:w="108" w:type="dxa"/>
              <w:bottom w:w="0" w:type="dxa"/>
              <w:right w:w="108" w:type="dxa"/>
            </w:tcMar>
            <w:vAlign w:val="center"/>
          </w:tcPr>
          <w:p w14:paraId="66F673AB">
            <w:pPr>
              <w:adjustRightInd w:val="0"/>
              <w:snapToGrid w:val="0"/>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筒仓工程重点难点为</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灌注桩施工</w:t>
            </w:r>
            <w:r>
              <w:rPr>
                <w:rFonts w:hint="eastAsia" w:cs="Times New Roman" w:asciiTheme="minorEastAsia" w:hAnsiTheme="minorEastAsia" w:eastAsiaTheme="minorEastAsia"/>
                <w:color w:val="000000" w:themeColor="text1"/>
                <w:szCs w:val="21"/>
                <w14:textFill>
                  <w14:solidFill>
                    <w14:schemeClr w14:val="tx1"/>
                  </w14:solidFill>
                </w14:textFill>
              </w:rPr>
              <w:t>、仓顶施工、仓壁清水砼外墙施工、防水防潮施工、机电设备与土建交接面协调等。针对性强、措施具体、可操作。重点难点监控措施优的得</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4</w:t>
            </w:r>
            <w:r>
              <w:rPr>
                <w:rFonts w:hint="eastAsia" w:cs="Times New Roman"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5</w:t>
            </w:r>
            <w:r>
              <w:rPr>
                <w:rFonts w:hint="eastAsia" w:cs="Times New Roman" w:asciiTheme="minorEastAsia" w:hAnsiTheme="minorEastAsia" w:eastAsiaTheme="minorEastAsia"/>
                <w:color w:val="000000" w:themeColor="text1"/>
                <w:szCs w:val="21"/>
                <w14:textFill>
                  <w14:solidFill>
                    <w14:schemeClr w14:val="tx1"/>
                  </w14:solidFill>
                </w14:textFill>
              </w:rPr>
              <w:t>分；良的得</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2</w:t>
            </w:r>
            <w:r>
              <w:rPr>
                <w:rFonts w:hint="eastAsia" w:cs="Times New Roman"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4</w:t>
            </w:r>
            <w:r>
              <w:rPr>
                <w:rFonts w:hint="eastAsia" w:cs="Times New Roman" w:asciiTheme="minorEastAsia" w:hAnsiTheme="minorEastAsia" w:eastAsiaTheme="minorEastAsia"/>
                <w:color w:val="000000" w:themeColor="text1"/>
                <w:szCs w:val="21"/>
                <w14:textFill>
                  <w14:solidFill>
                    <w14:schemeClr w14:val="tx1"/>
                  </w14:solidFill>
                </w14:textFill>
              </w:rPr>
              <w:t>分；一般的得</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1</w:t>
            </w:r>
            <w:r>
              <w:rPr>
                <w:rFonts w:hint="eastAsia" w:cs="Times New Roman"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2</w:t>
            </w:r>
            <w:r>
              <w:rPr>
                <w:rFonts w:hint="eastAsia" w:cs="Times New Roman" w:asciiTheme="minorEastAsia" w:hAnsiTheme="minorEastAsia" w:eastAsiaTheme="minorEastAsia"/>
                <w:color w:val="000000" w:themeColor="text1"/>
                <w:szCs w:val="21"/>
                <w14:textFill>
                  <w14:solidFill>
                    <w14:schemeClr w14:val="tx1"/>
                  </w14:solidFill>
                </w14:textFill>
              </w:rPr>
              <w:t>分</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r>
              <w:rPr>
                <w:rFonts w:hint="eastAsia" w:cs="Times New Roman" w:asciiTheme="minorEastAsia" w:hAnsiTheme="minorEastAsia" w:eastAsiaTheme="minorEastAsia"/>
                <w:color w:val="000000" w:themeColor="text1"/>
                <w:szCs w:val="21"/>
                <w14:textFill>
                  <w14:solidFill>
                    <w14:schemeClr w14:val="tx1"/>
                  </w14:solidFill>
                </w14:textFill>
              </w:rPr>
              <w:t>措施差</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的得</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1分</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r>
              <w:rPr>
                <w:rFonts w:hint="eastAsia" w:cs="Times New Roman" w:asciiTheme="minorEastAsia" w:hAnsiTheme="minorEastAsia" w:eastAsiaTheme="minorEastAsia"/>
                <w:color w:val="000000" w:themeColor="text1"/>
                <w:szCs w:val="21"/>
                <w14:textFill>
                  <w14:solidFill>
                    <w14:schemeClr w14:val="tx1"/>
                  </w14:solidFill>
                </w14:textFill>
              </w:rPr>
              <w:t>无措施的不得分。</w:t>
            </w:r>
          </w:p>
        </w:tc>
      </w:tr>
      <w:tr w14:paraId="2840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continue"/>
            <w:shd w:val="clear" w:color="auto" w:fill="FFFFFF"/>
            <w:vAlign w:val="center"/>
          </w:tcPr>
          <w:p w14:paraId="5CAD6B8B">
            <w:pPr>
              <w:widowControl/>
              <w:jc w:val="left"/>
              <w:rPr>
                <w:rFonts w:ascii="宋体" w:hAnsi="宋体" w:cs="楷体"/>
                <w:color w:val="000000" w:themeColor="text1"/>
                <w:kern w:val="0"/>
                <w:szCs w:val="21"/>
                <w14:textFill>
                  <w14:solidFill>
                    <w14:schemeClr w14:val="tx1"/>
                  </w14:solidFill>
                </w14:textFill>
              </w:rPr>
            </w:pPr>
          </w:p>
        </w:tc>
        <w:tc>
          <w:tcPr>
            <w:tcW w:w="914" w:type="dxa"/>
            <w:vMerge w:val="continue"/>
            <w:shd w:val="clear" w:color="auto" w:fill="FFFFFF"/>
            <w:vAlign w:val="center"/>
          </w:tcPr>
          <w:p w14:paraId="178A113C">
            <w:pPr>
              <w:jc w:val="center"/>
              <w:rPr>
                <w:rFonts w:ascii="宋体" w:hAnsi="宋体" w:cs="楷体"/>
                <w:color w:val="000000" w:themeColor="text1"/>
                <w14:textFill>
                  <w14:solidFill>
                    <w14:schemeClr w14:val="tx1"/>
                  </w14:solidFill>
                </w14:textFill>
              </w:rPr>
            </w:pPr>
          </w:p>
        </w:tc>
        <w:tc>
          <w:tcPr>
            <w:tcW w:w="586" w:type="dxa"/>
            <w:vMerge w:val="continue"/>
            <w:shd w:val="clear" w:color="auto" w:fill="FFFFFF"/>
            <w:tcMar>
              <w:top w:w="0" w:type="dxa"/>
              <w:left w:w="108" w:type="dxa"/>
              <w:bottom w:w="0" w:type="dxa"/>
              <w:right w:w="108" w:type="dxa"/>
            </w:tcMar>
            <w:vAlign w:val="center"/>
          </w:tcPr>
          <w:p w14:paraId="79D4AC5E">
            <w:pPr>
              <w:spacing w:line="2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15" w:type="dxa"/>
            <w:shd w:val="clear" w:color="auto" w:fill="FFFFFF"/>
            <w:vAlign w:val="center"/>
          </w:tcPr>
          <w:p w14:paraId="62B1EB67">
            <w:pPr>
              <w:adjustRightInd w:val="0"/>
              <w:snapToGrid w:val="0"/>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筒仓滑模及降模安全重点难点和措施</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5分</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p>
        </w:tc>
        <w:tc>
          <w:tcPr>
            <w:tcW w:w="5371" w:type="dxa"/>
            <w:shd w:val="clear" w:color="auto" w:fill="FFFFFF"/>
            <w:tcMar>
              <w:top w:w="0" w:type="dxa"/>
              <w:left w:w="108" w:type="dxa"/>
              <w:bottom w:w="0" w:type="dxa"/>
              <w:right w:w="108" w:type="dxa"/>
            </w:tcMar>
            <w:vAlign w:val="center"/>
          </w:tcPr>
          <w:p w14:paraId="740A6F06">
            <w:pPr>
              <w:adjustRightInd w:val="0"/>
              <w:snapToGrid w:val="0"/>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筒仓工程滑模、高支模及拆模、降模属于安全重点监控点，需要对滑模及高支模的平台方案、组模、过程安全防护、拆模、降模等过程进行重点监督。方案针对性强、措施具体、可操作。优得</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3.5</w:t>
            </w:r>
            <w:r>
              <w:rPr>
                <w:rFonts w:hint="eastAsia" w:cs="Times New Roman"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5</w:t>
            </w:r>
            <w:r>
              <w:rPr>
                <w:rFonts w:hint="eastAsia" w:cs="Times New Roman" w:asciiTheme="minorEastAsia" w:hAnsiTheme="minorEastAsia" w:eastAsiaTheme="minorEastAsia"/>
                <w:color w:val="000000" w:themeColor="text1"/>
                <w:szCs w:val="21"/>
                <w14:textFill>
                  <w14:solidFill>
                    <w14:schemeClr w14:val="tx1"/>
                  </w14:solidFill>
                </w14:textFill>
              </w:rPr>
              <w:t>分；良得</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3.5</w:t>
            </w:r>
            <w:r>
              <w:rPr>
                <w:rFonts w:hint="eastAsia" w:cs="Times New Roman" w:asciiTheme="minorEastAsia" w:hAnsiTheme="minorEastAsia" w:eastAsiaTheme="minorEastAsia"/>
                <w:color w:val="000000" w:themeColor="text1"/>
                <w:szCs w:val="21"/>
                <w14:textFill>
                  <w14:solidFill>
                    <w14:schemeClr w14:val="tx1"/>
                  </w14:solidFill>
                </w14:textFill>
              </w:rPr>
              <w:t>～2分；一般得</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2</w:t>
            </w:r>
            <w:r>
              <w:rPr>
                <w:rFonts w:hint="eastAsia" w:cs="Times New Roman" w:asciiTheme="minorEastAsia" w:hAnsiTheme="minorEastAsia" w:eastAsiaTheme="minorEastAsia"/>
                <w:color w:val="000000" w:themeColor="text1"/>
                <w:szCs w:val="21"/>
                <w14:textFill>
                  <w14:solidFill>
                    <w14:schemeClr w14:val="tx1"/>
                  </w14:solidFill>
                </w14:textFill>
              </w:rPr>
              <w:t>分，措施差或无措施不得分。</w:t>
            </w:r>
          </w:p>
        </w:tc>
      </w:tr>
      <w:tr w14:paraId="09F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vMerge w:val="continue"/>
            <w:shd w:val="clear" w:color="auto" w:fill="FFFFFF"/>
            <w:vAlign w:val="center"/>
          </w:tcPr>
          <w:p w14:paraId="29D8F52E">
            <w:pPr>
              <w:widowControl/>
              <w:jc w:val="left"/>
              <w:rPr>
                <w:rFonts w:ascii="宋体" w:hAnsi="宋体" w:cs="楷体"/>
                <w:color w:val="000000" w:themeColor="text1"/>
                <w:kern w:val="0"/>
                <w:szCs w:val="21"/>
                <w14:textFill>
                  <w14:solidFill>
                    <w14:schemeClr w14:val="tx1"/>
                  </w14:solidFill>
                </w14:textFill>
              </w:rPr>
            </w:pPr>
          </w:p>
        </w:tc>
        <w:tc>
          <w:tcPr>
            <w:tcW w:w="914" w:type="dxa"/>
            <w:vMerge w:val="continue"/>
            <w:shd w:val="clear" w:color="auto" w:fill="FFFFFF"/>
            <w:vAlign w:val="center"/>
          </w:tcPr>
          <w:p w14:paraId="276B0B73">
            <w:pPr>
              <w:jc w:val="center"/>
              <w:rPr>
                <w:rFonts w:ascii="宋体" w:hAnsi="宋体" w:cs="楷体"/>
                <w:color w:val="000000" w:themeColor="text1"/>
                <w14:textFill>
                  <w14:solidFill>
                    <w14:schemeClr w14:val="tx1"/>
                  </w14:solidFill>
                </w14:textFill>
              </w:rPr>
            </w:pPr>
          </w:p>
        </w:tc>
        <w:tc>
          <w:tcPr>
            <w:tcW w:w="586" w:type="dxa"/>
            <w:vMerge w:val="continue"/>
            <w:shd w:val="clear" w:color="auto" w:fill="FFFFFF"/>
            <w:tcMar>
              <w:top w:w="0" w:type="dxa"/>
              <w:left w:w="108" w:type="dxa"/>
              <w:bottom w:w="0" w:type="dxa"/>
              <w:right w:w="108" w:type="dxa"/>
            </w:tcMar>
            <w:vAlign w:val="center"/>
          </w:tcPr>
          <w:p w14:paraId="3F61E99A">
            <w:pPr>
              <w:spacing w:line="2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515" w:type="dxa"/>
            <w:shd w:val="clear" w:color="auto" w:fill="FFFFFF"/>
            <w:vAlign w:val="center"/>
          </w:tcPr>
          <w:p w14:paraId="28F42CAB">
            <w:pPr>
              <w:adjustRightInd w:val="0"/>
              <w:snapToGrid w:val="0"/>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工程进度款、工程变更、工程结算的管理</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2分</w:t>
            </w:r>
            <w:r>
              <w:rPr>
                <w:rFonts w:hint="eastAsia" w:cs="Times New Roman" w:asciiTheme="minorEastAsia" w:hAnsiTheme="minorEastAsia" w:eastAsiaTheme="minorEastAsia"/>
                <w:color w:val="000000" w:themeColor="text1"/>
                <w:szCs w:val="21"/>
                <w:lang w:eastAsia="zh-CN"/>
                <w14:textFill>
                  <w14:solidFill>
                    <w14:schemeClr w14:val="tx1"/>
                  </w14:solidFill>
                </w14:textFill>
              </w:rPr>
              <w:t>）</w:t>
            </w:r>
          </w:p>
        </w:tc>
        <w:tc>
          <w:tcPr>
            <w:tcW w:w="5371" w:type="dxa"/>
            <w:shd w:val="clear" w:color="auto" w:fill="FFFFFF"/>
            <w:tcMar>
              <w:top w:w="0" w:type="dxa"/>
              <w:left w:w="108" w:type="dxa"/>
              <w:bottom w:w="0" w:type="dxa"/>
              <w:right w:w="108" w:type="dxa"/>
            </w:tcMar>
            <w:vAlign w:val="center"/>
          </w:tcPr>
          <w:p w14:paraId="784CB2CE">
            <w:pPr>
              <w:adjustRightInd w:val="0"/>
              <w:snapToGrid w:val="0"/>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管理方法合理有效、有具体措施得</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1</w:t>
            </w:r>
            <w:r>
              <w:rPr>
                <w:rFonts w:hint="eastAsia" w:cs="Times New Roman" w:asciiTheme="minorEastAsia" w:hAnsiTheme="minorEastAsia" w:eastAsiaTheme="minorEastAsia"/>
                <w:color w:val="000000" w:themeColor="text1"/>
                <w:szCs w:val="21"/>
                <w14:textFill>
                  <w14:solidFill>
                    <w14:schemeClr w14:val="tx1"/>
                  </w14:solidFill>
                </w14:textFill>
              </w:rPr>
              <w:t>～2分；一般、措施不具体得</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color w:val="000000" w:themeColor="text1"/>
                <w:szCs w:val="21"/>
                <w:lang w:val="en-US" w:eastAsia="zh-CN"/>
                <w14:textFill>
                  <w14:solidFill>
                    <w14:schemeClr w14:val="tx1"/>
                  </w14:solidFill>
                </w14:textFill>
              </w:rPr>
              <w:t>1</w:t>
            </w:r>
            <w:r>
              <w:rPr>
                <w:rFonts w:hint="eastAsia" w:cs="Times New Roman" w:asciiTheme="minorEastAsia" w:hAnsiTheme="minorEastAsia" w:eastAsiaTheme="minorEastAsia"/>
                <w:color w:val="000000" w:themeColor="text1"/>
                <w:szCs w:val="21"/>
                <w14:textFill>
                  <w14:solidFill>
                    <w14:schemeClr w14:val="tx1"/>
                  </w14:solidFill>
                </w14:textFill>
              </w:rPr>
              <w:t>分；无管理的方法和措施不得分。</w:t>
            </w:r>
          </w:p>
        </w:tc>
      </w:tr>
      <w:tr w14:paraId="144C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shd w:val="clear" w:color="auto" w:fill="FFFFFF"/>
            <w:tcMar>
              <w:top w:w="0" w:type="dxa"/>
              <w:left w:w="108" w:type="dxa"/>
              <w:bottom w:w="0" w:type="dxa"/>
              <w:right w:w="108" w:type="dxa"/>
            </w:tcMar>
            <w:vAlign w:val="center"/>
          </w:tcPr>
          <w:p w14:paraId="4DAC4047">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ascii="宋体" w:hAnsi="宋体" w:cs="楷体"/>
                <w:color w:val="000000" w:themeColor="text1"/>
                <w:kern w:val="0"/>
                <w:szCs w:val="21"/>
                <w14:textFill>
                  <w14:solidFill>
                    <w14:schemeClr w14:val="tx1"/>
                  </w14:solidFill>
                </w14:textFill>
              </w:rPr>
              <w:t>2.2.4</w:t>
            </w:r>
            <w:r>
              <w:rPr>
                <w:rFonts w:hint="eastAsia" w:ascii="宋体" w:hAnsi="宋体" w:cs="楷体"/>
                <w:color w:val="000000" w:themeColor="text1"/>
                <w:kern w:val="0"/>
                <w:szCs w:val="21"/>
                <w:lang w:eastAsia="zh-CN"/>
                <w14:textFill>
                  <w14:solidFill>
                    <w14:schemeClr w14:val="tx1"/>
                  </w14:solidFill>
                </w14:textFill>
              </w:rPr>
              <w:t>(</w:t>
            </w:r>
            <w:r>
              <w:rPr>
                <w:rFonts w:ascii="宋体" w:hAnsi="宋体" w:cs="楷体"/>
                <w:color w:val="000000" w:themeColor="text1"/>
                <w:kern w:val="0"/>
                <w:szCs w:val="21"/>
                <w14:textFill>
                  <w14:solidFill>
                    <w14:schemeClr w14:val="tx1"/>
                  </w14:solidFill>
                </w14:textFill>
              </w:rPr>
              <w:t>2</w:t>
            </w:r>
            <w:r>
              <w:rPr>
                <w:rFonts w:hint="eastAsia" w:ascii="宋体" w:hAnsi="宋体" w:cs="楷体"/>
                <w:color w:val="000000" w:themeColor="text1"/>
                <w:kern w:val="0"/>
                <w:szCs w:val="21"/>
                <w:lang w:eastAsia="zh-CN"/>
                <w14:textFill>
                  <w14:solidFill>
                    <w14:schemeClr w14:val="tx1"/>
                  </w14:solidFill>
                </w14:textFill>
              </w:rPr>
              <w:t>)</w:t>
            </w:r>
          </w:p>
        </w:tc>
        <w:tc>
          <w:tcPr>
            <w:tcW w:w="3015" w:type="dxa"/>
            <w:gridSpan w:val="3"/>
            <w:shd w:val="clear" w:color="auto" w:fill="FFFFFF"/>
            <w:tcMar>
              <w:top w:w="0" w:type="dxa"/>
              <w:left w:w="108" w:type="dxa"/>
              <w:bottom w:w="0" w:type="dxa"/>
              <w:right w:w="108" w:type="dxa"/>
            </w:tcMar>
            <w:vAlign w:val="center"/>
          </w:tcPr>
          <w:p w14:paraId="642AB2D7">
            <w:pPr>
              <w:widowControl/>
              <w:spacing w:before="100" w:beforeAutospacing="1" w:after="100" w:afterAutospacing="1"/>
              <w:jc w:val="center"/>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报价得分（</w:t>
            </w:r>
            <w:r>
              <w:rPr>
                <w:rFonts w:hint="eastAsia" w:ascii="宋体" w:hAnsi="宋体" w:cs="楷体"/>
                <w:color w:val="000000" w:themeColor="text1"/>
                <w:kern w:val="0"/>
                <w:szCs w:val="21"/>
                <w:lang w:val="en-US" w:eastAsia="zh-CN"/>
                <w14:textFill>
                  <w14:solidFill>
                    <w14:schemeClr w14:val="tx1"/>
                  </w14:solidFill>
                </w14:textFill>
              </w:rPr>
              <w:t>50</w:t>
            </w:r>
            <w:r>
              <w:rPr>
                <w:rFonts w:ascii="宋体" w:hAnsi="宋体" w:cs="楷体"/>
                <w:color w:val="000000" w:themeColor="text1"/>
                <w:kern w:val="0"/>
                <w:szCs w:val="21"/>
                <w14:textFill>
                  <w14:solidFill>
                    <w14:schemeClr w14:val="tx1"/>
                  </w14:solidFill>
                </w14:textFill>
              </w:rPr>
              <w:t>分）</w:t>
            </w:r>
          </w:p>
        </w:tc>
        <w:tc>
          <w:tcPr>
            <w:tcW w:w="5371" w:type="dxa"/>
            <w:shd w:val="clear" w:color="auto" w:fill="FFFFFF"/>
            <w:tcMar>
              <w:top w:w="0" w:type="dxa"/>
              <w:left w:w="108" w:type="dxa"/>
              <w:bottom w:w="0" w:type="dxa"/>
              <w:right w:w="108" w:type="dxa"/>
            </w:tcMar>
            <w:vAlign w:val="center"/>
          </w:tcPr>
          <w:p w14:paraId="38C26291">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当投标报价等于或低于评标参考价时，得分为50分；当投标报价</w:t>
            </w:r>
            <w:r>
              <w:rPr>
                <w:rFonts w:hint="eastAsia" w:ascii="宋体" w:hAnsi="宋体"/>
                <w:color w:val="000000" w:themeColor="text1"/>
                <w:szCs w:val="21"/>
                <w14:textFill>
                  <w14:solidFill>
                    <w14:schemeClr w14:val="tx1"/>
                  </w14:solidFill>
                </w14:textFill>
              </w:rPr>
              <w:t>每高于评标参考价1%，扣0.5分，扣至0分为止，得出</w:t>
            </w:r>
            <w:r>
              <w:rPr>
                <w:rFonts w:hint="eastAsia" w:ascii="宋体" w:hAnsi="宋体"/>
                <w:color w:val="000000" w:themeColor="text1"/>
                <w:szCs w:val="21"/>
                <w:lang w:val="en-US" w:eastAsia="zh-CN"/>
                <w14:textFill>
                  <w14:solidFill>
                    <w14:schemeClr w14:val="tx1"/>
                  </w14:solidFill>
                </w14:textFill>
              </w:rPr>
              <w:t>报价得</w:t>
            </w:r>
            <w:r>
              <w:rPr>
                <w:rFonts w:hint="eastAsia" w:ascii="宋体" w:hAnsi="宋体"/>
                <w:color w:val="000000" w:themeColor="text1"/>
                <w:szCs w:val="21"/>
                <w14:textFill>
                  <w14:solidFill>
                    <w14:schemeClr w14:val="tx1"/>
                  </w14:solidFill>
                </w14:textFill>
              </w:rPr>
              <w:t>分，精确到小数点后两位。</w:t>
            </w:r>
          </w:p>
        </w:tc>
      </w:tr>
      <w:tr w14:paraId="735B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shd w:val="clear" w:color="auto" w:fill="FFFFFF"/>
            <w:tcMar>
              <w:top w:w="0" w:type="dxa"/>
              <w:left w:w="108" w:type="dxa"/>
              <w:bottom w:w="0" w:type="dxa"/>
              <w:right w:w="108" w:type="dxa"/>
            </w:tcMar>
            <w:vAlign w:val="center"/>
          </w:tcPr>
          <w:p w14:paraId="04474FB0">
            <w:pPr>
              <w:widowControl/>
              <w:spacing w:before="100" w:beforeAutospacing="1" w:after="100" w:afterAutospacing="1"/>
              <w:jc w:val="left"/>
              <w:rPr>
                <w:rFonts w:hint="default" w:ascii="宋体" w:hAnsi="宋体" w:eastAsia="宋体" w:cs="楷体"/>
                <w:color w:val="000000" w:themeColor="text1"/>
                <w:kern w:val="0"/>
                <w:szCs w:val="21"/>
                <w:lang w:val="en-US" w:eastAsia="zh-CN"/>
                <w14:textFill>
                  <w14:solidFill>
                    <w14:schemeClr w14:val="tx1"/>
                  </w14:solidFill>
                </w14:textFill>
              </w:rPr>
            </w:pPr>
            <w:r>
              <w:rPr>
                <w:rFonts w:hint="eastAsia" w:ascii="宋体" w:hAnsi="宋体" w:cs="楷体"/>
                <w:color w:val="000000" w:themeColor="text1"/>
                <w:kern w:val="0"/>
                <w:szCs w:val="21"/>
                <w:lang w:val="en-US" w:eastAsia="zh-CN"/>
                <w14:textFill>
                  <w14:solidFill>
                    <w14:schemeClr w14:val="tx1"/>
                  </w14:solidFill>
                </w14:textFill>
              </w:rPr>
              <w:t>2.2.4(3)</w:t>
            </w:r>
          </w:p>
        </w:tc>
        <w:tc>
          <w:tcPr>
            <w:tcW w:w="3015" w:type="dxa"/>
            <w:gridSpan w:val="3"/>
            <w:shd w:val="clear" w:color="auto" w:fill="FFFFFF"/>
            <w:tcMar>
              <w:top w:w="0" w:type="dxa"/>
              <w:left w:w="108" w:type="dxa"/>
              <w:bottom w:w="0" w:type="dxa"/>
              <w:right w:w="108" w:type="dxa"/>
            </w:tcMar>
            <w:vAlign w:val="center"/>
          </w:tcPr>
          <w:p w14:paraId="4EB8DEF9">
            <w:pPr>
              <w:widowControl/>
              <w:spacing w:before="100" w:beforeAutospacing="1" w:after="100" w:afterAutospacing="1"/>
              <w:jc w:val="center"/>
              <w:rPr>
                <w:rFonts w:hint="eastAsia" w:ascii="宋体" w:hAnsi="宋体" w:eastAsia="宋体" w:cs="楷体"/>
                <w:color w:val="000000" w:themeColor="text1"/>
                <w:kern w:val="0"/>
                <w:szCs w:val="21"/>
                <w:lang w:val="en-US" w:eastAsia="zh-CN"/>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诚信综合评价排名</w:t>
            </w:r>
            <w:r>
              <w:rPr>
                <w:rFonts w:hint="eastAsia" w:ascii="宋体" w:hAnsi="宋体" w:cs="楷体"/>
                <w:color w:val="000000" w:themeColor="text1"/>
                <w:kern w:val="0"/>
                <w:szCs w:val="21"/>
                <w:lang w:val="en-US" w:eastAsia="zh-CN"/>
                <w14:textFill>
                  <w14:solidFill>
                    <w14:schemeClr w14:val="tx1"/>
                  </w14:solidFill>
                </w14:textFill>
              </w:rPr>
              <w:t>得分（100分）</w:t>
            </w:r>
          </w:p>
        </w:tc>
        <w:tc>
          <w:tcPr>
            <w:tcW w:w="5371" w:type="dxa"/>
            <w:shd w:val="clear" w:color="auto" w:fill="FFFFFF"/>
            <w:tcMar>
              <w:top w:w="0" w:type="dxa"/>
              <w:left w:w="108" w:type="dxa"/>
              <w:bottom w:w="0" w:type="dxa"/>
              <w:right w:w="108" w:type="dxa"/>
            </w:tcMar>
            <w:vAlign w:val="center"/>
          </w:tcPr>
          <w:p w14:paraId="5E22411C">
            <w:pPr>
              <w:numPr>
                <w:ilvl w:val="0"/>
                <w:numId w:val="0"/>
              </w:numPr>
              <w:spacing w:line="276" w:lineRule="auto"/>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企业的诚信综合评价排名以开标当天广州市企业诚信评价系统（http://121.8.226.218:8081/eval/evalGateWay/list?typeCode=AGENT）上公布的企业60日诚信分排名，最终以代理查询结果为准。</w:t>
            </w:r>
          </w:p>
          <w:p w14:paraId="1B48D34E">
            <w:pPr>
              <w:numPr>
                <w:ilvl w:val="0"/>
                <w:numId w:val="0"/>
              </w:numPr>
              <w:spacing w:line="276" w:lineRule="auto"/>
              <w:rPr>
                <w:rFonts w:hint="eastAsia" w:ascii="宋体" w:hAnsi="宋体"/>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若企业未于广州市企业诚信评价系统建立诚信档案的，企业诚信排名得分按基准分50分计算。</w:t>
            </w:r>
          </w:p>
          <w:p w14:paraId="66B8DE87">
            <w:pPr>
              <w:numPr>
                <w:ilvl w:val="0"/>
                <w:numId w:val="0"/>
              </w:numPr>
              <w:spacing w:line="276" w:lineRule="auto"/>
              <w:rPr>
                <w:rFonts w:hint="eastAsia" w:ascii="宋体" w:hAnsi="宋体"/>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企业诚信排名得分以监理－房建排名为准。</w:t>
            </w:r>
          </w:p>
        </w:tc>
      </w:tr>
      <w:tr w14:paraId="4A3C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689" w:type="dxa"/>
            <w:gridSpan w:val="2"/>
            <w:shd w:val="clear" w:color="auto" w:fill="FFFFFF"/>
            <w:tcMar>
              <w:top w:w="0" w:type="dxa"/>
              <w:left w:w="108" w:type="dxa"/>
              <w:bottom w:w="0" w:type="dxa"/>
              <w:right w:w="108" w:type="dxa"/>
            </w:tcMar>
            <w:vAlign w:val="center"/>
          </w:tcPr>
          <w:p w14:paraId="23E36415">
            <w:pPr>
              <w:widowControl/>
              <w:spacing w:before="100" w:beforeAutospacing="1" w:after="100" w:afterAutospacing="1"/>
              <w:jc w:val="left"/>
              <w:rPr>
                <w:rFonts w:ascii="宋体" w:hAnsi="宋体" w:cs="楷体"/>
                <w:color w:val="000000" w:themeColor="text1"/>
                <w:kern w:val="0"/>
                <w:szCs w:val="21"/>
                <w14:textFill>
                  <w14:solidFill>
                    <w14:schemeClr w14:val="tx1"/>
                  </w14:solidFill>
                </w14:textFill>
              </w:rPr>
            </w:pPr>
            <w:r>
              <w:rPr>
                <w:rFonts w:hint="eastAsia" w:ascii="宋体" w:hAnsi="宋体" w:cs="楷体"/>
                <w:color w:val="000000" w:themeColor="text1"/>
                <w:kern w:val="0"/>
                <w:szCs w:val="21"/>
                <w14:textFill>
                  <w14:solidFill>
                    <w14:schemeClr w14:val="tx1"/>
                  </w14:solidFill>
                </w14:textFill>
              </w:rPr>
              <w:t>说明</w:t>
            </w:r>
          </w:p>
        </w:tc>
        <w:tc>
          <w:tcPr>
            <w:tcW w:w="8386" w:type="dxa"/>
            <w:gridSpan w:val="4"/>
            <w:shd w:val="clear" w:color="auto" w:fill="FFFFFF"/>
            <w:tcMar>
              <w:top w:w="0" w:type="dxa"/>
              <w:left w:w="108" w:type="dxa"/>
              <w:bottom w:w="0" w:type="dxa"/>
              <w:right w:w="108" w:type="dxa"/>
            </w:tcMar>
            <w:vAlign w:val="center"/>
          </w:tcPr>
          <w:p w14:paraId="7F39646B">
            <w:pPr>
              <w:spacing w:line="400" w:lineRule="exact"/>
              <w:jc w:val="left"/>
              <w:rPr>
                <w:rFonts w:hint="eastAsia"/>
                <w:color w:val="000000" w:themeColor="text1"/>
                <w:lang w:val="en-US" w:eastAsia="zh-CN"/>
                <w14:textFill>
                  <w14:solidFill>
                    <w14:schemeClr w14:val="tx1"/>
                  </w14:solidFill>
                </w14:textFill>
              </w:rPr>
            </w:pPr>
            <w:bookmarkStart w:id="322" w:name="_Toc25818"/>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评分如出现小数点，则保留小数点后两位，第三位四舍五入</w:t>
            </w:r>
            <w:bookmarkEnd w:id="322"/>
            <w:r>
              <w:rPr>
                <w:rFonts w:hint="eastAsia"/>
                <w:color w:val="000000" w:themeColor="text1"/>
                <w:lang w:eastAsia="zh-CN"/>
                <w14:textFill>
                  <w14:solidFill>
                    <w14:schemeClr w14:val="tx1"/>
                  </w14:solidFill>
                </w14:textFill>
              </w:rPr>
              <w:t>。</w:t>
            </w:r>
          </w:p>
          <w:p w14:paraId="379A86C9">
            <w:pPr>
              <w:spacing w:line="400" w:lineRule="exact"/>
              <w:jc w:val="left"/>
              <w:rPr>
                <w:rFonts w:hint="eastAsia"/>
                <w:color w:val="000000" w:themeColor="text1"/>
                <w14:textFill>
                  <w14:solidFill>
                    <w14:schemeClr w14:val="tx1"/>
                  </w14:solidFill>
                </w14:textFill>
              </w:rPr>
            </w:pPr>
            <w:bookmarkStart w:id="323" w:name="_Toc18862"/>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业绩证明材料提供复印件。</w:t>
            </w:r>
            <w:bookmarkEnd w:id="323"/>
          </w:p>
          <w:p w14:paraId="048B0AE7">
            <w:pPr>
              <w:spacing w:line="400" w:lineRule="exact"/>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评分标准上限包括本数，下限不包括本数，如2～3即为：3≥评分&gt;2</w:t>
            </w:r>
          </w:p>
          <w:p w14:paraId="7B613C16">
            <w:pPr>
              <w:pStyle w:val="2"/>
              <w:ind w:left="0" w:leftChars="0" w:firstLine="0" w:firstLineChars="0"/>
              <w:rPr>
                <w:rFonts w:hint="eastAsia" w:eastAsia="宋体"/>
                <w:lang w:val="en-US" w:eastAsia="zh-CN"/>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技术方案部分</w:t>
            </w:r>
            <w:r>
              <w:rPr>
                <w:rFonts w:hint="eastAsia"/>
                <w:color w:val="000000" w:themeColor="text1"/>
                <w:lang w:val="en-US" w:eastAsia="zh-CN"/>
                <w14:textFill>
                  <w14:solidFill>
                    <w14:schemeClr w14:val="tx1"/>
                  </w14:solidFill>
                </w14:textFill>
              </w:rPr>
              <w:t>由各评委按“</w:t>
            </w:r>
            <w:r>
              <w:rPr>
                <w:rFonts w:hint="eastAsia"/>
                <w:color w:val="000000" w:themeColor="text1"/>
                <w14:textFill>
                  <w14:solidFill>
                    <w14:schemeClr w14:val="tx1"/>
                  </w14:solidFill>
                </w14:textFill>
              </w:rPr>
              <w:t>技术方案部分</w:t>
            </w:r>
            <w:r>
              <w:rPr>
                <w:rFonts w:hint="eastAsia"/>
                <w:color w:val="000000" w:themeColor="text1"/>
                <w:lang w:val="en-US" w:eastAsia="zh-CN"/>
                <w14:textFill>
                  <w14:solidFill>
                    <w14:schemeClr w14:val="tx1"/>
                  </w14:solidFill>
                </w14:textFill>
              </w:rPr>
              <w:t>”评审标准独立打分，将各评委的评分（总分）去掉一个最高分和一个最低分后计取算术平均分作为该投标人的最终得分（分数出现小数点，保留小数点后2位，从小数点后第3位四舍五入）</w:t>
            </w:r>
          </w:p>
        </w:tc>
      </w:tr>
      <w:bookmarkEnd w:id="320"/>
      <w:bookmarkEnd w:id="321"/>
    </w:tbl>
    <w:p w14:paraId="57A71153">
      <w:pPr>
        <w:spacing w:line="360" w:lineRule="auto"/>
        <w:rPr>
          <w:rFonts w:ascii="宋体" w:hAnsi="宋体"/>
          <w:b/>
          <w:color w:val="000000" w:themeColor="text1"/>
          <w:sz w:val="28"/>
          <w:szCs w:val="30"/>
          <w14:textFill>
            <w14:solidFill>
              <w14:schemeClr w14:val="tx1"/>
            </w14:solidFill>
          </w14:textFill>
        </w:rPr>
      </w:pPr>
    </w:p>
    <w:p w14:paraId="3E782982">
      <w:pPr>
        <w:spacing w:before="120" w:beforeLines="50" w:after="120" w:afterLines="50" w:line="360" w:lineRule="exact"/>
        <w:outlineLvl w:val="2"/>
        <w:rPr>
          <w:rFonts w:ascii="宋体" w:hAnsi="宋体"/>
          <w:b/>
          <w:color w:val="000000" w:themeColor="text1"/>
          <w:sz w:val="32"/>
          <w14:textFill>
            <w14:solidFill>
              <w14:schemeClr w14:val="tx1"/>
            </w14:solidFill>
          </w14:textFill>
        </w:rPr>
      </w:pPr>
      <w:bookmarkStart w:id="324" w:name="_Toc515205256"/>
      <w:bookmarkStart w:id="325" w:name="_Toc529196583"/>
      <w:r>
        <w:rPr>
          <w:rFonts w:ascii="宋体" w:hAnsi="宋体"/>
          <w:b/>
          <w:color w:val="000000" w:themeColor="text1"/>
          <w:sz w:val="32"/>
          <w14:textFill>
            <w14:solidFill>
              <w14:schemeClr w14:val="tx1"/>
            </w14:solidFill>
          </w14:textFill>
        </w:rPr>
        <w:t xml:space="preserve">1. </w:t>
      </w:r>
      <w:r>
        <w:rPr>
          <w:rFonts w:hint="eastAsia" w:ascii="宋体" w:hAnsi="宋体"/>
          <w:b/>
          <w:color w:val="000000" w:themeColor="text1"/>
          <w:sz w:val="32"/>
          <w14:textFill>
            <w14:solidFill>
              <w14:schemeClr w14:val="tx1"/>
            </w14:solidFill>
          </w14:textFill>
        </w:rPr>
        <w:t>评标方法</w:t>
      </w:r>
      <w:bookmarkEnd w:id="324"/>
      <w:bookmarkEnd w:id="325"/>
    </w:p>
    <w:p w14:paraId="22DD28AF">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本次评标采用综合评估法。评标委员会对满足招标文件实质性要求的投标文件，按照本章第</w:t>
      </w:r>
      <w:r>
        <w:rPr>
          <w:rFonts w:ascii="宋体" w:hAnsi="宋体"/>
          <w:color w:val="000000" w:themeColor="text1"/>
          <w:szCs w:val="21"/>
          <w14:textFill>
            <w14:solidFill>
              <w14:schemeClr w14:val="tx1"/>
            </w14:solidFill>
          </w14:textFill>
        </w:rPr>
        <w:t>2.2款规定的评分标准进行打分，并按得分由高到低顺序推荐中标候选人，或根据招标人授权直接确定中标人，但投标报价低于其成本的除</w:t>
      </w:r>
      <w:bookmarkStart w:id="326" w:name="_Toc300835008"/>
      <w:bookmarkStart w:id="327" w:name="_Toc384308272"/>
      <w:bookmarkStart w:id="328" w:name="_Toc152045598"/>
      <w:bookmarkStart w:id="329" w:name="_Toc361508646"/>
      <w:bookmarkStart w:id="330" w:name="_Toc144974565"/>
      <w:bookmarkStart w:id="331" w:name="_Toc247514022"/>
      <w:bookmarkStart w:id="332" w:name="_Toc247527623"/>
      <w:bookmarkStart w:id="333" w:name="_Toc152042375"/>
      <w:bookmarkStart w:id="334" w:name="_Toc4497"/>
      <w:bookmarkStart w:id="335" w:name="_Toc352691533"/>
      <w:bookmarkStart w:id="336" w:name="_Toc369531577"/>
      <w:r>
        <w:rPr>
          <w:rFonts w:hint="eastAsia" w:ascii="宋体" w:hAnsi="宋体"/>
          <w:color w:val="000000" w:themeColor="text1"/>
          <w:szCs w:val="21"/>
          <w14:textFill>
            <w14:solidFill>
              <w14:schemeClr w14:val="tx1"/>
            </w14:solidFill>
          </w14:textFill>
        </w:rPr>
        <w:t>外。综合评分相等</w:t>
      </w:r>
      <w:bookmarkEnd w:id="326"/>
      <w:bookmarkEnd w:id="327"/>
      <w:bookmarkEnd w:id="328"/>
      <w:bookmarkEnd w:id="329"/>
      <w:bookmarkEnd w:id="330"/>
      <w:bookmarkEnd w:id="331"/>
      <w:bookmarkEnd w:id="332"/>
      <w:bookmarkEnd w:id="333"/>
      <w:r>
        <w:rPr>
          <w:rFonts w:hint="eastAsia" w:ascii="宋体" w:hAnsi="宋体"/>
          <w:color w:val="000000" w:themeColor="text1"/>
          <w:szCs w:val="21"/>
          <w14:textFill>
            <w14:solidFill>
              <w14:schemeClr w14:val="tx1"/>
            </w14:solidFill>
          </w14:textFill>
        </w:rPr>
        <w:t>时，以投标报价低的</w:t>
      </w:r>
      <w:bookmarkEnd w:id="334"/>
      <w:bookmarkEnd w:id="335"/>
      <w:bookmarkEnd w:id="336"/>
      <w:r>
        <w:rPr>
          <w:rFonts w:hint="eastAsia" w:ascii="宋体" w:hAnsi="宋体"/>
          <w:color w:val="000000" w:themeColor="text1"/>
          <w:szCs w:val="21"/>
          <w14:textFill>
            <w14:solidFill>
              <w14:schemeClr w14:val="tx1"/>
            </w14:solidFill>
          </w14:textFill>
        </w:rPr>
        <w:t>优</w:t>
      </w:r>
      <w:bookmarkStart w:id="337" w:name="_Toc361508647"/>
      <w:bookmarkStart w:id="338" w:name="_Toc152042376"/>
      <w:bookmarkStart w:id="339" w:name="_Toc39"/>
      <w:bookmarkStart w:id="340" w:name="_Toc247527624"/>
      <w:bookmarkStart w:id="341" w:name="_Toc144974566"/>
      <w:bookmarkStart w:id="342" w:name="_Toc300835009"/>
      <w:bookmarkStart w:id="343" w:name="_Toc247514023"/>
      <w:bookmarkStart w:id="344" w:name="_Toc369531578"/>
      <w:bookmarkStart w:id="345" w:name="_Toc352691534"/>
      <w:bookmarkStart w:id="346" w:name="_Toc152045599"/>
      <w:bookmarkStart w:id="347" w:name="_Toc384308273"/>
      <w:r>
        <w:rPr>
          <w:rFonts w:hint="eastAsia" w:ascii="宋体" w:hAnsi="宋体"/>
          <w:color w:val="000000" w:themeColor="text1"/>
          <w:szCs w:val="21"/>
          <w14:textFill>
            <w14:solidFill>
              <w14:schemeClr w14:val="tx1"/>
            </w14:solidFill>
          </w14:textFill>
        </w:rPr>
        <w:t>先；投标报价也相等</w:t>
      </w:r>
      <w:bookmarkEnd w:id="337"/>
      <w:bookmarkEnd w:id="338"/>
      <w:bookmarkEnd w:id="339"/>
      <w:bookmarkEnd w:id="340"/>
      <w:bookmarkEnd w:id="341"/>
      <w:bookmarkEnd w:id="342"/>
      <w:bookmarkEnd w:id="343"/>
      <w:bookmarkEnd w:id="344"/>
      <w:bookmarkEnd w:id="345"/>
      <w:bookmarkEnd w:id="346"/>
      <w:bookmarkEnd w:id="347"/>
      <w:r>
        <w:rPr>
          <w:rFonts w:hint="eastAsia" w:ascii="宋体" w:hAnsi="宋体"/>
          <w:color w:val="000000" w:themeColor="text1"/>
          <w:szCs w:val="21"/>
          <w14:textFill>
            <w14:solidFill>
              <w14:schemeClr w14:val="tx1"/>
            </w14:solidFill>
          </w14:textFill>
        </w:rPr>
        <w:t>的，以技术方案得分高的优先；如果技术方案得分也相等，按照评标办法前附表的规定确定中标候选人顺序。</w:t>
      </w:r>
    </w:p>
    <w:p w14:paraId="196E8DDB">
      <w:pPr>
        <w:pStyle w:val="8"/>
        <w:ind w:firstLine="480"/>
        <w:rPr>
          <w:color w:val="000000" w:themeColor="text1"/>
          <w14:textFill>
            <w14:solidFill>
              <w14:schemeClr w14:val="tx1"/>
            </w14:solidFill>
          </w14:textFill>
        </w:rPr>
      </w:pPr>
    </w:p>
    <w:p w14:paraId="4144BA96">
      <w:pPr>
        <w:spacing w:before="120" w:beforeLines="50" w:line="360" w:lineRule="exact"/>
        <w:outlineLvl w:val="2"/>
        <w:rPr>
          <w:rFonts w:ascii="宋体" w:hAnsi="宋体"/>
          <w:b/>
          <w:color w:val="000000" w:themeColor="text1"/>
          <w:sz w:val="32"/>
          <w14:textFill>
            <w14:solidFill>
              <w14:schemeClr w14:val="tx1"/>
            </w14:solidFill>
          </w14:textFill>
        </w:rPr>
      </w:pPr>
      <w:bookmarkStart w:id="348" w:name="_Toc515205257"/>
      <w:bookmarkStart w:id="349" w:name="_Toc529196584"/>
      <w:r>
        <w:rPr>
          <w:rFonts w:ascii="宋体" w:hAnsi="宋体"/>
          <w:b/>
          <w:color w:val="000000" w:themeColor="text1"/>
          <w:sz w:val="32"/>
          <w14:textFill>
            <w14:solidFill>
              <w14:schemeClr w14:val="tx1"/>
            </w14:solidFill>
          </w14:textFill>
        </w:rPr>
        <w:t xml:space="preserve">2. </w:t>
      </w:r>
      <w:r>
        <w:rPr>
          <w:rFonts w:hint="eastAsia" w:ascii="宋体" w:hAnsi="宋体"/>
          <w:b/>
          <w:color w:val="000000" w:themeColor="text1"/>
          <w:sz w:val="32"/>
          <w14:textFill>
            <w14:solidFill>
              <w14:schemeClr w14:val="tx1"/>
            </w14:solidFill>
          </w14:textFill>
        </w:rPr>
        <w:t>评审标准</w:t>
      </w:r>
      <w:bookmarkEnd w:id="348"/>
      <w:bookmarkEnd w:id="349"/>
    </w:p>
    <w:p w14:paraId="04B6F6E5">
      <w:pPr>
        <w:spacing w:before="240" w:beforeLines="100" w:after="240" w:afterLines="100" w:line="360" w:lineRule="exact"/>
        <w:rPr>
          <w:rFonts w:ascii="宋体" w:hAnsi="宋体"/>
          <w:b/>
          <w:color w:val="000000" w:themeColor="text1"/>
          <w:sz w:val="28"/>
          <w14:textFill>
            <w14:solidFill>
              <w14:schemeClr w14:val="tx1"/>
            </w14:solidFill>
          </w14:textFill>
        </w:rPr>
      </w:pPr>
      <w:bookmarkStart w:id="350" w:name="_Toc529196585"/>
      <w:bookmarkStart w:id="351" w:name="_Toc515205258"/>
      <w:r>
        <w:rPr>
          <w:rFonts w:ascii="宋体" w:hAnsi="宋体"/>
          <w:b/>
          <w:color w:val="000000" w:themeColor="text1"/>
          <w:sz w:val="28"/>
          <w14:textFill>
            <w14:solidFill>
              <w14:schemeClr w14:val="tx1"/>
            </w14:solidFill>
          </w14:textFill>
        </w:rPr>
        <w:t xml:space="preserve">2.1 </w:t>
      </w:r>
      <w:r>
        <w:rPr>
          <w:rFonts w:hint="eastAsia" w:ascii="宋体" w:hAnsi="宋体"/>
          <w:b/>
          <w:color w:val="000000" w:themeColor="text1"/>
          <w:sz w:val="28"/>
          <w14:textFill>
            <w14:solidFill>
              <w14:schemeClr w14:val="tx1"/>
            </w14:solidFill>
          </w14:textFill>
        </w:rPr>
        <w:t>初步评审标准</w:t>
      </w:r>
      <w:bookmarkEnd w:id="350"/>
      <w:bookmarkEnd w:id="351"/>
    </w:p>
    <w:p w14:paraId="7A2A5FF7">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2.1.1 </w:t>
      </w:r>
      <w:r>
        <w:rPr>
          <w:rFonts w:hint="eastAsia" w:ascii="宋体" w:hAnsi="宋体"/>
          <w:color w:val="000000" w:themeColor="text1"/>
          <w14:textFill>
            <w14:solidFill>
              <w14:schemeClr w14:val="tx1"/>
            </w14:solidFill>
          </w14:textFill>
        </w:rPr>
        <w:t>形式评审标准：见评标办法前附表。</w:t>
      </w:r>
    </w:p>
    <w:p w14:paraId="46B09073">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2.1.2 </w:t>
      </w:r>
      <w:r>
        <w:rPr>
          <w:rFonts w:hint="eastAsia" w:ascii="宋体" w:hAnsi="宋体"/>
          <w:color w:val="000000" w:themeColor="text1"/>
          <w14:textFill>
            <w14:solidFill>
              <w14:schemeClr w14:val="tx1"/>
            </w14:solidFill>
          </w14:textFill>
        </w:rPr>
        <w:t>资格评审标准：见评标办法前附表。</w:t>
      </w:r>
    </w:p>
    <w:p w14:paraId="7EA26038">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2.1.3 </w:t>
      </w:r>
      <w:r>
        <w:rPr>
          <w:rFonts w:hint="eastAsia" w:ascii="宋体" w:hAnsi="宋体"/>
          <w:color w:val="000000" w:themeColor="text1"/>
          <w14:textFill>
            <w14:solidFill>
              <w14:schemeClr w14:val="tx1"/>
            </w14:solidFill>
          </w14:textFill>
        </w:rPr>
        <w:t>响应性评审标准：见评标办法前附表。</w:t>
      </w:r>
    </w:p>
    <w:p w14:paraId="36523962">
      <w:pPr>
        <w:spacing w:before="240" w:beforeLines="100" w:after="240" w:afterLines="100" w:line="360" w:lineRule="exact"/>
        <w:rPr>
          <w:rFonts w:ascii="宋体" w:hAnsi="宋体"/>
          <w:b/>
          <w:color w:val="000000" w:themeColor="text1"/>
          <w:sz w:val="28"/>
          <w14:textFill>
            <w14:solidFill>
              <w14:schemeClr w14:val="tx1"/>
            </w14:solidFill>
          </w14:textFill>
        </w:rPr>
      </w:pPr>
      <w:bookmarkStart w:id="352" w:name="_Toc515205259"/>
      <w:bookmarkStart w:id="353" w:name="_Toc529196586"/>
      <w:r>
        <w:rPr>
          <w:rFonts w:ascii="宋体" w:hAnsi="宋体"/>
          <w:b/>
          <w:color w:val="000000" w:themeColor="text1"/>
          <w:sz w:val="28"/>
          <w14:textFill>
            <w14:solidFill>
              <w14:schemeClr w14:val="tx1"/>
            </w14:solidFill>
          </w14:textFill>
        </w:rPr>
        <w:t xml:space="preserve">2.2 </w:t>
      </w:r>
      <w:r>
        <w:rPr>
          <w:rFonts w:hint="eastAsia" w:ascii="宋体" w:hAnsi="宋体"/>
          <w:b/>
          <w:color w:val="000000" w:themeColor="text1"/>
          <w:sz w:val="28"/>
          <w14:textFill>
            <w14:solidFill>
              <w14:schemeClr w14:val="tx1"/>
            </w14:solidFill>
          </w14:textFill>
        </w:rPr>
        <w:t>分值构成与评分标准</w:t>
      </w:r>
      <w:bookmarkEnd w:id="352"/>
      <w:bookmarkEnd w:id="353"/>
    </w:p>
    <w:p w14:paraId="0B7033F4">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2.2.1 </w:t>
      </w:r>
      <w:r>
        <w:rPr>
          <w:rFonts w:hint="eastAsia" w:ascii="宋体" w:hAnsi="宋体"/>
          <w:color w:val="000000" w:themeColor="text1"/>
          <w14:textFill>
            <w14:solidFill>
              <w14:schemeClr w14:val="tx1"/>
            </w14:solidFill>
          </w14:textFill>
        </w:rPr>
        <w:t>分值构成：</w:t>
      </w:r>
    </w:p>
    <w:p w14:paraId="6A85D8D3">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1）资信方案部分：见评标办法前附表；</w:t>
      </w:r>
    </w:p>
    <w:p w14:paraId="2BDC17E8">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2）投标报价部分：见评标办法前附表；</w:t>
      </w:r>
    </w:p>
    <w:p w14:paraId="66C21430">
      <w:pPr>
        <w:spacing w:line="360" w:lineRule="exact"/>
        <w:ind w:firstLine="420" w:firstLineChars="200"/>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lang w:eastAsia="zh-CN"/>
          <w14:textFill>
            <w14:solidFill>
              <w14:schemeClr w14:val="tx1"/>
            </w14:solidFill>
          </w14:textFill>
        </w:rPr>
        <w:t>）诚信综合评价排名</w:t>
      </w:r>
      <w:r>
        <w:rPr>
          <w:rFonts w:hint="eastAsia" w:ascii="宋体" w:hAnsi="宋体"/>
          <w:color w:val="000000" w:themeColor="text1"/>
          <w:lang w:val="en-US" w:eastAsia="zh-CN"/>
          <w14:textFill>
            <w14:solidFill>
              <w14:schemeClr w14:val="tx1"/>
            </w14:solidFill>
          </w14:textFill>
        </w:rPr>
        <w:t>部分：</w:t>
      </w:r>
      <w:r>
        <w:rPr>
          <w:rFonts w:ascii="宋体" w:hAnsi="宋体"/>
          <w:color w:val="000000" w:themeColor="text1"/>
          <w14:textFill>
            <w14:solidFill>
              <w14:schemeClr w14:val="tx1"/>
            </w14:solidFill>
          </w14:textFill>
        </w:rPr>
        <w:t>见评标办法前附表；</w:t>
      </w:r>
    </w:p>
    <w:p w14:paraId="358DDF6C">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2.2.2 </w:t>
      </w:r>
      <w:r>
        <w:rPr>
          <w:rFonts w:hint="eastAsia" w:ascii="宋体" w:hAnsi="宋体"/>
          <w:color w:val="000000" w:themeColor="text1"/>
          <w14:textFill>
            <w14:solidFill>
              <w14:schemeClr w14:val="tx1"/>
            </w14:solidFill>
          </w14:textFill>
        </w:rPr>
        <w:t>评标基准价计算</w:t>
      </w:r>
    </w:p>
    <w:p w14:paraId="1EC0F84B">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评标基准价计算方法：见评标办法前附表。</w:t>
      </w:r>
    </w:p>
    <w:p w14:paraId="6C0228B7">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2.2.3 </w:t>
      </w:r>
      <w:r>
        <w:rPr>
          <w:rFonts w:hint="eastAsia" w:ascii="宋体" w:hAnsi="宋体"/>
          <w:color w:val="000000" w:themeColor="text1"/>
          <w14:textFill>
            <w14:solidFill>
              <w14:schemeClr w14:val="tx1"/>
            </w14:solidFill>
          </w14:textFill>
        </w:rPr>
        <w:t>投标报价的偏差率计算</w:t>
      </w:r>
    </w:p>
    <w:p w14:paraId="29E0DBA9">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投标报价的偏差率计算公式：见评标办法前附表。</w:t>
      </w:r>
    </w:p>
    <w:p w14:paraId="32579A84">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2.2.4 </w:t>
      </w:r>
      <w:r>
        <w:rPr>
          <w:rFonts w:hint="eastAsia" w:ascii="宋体" w:hAnsi="宋体"/>
          <w:color w:val="000000" w:themeColor="text1"/>
          <w14:textFill>
            <w14:solidFill>
              <w14:schemeClr w14:val="tx1"/>
            </w14:solidFill>
          </w14:textFill>
        </w:rPr>
        <w:t>评分标准</w:t>
      </w:r>
    </w:p>
    <w:p w14:paraId="65CF95AA">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1）资信方案评分标准：见评标办法前附表；</w:t>
      </w:r>
    </w:p>
    <w:p w14:paraId="67AD812F">
      <w:pPr>
        <w:spacing w:line="360" w:lineRule="exact"/>
        <w:ind w:firstLine="420" w:firstLineChars="200"/>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2）投标报价评分标准：见评标办法前附表</w:t>
      </w:r>
      <w:r>
        <w:rPr>
          <w:rFonts w:hint="eastAsia" w:ascii="宋体" w:hAnsi="宋体"/>
          <w:color w:val="000000" w:themeColor="text1"/>
          <w:lang w:eastAsia="zh-CN"/>
          <w14:textFill>
            <w14:solidFill>
              <w14:schemeClr w14:val="tx1"/>
            </w14:solidFill>
          </w14:textFill>
        </w:rPr>
        <w:t>；</w:t>
      </w:r>
    </w:p>
    <w:p w14:paraId="76B40D59">
      <w:pPr>
        <w:spacing w:line="360" w:lineRule="exact"/>
        <w:ind w:firstLine="420"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lang w:eastAsia="zh-CN"/>
          <w14:textFill>
            <w14:solidFill>
              <w14:schemeClr w14:val="tx1"/>
            </w14:solidFill>
          </w14:textFill>
        </w:rPr>
        <w:t>）诚信综合评价</w:t>
      </w:r>
      <w:r>
        <w:rPr>
          <w:rFonts w:hint="eastAsia" w:ascii="宋体" w:hAnsi="宋体"/>
          <w:color w:val="000000" w:themeColor="text1"/>
          <w:lang w:val="en-US" w:eastAsia="zh-CN"/>
          <w14:textFill>
            <w14:solidFill>
              <w14:schemeClr w14:val="tx1"/>
            </w14:solidFill>
          </w14:textFill>
        </w:rPr>
        <w:t>标准：</w:t>
      </w:r>
      <w:r>
        <w:rPr>
          <w:rFonts w:ascii="宋体" w:hAnsi="宋体"/>
          <w:color w:val="000000" w:themeColor="text1"/>
          <w14:textFill>
            <w14:solidFill>
              <w14:schemeClr w14:val="tx1"/>
            </w14:solidFill>
          </w14:textFill>
        </w:rPr>
        <w:t>见评标办法前附表</w:t>
      </w:r>
      <w:r>
        <w:rPr>
          <w:rFonts w:hint="eastAsia" w:ascii="宋体" w:hAnsi="宋体"/>
          <w:color w:val="000000" w:themeColor="text1"/>
          <w:lang w:eastAsia="zh-CN"/>
          <w14:textFill>
            <w14:solidFill>
              <w14:schemeClr w14:val="tx1"/>
            </w14:solidFill>
          </w14:textFill>
        </w:rPr>
        <w:t>。</w:t>
      </w:r>
    </w:p>
    <w:p w14:paraId="0641CD88">
      <w:pPr>
        <w:pStyle w:val="8"/>
        <w:ind w:firstLine="480"/>
        <w:rPr>
          <w:color w:val="000000" w:themeColor="text1"/>
          <w14:textFill>
            <w14:solidFill>
              <w14:schemeClr w14:val="tx1"/>
            </w14:solidFill>
          </w14:textFill>
        </w:rPr>
      </w:pPr>
    </w:p>
    <w:p w14:paraId="25768BA3">
      <w:pPr>
        <w:spacing w:before="120" w:beforeLines="50" w:line="360" w:lineRule="exact"/>
        <w:outlineLvl w:val="2"/>
        <w:rPr>
          <w:rFonts w:ascii="宋体" w:hAnsi="宋体"/>
          <w:b/>
          <w:color w:val="000000" w:themeColor="text1"/>
          <w:sz w:val="32"/>
          <w14:textFill>
            <w14:solidFill>
              <w14:schemeClr w14:val="tx1"/>
            </w14:solidFill>
          </w14:textFill>
        </w:rPr>
      </w:pPr>
      <w:bookmarkStart w:id="354" w:name="_Toc529196587"/>
      <w:bookmarkStart w:id="355" w:name="_Toc515205260"/>
      <w:r>
        <w:rPr>
          <w:rFonts w:ascii="宋体" w:hAnsi="宋体"/>
          <w:b/>
          <w:color w:val="000000" w:themeColor="text1"/>
          <w:sz w:val="32"/>
          <w14:textFill>
            <w14:solidFill>
              <w14:schemeClr w14:val="tx1"/>
            </w14:solidFill>
          </w14:textFill>
        </w:rPr>
        <w:t xml:space="preserve">3. </w:t>
      </w:r>
      <w:r>
        <w:rPr>
          <w:rFonts w:hint="eastAsia" w:ascii="宋体" w:hAnsi="宋体"/>
          <w:b/>
          <w:color w:val="000000" w:themeColor="text1"/>
          <w:sz w:val="32"/>
          <w14:textFill>
            <w14:solidFill>
              <w14:schemeClr w14:val="tx1"/>
            </w14:solidFill>
          </w14:textFill>
        </w:rPr>
        <w:t>评标程序</w:t>
      </w:r>
      <w:bookmarkEnd w:id="354"/>
      <w:bookmarkEnd w:id="355"/>
    </w:p>
    <w:p w14:paraId="4FD7ACA7">
      <w:pPr>
        <w:spacing w:before="240" w:beforeLines="100" w:after="240" w:afterLines="100" w:line="360" w:lineRule="exact"/>
        <w:rPr>
          <w:rFonts w:ascii="宋体" w:hAnsi="宋体"/>
          <w:b/>
          <w:color w:val="000000" w:themeColor="text1"/>
          <w:sz w:val="28"/>
          <w14:textFill>
            <w14:solidFill>
              <w14:schemeClr w14:val="tx1"/>
            </w14:solidFill>
          </w14:textFill>
        </w:rPr>
      </w:pPr>
      <w:bookmarkStart w:id="356" w:name="_Toc515205261"/>
      <w:bookmarkStart w:id="357" w:name="_Toc529196588"/>
      <w:r>
        <w:rPr>
          <w:rFonts w:ascii="宋体" w:hAnsi="宋体"/>
          <w:b/>
          <w:color w:val="000000" w:themeColor="text1"/>
          <w:sz w:val="28"/>
          <w14:textFill>
            <w14:solidFill>
              <w14:schemeClr w14:val="tx1"/>
            </w14:solidFill>
          </w14:textFill>
        </w:rPr>
        <w:t xml:space="preserve">3.1 </w:t>
      </w:r>
      <w:r>
        <w:rPr>
          <w:rFonts w:hint="eastAsia" w:ascii="宋体" w:hAnsi="宋体"/>
          <w:b/>
          <w:color w:val="000000" w:themeColor="text1"/>
          <w:sz w:val="28"/>
          <w14:textFill>
            <w14:solidFill>
              <w14:schemeClr w14:val="tx1"/>
            </w14:solidFill>
          </w14:textFill>
        </w:rPr>
        <w:t>初步评审</w:t>
      </w:r>
      <w:bookmarkEnd w:id="356"/>
      <w:bookmarkEnd w:id="357"/>
    </w:p>
    <w:p w14:paraId="2007649A">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3.1.1 </w:t>
      </w:r>
      <w:r>
        <w:rPr>
          <w:rFonts w:hint="eastAsia" w:ascii="宋体" w:hAnsi="宋体"/>
          <w:color w:val="000000" w:themeColor="text1"/>
          <w14:textFill>
            <w14:solidFill>
              <w14:schemeClr w14:val="tx1"/>
            </w14:solidFill>
          </w14:textFill>
        </w:rPr>
        <w:t>评标委员会可以要求投标人提交第二章“投标人须知”规定的有关证明和证件的原件，以便核验。评标委员会依据本章第</w:t>
      </w:r>
      <w:r>
        <w:rPr>
          <w:rFonts w:ascii="宋体" w:hAnsi="宋体"/>
          <w:color w:val="000000" w:themeColor="text1"/>
          <w14:textFill>
            <w14:solidFill>
              <w14:schemeClr w14:val="tx1"/>
            </w14:solidFill>
          </w14:textFill>
        </w:rPr>
        <w:t>2.1款规定的标准对投标文件进行初步评审。有一项不符合评审标准的，评标委员会应当否决其投标。</w:t>
      </w:r>
    </w:p>
    <w:p w14:paraId="56AB2AEE">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3.1.2 </w:t>
      </w:r>
      <w:r>
        <w:rPr>
          <w:rFonts w:hint="eastAsia" w:ascii="宋体" w:hAnsi="宋体"/>
          <w:color w:val="000000" w:themeColor="text1"/>
          <w14:textFill>
            <w14:solidFill>
              <w14:schemeClr w14:val="tx1"/>
            </w14:solidFill>
          </w14:textFill>
        </w:rPr>
        <w:t>投标人有以下情形之一的，评标委员会应当否决其投标：</w:t>
      </w:r>
    </w:p>
    <w:p w14:paraId="7F9AD522">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1）投标文件没有对招标文件的实质性要求和条件作出响应，或者对招标文件的偏差超出招标文件规定的偏差范围或最高项数；</w:t>
      </w:r>
    </w:p>
    <w:p w14:paraId="71EF7009">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2）有串通投标、弄虚作假、行贿等违法行为。</w:t>
      </w:r>
    </w:p>
    <w:p w14:paraId="09A9FEB0">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3.1.3 </w:t>
      </w:r>
      <w:r>
        <w:rPr>
          <w:rFonts w:hint="eastAsia" w:ascii="宋体" w:hAnsi="宋体"/>
          <w:color w:val="000000" w:themeColor="text1"/>
          <w14:textFill>
            <w14:solidFill>
              <w14:schemeClr w14:val="tx1"/>
            </w14:solidFill>
          </w14:textFill>
        </w:rPr>
        <w:t>投标报价有算术错误及其他错误的，评标委员会按以下原则要求投标人对投标报价进</w:t>
      </w:r>
      <w:bookmarkStart w:id="358" w:name="_Toc247514027"/>
      <w:bookmarkStart w:id="359" w:name="_Toc152045603"/>
      <w:bookmarkStart w:id="360" w:name="_Toc144974570"/>
      <w:bookmarkStart w:id="361" w:name="_Toc2907"/>
      <w:bookmarkStart w:id="362" w:name="_Toc152042380"/>
      <w:bookmarkStart w:id="363" w:name="_Toc300835013"/>
      <w:bookmarkStart w:id="364" w:name="_Toc369531582"/>
      <w:bookmarkStart w:id="365" w:name="_Toc384308277"/>
      <w:bookmarkStart w:id="366" w:name="_Toc361508651"/>
      <w:bookmarkStart w:id="367" w:name="_Toc247527628"/>
      <w:bookmarkStart w:id="368" w:name="_Toc352691538"/>
      <w:r>
        <w:rPr>
          <w:rFonts w:hint="eastAsia" w:ascii="宋体" w:hAnsi="宋体"/>
          <w:color w:val="000000" w:themeColor="text1"/>
          <w14:textFill>
            <w14:solidFill>
              <w14:schemeClr w14:val="tx1"/>
            </w14:solidFill>
          </w14:textFill>
        </w:rPr>
        <w:t>行修正，并要求投标人书面澄清确认。</w:t>
      </w:r>
      <w:bookmarkEnd w:id="358"/>
      <w:bookmarkEnd w:id="359"/>
      <w:bookmarkEnd w:id="360"/>
      <w:bookmarkEnd w:id="361"/>
      <w:bookmarkEnd w:id="362"/>
      <w:bookmarkEnd w:id="363"/>
      <w:bookmarkEnd w:id="364"/>
      <w:bookmarkEnd w:id="365"/>
      <w:bookmarkEnd w:id="366"/>
      <w:bookmarkEnd w:id="367"/>
      <w:bookmarkEnd w:id="368"/>
      <w:r>
        <w:rPr>
          <w:rFonts w:hint="eastAsia" w:ascii="宋体" w:hAnsi="宋体"/>
          <w:color w:val="000000" w:themeColor="text1"/>
          <w14:textFill>
            <w14:solidFill>
              <w14:schemeClr w14:val="tx1"/>
            </w14:solidFill>
          </w14:textFill>
        </w:rPr>
        <w:t>投标人拒不澄清确认的，评标委员会应当否决其投标：</w:t>
      </w:r>
    </w:p>
    <w:p w14:paraId="599C4B53">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1）投标文件中的大写金额与小写金额不一致的，以大写金额为准；</w:t>
      </w:r>
    </w:p>
    <w:p w14:paraId="5C02A17E">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2）总价金额与单价金额不一致的，以单价金额为准，但单价金额小数点有明显错误的除外。</w:t>
      </w:r>
    </w:p>
    <w:p w14:paraId="6BFA3FA7">
      <w:pPr>
        <w:spacing w:before="168" w:beforeLines="70" w:after="168" w:afterLines="70" w:line="360" w:lineRule="exact"/>
        <w:rPr>
          <w:rFonts w:ascii="宋体" w:hAnsi="宋体"/>
          <w:b/>
          <w:color w:val="000000" w:themeColor="text1"/>
          <w:sz w:val="28"/>
          <w14:textFill>
            <w14:solidFill>
              <w14:schemeClr w14:val="tx1"/>
            </w14:solidFill>
          </w14:textFill>
        </w:rPr>
      </w:pPr>
      <w:bookmarkStart w:id="369" w:name="_Toc515205262"/>
      <w:bookmarkStart w:id="370" w:name="_Toc529196589"/>
      <w:r>
        <w:rPr>
          <w:rFonts w:ascii="宋体" w:hAnsi="宋体"/>
          <w:b/>
          <w:color w:val="000000" w:themeColor="text1"/>
          <w:sz w:val="28"/>
          <w14:textFill>
            <w14:solidFill>
              <w14:schemeClr w14:val="tx1"/>
            </w14:solidFill>
          </w14:textFill>
        </w:rPr>
        <w:t xml:space="preserve">3.2 </w:t>
      </w:r>
      <w:r>
        <w:rPr>
          <w:rFonts w:hint="eastAsia" w:ascii="宋体" w:hAnsi="宋体"/>
          <w:b/>
          <w:color w:val="000000" w:themeColor="text1"/>
          <w:sz w:val="28"/>
          <w14:textFill>
            <w14:solidFill>
              <w14:schemeClr w14:val="tx1"/>
            </w14:solidFill>
          </w14:textFill>
        </w:rPr>
        <w:t>详细评审</w:t>
      </w:r>
      <w:bookmarkEnd w:id="369"/>
      <w:bookmarkEnd w:id="370"/>
    </w:p>
    <w:p w14:paraId="7A68E48C">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3.2.1 </w:t>
      </w:r>
      <w:r>
        <w:rPr>
          <w:rFonts w:hint="eastAsia" w:ascii="宋体" w:hAnsi="宋体"/>
          <w:color w:val="000000" w:themeColor="text1"/>
          <w14:textFill>
            <w14:solidFill>
              <w14:schemeClr w14:val="tx1"/>
            </w14:solidFill>
          </w14:textFill>
        </w:rPr>
        <w:t>评标委员会按本章第</w:t>
      </w:r>
      <w:r>
        <w:rPr>
          <w:rFonts w:ascii="宋体" w:hAnsi="宋体"/>
          <w:color w:val="000000" w:themeColor="text1"/>
          <w14:textFill>
            <w14:solidFill>
              <w14:schemeClr w14:val="tx1"/>
            </w14:solidFill>
          </w14:textFill>
        </w:rPr>
        <w:t>2.2款规定的量化因素和分值进行打分，并计算出综合评估得分。</w:t>
      </w:r>
    </w:p>
    <w:p w14:paraId="2514CADE">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1）按本章第 2.2.4（1）目规定的评审因素和分值对资信方案部分计算出得分 A；</w:t>
      </w:r>
    </w:p>
    <w:p w14:paraId="29B771CE">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2）按本章第 2.2.4（2）目规定的评审因素和分值对投标报价计算出得分 B；</w:t>
      </w:r>
    </w:p>
    <w:p w14:paraId="38B1A295">
      <w:pPr>
        <w:spacing w:line="360" w:lineRule="exact"/>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按本章第2.2.4（3）</w:t>
      </w:r>
      <w:r>
        <w:rPr>
          <w:rFonts w:ascii="宋体" w:hAnsi="宋体"/>
          <w:color w:val="000000" w:themeColor="text1"/>
          <w14:textFill>
            <w14:solidFill>
              <w14:schemeClr w14:val="tx1"/>
            </w14:solidFill>
          </w14:textFill>
        </w:rPr>
        <w:t>目规定的评审因素和分值对</w:t>
      </w:r>
      <w:r>
        <w:rPr>
          <w:rFonts w:hint="eastAsia" w:ascii="宋体" w:hAnsi="宋体" w:cs="楷体"/>
          <w:color w:val="000000" w:themeColor="text1"/>
          <w:kern w:val="0"/>
          <w:szCs w:val="21"/>
          <w14:textFill>
            <w14:solidFill>
              <w14:schemeClr w14:val="tx1"/>
            </w14:solidFill>
          </w14:textFill>
        </w:rPr>
        <w:t>诚信综合评价排名</w:t>
      </w:r>
      <w:r>
        <w:rPr>
          <w:rFonts w:hint="eastAsia" w:ascii="宋体" w:hAnsi="宋体" w:cs="楷体"/>
          <w:color w:val="000000" w:themeColor="text1"/>
          <w:kern w:val="0"/>
          <w:szCs w:val="21"/>
          <w:lang w:val="en-US" w:eastAsia="zh-CN"/>
          <w14:textFill>
            <w14:solidFill>
              <w14:schemeClr w14:val="tx1"/>
            </w14:solidFill>
          </w14:textFill>
        </w:rPr>
        <w:t>得分C；</w:t>
      </w:r>
    </w:p>
    <w:p w14:paraId="7D95A66D">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3.2.2 </w:t>
      </w:r>
      <w:r>
        <w:rPr>
          <w:rFonts w:hint="eastAsia" w:ascii="宋体" w:hAnsi="宋体"/>
          <w:color w:val="000000" w:themeColor="text1"/>
          <w14:textFill>
            <w14:solidFill>
              <w14:schemeClr w14:val="tx1"/>
            </w14:solidFill>
          </w14:textFill>
        </w:rPr>
        <w:t>评分分值计算保留小数点后两位，小数点后第三位“四舍五入”。</w:t>
      </w:r>
    </w:p>
    <w:p w14:paraId="711EA572">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3.2.3 </w:t>
      </w:r>
      <w:r>
        <w:rPr>
          <w:rFonts w:hint="eastAsia" w:ascii="宋体" w:hAnsi="宋体"/>
          <w:color w:val="000000" w:themeColor="text1"/>
          <w14:textFill>
            <w14:solidFill>
              <w14:schemeClr w14:val="tx1"/>
            </w14:solidFill>
          </w14:textFill>
        </w:rPr>
        <w:t>投标人得分</w:t>
      </w:r>
      <w:r>
        <w:rPr>
          <w:rFonts w:ascii="宋体" w:hAnsi="宋体"/>
          <w:color w:val="000000" w:themeColor="text1"/>
          <w14:textFill>
            <w14:solidFill>
              <w14:schemeClr w14:val="tx1"/>
            </w14:solidFill>
          </w14:textFill>
        </w:rPr>
        <w:t>=</w:t>
      </w:r>
      <w:r>
        <w:rPr>
          <w:rFonts w:hint="eastAsia" w:ascii="宋体" w:hAnsi="宋体"/>
          <w:color w:val="000000" w:themeColor="text1"/>
          <w:lang w:eastAsia="zh-CN"/>
          <w14:textFill>
            <w14:solidFill>
              <w14:schemeClr w14:val="tx1"/>
            </w14:solidFill>
          </w14:textFill>
        </w:rPr>
        <w:t>（</w:t>
      </w:r>
      <w:r>
        <w:rPr>
          <w:rFonts w:ascii="宋体" w:hAnsi="宋体"/>
          <w:color w:val="000000" w:themeColor="text1"/>
          <w14:textFill>
            <w14:solidFill>
              <w14:schemeClr w14:val="tx1"/>
            </w14:solidFill>
          </w14:textFill>
        </w:rPr>
        <w:t>A+B</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*85%+C*15%</w:t>
      </w:r>
      <w:r>
        <w:rPr>
          <w:rFonts w:hint="eastAsia" w:ascii="宋体" w:hAnsi="宋体"/>
          <w:color w:val="000000" w:themeColor="text1"/>
          <w14:textFill>
            <w14:solidFill>
              <w14:schemeClr w14:val="tx1"/>
            </w14:solidFill>
          </w14:textFill>
        </w:rPr>
        <w:t>。</w:t>
      </w:r>
    </w:p>
    <w:p w14:paraId="3FBDFE60">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3.2.4 </w:t>
      </w:r>
      <w:r>
        <w:rPr>
          <w:rFonts w:hint="eastAsia" w:ascii="宋体" w:hAnsi="宋体"/>
          <w:color w:val="000000" w:themeColor="text1"/>
          <w14:textFill>
            <w14:solidFill>
              <w14:schemeClr w14:val="tx1"/>
            </w14:solidFill>
          </w14:textFill>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6D47B5E">
      <w:pPr>
        <w:spacing w:before="168" w:beforeLines="70" w:after="168" w:afterLines="70" w:line="360" w:lineRule="exact"/>
        <w:rPr>
          <w:rFonts w:ascii="宋体" w:hAnsi="宋体"/>
          <w:b/>
          <w:color w:val="000000" w:themeColor="text1"/>
          <w:sz w:val="28"/>
          <w14:textFill>
            <w14:solidFill>
              <w14:schemeClr w14:val="tx1"/>
            </w14:solidFill>
          </w14:textFill>
        </w:rPr>
      </w:pPr>
      <w:bookmarkStart w:id="371" w:name="_Toc515205263"/>
      <w:bookmarkStart w:id="372" w:name="_Toc529196590"/>
      <w:r>
        <w:rPr>
          <w:rFonts w:ascii="宋体" w:hAnsi="宋体"/>
          <w:b/>
          <w:color w:val="000000" w:themeColor="text1"/>
          <w:sz w:val="28"/>
          <w14:textFill>
            <w14:solidFill>
              <w14:schemeClr w14:val="tx1"/>
            </w14:solidFill>
          </w14:textFill>
        </w:rPr>
        <w:t xml:space="preserve">3.3 </w:t>
      </w:r>
      <w:r>
        <w:rPr>
          <w:rFonts w:hint="eastAsia" w:ascii="宋体" w:hAnsi="宋体"/>
          <w:b/>
          <w:color w:val="000000" w:themeColor="text1"/>
          <w:sz w:val="28"/>
          <w14:textFill>
            <w14:solidFill>
              <w14:schemeClr w14:val="tx1"/>
            </w14:solidFill>
          </w14:textFill>
        </w:rPr>
        <w:t>投标文件的澄清</w:t>
      </w:r>
      <w:bookmarkEnd w:id="371"/>
      <w:bookmarkEnd w:id="372"/>
    </w:p>
    <w:p w14:paraId="508DC4D3">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3.3.1 </w:t>
      </w:r>
      <w:r>
        <w:rPr>
          <w:rFonts w:hint="eastAsia" w:ascii="宋体" w:hAnsi="宋体"/>
          <w:color w:val="000000" w:themeColor="text1"/>
          <w14:textFill>
            <w14:solidFill>
              <w14:schemeClr w14:val="tx1"/>
            </w14:solidFill>
          </w14:textFill>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9C4C045">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3.3.2 </w:t>
      </w:r>
      <w:r>
        <w:rPr>
          <w:rFonts w:hint="eastAsia" w:ascii="宋体" w:hAnsi="宋体"/>
          <w:color w:val="000000" w:themeColor="text1"/>
          <w14:textFill>
            <w14:solidFill>
              <w14:schemeClr w14:val="tx1"/>
            </w14:solidFill>
          </w14:textFill>
        </w:rPr>
        <w:t>澄清、说明或补正不得超出投标文件的范围且不得改变投标文件的实质性内容，并构成投标文件的组成部分。</w:t>
      </w:r>
    </w:p>
    <w:p w14:paraId="3C110D4E">
      <w:pPr>
        <w:spacing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3.3.3 </w:t>
      </w:r>
      <w:r>
        <w:rPr>
          <w:rFonts w:hint="eastAsia" w:ascii="宋体" w:hAnsi="宋体"/>
          <w:color w:val="000000" w:themeColor="text1"/>
          <w14:textFill>
            <w14:solidFill>
              <w14:schemeClr w14:val="tx1"/>
            </w14:solidFill>
          </w14:textFill>
        </w:rPr>
        <w:t>评标委员会对投标人提交的澄清、说明或补正有疑问的，可以要求投标人进一步澄清、说明或补正，直至满足评标委员会的要求。</w:t>
      </w:r>
    </w:p>
    <w:p w14:paraId="753834F0">
      <w:pPr>
        <w:spacing w:before="168" w:beforeLines="70" w:after="168" w:afterLines="70" w:line="360" w:lineRule="exact"/>
        <w:rPr>
          <w:rFonts w:ascii="宋体" w:hAnsi="宋体"/>
          <w:b/>
          <w:color w:val="000000" w:themeColor="text1"/>
          <w:sz w:val="28"/>
          <w14:textFill>
            <w14:solidFill>
              <w14:schemeClr w14:val="tx1"/>
            </w14:solidFill>
          </w14:textFill>
        </w:rPr>
      </w:pPr>
      <w:bookmarkStart w:id="373" w:name="_Toc529196591"/>
      <w:bookmarkStart w:id="374" w:name="_Toc515205264"/>
      <w:r>
        <w:rPr>
          <w:rFonts w:ascii="宋体" w:hAnsi="宋体"/>
          <w:b/>
          <w:color w:val="000000" w:themeColor="text1"/>
          <w:sz w:val="28"/>
          <w14:textFill>
            <w14:solidFill>
              <w14:schemeClr w14:val="tx1"/>
            </w14:solidFill>
          </w14:textFill>
        </w:rPr>
        <w:t xml:space="preserve">3.4 </w:t>
      </w:r>
      <w:r>
        <w:rPr>
          <w:rFonts w:hint="eastAsia" w:ascii="宋体" w:hAnsi="宋体"/>
          <w:b/>
          <w:color w:val="000000" w:themeColor="text1"/>
          <w:sz w:val="28"/>
          <w14:textFill>
            <w14:solidFill>
              <w14:schemeClr w14:val="tx1"/>
            </w14:solidFill>
          </w14:textFill>
        </w:rPr>
        <w:t>评标结果</w:t>
      </w:r>
      <w:bookmarkEnd w:id="373"/>
      <w:bookmarkEnd w:id="374"/>
    </w:p>
    <w:p w14:paraId="0853BF98">
      <w:pPr>
        <w:spacing w:line="360" w:lineRule="exact"/>
        <w:ind w:firstLine="420" w:firstLineChars="200"/>
        <w:rPr>
          <w:rFonts w:ascii="宋体" w:hAns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3.4.1 </w:t>
      </w:r>
      <w:r>
        <w:rPr>
          <w:rFonts w:hint="eastAsia" w:ascii="宋体" w:hAnsi="宋体"/>
          <w:color w:val="000000" w:themeColor="text1"/>
          <w14:textFill>
            <w14:solidFill>
              <w14:schemeClr w14:val="tx1"/>
            </w14:solidFill>
          </w14:textFill>
        </w:rPr>
        <w:t>除第二章“投标人须知”前附表授权直接确定中标人外，评标委员会按照得分由高到低的顺序推荐中标候选人，并标明排序。</w:t>
      </w:r>
    </w:p>
    <w:p w14:paraId="0FE9ECFC">
      <w:pPr>
        <w:spacing w:line="360" w:lineRule="exact"/>
        <w:ind w:firstLine="482"/>
        <w:rPr>
          <w:rFonts w:ascii="宋体" w:hAnsi="宋体"/>
          <w:b/>
          <w:color w:val="000000" w:themeColor="text1"/>
          <w:sz w:val="30"/>
          <w:szCs w:val="30"/>
          <w14:textFill>
            <w14:solidFill>
              <w14:schemeClr w14:val="tx1"/>
            </w14:solidFill>
          </w14:textFill>
        </w:rPr>
      </w:pPr>
      <w:r>
        <w:rPr>
          <w:rFonts w:ascii="宋体" w:hAnsi="宋体"/>
          <w:color w:val="000000" w:themeColor="text1"/>
          <w14:textFill>
            <w14:solidFill>
              <w14:schemeClr w14:val="tx1"/>
            </w14:solidFill>
          </w14:textFill>
        </w:rPr>
        <w:t xml:space="preserve">3.4.2 </w:t>
      </w:r>
      <w:r>
        <w:rPr>
          <w:rFonts w:hint="eastAsia" w:ascii="宋体" w:hAnsi="宋体"/>
          <w:color w:val="000000" w:themeColor="text1"/>
          <w14:textFill>
            <w14:solidFill>
              <w14:schemeClr w14:val="tx1"/>
            </w14:solidFill>
          </w14:textFill>
        </w:rPr>
        <w:t>评标委员会完成评标后，应当向招标人提交书面评标报告和中标候选人名单。</w:t>
      </w:r>
    </w:p>
    <w:p w14:paraId="1C352CF5">
      <w:pPr>
        <w:pStyle w:val="5"/>
        <w:keepNext w:val="0"/>
        <w:keepLines w:val="0"/>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375" w:name="_Toc171430679"/>
      <w:r>
        <w:rPr>
          <w:rFonts w:hint="eastAsia" w:ascii="宋体" w:hAnsi="宋体"/>
          <w:color w:val="000000" w:themeColor="text1"/>
          <w14:textFill>
            <w14:solidFill>
              <w14:schemeClr w14:val="tx1"/>
            </w14:solidFill>
          </w14:textFill>
        </w:rPr>
        <w:t>第四章</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合同条款及格式</w:t>
      </w:r>
      <w:bookmarkEnd w:id="375"/>
    </w:p>
    <w:p w14:paraId="419FD3D8">
      <w:pPr>
        <w:wordWrap w:val="0"/>
        <w:spacing w:line="360" w:lineRule="auto"/>
        <w:jc w:val="right"/>
        <w:rPr>
          <w:rFonts w:hint="eastAsia" w:ascii="宋体" w:hAnsi="宋体" w:eastAsia="宋体" w:cs="宋体"/>
          <w:b/>
          <w:bCs/>
          <w:color w:val="auto"/>
          <w:sz w:val="30"/>
          <w:szCs w:val="30"/>
          <w:highlight w:val="none"/>
        </w:rPr>
      </w:pPr>
    </w:p>
    <w:p w14:paraId="49848A23">
      <w:pPr>
        <w:wordWrap w:val="0"/>
        <w:spacing w:line="360" w:lineRule="auto"/>
        <w:jc w:val="right"/>
        <w:rPr>
          <w:rFonts w:hint="eastAsia" w:ascii="宋体" w:hAnsi="宋体" w:eastAsia="宋体" w:cs="宋体"/>
          <w:b/>
          <w:bCs/>
          <w:color w:val="auto"/>
          <w:sz w:val="30"/>
          <w:szCs w:val="30"/>
          <w:highlight w:val="none"/>
        </w:rPr>
      </w:pPr>
    </w:p>
    <w:p w14:paraId="186D31E5">
      <w:pPr>
        <w:wordWrap w:val="0"/>
        <w:spacing w:line="360" w:lineRule="auto"/>
        <w:jc w:val="righ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合同编号：</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30"/>
          <w:szCs w:val="30"/>
          <w:highlight w:val="none"/>
        </w:rPr>
        <w:t xml:space="preserve">           </w:t>
      </w:r>
    </w:p>
    <w:p w14:paraId="4E1B2D03">
      <w:pPr>
        <w:spacing w:line="360" w:lineRule="auto"/>
        <w:jc w:val="center"/>
        <w:rPr>
          <w:rFonts w:hint="eastAsia" w:ascii="宋体" w:hAnsi="宋体" w:eastAsia="宋体" w:cs="宋体"/>
          <w:bCs/>
          <w:color w:val="auto"/>
          <w:sz w:val="52"/>
          <w:szCs w:val="52"/>
          <w:highlight w:val="none"/>
        </w:rPr>
      </w:pPr>
    </w:p>
    <w:p w14:paraId="5FA13F4F">
      <w:pPr>
        <w:spacing w:line="360" w:lineRule="auto"/>
        <w:jc w:val="center"/>
        <w:rPr>
          <w:rFonts w:hint="eastAsia" w:ascii="宋体" w:hAnsi="宋体" w:eastAsia="宋体" w:cs="宋体"/>
          <w:bCs/>
          <w:color w:val="auto"/>
          <w:sz w:val="52"/>
          <w:szCs w:val="52"/>
          <w:highlight w:val="none"/>
        </w:rPr>
      </w:pPr>
      <w:r>
        <w:rPr>
          <w:rFonts w:hint="eastAsia" w:ascii="宋体" w:hAnsi="宋体" w:eastAsia="宋体" w:cs="宋体"/>
          <w:bCs/>
          <w:color w:val="auto"/>
          <w:sz w:val="52"/>
          <w:szCs w:val="52"/>
          <w:highlight w:val="none"/>
        </w:rPr>
        <w:t>建设工程监理合同</w:t>
      </w:r>
    </w:p>
    <w:p w14:paraId="7169E835">
      <w:pPr>
        <w:spacing w:line="360" w:lineRule="auto"/>
        <w:jc w:val="center"/>
        <w:rPr>
          <w:rFonts w:hint="eastAsia" w:ascii="宋体" w:hAnsi="宋体" w:eastAsia="宋体" w:cs="宋体"/>
          <w:bCs/>
          <w:color w:val="auto"/>
          <w:sz w:val="52"/>
          <w:szCs w:val="52"/>
          <w:highlight w:val="none"/>
        </w:rPr>
      </w:pPr>
      <w:r>
        <w:rPr>
          <w:rFonts w:hint="eastAsia" w:ascii="宋体" w:hAnsi="宋体" w:cs="宋体"/>
          <w:b/>
          <w:bCs/>
          <w:color w:val="000000"/>
          <w:sz w:val="30"/>
          <w:highlight w:val="none"/>
        </w:rPr>
        <w:t>注：合同格式为合同的参考文本，合同签订双方可根据项目的具体要求进行修订。</w:t>
      </w:r>
    </w:p>
    <w:p w14:paraId="65D54186">
      <w:pPr>
        <w:spacing w:line="360" w:lineRule="auto"/>
        <w:jc w:val="center"/>
        <w:rPr>
          <w:rFonts w:hint="eastAsia" w:ascii="宋体" w:hAnsi="宋体" w:eastAsia="宋体" w:cs="宋体"/>
          <w:bCs/>
          <w:color w:val="auto"/>
          <w:sz w:val="48"/>
          <w:szCs w:val="48"/>
          <w:highlight w:val="none"/>
        </w:rPr>
      </w:pPr>
    </w:p>
    <w:p w14:paraId="4A64AEBB">
      <w:pPr>
        <w:spacing w:line="360" w:lineRule="auto"/>
        <w:jc w:val="center"/>
        <w:rPr>
          <w:rFonts w:hint="eastAsia" w:ascii="宋体" w:hAnsi="宋体" w:eastAsia="宋体" w:cs="宋体"/>
          <w:bCs/>
          <w:color w:val="auto"/>
          <w:sz w:val="48"/>
          <w:szCs w:val="48"/>
          <w:highlight w:val="none"/>
        </w:rPr>
      </w:pPr>
    </w:p>
    <w:p w14:paraId="067E1958">
      <w:pPr>
        <w:spacing w:line="360" w:lineRule="auto"/>
        <w:jc w:val="center"/>
        <w:rPr>
          <w:rFonts w:hint="eastAsia" w:ascii="宋体" w:hAnsi="宋体" w:eastAsia="宋体" w:cs="宋体"/>
          <w:b/>
          <w:bCs/>
          <w:color w:val="auto"/>
          <w:sz w:val="24"/>
          <w:highlight w:val="none"/>
        </w:rPr>
      </w:pPr>
    </w:p>
    <w:p w14:paraId="7217E5B0">
      <w:pPr>
        <w:spacing w:line="360" w:lineRule="auto"/>
        <w:jc w:val="center"/>
        <w:rPr>
          <w:rFonts w:hint="eastAsia" w:ascii="宋体" w:hAnsi="宋体" w:eastAsia="宋体" w:cs="宋体"/>
          <w:b/>
          <w:bCs/>
          <w:color w:val="auto"/>
          <w:sz w:val="24"/>
          <w:highlight w:val="none"/>
        </w:rPr>
      </w:pPr>
    </w:p>
    <w:p w14:paraId="1ABEA6F8">
      <w:pPr>
        <w:spacing w:line="360" w:lineRule="auto"/>
        <w:rPr>
          <w:rFonts w:hint="eastAsia" w:ascii="宋体" w:hAnsi="宋体" w:eastAsia="宋体" w:cs="宋体"/>
          <w:bCs/>
          <w:color w:val="auto"/>
          <w:sz w:val="24"/>
          <w:highlight w:val="none"/>
        </w:rPr>
      </w:pPr>
    </w:p>
    <w:p w14:paraId="20FE8622">
      <w:pPr>
        <w:spacing w:line="300" w:lineRule="auto"/>
        <w:jc w:val="center"/>
        <w:rPr>
          <w:rFonts w:hint="eastAsia" w:ascii="宋体" w:hAnsi="宋体" w:eastAsia="宋体" w:cs="宋体"/>
          <w:color w:val="auto"/>
          <w:highlight w:val="none"/>
        </w:rPr>
      </w:pPr>
      <w:r>
        <w:rPr>
          <w:rFonts w:hint="eastAsia" w:ascii="宋体" w:hAnsi="宋体" w:eastAsia="宋体" w:cs="宋体"/>
          <w:bCs/>
          <w:color w:val="auto"/>
          <w:sz w:val="32"/>
          <w:szCs w:val="32"/>
          <w:highlight w:val="none"/>
        </w:rPr>
        <w:t xml:space="preserve">  住房和城乡建设部</w:t>
      </w:r>
    </w:p>
    <w:p w14:paraId="77546FA1">
      <w:pPr>
        <w:spacing w:line="300" w:lineRule="auto"/>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32"/>
          <w:szCs w:val="32"/>
          <w:highlight w:val="none"/>
        </w:rPr>
        <w:t>制定</w:t>
      </w:r>
    </w:p>
    <w:p w14:paraId="5F8FE936">
      <w:pPr>
        <w:spacing w:line="300" w:lineRule="auto"/>
        <w:jc w:val="center"/>
        <w:rPr>
          <w:rFonts w:hint="eastAsia" w:ascii="宋体" w:hAnsi="宋体" w:eastAsia="宋体" w:cs="宋体"/>
          <w:color w:val="auto"/>
          <w:highlight w:val="none"/>
        </w:rPr>
      </w:pPr>
      <w:r>
        <w:rPr>
          <w:rFonts w:hint="eastAsia" w:ascii="宋体" w:hAnsi="宋体" w:eastAsia="宋体" w:cs="宋体"/>
          <w:bCs/>
          <w:color w:val="auto"/>
          <w:sz w:val="32"/>
          <w:szCs w:val="32"/>
          <w:highlight w:val="none"/>
        </w:rPr>
        <w:t xml:space="preserve">   国家工商行政管理总局</w:t>
      </w:r>
    </w:p>
    <w:p w14:paraId="0BA0ED86">
      <w:pPr>
        <w:spacing w:line="300" w:lineRule="auto"/>
        <w:jc w:val="center"/>
        <w:rPr>
          <w:rFonts w:hint="eastAsia" w:ascii="宋体" w:hAnsi="宋体" w:eastAsia="宋体" w:cs="宋体"/>
          <w:bCs/>
          <w:color w:val="auto"/>
          <w:sz w:val="24"/>
          <w:highlight w:val="none"/>
        </w:rPr>
      </w:pPr>
    </w:p>
    <w:p w14:paraId="35670B34">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EDBDAF0">
      <w:pPr>
        <w:spacing w:line="300" w:lineRule="auto"/>
        <w:jc w:val="center"/>
        <w:rPr>
          <w:rFonts w:hint="eastAsia" w:ascii="宋体" w:hAnsi="宋体" w:eastAsia="宋体" w:cs="宋体"/>
          <w:bCs/>
          <w:color w:val="auto"/>
          <w:sz w:val="24"/>
          <w:highlight w:val="none"/>
        </w:rPr>
      </w:pPr>
    </w:p>
    <w:p w14:paraId="56982476">
      <w:pPr>
        <w:spacing w:line="360" w:lineRule="auto"/>
        <w:jc w:val="center"/>
        <w:outlineLvl w:val="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第一部分  协议书</w:t>
      </w:r>
    </w:p>
    <w:p w14:paraId="5E408D38">
      <w:pPr>
        <w:adjustRightInd w:val="0"/>
        <w:snapToGrid w:val="0"/>
        <w:spacing w:line="360" w:lineRule="auto"/>
        <w:ind w:firstLine="703" w:firstLineChars="250"/>
        <w:rPr>
          <w:rFonts w:hint="eastAsia" w:ascii="宋体" w:hAnsi="宋体" w:eastAsia="宋体" w:cs="宋体"/>
          <w:b/>
          <w:color w:val="auto"/>
          <w:sz w:val="28"/>
          <w:szCs w:val="28"/>
          <w:highlight w:val="none"/>
        </w:rPr>
      </w:pPr>
    </w:p>
    <w:p w14:paraId="045C5B66">
      <w:pPr>
        <w:adjustRightInd w:val="0"/>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 xml:space="preserve">委托人（全称）： </w:t>
      </w:r>
      <w:r>
        <w:rPr>
          <w:rFonts w:hint="eastAsia" w:ascii="宋体" w:hAnsi="宋体" w:cs="宋体"/>
          <w:color w:val="auto"/>
          <w:sz w:val="24"/>
          <w:szCs w:val="24"/>
          <w:highlight w:val="none"/>
          <w:u w:val="single"/>
          <w:lang w:eastAsia="zh-CN"/>
        </w:rPr>
        <w:t>广东华南粮食交易中心有限公司</w:t>
      </w:r>
      <w:r>
        <w:rPr>
          <w:rFonts w:hint="eastAsia" w:ascii="宋体" w:hAnsi="宋体" w:eastAsia="宋体" w:cs="宋体"/>
          <w:b/>
          <w:color w:val="auto"/>
          <w:sz w:val="24"/>
          <w:szCs w:val="24"/>
          <w:highlight w:val="none"/>
          <w:u w:val="single"/>
        </w:rPr>
        <w:t xml:space="preserve"> </w:t>
      </w:r>
    </w:p>
    <w:p w14:paraId="22CB8660">
      <w:pPr>
        <w:adjustRightInd w:val="0"/>
        <w:snapToGrid w:val="0"/>
        <w:spacing w:line="360" w:lineRule="auto"/>
        <w:ind w:left="0" w:leftChars="0" w:firstLine="482"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b/>
          <w:color w:val="auto"/>
          <w:sz w:val="24"/>
          <w:szCs w:val="24"/>
          <w:highlight w:val="none"/>
        </w:rPr>
        <w:t>地址：</w:t>
      </w:r>
      <w:r>
        <w:rPr>
          <w:rFonts w:hint="eastAsia" w:ascii="宋体" w:hAnsi="宋体" w:cs="宋体"/>
          <w:color w:val="auto"/>
          <w:sz w:val="24"/>
          <w:szCs w:val="24"/>
          <w:highlight w:val="none"/>
          <w:u w:val="single"/>
          <w:lang w:eastAsia="zh-CN"/>
        </w:rPr>
        <w:t>广东省东莞市常平镇江霞南路6号</w:t>
      </w:r>
    </w:p>
    <w:p w14:paraId="42030C0E">
      <w:pPr>
        <w:adjustRightInd w:val="0"/>
        <w:snapToGrid w:val="0"/>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color w:val="auto"/>
          <w:sz w:val="24"/>
          <w:szCs w:val="24"/>
          <w:highlight w:val="none"/>
        </w:rPr>
        <w:t xml:space="preserve"> </w:t>
      </w:r>
    </w:p>
    <w:p w14:paraId="2BA37EBC">
      <w:pPr>
        <w:adjustRightInd w:val="0"/>
        <w:snapToGrid w:val="0"/>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监理人（全称）：</w:t>
      </w:r>
    </w:p>
    <w:p w14:paraId="67707210">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住所：</w:t>
      </w:r>
    </w:p>
    <w:p w14:paraId="71503C64">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color w:val="auto"/>
          <w:sz w:val="24"/>
          <w:szCs w:val="24"/>
          <w:highlight w:val="none"/>
        </w:rPr>
        <w:t xml:space="preserve"> </w:t>
      </w:r>
    </w:p>
    <w:p w14:paraId="1710F0C5">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根据《中华人民共和国民法典》、《中华人民共和国建筑法》及其他有关法律、法规，遵循平等、自愿、公平和诚信的原则，双方就下述工程委托监理与相关服务事项协商一致，订立本合同。</w:t>
      </w:r>
    </w:p>
    <w:p w14:paraId="2FD88B47">
      <w:pPr>
        <w:adjustRightInd w:val="0"/>
        <w:snapToGrid w:val="0"/>
        <w:spacing w:before="72" w:beforeLines="30" w:after="72" w:afterLines="3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一、工程概况</w:t>
      </w:r>
    </w:p>
    <w:p w14:paraId="5D5FFE22">
      <w:pPr>
        <w:adjustRightInd w:val="0"/>
        <w:snapToGrid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1.工程名称：</w:t>
      </w:r>
      <w:r>
        <w:rPr>
          <w:rFonts w:hint="eastAsia" w:ascii="宋体" w:hAnsi="宋体" w:cs="宋体"/>
          <w:color w:val="auto"/>
          <w:sz w:val="24"/>
          <w:szCs w:val="24"/>
          <w:highlight w:val="none"/>
          <w:u w:val="none"/>
          <w:lang w:eastAsia="zh-CN"/>
        </w:rPr>
        <w:t>广东华南粮食交易中心有限公司常平粮库三期工程</w:t>
      </w:r>
      <w:r>
        <w:rPr>
          <w:rFonts w:hint="eastAsia" w:ascii="宋体" w:hAnsi="宋体" w:eastAsia="宋体" w:cs="宋体"/>
          <w:color w:val="auto"/>
          <w:sz w:val="24"/>
          <w:szCs w:val="24"/>
          <w:highlight w:val="none"/>
          <w:u w:val="none"/>
        </w:rPr>
        <w:t xml:space="preserve"> ；</w:t>
      </w:r>
    </w:p>
    <w:p w14:paraId="7E8F9CFB">
      <w:pPr>
        <w:adjustRightInd w:val="0"/>
        <w:snapToGrid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2.工程地点：</w:t>
      </w:r>
      <w:r>
        <w:rPr>
          <w:rFonts w:hint="eastAsia" w:ascii="宋体" w:hAnsi="宋体" w:cs="宋体"/>
          <w:color w:val="auto"/>
          <w:sz w:val="24"/>
          <w:szCs w:val="24"/>
          <w:highlight w:val="none"/>
          <w:u w:val="none"/>
          <w:lang w:eastAsia="zh-CN"/>
        </w:rPr>
        <w:t>广东省东莞市常平镇江霞南路6号</w:t>
      </w:r>
      <w:r>
        <w:rPr>
          <w:rFonts w:hint="eastAsia" w:ascii="宋体" w:hAnsi="宋体" w:eastAsia="宋体" w:cs="宋体"/>
          <w:color w:val="auto"/>
          <w:sz w:val="24"/>
          <w:szCs w:val="24"/>
          <w:highlight w:val="none"/>
          <w:u w:val="none"/>
        </w:rPr>
        <w:t>；</w:t>
      </w:r>
    </w:p>
    <w:p w14:paraId="39B58755">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3.工程规模：</w:t>
      </w:r>
    </w:p>
    <w:p w14:paraId="6406C937">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扩建仓容20</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万吨，主要包括20</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万吨钢筋混凝土大直径筒仓。建筑面积约</w:t>
      </w:r>
      <w:r>
        <w:rPr>
          <w:rFonts w:hint="eastAsia" w:ascii="宋体" w:hAnsi="宋体" w:eastAsia="宋体" w:cs="宋体"/>
          <w:color w:val="auto"/>
          <w:sz w:val="24"/>
          <w:szCs w:val="24"/>
          <w:highlight w:val="none"/>
          <w:u w:val="none"/>
          <w:lang w:val="en-US" w:eastAsia="zh-CN"/>
        </w:rPr>
        <w:t>16380.12</w:t>
      </w:r>
      <w:r>
        <w:rPr>
          <w:rFonts w:hint="eastAsia" w:ascii="宋体" w:hAnsi="宋体" w:eastAsia="宋体" w:cs="宋体"/>
          <w:color w:val="auto"/>
          <w:sz w:val="24"/>
          <w:szCs w:val="24"/>
          <w:highlight w:val="none"/>
          <w:u w:val="none"/>
        </w:rPr>
        <w:t>平方米</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建筑占地面积7561.03平方米，</w:t>
      </w:r>
      <w:r>
        <w:rPr>
          <w:rFonts w:hint="eastAsia" w:ascii="宋体" w:hAnsi="宋体" w:eastAsia="宋体" w:cs="宋体"/>
          <w:color w:val="auto"/>
          <w:sz w:val="24"/>
          <w:szCs w:val="24"/>
          <w:highlight w:val="none"/>
          <w:u w:val="none"/>
        </w:rPr>
        <w:t>建筑高度</w:t>
      </w:r>
      <w:r>
        <w:rPr>
          <w:rFonts w:hint="eastAsia" w:ascii="宋体" w:hAnsi="宋体" w:eastAsia="宋体" w:cs="宋体"/>
          <w:color w:val="auto"/>
          <w:sz w:val="24"/>
          <w:szCs w:val="24"/>
          <w:highlight w:val="none"/>
          <w:u w:val="none"/>
          <w:lang w:val="en-US" w:eastAsia="zh-CN"/>
        </w:rPr>
        <w:t>57.9</w:t>
      </w:r>
      <w:r>
        <w:rPr>
          <w:rFonts w:hint="eastAsia" w:ascii="宋体" w:hAnsi="宋体" w:eastAsia="宋体" w:cs="宋体"/>
          <w:color w:val="auto"/>
          <w:sz w:val="24"/>
          <w:szCs w:val="24"/>
          <w:highlight w:val="none"/>
          <w:u w:val="none"/>
        </w:rPr>
        <w:t>米，建筑单体内径28米。包括建设20</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万吨钢筋混凝土大直径筒仓</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并配套提升塔、</w:t>
      </w:r>
      <w:r>
        <w:rPr>
          <w:rFonts w:hint="eastAsia" w:ascii="宋体" w:hAnsi="宋体" w:eastAsia="宋体" w:cs="宋体"/>
          <w:color w:val="auto"/>
          <w:sz w:val="24"/>
          <w:szCs w:val="24"/>
          <w:highlight w:val="none"/>
          <w:u w:val="none"/>
          <w:lang w:val="en-US" w:eastAsia="zh-CN"/>
        </w:rPr>
        <w:t>辅助用房、消防水罐等项目设施，工程项目估算费用约</w:t>
      </w:r>
      <w:r>
        <w:rPr>
          <w:rFonts w:hint="eastAsia" w:ascii="宋体" w:hAnsi="宋体" w:cs="宋体"/>
          <w:color w:val="auto"/>
          <w:sz w:val="24"/>
          <w:szCs w:val="24"/>
          <w:highlight w:val="none"/>
          <w:u w:val="none"/>
          <w:lang w:val="en-US" w:eastAsia="zh-CN"/>
        </w:rPr>
        <w:t>27000.35</w:t>
      </w:r>
      <w:r>
        <w:rPr>
          <w:rFonts w:hint="eastAsia" w:ascii="宋体" w:hAnsi="宋体" w:eastAsia="宋体" w:cs="宋体"/>
          <w:color w:val="auto"/>
          <w:sz w:val="24"/>
          <w:szCs w:val="24"/>
          <w:highlight w:val="none"/>
          <w:u w:val="none"/>
          <w:lang w:val="en-US" w:eastAsia="zh-CN"/>
        </w:rPr>
        <w:t>万元</w:t>
      </w:r>
      <w:r>
        <w:rPr>
          <w:rFonts w:hint="eastAsia" w:ascii="宋体" w:hAnsi="宋体" w:eastAsia="宋体" w:cs="宋体"/>
          <w:color w:val="auto"/>
          <w:sz w:val="24"/>
          <w:szCs w:val="24"/>
          <w:highlight w:val="none"/>
          <w:u w:val="none"/>
        </w:rPr>
        <w:t>。</w:t>
      </w:r>
    </w:p>
    <w:p w14:paraId="0840691C">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4.工程投资</w:t>
      </w:r>
      <w:r>
        <w:rPr>
          <w:rFonts w:hint="eastAsia" w:ascii="宋体" w:hAnsi="宋体" w:cs="宋体"/>
          <w:color w:val="auto"/>
          <w:sz w:val="24"/>
          <w:szCs w:val="24"/>
          <w:highlight w:val="none"/>
          <w:u w:val="none"/>
          <w:lang w:val="en-US" w:eastAsia="zh-CN"/>
        </w:rPr>
        <w:t>估算</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eastAsia="zh-CN"/>
        </w:rPr>
        <w:t>广东华南粮食交易中心有限公司常平粮库三期工程</w:t>
      </w:r>
      <w:r>
        <w:rPr>
          <w:rFonts w:hint="eastAsia" w:ascii="宋体" w:hAnsi="宋体" w:cs="宋体"/>
          <w:color w:val="auto"/>
          <w:sz w:val="24"/>
          <w:szCs w:val="24"/>
          <w:highlight w:val="none"/>
          <w:u w:val="none"/>
          <w:lang w:val="en-US" w:eastAsia="zh-CN"/>
        </w:rPr>
        <w:t>估</w:t>
      </w:r>
      <w:r>
        <w:rPr>
          <w:rFonts w:hint="eastAsia" w:ascii="宋体" w:hAnsi="宋体" w:eastAsia="宋体" w:cs="宋体"/>
          <w:color w:val="auto"/>
          <w:sz w:val="24"/>
          <w:szCs w:val="24"/>
          <w:highlight w:val="none"/>
          <w:u w:val="none"/>
          <w:lang w:val="en-US" w:eastAsia="zh-CN"/>
        </w:rPr>
        <w:t>算</w:t>
      </w:r>
      <w:r>
        <w:rPr>
          <w:rFonts w:hint="eastAsia" w:ascii="宋体" w:hAnsi="宋体" w:cs="宋体"/>
          <w:color w:val="auto"/>
          <w:sz w:val="24"/>
          <w:szCs w:val="24"/>
          <w:highlight w:val="none"/>
          <w:u w:val="none"/>
          <w:lang w:val="en-US" w:eastAsia="zh-CN"/>
        </w:rPr>
        <w:t>27000.35</w:t>
      </w:r>
      <w:r>
        <w:rPr>
          <w:rFonts w:hint="eastAsia" w:ascii="宋体" w:hAnsi="宋体" w:eastAsia="宋体" w:cs="宋体"/>
          <w:color w:val="auto"/>
          <w:sz w:val="24"/>
          <w:szCs w:val="24"/>
          <w:highlight w:val="none"/>
          <w:u w:val="none"/>
        </w:rPr>
        <w:t>万元。</w:t>
      </w:r>
    </w:p>
    <w:p w14:paraId="6C7ECBA6">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5.监理服务内容：</w:t>
      </w:r>
      <w:r>
        <w:rPr>
          <w:rFonts w:hint="eastAsia" w:ascii="宋体" w:hAnsi="宋体" w:cs="宋体"/>
          <w:color w:val="auto"/>
          <w:sz w:val="24"/>
          <w:szCs w:val="24"/>
          <w:highlight w:val="none"/>
          <w:u w:val="none"/>
          <w:lang w:eastAsia="zh-CN"/>
        </w:rPr>
        <w:t>广东华南粮食交易中心有限公司常平粮库三期工程</w:t>
      </w:r>
      <w:r>
        <w:rPr>
          <w:rFonts w:hint="eastAsia" w:ascii="宋体" w:hAnsi="宋体" w:eastAsia="宋体" w:cs="宋体"/>
          <w:color w:val="auto"/>
          <w:sz w:val="24"/>
          <w:szCs w:val="24"/>
          <w:highlight w:val="none"/>
          <w:u w:val="none"/>
        </w:rPr>
        <w:t>土建工程、MEC工程及后续零星工程等在该工程建设费用列支的项目</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不包含已招标的护坡建设相关工程</w:t>
      </w:r>
      <w:r>
        <w:rPr>
          <w:rFonts w:hint="eastAsia" w:ascii="宋体" w:hAnsi="宋体" w:eastAsia="宋体" w:cs="宋体"/>
          <w:color w:val="auto"/>
          <w:sz w:val="24"/>
          <w:szCs w:val="24"/>
          <w:highlight w:val="none"/>
          <w:u w:val="none"/>
        </w:rPr>
        <w:t>。</w:t>
      </w:r>
    </w:p>
    <w:p w14:paraId="6AD35C89">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cs="宋体"/>
          <w:sz w:val="24"/>
          <w:szCs w:val="24"/>
        </w:rPr>
        <w:t>监理范围包括但不限于土建施工、管网布置</w:t>
      </w:r>
      <w:r>
        <w:rPr>
          <w:rFonts w:hint="eastAsia" w:ascii="宋体" w:hAnsi="宋体" w:cs="宋体"/>
          <w:sz w:val="24"/>
          <w:szCs w:val="24"/>
          <w:lang w:eastAsia="zh-CN"/>
        </w:rPr>
        <w:t>、</w:t>
      </w:r>
      <w:r>
        <w:rPr>
          <w:rFonts w:hint="eastAsia" w:ascii="宋体" w:hAnsi="宋体" w:cs="宋体"/>
          <w:sz w:val="24"/>
          <w:szCs w:val="24"/>
        </w:rPr>
        <w:t>供电照明系统</w:t>
      </w:r>
      <w:r>
        <w:rPr>
          <w:rFonts w:hint="eastAsia" w:ascii="宋体" w:hAnsi="宋体" w:cs="宋体"/>
          <w:sz w:val="24"/>
          <w:szCs w:val="24"/>
          <w:lang w:eastAsia="zh-CN"/>
        </w:rPr>
        <w:t>、</w:t>
      </w:r>
      <w:r>
        <w:rPr>
          <w:rFonts w:hint="eastAsia" w:ascii="宋体" w:hAnsi="宋体" w:cs="宋体"/>
          <w:sz w:val="24"/>
          <w:szCs w:val="24"/>
        </w:rPr>
        <w:t>给排水系统</w:t>
      </w:r>
      <w:r>
        <w:rPr>
          <w:rFonts w:hint="eastAsia" w:ascii="宋体" w:hAnsi="宋体" w:cs="宋体"/>
          <w:sz w:val="24"/>
          <w:szCs w:val="24"/>
          <w:lang w:eastAsia="zh-CN"/>
        </w:rPr>
        <w:t>、</w:t>
      </w:r>
      <w:r>
        <w:rPr>
          <w:rFonts w:hint="eastAsia" w:ascii="宋体" w:hAnsi="宋体" w:cs="宋体"/>
          <w:sz w:val="24"/>
          <w:szCs w:val="24"/>
        </w:rPr>
        <w:t>安控系统</w:t>
      </w:r>
      <w:r>
        <w:rPr>
          <w:rFonts w:hint="eastAsia" w:ascii="宋体" w:hAnsi="宋体" w:cs="宋体"/>
          <w:sz w:val="24"/>
          <w:szCs w:val="24"/>
          <w:lang w:eastAsia="zh-CN"/>
        </w:rPr>
        <w:t>、</w:t>
      </w:r>
      <w:r>
        <w:rPr>
          <w:rFonts w:hint="eastAsia" w:ascii="宋体" w:hAnsi="宋体" w:cs="宋体"/>
          <w:sz w:val="24"/>
          <w:szCs w:val="24"/>
        </w:rPr>
        <w:t>道路交通</w:t>
      </w:r>
      <w:r>
        <w:rPr>
          <w:rFonts w:hint="eastAsia" w:ascii="宋体" w:hAnsi="宋体" w:cs="宋体"/>
          <w:sz w:val="24"/>
          <w:szCs w:val="24"/>
          <w:lang w:eastAsia="zh-CN"/>
        </w:rPr>
        <w:t>、</w:t>
      </w:r>
      <w:r>
        <w:rPr>
          <w:rFonts w:hint="eastAsia" w:ascii="宋体" w:hAnsi="宋体" w:cs="宋体"/>
          <w:sz w:val="24"/>
          <w:szCs w:val="24"/>
        </w:rPr>
        <w:t>环境保护</w:t>
      </w:r>
      <w:r>
        <w:rPr>
          <w:rFonts w:hint="eastAsia" w:ascii="宋体" w:hAnsi="宋体" w:cs="宋体"/>
          <w:sz w:val="24"/>
          <w:szCs w:val="24"/>
          <w:lang w:eastAsia="zh-CN"/>
        </w:rPr>
        <w:t>、</w:t>
      </w:r>
      <w:r>
        <w:rPr>
          <w:rFonts w:hint="eastAsia" w:ascii="宋体" w:hAnsi="宋体" w:cs="宋体"/>
          <w:sz w:val="24"/>
          <w:szCs w:val="24"/>
        </w:rPr>
        <w:t>总体消防</w:t>
      </w:r>
      <w:r>
        <w:rPr>
          <w:rFonts w:hint="eastAsia" w:ascii="宋体" w:hAnsi="宋体" w:cs="宋体"/>
          <w:sz w:val="24"/>
          <w:szCs w:val="24"/>
          <w:lang w:eastAsia="zh-CN"/>
        </w:rPr>
        <w:t>、</w:t>
      </w:r>
      <w:r>
        <w:rPr>
          <w:rFonts w:hint="eastAsia" w:ascii="宋体" w:hAnsi="宋体" w:cs="宋体"/>
          <w:sz w:val="24"/>
          <w:szCs w:val="24"/>
        </w:rPr>
        <w:t>总体绿化</w:t>
      </w:r>
      <w:r>
        <w:rPr>
          <w:rFonts w:hint="eastAsia" w:ascii="宋体" w:hAnsi="宋体" w:cs="宋体"/>
          <w:sz w:val="24"/>
          <w:szCs w:val="24"/>
          <w:lang w:eastAsia="zh-CN"/>
        </w:rPr>
        <w:t>、</w:t>
      </w:r>
      <w:r>
        <w:rPr>
          <w:rFonts w:hint="eastAsia" w:ascii="宋体" w:hAnsi="宋体" w:cs="宋体"/>
          <w:sz w:val="24"/>
          <w:szCs w:val="24"/>
          <w:lang w:val="en-US" w:eastAsia="zh-CN"/>
        </w:rPr>
        <w:t>电控系统、</w:t>
      </w:r>
      <w:r>
        <w:rPr>
          <w:rFonts w:hint="eastAsia" w:ascii="宋体" w:hAnsi="宋体" w:cs="宋体"/>
          <w:sz w:val="24"/>
          <w:szCs w:val="24"/>
        </w:rPr>
        <w:t>MEC</w:t>
      </w:r>
      <w:r>
        <w:rPr>
          <w:rFonts w:hint="eastAsia" w:ascii="宋体" w:hAnsi="宋体" w:cs="宋体"/>
          <w:sz w:val="24"/>
          <w:szCs w:val="24"/>
          <w:lang w:val="en-US" w:eastAsia="zh-CN"/>
        </w:rPr>
        <w:t>厂内监造及现场</w:t>
      </w:r>
      <w:r>
        <w:rPr>
          <w:rFonts w:hint="eastAsia" w:ascii="宋体" w:hAnsi="宋体" w:cs="宋体"/>
          <w:sz w:val="24"/>
          <w:szCs w:val="24"/>
        </w:rPr>
        <w:t>安装</w:t>
      </w:r>
      <w:r>
        <w:rPr>
          <w:rFonts w:hint="eastAsia" w:ascii="宋体" w:hAnsi="宋体" w:cs="宋体"/>
          <w:sz w:val="24"/>
          <w:szCs w:val="24"/>
          <w:lang w:val="en-US" w:eastAsia="zh-CN"/>
        </w:rPr>
        <w:t>、智能化系统建设</w:t>
      </w:r>
      <w:r>
        <w:rPr>
          <w:rFonts w:hint="eastAsia" w:ascii="宋体" w:hAnsi="宋体" w:cs="宋体"/>
          <w:sz w:val="24"/>
          <w:szCs w:val="24"/>
        </w:rPr>
        <w:t>及后续零星工程，</w:t>
      </w:r>
      <w:r>
        <w:rPr>
          <w:rFonts w:hint="eastAsia" w:ascii="宋体" w:hAnsi="宋体" w:cs="宋体"/>
          <w:sz w:val="24"/>
          <w:szCs w:val="24"/>
          <w:lang w:val="en-US" w:eastAsia="zh-CN"/>
        </w:rPr>
        <w:t>不包含已招标的护坡建设相关工程，</w:t>
      </w:r>
      <w:r>
        <w:rPr>
          <w:rFonts w:hint="eastAsia" w:ascii="宋体" w:hAnsi="宋体" w:cs="宋体"/>
          <w:sz w:val="24"/>
          <w:szCs w:val="24"/>
        </w:rPr>
        <w:t>含施工准备阶段、施工阶段、工程收尾阶段（包括：预验收、竣工验收及竣工验收资料移交城建档案、整改、工程移交及实物移交、审核工程结算、竣工备案等）及工程质量保修阶段全过程的质量、进度、费用控制、安全生产监督管理、合同、信息等方面的协调管理；设备、材料进场检查；组织协调、安全文明施工管理、组织各类验收；组织、审核竣工资料；对工程施工的投资、质量和工期采用科学的方法和手段进行控制；工程款拨付审核、工程变更和现场签证的审核与控制；协助招标人完成工程各阶段招标及合同谈判；协助招标人或其委托的工程各阶段中标人完成工程报建工作；在项目建设过程中就有关问题向招标人提出合理化建议；向招标人提交完整的监理档案资料；协助招标人参与工程的专项验收、竣工验收、工程结算、财务决算及交付使用；其他法律法规规章要求须由监理单位完成的工作和招标人安排的</w:t>
      </w:r>
      <w:r>
        <w:rPr>
          <w:rFonts w:hint="eastAsia" w:ascii="宋体" w:hAnsi="宋体" w:cs="宋体"/>
          <w:sz w:val="24"/>
          <w:szCs w:val="24"/>
          <w:lang w:eastAsia="zh-CN"/>
        </w:rPr>
        <w:t>属于</w:t>
      </w:r>
      <w:r>
        <w:rPr>
          <w:rFonts w:hint="eastAsia" w:ascii="宋体" w:hAnsi="宋体" w:cs="宋体"/>
          <w:sz w:val="24"/>
          <w:szCs w:val="24"/>
        </w:rPr>
        <w:t>监理工作范围的其他工作；各参建单位相关部门的协调；按委托人的要求提前进场参与开工前期的准备和筹划工作，协助委托人制定各参建方职责及有关事务性工作；委托人要求的与本项目相关的其他合理工作；及机电设备的检测工作。</w:t>
      </w:r>
      <w:r>
        <w:rPr>
          <w:rFonts w:hint="eastAsia" w:ascii="宋体" w:hAnsi="宋体" w:cs="宋体"/>
          <w:sz w:val="24"/>
          <w:szCs w:val="24"/>
          <w:highlight w:val="none"/>
        </w:rPr>
        <w:t>其中机电设备的检测工作包括但不限于以下内容</w:t>
      </w:r>
      <w:r>
        <w:rPr>
          <w:rFonts w:hint="eastAsia" w:ascii="宋体" w:hAnsi="宋体" w:eastAsia="宋体" w:cs="宋体"/>
          <w:color w:val="auto"/>
          <w:sz w:val="24"/>
          <w:szCs w:val="24"/>
          <w:highlight w:val="none"/>
          <w:u w:val="none"/>
        </w:rPr>
        <w:t>：</w:t>
      </w:r>
    </w:p>
    <w:p w14:paraId="42CA966B">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⑴输送及提升设备的头部驱动及平台振动检测，抽测比例为30%。</w:t>
      </w:r>
    </w:p>
    <w:p w14:paraId="740C6FDD">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⑵漆膜厚度检测，检测桁架及设备钢结构主体，比例为每米2个点。</w:t>
      </w:r>
    </w:p>
    <w:p w14:paraId="6DEBA97D">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⑶设备及电气器件运行温度，检测范围：电房开关、变压器，主要输送设备电机及减速机。</w:t>
      </w:r>
    </w:p>
    <w:p w14:paraId="1C1895BD">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⑷电缆绝缘检测，采取抽测形式，比例为30%。</w:t>
      </w:r>
    </w:p>
    <w:p w14:paraId="24FF51F2">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⑸设备接地情况检测，采取抽测形式，按照等电位接地点的30%。</w:t>
      </w:r>
    </w:p>
    <w:p w14:paraId="229441CC">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⑹输送设备运行达产情况判定。</w:t>
      </w:r>
    </w:p>
    <w:p w14:paraId="725E2FD3">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⑺输送设备安装定位及对中情况检测。</w:t>
      </w:r>
    </w:p>
    <w:p w14:paraId="006FE73B">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 服务期限：</w:t>
      </w:r>
    </w:p>
    <w:p w14:paraId="3C7F6CC9">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包括施工准备阶段、工程施工阶段、工程保修阶段的监理服务期：</w:t>
      </w:r>
    </w:p>
    <w:p w14:paraId="4F526188">
      <w:pPr>
        <w:adjustRightInd w:val="0"/>
        <w:snapToGrid w:val="0"/>
        <w:spacing w:line="360" w:lineRule="auto"/>
        <w:ind w:firstLine="480" w:firstLineChars="200"/>
        <w:jc w:val="left"/>
        <w:rPr>
          <w:rFonts w:hint="eastAsia" w:ascii="宋体" w:hAnsi="宋体" w:eastAsia="宋体" w:cs="宋体"/>
          <w:color w:val="auto"/>
          <w:sz w:val="24"/>
          <w:szCs w:val="24"/>
          <w:highlight w:val="yellow"/>
          <w:u w:val="none"/>
        </w:rPr>
      </w:pPr>
      <w:r>
        <w:rPr>
          <w:rFonts w:hint="eastAsia" w:ascii="宋体" w:hAnsi="宋体" w:eastAsia="宋体" w:cs="宋体"/>
          <w:color w:val="auto"/>
          <w:sz w:val="24"/>
          <w:szCs w:val="24"/>
          <w:highlight w:val="none"/>
          <w:u w:val="none"/>
        </w:rPr>
        <w:t>（1）施工准备阶段监理服务期：从中标通知书发放之日起至业主下达开工令或开工报告审批之日为止</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如存在下达开工令时间和开工报告审批之日，以开工报告审批之日为准</w:t>
      </w:r>
      <w:r>
        <w:rPr>
          <w:rFonts w:hint="eastAsia" w:ascii="宋体" w:hAnsi="宋体" w:eastAsia="宋体" w:cs="宋体"/>
          <w:color w:val="auto"/>
          <w:sz w:val="24"/>
          <w:szCs w:val="24"/>
          <w:highlight w:val="none"/>
          <w:u w:val="none"/>
        </w:rPr>
        <w:t>；</w:t>
      </w:r>
    </w:p>
    <w:p w14:paraId="5B7D0948">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（2）施工阶段监理服务期：从业主下达开工令或开工报告审批之日起至施工项目全部完工并办理竣工验收、竣工结算、备案管理，且本合同工程结算金额经政府部门审定之日止（其中：监理人员服务期</w:t>
      </w:r>
      <w:r>
        <w:rPr>
          <w:rFonts w:hint="eastAsia" w:ascii="宋体" w:hAnsi="宋体" w:cs="宋体"/>
          <w:color w:val="auto"/>
          <w:sz w:val="24"/>
          <w:szCs w:val="24"/>
          <w:highlight w:val="none"/>
          <w:u w:val="none"/>
          <w:lang w:val="en-US" w:eastAsia="zh-CN"/>
        </w:rPr>
        <w:t>约720天，现场服务</w:t>
      </w:r>
      <w:r>
        <w:rPr>
          <w:rFonts w:hint="eastAsia" w:ascii="宋体" w:hAnsi="宋体" w:eastAsia="宋体" w:cs="宋体"/>
          <w:color w:val="auto"/>
          <w:sz w:val="24"/>
          <w:szCs w:val="24"/>
          <w:highlight w:val="none"/>
          <w:u w:val="none"/>
        </w:rPr>
        <w:t>从工程开工至通过竣工预验收并移交装粮压仓为止</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w:t>
      </w:r>
    </w:p>
    <w:p w14:paraId="5B5B6CC5">
      <w:pPr>
        <w:adjustRightInd w:val="0"/>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（3）保修阶段（监理缺陷期）监理服务期：从工程竣工验收合格、备案管理完成</w:t>
      </w:r>
      <w:r>
        <w:rPr>
          <w:rFonts w:hint="eastAsia" w:ascii="宋体" w:hAnsi="宋体" w:cs="宋体"/>
          <w:color w:val="auto"/>
          <w:sz w:val="24"/>
          <w:szCs w:val="24"/>
          <w:highlight w:val="none"/>
          <w:u w:val="none"/>
          <w:lang w:eastAsia="zh-CN"/>
        </w:rPr>
        <w:t>之日起</w:t>
      </w:r>
      <w:r>
        <w:rPr>
          <w:rFonts w:hint="eastAsia" w:ascii="宋体" w:hAnsi="宋体" w:eastAsia="宋体" w:cs="宋体"/>
          <w:color w:val="auto"/>
          <w:sz w:val="24"/>
          <w:szCs w:val="24"/>
          <w:highlight w:val="none"/>
          <w:u w:val="none"/>
        </w:rPr>
        <w:t>完成保修期服务为止共两年。</w:t>
      </w:r>
    </w:p>
    <w:p w14:paraId="2525A06B">
      <w:pPr>
        <w:adjustRightInd w:val="0"/>
        <w:snapToGrid w:val="0"/>
        <w:spacing w:before="72" w:beforeLines="30" w:after="72" w:afterLines="3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二、词语限定</w:t>
      </w:r>
    </w:p>
    <w:p w14:paraId="2FBAFF3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协议书中相关词语的含义与通用条件中的定义与解释相同。</w:t>
      </w:r>
    </w:p>
    <w:p w14:paraId="6A5247BD">
      <w:pPr>
        <w:adjustRightInd w:val="0"/>
        <w:snapToGrid w:val="0"/>
        <w:spacing w:before="72" w:beforeLines="30" w:after="72" w:afterLines="3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三、组成本合同的文件</w:t>
      </w:r>
    </w:p>
    <w:p w14:paraId="30FCBB6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1.协议书；</w:t>
      </w:r>
    </w:p>
    <w:p w14:paraId="7082E55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专用条件及附录表；即：</w:t>
      </w:r>
    </w:p>
    <w:p w14:paraId="4FE00AA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附录A  相关服务的范围和内容</w:t>
      </w:r>
    </w:p>
    <w:p w14:paraId="3788DC9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附录B  委托人派遣的人员和提供的</w:t>
      </w:r>
      <w:r>
        <w:rPr>
          <w:rFonts w:hint="eastAsia" w:ascii="宋体" w:hAnsi="宋体" w:eastAsia="宋体" w:cs="宋体"/>
          <w:bCs/>
          <w:color w:val="auto"/>
          <w:sz w:val="24"/>
          <w:szCs w:val="24"/>
          <w:highlight w:val="none"/>
        </w:rPr>
        <w:t>房屋、资料</w:t>
      </w:r>
      <w:r>
        <w:rPr>
          <w:rFonts w:hint="eastAsia" w:ascii="宋体" w:hAnsi="宋体" w:eastAsia="宋体" w:cs="宋体"/>
          <w:color w:val="auto"/>
          <w:sz w:val="24"/>
          <w:szCs w:val="24"/>
          <w:highlight w:val="none"/>
        </w:rPr>
        <w:t>、设备</w:t>
      </w:r>
    </w:p>
    <w:p w14:paraId="381C518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通用条件； </w:t>
      </w:r>
    </w:p>
    <w:p w14:paraId="72E7DDC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中标通知书（适用于招标工程）或委托书（适用于非招标工程）；</w:t>
      </w:r>
    </w:p>
    <w:p w14:paraId="5FB3A3E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投标文件（适用于招标工程）或监理与相关服务建议书（适用于非招标工程）；</w:t>
      </w:r>
    </w:p>
    <w:p w14:paraId="5C51B01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本合同签订后，双方依法签订的补充协议也是本合同文件的组成部分。</w:t>
      </w:r>
    </w:p>
    <w:p w14:paraId="1B759675">
      <w:pPr>
        <w:adjustRightInd w:val="0"/>
        <w:snapToGrid w:val="0"/>
        <w:spacing w:before="72" w:beforeLines="30" w:after="72" w:afterLines="3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四、总监理工程师</w:t>
      </w:r>
    </w:p>
    <w:p w14:paraId="6BB15080">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总监理工程师姓名：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，注册号：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2B83EE1">
      <w:pPr>
        <w:adjustRightInd w:val="0"/>
        <w:snapToGrid w:val="0"/>
        <w:spacing w:before="72" w:beforeLines="30" w:after="72" w:afterLines="3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五、签约酬金</w:t>
      </w:r>
    </w:p>
    <w:p w14:paraId="1421319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签约酬金（大写）：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包括：</w:t>
      </w:r>
    </w:p>
    <w:p w14:paraId="1B575F9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1.监理酬金（大写）：</w:t>
      </w:r>
      <w:r>
        <w:rPr>
          <w:rFonts w:hint="eastAsia" w:ascii="宋体" w:hAnsi="宋体" w:eastAsia="宋体" w:cs="宋体"/>
          <w:color w:val="auto"/>
          <w:sz w:val="24"/>
          <w:szCs w:val="24"/>
          <w:highlight w:val="none"/>
          <w:u w:val="single"/>
        </w:rPr>
        <w:t xml:space="preserve">            元整  （¥  元）</w:t>
      </w:r>
    </w:p>
    <w:p w14:paraId="721D981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2.相关服务酬金（大写）：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w:t>
      </w:r>
    </w:p>
    <w:p w14:paraId="3C81F1F5">
      <w:pPr>
        <w:adjustRightInd w:val="0"/>
        <w:snapToGrid w:val="0"/>
        <w:spacing w:line="360" w:lineRule="auto"/>
        <w:ind w:firstLine="480" w:firstLineChars="200"/>
        <w:rPr>
          <w:rFonts w:hint="eastAsia" w:ascii="宋体" w:hAnsi="宋体" w:eastAsia="宋体" w:cs="宋体"/>
          <w:dstrike/>
          <w:color w:val="auto"/>
          <w:sz w:val="24"/>
          <w:szCs w:val="24"/>
          <w:highlight w:val="none"/>
          <w:u w:val="single"/>
        </w:rPr>
      </w:pPr>
      <w:r>
        <w:rPr>
          <w:rFonts w:hint="eastAsia" w:ascii="宋体" w:hAnsi="宋体" w:eastAsia="宋体" w:cs="宋体"/>
          <w:color w:val="auto"/>
          <w:kern w:val="0"/>
          <w:sz w:val="24"/>
          <w:szCs w:val="24"/>
          <w:highlight w:val="none"/>
        </w:rPr>
        <w:t>（1）勘察阶段服务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E8EBB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（2）设计阶段服务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p>
    <w:p w14:paraId="45FE62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（3）保修阶段服务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C369C06">
      <w:pPr>
        <w:adjustRightInd w:val="0"/>
        <w:snapToGrid w:val="0"/>
        <w:spacing w:before="72" w:beforeLines="30" w:after="72" w:afterLines="3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其他相关服务酬金：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E716111">
      <w:pPr>
        <w:adjustRightInd w:val="0"/>
        <w:snapToGrid w:val="0"/>
        <w:spacing w:before="72" w:beforeLines="30" w:after="72" w:afterLines="3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六、期限</w:t>
      </w:r>
    </w:p>
    <w:p w14:paraId="54E3A83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监理期限：</w:t>
      </w:r>
    </w:p>
    <w:p w14:paraId="1FFE845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日始，至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r>
        <w:rPr>
          <w:rFonts w:hint="eastAsia" w:ascii="宋体" w:hAnsi="宋体" w:eastAsia="宋体" w:cs="宋体"/>
          <w:color w:val="auto"/>
          <w:kern w:val="0"/>
          <w:sz w:val="24"/>
          <w:szCs w:val="24"/>
          <w:highlight w:val="none"/>
        </w:rPr>
        <w:t>保修阶段</w:t>
      </w:r>
      <w:r>
        <w:rPr>
          <w:rFonts w:hint="eastAsia" w:ascii="宋体" w:hAnsi="宋体" w:eastAsia="宋体" w:cs="宋体"/>
          <w:color w:val="auto"/>
          <w:sz w:val="24"/>
          <w:szCs w:val="24"/>
          <w:highlight w:val="none"/>
        </w:rPr>
        <w:t>服务期限自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日始，至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2AAF009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相关服务期限：</w:t>
      </w:r>
    </w:p>
    <w:p w14:paraId="1ECE0A2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（1）勘察阶段</w:t>
      </w:r>
      <w:r>
        <w:rPr>
          <w:rFonts w:hint="eastAsia" w:ascii="宋体" w:hAnsi="宋体" w:eastAsia="宋体" w:cs="宋体"/>
          <w:color w:val="auto"/>
          <w:sz w:val="24"/>
          <w:szCs w:val="24"/>
          <w:highlight w:val="none"/>
        </w:rPr>
        <w:t>服务期限自</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日始，至</w:t>
      </w:r>
      <w:r>
        <w:rPr>
          <w:rFonts w:hint="eastAsia" w:ascii="宋体" w:hAnsi="宋体" w:eastAsia="宋体" w:cs="宋体"/>
          <w:color w:val="auto"/>
          <w:sz w:val="24"/>
          <w:szCs w:val="24"/>
          <w:highlight w:val="none"/>
          <w:u w:val="single"/>
        </w:rPr>
        <w:t xml:space="preserve">      </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日止。</w:t>
      </w:r>
    </w:p>
    <w:p w14:paraId="5114EB5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（2）设计阶段</w:t>
      </w:r>
      <w:r>
        <w:rPr>
          <w:rFonts w:hint="eastAsia" w:ascii="宋体" w:hAnsi="宋体" w:eastAsia="宋体" w:cs="宋体"/>
          <w:color w:val="auto"/>
          <w:sz w:val="24"/>
          <w:szCs w:val="24"/>
          <w:highlight w:val="none"/>
        </w:rPr>
        <w:t>服务期限自</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日始，至</w:t>
      </w:r>
      <w:r>
        <w:rPr>
          <w:rFonts w:hint="eastAsia" w:ascii="宋体" w:hAnsi="宋体" w:eastAsia="宋体" w:cs="宋体"/>
          <w:color w:val="auto"/>
          <w:sz w:val="24"/>
          <w:szCs w:val="24"/>
          <w:highlight w:val="none"/>
          <w:u w:val="single"/>
        </w:rPr>
        <w:t xml:space="preserve">      </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日止。</w:t>
      </w:r>
    </w:p>
    <w:p w14:paraId="44345190">
      <w:pPr>
        <w:adjustRightInd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（3）保修阶段</w:t>
      </w:r>
      <w:r>
        <w:rPr>
          <w:rFonts w:hint="eastAsia" w:ascii="宋体" w:hAnsi="宋体" w:eastAsia="宋体" w:cs="宋体"/>
          <w:color w:val="auto"/>
          <w:sz w:val="24"/>
          <w:szCs w:val="24"/>
          <w:highlight w:val="none"/>
        </w:rPr>
        <w:t>服务期限自</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日始，至</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日止。</w:t>
      </w:r>
    </w:p>
    <w:p w14:paraId="39F1CC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其他相关服务期限自</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日始，至</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日止。</w:t>
      </w:r>
    </w:p>
    <w:p w14:paraId="4106A4AB">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七、双方承诺</w:t>
      </w:r>
    </w:p>
    <w:p w14:paraId="01131835">
      <w:pPr>
        <w:spacing w:line="5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监理人向委托人承诺，按照本合同约定提供监理与相关服务。</w:t>
      </w:r>
    </w:p>
    <w:p w14:paraId="79C37300">
      <w:pPr>
        <w:spacing w:line="5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委托人向监理人承诺，按照本合同约定派遣相应的人员，提供房屋、资料、设备，并按本合同约定支付酬金。</w:t>
      </w:r>
    </w:p>
    <w:p w14:paraId="1FA16667">
      <w:pPr>
        <w:adjustRightInd w:val="0"/>
        <w:snapToGrid w:val="0"/>
        <w:spacing w:before="72" w:beforeLines="30" w:after="72" w:afterLines="3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八、合同订立</w:t>
      </w:r>
    </w:p>
    <w:p w14:paraId="6DB90EB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F4705B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订立地点：</w:t>
      </w:r>
      <w:r>
        <w:rPr>
          <w:rFonts w:hint="eastAsia" w:ascii="宋体" w:hAnsi="宋体" w:cs="宋体"/>
          <w:color w:val="auto"/>
          <w:sz w:val="24"/>
          <w:szCs w:val="24"/>
          <w:highlight w:val="none"/>
          <w:u w:val="single"/>
          <w:lang w:val="en-US" w:eastAsia="zh-CN"/>
        </w:rPr>
        <w:t>广州市</w:t>
      </w:r>
      <w:r>
        <w:rPr>
          <w:rFonts w:hint="eastAsia" w:ascii="宋体" w:hAnsi="宋体" w:eastAsia="宋体" w:cs="宋体"/>
          <w:color w:val="auto"/>
          <w:sz w:val="24"/>
          <w:szCs w:val="24"/>
          <w:highlight w:val="none"/>
          <w:u w:val="single"/>
        </w:rPr>
        <w:t>。</w:t>
      </w:r>
    </w:p>
    <w:p w14:paraId="7E049210">
      <w:pPr>
        <w:adjustRightInd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本合同一式 </w:t>
      </w:r>
      <w:r>
        <w:rPr>
          <w:rFonts w:hint="eastAsia" w:ascii="宋体" w:hAnsi="宋体" w:eastAsia="宋体" w:cs="宋体"/>
          <w:color w:val="auto"/>
          <w:sz w:val="24"/>
          <w:szCs w:val="24"/>
          <w:highlight w:val="none"/>
          <w:u w:val="single"/>
        </w:rPr>
        <w:t xml:space="preserve"> 壹拾 </w:t>
      </w:r>
      <w:r>
        <w:rPr>
          <w:rFonts w:hint="eastAsia" w:ascii="宋体" w:hAnsi="宋体" w:eastAsia="宋体" w:cs="宋体"/>
          <w:color w:val="auto"/>
          <w:sz w:val="24"/>
          <w:szCs w:val="24"/>
          <w:highlight w:val="none"/>
        </w:rPr>
        <w:t>份，双方各执</w:t>
      </w:r>
      <w:r>
        <w:rPr>
          <w:rFonts w:hint="eastAsia" w:ascii="宋体" w:hAnsi="宋体" w:eastAsia="宋体" w:cs="宋体"/>
          <w:color w:val="auto"/>
          <w:sz w:val="24"/>
          <w:szCs w:val="24"/>
          <w:highlight w:val="none"/>
          <w:u w:val="single"/>
        </w:rPr>
        <w:t xml:space="preserve">  伍 </w:t>
      </w:r>
      <w:r>
        <w:rPr>
          <w:rFonts w:hint="eastAsia" w:ascii="宋体" w:hAnsi="宋体" w:eastAsia="宋体" w:cs="宋体"/>
          <w:color w:val="auto"/>
          <w:sz w:val="24"/>
          <w:szCs w:val="24"/>
          <w:highlight w:val="none"/>
        </w:rPr>
        <w:t>份，具有同等法律效力。</w:t>
      </w:r>
    </w:p>
    <w:p w14:paraId="45E52331">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56716769">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w:t>
      </w:r>
      <w:r>
        <w:rPr>
          <w:rFonts w:hint="eastAsia" w:ascii="宋体" w:hAnsi="宋体" w:eastAsia="宋体" w:cs="宋体"/>
          <w:color w:val="auto"/>
          <w:sz w:val="24"/>
          <w:szCs w:val="24"/>
          <w:highlight w:val="none"/>
          <w:u w:val="single"/>
        </w:rPr>
        <w:t xml:space="preserve">   （盖章）     </w:t>
      </w:r>
      <w:r>
        <w:rPr>
          <w:rFonts w:hint="eastAsia" w:ascii="宋体" w:hAnsi="宋体" w:eastAsia="宋体" w:cs="宋体"/>
          <w:color w:val="auto"/>
          <w:sz w:val="24"/>
          <w:szCs w:val="24"/>
          <w:highlight w:val="none"/>
        </w:rPr>
        <w:t xml:space="preserve">       监理人：</w:t>
      </w:r>
      <w:r>
        <w:rPr>
          <w:rFonts w:hint="eastAsia" w:ascii="宋体" w:hAnsi="宋体" w:eastAsia="宋体" w:cs="宋体"/>
          <w:color w:val="auto"/>
          <w:sz w:val="24"/>
          <w:szCs w:val="24"/>
          <w:highlight w:val="none"/>
          <w:u w:val="single"/>
        </w:rPr>
        <w:t xml:space="preserve">   （盖章）    </w:t>
      </w:r>
    </w:p>
    <w:p w14:paraId="02906361">
      <w:pPr>
        <w:adjustRightInd w:val="0"/>
        <w:snapToGrid w:val="0"/>
        <w:spacing w:line="5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r>
        <w:rPr>
          <w:rFonts w:hint="eastAsia" w:ascii="宋体" w:hAnsi="宋体" w:cs="宋体"/>
          <w:color w:val="auto"/>
          <w:sz w:val="24"/>
          <w:szCs w:val="24"/>
          <w:highlight w:val="none"/>
          <w:u w:val="single"/>
          <w:lang w:val="en-US" w:eastAsia="zh-CN"/>
        </w:rPr>
        <w:t>广州市天河区体育东路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住 所： </w:t>
      </w:r>
    </w:p>
    <w:p w14:paraId="361C3D51">
      <w:pPr>
        <w:adjustRightInd w:val="0"/>
        <w:snapToGrid w:val="0"/>
        <w:spacing w:line="540" w:lineRule="exact"/>
        <w:ind w:left="0" w:leftChars="0"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val="en-US" w:eastAsia="zh-CN"/>
        </w:rPr>
        <w:t>116号-118号财富广场西塔6楼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D3C4534">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3B1B6E17">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             法定代表人或其授权</w:t>
      </w:r>
    </w:p>
    <w:p w14:paraId="3FCD62C4">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rPr>
        <w:t xml:space="preserve">       的代理人：</w:t>
      </w:r>
      <w:r>
        <w:rPr>
          <w:rFonts w:hint="eastAsia" w:ascii="宋体" w:hAnsi="宋体" w:eastAsia="宋体" w:cs="宋体"/>
          <w:color w:val="auto"/>
          <w:sz w:val="24"/>
          <w:szCs w:val="24"/>
          <w:highlight w:val="none"/>
          <w:u w:val="single"/>
        </w:rPr>
        <w:t xml:space="preserve">（签字）         </w:t>
      </w:r>
    </w:p>
    <w:p w14:paraId="5AD20124">
      <w:pPr>
        <w:adjustRightInd w:val="0"/>
        <w:snapToGrid w:val="0"/>
        <w:spacing w:line="540" w:lineRule="exact"/>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p>
    <w:p w14:paraId="73A4B518">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14368FAB">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2140A866">
      <w:pPr>
        <w:spacing w:line="500" w:lineRule="exact"/>
        <w:ind w:firstLine="480" w:firstLineChars="200"/>
        <w:jc w:val="center"/>
        <w:rPr>
          <w:rFonts w:hint="eastAsia" w:ascii="宋体" w:hAnsi="宋体" w:eastAsia="宋体" w:cs="宋体"/>
          <w:color w:val="auto"/>
          <w:sz w:val="24"/>
          <w:szCs w:val="24"/>
          <w:highlight w:val="none"/>
        </w:rPr>
      </w:pPr>
    </w:p>
    <w:p w14:paraId="2C17D4AC">
      <w:pPr>
        <w:spacing w:line="500" w:lineRule="exact"/>
        <w:ind w:firstLine="480" w:firstLineChars="200"/>
        <w:jc w:val="center"/>
        <w:rPr>
          <w:rFonts w:hint="eastAsia" w:ascii="宋体" w:hAnsi="宋体" w:eastAsia="宋体" w:cs="宋体"/>
          <w:color w:val="auto"/>
          <w:sz w:val="24"/>
          <w:szCs w:val="24"/>
          <w:highlight w:val="none"/>
        </w:rPr>
      </w:pPr>
    </w:p>
    <w:p w14:paraId="0A612E02">
      <w:pPr>
        <w:spacing w:line="500" w:lineRule="exact"/>
        <w:ind w:firstLine="480" w:firstLineChars="200"/>
        <w:jc w:val="center"/>
        <w:outlineLvl w:val="1"/>
        <w:rPr>
          <w:rFonts w:hint="eastAsia" w:ascii="宋体" w:hAnsi="宋体" w:eastAsia="宋体" w:cs="宋体"/>
          <w:color w:val="auto"/>
          <w:sz w:val="24"/>
          <w:szCs w:val="24"/>
          <w:highlight w:val="none"/>
        </w:rPr>
      </w:pPr>
    </w:p>
    <w:p w14:paraId="15FE4F32">
      <w:pPr>
        <w:spacing w:line="500" w:lineRule="exact"/>
        <w:ind w:firstLine="480" w:firstLineChars="200"/>
        <w:jc w:val="center"/>
        <w:outlineLvl w:val="1"/>
        <w:rPr>
          <w:rFonts w:hint="eastAsia" w:ascii="宋体" w:hAnsi="宋体" w:eastAsia="宋体" w:cs="宋体"/>
          <w:color w:val="auto"/>
          <w:sz w:val="24"/>
          <w:szCs w:val="24"/>
          <w:highlight w:val="none"/>
        </w:rPr>
      </w:pPr>
    </w:p>
    <w:p w14:paraId="0424E1ED">
      <w:pPr>
        <w:spacing w:line="500" w:lineRule="exact"/>
        <w:ind w:firstLine="480" w:firstLineChars="200"/>
        <w:jc w:val="center"/>
        <w:outlineLvl w:val="1"/>
        <w:rPr>
          <w:rFonts w:hint="eastAsia" w:ascii="宋体" w:hAnsi="宋体" w:eastAsia="宋体" w:cs="宋体"/>
          <w:color w:val="auto"/>
          <w:sz w:val="24"/>
          <w:szCs w:val="24"/>
          <w:highlight w:val="none"/>
        </w:rPr>
      </w:pPr>
    </w:p>
    <w:p w14:paraId="4BAB47DB">
      <w:pPr>
        <w:spacing w:line="500" w:lineRule="exact"/>
        <w:ind w:firstLine="480" w:firstLineChars="200"/>
        <w:jc w:val="center"/>
        <w:outlineLvl w:val="1"/>
        <w:rPr>
          <w:rFonts w:hint="eastAsia" w:ascii="宋体" w:hAnsi="宋体" w:eastAsia="宋体" w:cs="宋体"/>
          <w:color w:val="auto"/>
          <w:sz w:val="24"/>
          <w:szCs w:val="24"/>
          <w:highlight w:val="none"/>
        </w:rPr>
      </w:pPr>
    </w:p>
    <w:p w14:paraId="152F683A">
      <w:pPr>
        <w:spacing w:line="500" w:lineRule="exact"/>
        <w:ind w:firstLine="480" w:firstLineChars="200"/>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通用条件</w:t>
      </w:r>
    </w:p>
    <w:p w14:paraId="57483B92">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定义与解释</w:t>
      </w:r>
    </w:p>
    <w:p w14:paraId="3EB9DE65">
      <w:pPr>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1.1 </w:t>
      </w:r>
      <w:r>
        <w:rPr>
          <w:rFonts w:hint="eastAsia" w:ascii="宋体" w:hAnsi="宋体" w:eastAsia="宋体" w:cs="宋体"/>
          <w:b/>
          <w:bCs/>
          <w:color w:val="auto"/>
          <w:sz w:val="24"/>
          <w:szCs w:val="24"/>
          <w:highlight w:val="none"/>
        </w:rPr>
        <w:t>定义</w:t>
      </w:r>
    </w:p>
    <w:p w14:paraId="041BA562">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除根据上下文另有其意义外，组成本合同的全部文件中的下列名词和用语应具有本款所赋予的含义：</w:t>
      </w:r>
    </w:p>
    <w:p w14:paraId="2F8CEF70">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“工程”是指按照本合同约定实施监理与相关服务的建设工程。</w:t>
      </w:r>
    </w:p>
    <w:p w14:paraId="03D52C1C">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“委托人”是指本合同中委托监理与相关服务的一方，及其合法的继承人或受让人。</w:t>
      </w:r>
    </w:p>
    <w:p w14:paraId="58E44221">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“监理人”是指本合同中提供监理与相关服务的一方，及其合法的继承人。</w:t>
      </w:r>
    </w:p>
    <w:p w14:paraId="6F613376">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“承包人”是指在工程范围内与委托人签订勘察、设计、施工等有关合同的当事人，及其合法的继承人。</w:t>
      </w:r>
    </w:p>
    <w:p w14:paraId="75674322">
      <w:pPr>
        <w:pStyle w:val="12"/>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监理”是指监理人受委托人的委托，依照法律法规、工程建设标准、勘察设计文件及合同，在施工阶段对建设工程质量、进度、造价进行控制，对合同、信息进行管理，对工程建设相关方关系进行协调，并履行建设工程安全生产管理法定职责的服务活动。</w:t>
      </w:r>
    </w:p>
    <w:p w14:paraId="18EE4C79">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“相关服务”是指监理人受委托人的委托 ，按照本合同约定，在勘察、设计、保修等阶段提供的服务活动。</w:t>
      </w:r>
    </w:p>
    <w:p w14:paraId="228555AF">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“正常工作”是指本合同订立时通用条件和专用条件中约定的监理人的工作。</w:t>
      </w:r>
    </w:p>
    <w:p w14:paraId="0A965ED3">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“附加工作”是指本合同约定的正常工作以外监理人的工作。</w:t>
      </w:r>
    </w:p>
    <w:p w14:paraId="1DF06528">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“项目监理机构”是指监理人派驻工程负责履行本合同的组织机构。</w:t>
      </w:r>
    </w:p>
    <w:p w14:paraId="75F2E3AF">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1.1.10 “总监理工程师”是指由监理人的法定代表人书面授权，全面负责履行本合同、主持项目监理机构工作的注册监理工程师。</w:t>
      </w:r>
    </w:p>
    <w:p w14:paraId="62B7DEA3">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“酬金”是指监理人履行本合同义务，委托人按照本合同约定给付监理人的金额。</w:t>
      </w:r>
    </w:p>
    <w:p w14:paraId="24E20DB6">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“正常工作</w:t>
      </w:r>
      <w:r>
        <w:rPr>
          <w:rFonts w:hint="eastAsia" w:ascii="宋体" w:hAnsi="宋体" w:eastAsia="宋体" w:cs="宋体"/>
          <w:color w:val="auto"/>
          <w:kern w:val="0"/>
          <w:sz w:val="24"/>
          <w:szCs w:val="24"/>
          <w:highlight w:val="none"/>
        </w:rPr>
        <w:t>酬金”</w:t>
      </w:r>
      <w:r>
        <w:rPr>
          <w:rFonts w:hint="eastAsia" w:ascii="宋体" w:hAnsi="宋体" w:eastAsia="宋体" w:cs="宋体"/>
          <w:color w:val="auto"/>
          <w:sz w:val="24"/>
          <w:szCs w:val="24"/>
          <w:highlight w:val="none"/>
        </w:rPr>
        <w:t>是指监理人完成正常工作，委托人应给付监理人并在协议书中载明的签约</w:t>
      </w:r>
      <w:r>
        <w:rPr>
          <w:rFonts w:hint="eastAsia" w:ascii="宋体" w:hAnsi="宋体" w:eastAsia="宋体" w:cs="宋体"/>
          <w:color w:val="auto"/>
          <w:kern w:val="0"/>
          <w:sz w:val="24"/>
          <w:szCs w:val="24"/>
          <w:highlight w:val="none"/>
        </w:rPr>
        <w:t>酬金额</w:t>
      </w:r>
      <w:r>
        <w:rPr>
          <w:rFonts w:hint="eastAsia" w:ascii="宋体" w:hAnsi="宋体" w:eastAsia="宋体" w:cs="宋体"/>
          <w:color w:val="auto"/>
          <w:sz w:val="24"/>
          <w:szCs w:val="24"/>
          <w:highlight w:val="none"/>
        </w:rPr>
        <w:t>。</w:t>
      </w:r>
    </w:p>
    <w:p w14:paraId="13B2BCBA">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“附加工作酬金”是指监理人完成附加工作，委托人应给付监理人的金额。</w:t>
      </w:r>
    </w:p>
    <w:p w14:paraId="1CEB03CD">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“一方”是指委托人或监理人；“双方”是指委托人和监理人；“第三方”是指除委托人和监理人以外的有关方。</w:t>
      </w:r>
    </w:p>
    <w:p w14:paraId="3A7ACB35">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1.1.15 “书面形式”是指合同书、信件和数据电文（包括电报、电传、传真、电子数据交换和电子邮件）等可以有形地表现所载内容的形式。</w:t>
      </w:r>
    </w:p>
    <w:p w14:paraId="17E73BD0">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1.1.16 “天”是指第一天零时至第二天零时的时间。</w:t>
      </w:r>
    </w:p>
    <w:p w14:paraId="5304AD5E">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 “月”是指按公历从一个月中任何一天开始的一个公历月时间。</w:t>
      </w:r>
    </w:p>
    <w:p w14:paraId="58382BEB">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713D9767">
      <w:pPr>
        <w:adjustRightInd w:val="0"/>
        <w:snapToGrid w:val="0"/>
        <w:spacing w:line="600" w:lineRule="atLeas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1.2 </w:t>
      </w:r>
      <w:r>
        <w:rPr>
          <w:rFonts w:hint="eastAsia" w:ascii="宋体" w:hAnsi="宋体" w:eastAsia="宋体" w:cs="宋体"/>
          <w:b/>
          <w:color w:val="auto"/>
          <w:sz w:val="24"/>
          <w:szCs w:val="24"/>
          <w:highlight w:val="none"/>
        </w:rPr>
        <w:t>解释</w:t>
      </w:r>
    </w:p>
    <w:p w14:paraId="0CA17C64">
      <w:pPr>
        <w:tabs>
          <w:tab w:val="left" w:pos="6140"/>
        </w:tabs>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1.2.1本合同使用中文书写、解释和说明。如专用条件约定使用两种及以上语言文字时，应以中文为准。</w:t>
      </w:r>
    </w:p>
    <w:p w14:paraId="07E67AA3">
      <w:pPr>
        <w:tabs>
          <w:tab w:val="left" w:pos="6140"/>
        </w:tabs>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组成本合同的下列文件彼此应能相互解释、互为说明。除专用条件另有约定外，本合同文件的解释顺序如下：</w:t>
      </w:r>
    </w:p>
    <w:p w14:paraId="1EB1695C">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（1）协议书；</w:t>
      </w:r>
    </w:p>
    <w:p w14:paraId="3DBE077A">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（2）专用条件及附录A、附录B； </w:t>
      </w:r>
    </w:p>
    <w:p w14:paraId="2698C9C9">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（3）通用条件；</w:t>
      </w:r>
    </w:p>
    <w:p w14:paraId="45A3863F">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（4）中标通知书（适用于招标工程）或委托书（适用于非招标工程）；</w:t>
      </w:r>
    </w:p>
    <w:p w14:paraId="19CEADD6">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（5）投标文件（适用于招标工程）或监理与相关服务建议书（适用于非招标工程）。</w:t>
      </w:r>
    </w:p>
    <w:p w14:paraId="459CA28E">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双方签订的补充协议与其他文件发生矛盾或歧义时，属于同一类内容的文件，应以最新签署的为准。</w:t>
      </w:r>
    </w:p>
    <w:p w14:paraId="29220A1B">
      <w:pPr>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监理人的义务</w:t>
      </w:r>
    </w:p>
    <w:p w14:paraId="6EDF26DC">
      <w:pPr>
        <w:adjustRightInd w:val="0"/>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2.1 监理的范围和工作内容</w:t>
      </w:r>
    </w:p>
    <w:p w14:paraId="54B649DF">
      <w:pPr>
        <w:adjustRightInd w:val="0"/>
        <w:snapToGrid w:val="0"/>
        <w:spacing w:line="600" w:lineRule="atLeas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监理范围在专用条件中约定。</w:t>
      </w:r>
    </w:p>
    <w:p w14:paraId="06DC2924">
      <w:pPr>
        <w:adjustRightInd w:val="0"/>
        <w:snapToGrid w:val="0"/>
        <w:spacing w:line="600" w:lineRule="atLeas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除专用条件另有约定外，监理工作内容包括：</w:t>
      </w:r>
    </w:p>
    <w:p w14:paraId="7566E41C">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（1）收到工程设计文件后编制监理规划，并在第一次工地会议7天前报委托人。根据有关规定和监理工作需要，编制监理实施细则；</w:t>
      </w:r>
    </w:p>
    <w:p w14:paraId="34A7C51C">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（2）熟悉工程设计文件，并参加由委托人主持的图纸会审和设计交底会议；</w:t>
      </w:r>
    </w:p>
    <w:p w14:paraId="51E78155">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（3）参加由委托人主持的第一次工地会议；组织并主持监理例会并根据工程需要主持或参加专题会议；</w:t>
      </w:r>
    </w:p>
    <w:p w14:paraId="3DB2C15A">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（4）审查施工承包人提交的施工组织设计，重点审查其中的质量安全技术措施、专项施工方案与工程建设强制性标准的符合性；</w:t>
      </w:r>
    </w:p>
    <w:p w14:paraId="1C147C43">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（5）检查施工承包人工程质量、安全生产管理制度及组织机构和人员资格； </w:t>
      </w:r>
    </w:p>
    <w:p w14:paraId="31D3E6A9">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（6）检查施工承包人专职安全生产管理人员的配备情况；</w:t>
      </w:r>
    </w:p>
    <w:p w14:paraId="42E5A50B">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（7）审查施工承包人提交的施工进度计划，核查承包人对施工进度计划的调整；</w:t>
      </w:r>
    </w:p>
    <w:p w14:paraId="64D1EF7E">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（8）检查施工承包人的试验室；</w:t>
      </w:r>
    </w:p>
    <w:p w14:paraId="21BCC242">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（9）审核施工分包人资质条件；</w:t>
      </w:r>
    </w:p>
    <w:p w14:paraId="3E13D1E6">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（10）查验施工承包人的施工测量放线成果；</w:t>
      </w:r>
    </w:p>
    <w:p w14:paraId="5A6AF42A">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（11）审查工程开工条件，对条件具备的签发开工令；</w:t>
      </w:r>
    </w:p>
    <w:p w14:paraId="4E23F8F6">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（12）审查施工承包人报送的工程材料、构配件、设备质量证明文件的有效性和符合性，并按规定对用于工程的材料采取平行检验或见证取样方式进行抽检；</w:t>
      </w:r>
    </w:p>
    <w:p w14:paraId="60E3AFBC">
      <w:pPr>
        <w:adjustRightInd w:val="0"/>
        <w:snapToGrid w:val="0"/>
        <w:spacing w:line="600" w:lineRule="atLeas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（13）审核施工承包人提交的工程款支付申请，签发或出具工程款支付证书，并报委托人审核、批准；</w:t>
      </w:r>
    </w:p>
    <w:p w14:paraId="18FB7375">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（14）在巡视、旁站和检验过程中，发现工程质量、施工安全存在事故隐患的，要求施工承包人整改并报委托人；发现重大质量安全隐患的，监理人需在2小时内报告委托人</w:t>
      </w:r>
    </w:p>
    <w:p w14:paraId="62575062">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（15）经委托人同意，签发工程暂停令和复工令；</w:t>
      </w:r>
    </w:p>
    <w:p w14:paraId="6FE6685B">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（16）审查施工承包人提交的采用新材料、新工艺、新技术、新设备的论证材料及相关验收标准；</w:t>
      </w:r>
    </w:p>
    <w:p w14:paraId="6691FAB9">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（17）验收隐蔽工程、分部分项工程；</w:t>
      </w:r>
    </w:p>
    <w:p w14:paraId="4A22D345">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（18）审查施工承包人提交的工程变更申请，协调处理施工进度调整、费用索赔、合同争议等事项；</w:t>
      </w:r>
    </w:p>
    <w:p w14:paraId="69CF408A">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（19）审查施工承包人提交的竣工验收申请，编写工程质量评估报告；</w:t>
      </w:r>
    </w:p>
    <w:p w14:paraId="7604FFCD">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（20）参加工程竣工验收，签署竣工验收意见；</w:t>
      </w:r>
    </w:p>
    <w:p w14:paraId="33A37B88">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（21）审查施工承包人提交的竣工结算申请并报委托人；</w:t>
      </w:r>
    </w:p>
    <w:p w14:paraId="4736EAA7">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（22）编制、整理工程监理归档文件并报委托人。</w:t>
      </w:r>
    </w:p>
    <w:p w14:paraId="6D7D720A">
      <w:pPr>
        <w:spacing w:line="600" w:lineRule="atLeas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相关服务的范围和内容在附录A中约定。</w:t>
      </w:r>
    </w:p>
    <w:p w14:paraId="62C8D518">
      <w:pPr>
        <w:spacing w:line="600" w:lineRule="atLeas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2.2 </w:t>
      </w:r>
      <w:r>
        <w:rPr>
          <w:rFonts w:hint="eastAsia" w:ascii="宋体" w:hAnsi="宋体" w:eastAsia="宋体" w:cs="宋体"/>
          <w:b/>
          <w:bCs/>
          <w:color w:val="auto"/>
          <w:sz w:val="24"/>
          <w:szCs w:val="24"/>
          <w:highlight w:val="none"/>
        </w:rPr>
        <w:t>监理与相关服务依据</w:t>
      </w:r>
    </w:p>
    <w:p w14:paraId="1C4DE845">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监理依据包括：</w:t>
      </w:r>
    </w:p>
    <w:p w14:paraId="30235D17">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（1）适用的法律、行政法规及部门规章；</w:t>
      </w:r>
    </w:p>
    <w:p w14:paraId="283EEDB6">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（2）与工程有关的标准；</w:t>
      </w:r>
    </w:p>
    <w:p w14:paraId="5B23A458">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（3）工程设计及有关文件；</w:t>
      </w:r>
    </w:p>
    <w:p w14:paraId="2E5165B8">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（4）本合同及委托人与第三方签订的与实施工程有关的其他合同。</w:t>
      </w:r>
    </w:p>
    <w:p w14:paraId="4BB278BB">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双方根据工程的行业和地域特点，在专用条件中具体约定监理依据。</w:t>
      </w:r>
    </w:p>
    <w:p w14:paraId="49775590">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相关服务依据在专用条件中约定。</w:t>
      </w:r>
    </w:p>
    <w:p w14:paraId="48F6C6D5">
      <w:pPr>
        <w:spacing w:line="60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项目监理机构和人员</w:t>
      </w:r>
    </w:p>
    <w:p w14:paraId="3FE635FF">
      <w:pPr>
        <w:adjustRightInd w:val="0"/>
        <w:snapToGrid w:val="0"/>
        <w:spacing w:line="600" w:lineRule="atLeas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2.3.1 监理人应组建满足工作需要的项目监理机构，配备必要的检测设备。项目监理机构的主要人员应具有</w:t>
      </w:r>
      <w:r>
        <w:rPr>
          <w:rFonts w:hint="eastAsia" w:ascii="宋体" w:hAnsi="宋体" w:eastAsia="宋体" w:cs="宋体"/>
          <w:kern w:val="0"/>
          <w:sz w:val="24"/>
          <w:szCs w:val="24"/>
          <w:lang w:val="en-US" w:eastAsia="zh-CN"/>
        </w:rPr>
        <w:t>履行本合同义务</w:t>
      </w:r>
      <w:r>
        <w:rPr>
          <w:rFonts w:hint="eastAsia" w:ascii="宋体" w:hAnsi="宋体" w:eastAsia="宋体" w:cs="宋体"/>
          <w:color w:val="auto"/>
          <w:kern w:val="0"/>
          <w:sz w:val="24"/>
          <w:szCs w:val="24"/>
          <w:highlight w:val="none"/>
        </w:rPr>
        <w:t>相应的资格条件。</w:t>
      </w:r>
      <w:r>
        <w:rPr>
          <w:rFonts w:hint="eastAsia" w:ascii="宋体" w:hAnsi="宋体" w:cs="宋体"/>
          <w:color w:val="auto"/>
          <w:kern w:val="0"/>
          <w:sz w:val="24"/>
          <w:szCs w:val="24"/>
          <w:highlight w:val="none"/>
          <w:lang w:val="en-US" w:eastAsia="zh-CN"/>
        </w:rPr>
        <w:t>且</w:t>
      </w:r>
      <w:r>
        <w:rPr>
          <w:rFonts w:hint="eastAsia" w:ascii="宋体" w:hAnsi="宋体" w:eastAsia="宋体" w:cs="宋体"/>
          <w:color w:val="auto"/>
          <w:kern w:val="0"/>
          <w:sz w:val="24"/>
          <w:szCs w:val="24"/>
          <w:highlight w:val="none"/>
        </w:rPr>
        <w:t>监理机构人员配置表需作为本合同附件，明确人员姓名、岗位、资质、驻场时间</w:t>
      </w:r>
      <w:r>
        <w:rPr>
          <w:rFonts w:hint="eastAsia" w:ascii="宋体" w:hAnsi="宋体" w:cs="宋体"/>
          <w:color w:val="auto"/>
          <w:kern w:val="0"/>
          <w:sz w:val="24"/>
          <w:szCs w:val="24"/>
          <w:highlight w:val="none"/>
          <w:lang w:eastAsia="zh-CN"/>
        </w:rPr>
        <w:t>。</w:t>
      </w:r>
    </w:p>
    <w:p w14:paraId="39069D19">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2.3.2本合同履行过程中，总监理工程师及重要岗位监理人员应保持相对稳定，以保证监理工作正常进行。</w:t>
      </w:r>
    </w:p>
    <w:p w14:paraId="55616B5A">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w:t>
      </w:r>
      <w:r>
        <w:rPr>
          <w:rFonts w:hint="eastAsia" w:ascii="宋体" w:hAnsi="宋体" w:eastAsia="宋体" w:cs="宋体"/>
          <w:kern w:val="0"/>
          <w:sz w:val="24"/>
          <w:szCs w:val="24"/>
          <w:lang w:eastAsia="zh-CN"/>
        </w:rPr>
        <w:t>经委托人确认，且监理人应</w:t>
      </w:r>
      <w:r>
        <w:rPr>
          <w:rFonts w:hint="eastAsia" w:ascii="宋体" w:hAnsi="宋体" w:eastAsia="宋体" w:cs="宋体"/>
          <w:kern w:val="0"/>
          <w:sz w:val="24"/>
          <w:szCs w:val="24"/>
          <w:lang w:val="en-US" w:eastAsia="zh-CN"/>
        </w:rPr>
        <w:t>提前</w:t>
      </w:r>
      <w:r>
        <w:rPr>
          <w:rFonts w:hint="eastAsia" w:ascii="宋体" w:hAnsi="宋体" w:eastAsia="宋体" w:cs="宋体"/>
          <w:color w:val="auto"/>
          <w:kern w:val="0"/>
          <w:sz w:val="24"/>
          <w:szCs w:val="24"/>
          <w:highlight w:val="none"/>
        </w:rPr>
        <w:t>通知委托人。</w:t>
      </w:r>
    </w:p>
    <w:p w14:paraId="1D72C9C9">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 监理人应及时更换有下列情形之一的监理人员：</w:t>
      </w:r>
    </w:p>
    <w:p w14:paraId="5CD8E4C3">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（1）严重过失行为的；</w:t>
      </w:r>
    </w:p>
    <w:p w14:paraId="75AC2063">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（2）有违法行为不能履行职责的；</w:t>
      </w:r>
    </w:p>
    <w:p w14:paraId="7B5603A1">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（3）涉嫌犯罪的；</w:t>
      </w:r>
    </w:p>
    <w:p w14:paraId="42F1A558">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（4）不能胜任岗位职责的；</w:t>
      </w:r>
    </w:p>
    <w:p w14:paraId="14556DD4">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（5）严重违反职业道德的；</w:t>
      </w:r>
    </w:p>
    <w:p w14:paraId="2A17ECA2">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（6）专用条件约定的其他情形。</w:t>
      </w:r>
    </w:p>
    <w:p w14:paraId="3740EA6E">
      <w:pPr>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2.3.5 委托人可要求监理人更换不能胜任本职工作的项目监理机构人员。</w:t>
      </w:r>
    </w:p>
    <w:p w14:paraId="2AC10AE4">
      <w:pPr>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2.4 履行职责</w:t>
      </w:r>
    </w:p>
    <w:p w14:paraId="30FAC144">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监理人应遵循职业道德准则和行为规范，严格按照法律法规、工程建设有关标准及本合同履行职责。</w:t>
      </w:r>
    </w:p>
    <w:p w14:paraId="28DB6864">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58AE6473">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2.4.2 当委托人与承包人之间的合同争议提交专用条件中约定仲裁机构仲裁</w:t>
      </w:r>
      <w:r>
        <w:rPr>
          <w:rFonts w:hint="eastAsia" w:ascii="宋体" w:hAnsi="宋体" w:cs="宋体"/>
          <w:color w:val="auto"/>
          <w:kern w:val="0"/>
          <w:sz w:val="24"/>
          <w:szCs w:val="24"/>
          <w:highlight w:val="none"/>
          <w:lang w:val="en-US" w:eastAsia="zh-CN"/>
        </w:rPr>
        <w:t>或诉讼</w:t>
      </w:r>
      <w:r>
        <w:rPr>
          <w:rFonts w:hint="eastAsia" w:ascii="宋体" w:hAnsi="宋体" w:eastAsia="宋体" w:cs="宋体"/>
          <w:color w:val="auto"/>
          <w:kern w:val="0"/>
          <w:sz w:val="24"/>
          <w:szCs w:val="24"/>
          <w:highlight w:val="none"/>
        </w:rPr>
        <w:t>时，监理人应提供必要的证明资料。</w:t>
      </w:r>
    </w:p>
    <w:p w14:paraId="54FD2823">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 监理人应在专用条件约定的授权范围内，提议变更委托人与承包人所签订合同的相关条款，并以书面形式报委托人批准。</w:t>
      </w:r>
    </w:p>
    <w:p w14:paraId="0F475A45">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在紧急情况下，为了保护财产和人身安全，监理人所发出的指令未能事先报委托人批准时，应在发出指令后的24小时内以书面形式报委托人。</w:t>
      </w:r>
    </w:p>
    <w:p w14:paraId="108E136A">
      <w:pPr>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 除专用条件另有约定外，监理人发现承包人的人员不能胜任本职工作的，有权要求承包人予以调换。</w:t>
      </w:r>
    </w:p>
    <w:p w14:paraId="1D51BBC8">
      <w:pPr>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2.5 提交报告</w:t>
      </w:r>
    </w:p>
    <w:p w14:paraId="3BB19371">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监理人应按专用条件约定的种类、时间和份数向委托人提交监理与相关服务的报告。</w:t>
      </w:r>
    </w:p>
    <w:p w14:paraId="7B6CAAD5">
      <w:pPr>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2.6 文件资料</w:t>
      </w:r>
    </w:p>
    <w:p w14:paraId="436F55E9">
      <w:pPr>
        <w:spacing w:line="60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在本合同履行期内，监理人应在现场保留工作所用的图纸、报告及记录监理工</w:t>
      </w:r>
      <w:r>
        <w:rPr>
          <w:rFonts w:hint="eastAsia" w:ascii="宋体" w:hAnsi="宋体" w:eastAsia="宋体" w:cs="宋体"/>
          <w:color w:val="auto"/>
          <w:sz w:val="24"/>
          <w:szCs w:val="24"/>
          <w:highlight w:val="none"/>
        </w:rPr>
        <w:t>作的相关文件。工程竣工后，应当按照档案管理规定将监理有关文件归档。监理文件归档需经委托人及城建档案管理部门验收合格，验收不合格的，监理人需无偿整改</w:t>
      </w:r>
      <w:r>
        <w:rPr>
          <w:rFonts w:hint="eastAsia" w:ascii="宋体" w:hAnsi="宋体" w:cs="宋体"/>
          <w:color w:val="auto"/>
          <w:sz w:val="24"/>
          <w:szCs w:val="24"/>
          <w:highlight w:val="none"/>
          <w:lang w:eastAsia="zh-CN"/>
        </w:rPr>
        <w:t>。</w:t>
      </w:r>
    </w:p>
    <w:p w14:paraId="00407CEC">
      <w:pPr>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2.7 使用委托人的财产</w:t>
      </w:r>
    </w:p>
    <w:p w14:paraId="0460392C">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若因监理人保管不善导致房屋、设备损坏的，监理人需承担维修或赔偿责任</w:t>
      </w:r>
    </w:p>
    <w:p w14:paraId="66AACD14">
      <w:pPr>
        <w:spacing w:line="600" w:lineRule="atLeast"/>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eastAsia="zh-CN"/>
        </w:rPr>
        <w:t>3.</w:t>
      </w:r>
      <w:r>
        <w:rPr>
          <w:rFonts w:hint="eastAsia" w:ascii="宋体" w:hAnsi="宋体" w:eastAsia="宋体" w:cs="宋体"/>
          <w:b/>
          <w:color w:val="auto"/>
          <w:kern w:val="0"/>
          <w:sz w:val="24"/>
          <w:szCs w:val="24"/>
          <w:highlight w:val="none"/>
        </w:rPr>
        <w:t>委托人的义务</w:t>
      </w:r>
    </w:p>
    <w:p w14:paraId="7D901022">
      <w:pPr>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3.1 告知</w:t>
      </w:r>
    </w:p>
    <w:p w14:paraId="44412AFB">
      <w:pPr>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委托人应在委托人与承包人签订的合同中明确监理人、总监理工程师和授予项目监理机构的权限。如有变更，应及时通知承包人。</w:t>
      </w:r>
    </w:p>
    <w:p w14:paraId="2ABBB5F1">
      <w:pPr>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3.2 提供资料</w:t>
      </w:r>
    </w:p>
    <w:p w14:paraId="4AB5DC35">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委托人应按照附录B约定，无偿向监理人提供工程有关的资料。</w:t>
      </w:r>
      <w:r>
        <w:rPr>
          <w:rFonts w:hint="eastAsia" w:ascii="宋体" w:hAnsi="宋体" w:eastAsia="宋体" w:cs="宋体"/>
          <w:color w:val="auto"/>
          <w:sz w:val="24"/>
          <w:szCs w:val="24"/>
          <w:highlight w:val="none"/>
        </w:rPr>
        <w:t>在本合同履行过程中，委托人应及时向监理人提供最新的与工程有关的资料。</w:t>
      </w:r>
    </w:p>
    <w:p w14:paraId="5E9C2A93">
      <w:pPr>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3.3 提供工作条件</w:t>
      </w:r>
    </w:p>
    <w:p w14:paraId="10317208">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委托人应为监理人完成监理与相关服务提供必要的条件。</w:t>
      </w:r>
    </w:p>
    <w:p w14:paraId="6272F911">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3.3.1 </w:t>
      </w:r>
      <w:r>
        <w:rPr>
          <w:rFonts w:hint="eastAsia" w:ascii="宋体" w:hAnsi="宋体" w:eastAsia="宋体" w:cs="宋体"/>
          <w:color w:val="auto"/>
          <w:sz w:val="24"/>
          <w:szCs w:val="24"/>
          <w:highlight w:val="none"/>
        </w:rPr>
        <w:t>委托人应按照附录B约定，派遣相应的人员，提供房屋、设备，供监理人</w:t>
      </w:r>
      <w:r>
        <w:rPr>
          <w:rFonts w:hint="eastAsia" w:ascii="宋体" w:hAnsi="宋体" w:eastAsia="宋体" w:cs="宋体"/>
          <w:color w:val="auto"/>
          <w:kern w:val="0"/>
          <w:sz w:val="24"/>
          <w:szCs w:val="24"/>
          <w:highlight w:val="none"/>
        </w:rPr>
        <w:t>无偿</w:t>
      </w:r>
      <w:r>
        <w:rPr>
          <w:rFonts w:hint="eastAsia" w:ascii="宋体" w:hAnsi="宋体" w:eastAsia="宋体" w:cs="宋体"/>
          <w:color w:val="auto"/>
          <w:sz w:val="24"/>
          <w:szCs w:val="24"/>
          <w:highlight w:val="none"/>
        </w:rPr>
        <w:t>使用。</w:t>
      </w:r>
    </w:p>
    <w:p w14:paraId="48B8C726">
      <w:pPr>
        <w:snapToGrid w:val="0"/>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3.4 委托人代表</w:t>
      </w:r>
    </w:p>
    <w:p w14:paraId="366272A6">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5AFB1567">
      <w:pPr>
        <w:snapToGrid w:val="0"/>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3.5 委托人意见或要求</w:t>
      </w:r>
    </w:p>
    <w:p w14:paraId="6DA6C311">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在本合同约定的监理与相关服务工作范围内，委托人对承包人的任何意见或要求应通知监理人，由监理人向承包人发出相应指令。</w:t>
      </w:r>
    </w:p>
    <w:p w14:paraId="4A143E76">
      <w:pPr>
        <w:snapToGrid w:val="0"/>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3.6 答复</w:t>
      </w:r>
    </w:p>
    <w:p w14:paraId="34E0ACED">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委托人应在专用条件约定的时间内，对监理人以书面形式提交并要求作出决定的事宜，给予书面答复。逾期未答复的，视为委托人认可。</w:t>
      </w:r>
    </w:p>
    <w:p w14:paraId="2E630441">
      <w:pPr>
        <w:snapToGrid w:val="0"/>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 支付</w:t>
      </w:r>
    </w:p>
    <w:p w14:paraId="5AB8EB44">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委托人应按本合同约定，向监理人支付酬金。</w:t>
      </w:r>
    </w:p>
    <w:p w14:paraId="67887119">
      <w:pPr>
        <w:snapToGrid w:val="0"/>
        <w:spacing w:line="600" w:lineRule="atLeas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违约责任</w:t>
      </w:r>
    </w:p>
    <w:p w14:paraId="12BBC6FF">
      <w:pPr>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4.1 监理人的违约责任</w:t>
      </w:r>
    </w:p>
    <w:p w14:paraId="3CF92999">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监理人未履行本合同义务的，应承担相应的责任。</w:t>
      </w:r>
    </w:p>
    <w:p w14:paraId="3ABE5B5C">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因监理人违反本合同约定</w:t>
      </w:r>
      <w:r>
        <w:rPr>
          <w:rFonts w:hint="eastAsia" w:ascii="宋体" w:hAnsi="宋体" w:eastAsia="宋体" w:cs="宋体"/>
          <w:color w:val="auto"/>
          <w:sz w:val="24"/>
          <w:szCs w:val="24"/>
          <w:highlight w:val="none"/>
        </w:rPr>
        <w:t>给委托人造成损失的，监理人应当赔偿委托人损失</w:t>
      </w:r>
      <w:r>
        <w:rPr>
          <w:rFonts w:hint="eastAsia" w:ascii="宋体" w:hAnsi="宋体" w:eastAsia="宋体" w:cs="宋体"/>
          <w:color w:val="auto"/>
          <w:kern w:val="0"/>
          <w:sz w:val="24"/>
          <w:szCs w:val="24"/>
          <w:highlight w:val="none"/>
        </w:rPr>
        <w:t>。赔偿金额的确定方法在专用条件中约定。监理人承担部分赔偿责任的，其承担赔偿金额由双方协商确定。若监理人故意隐瞒工程质量问题或与承包人串通损害委托人利益，除赔偿损失外，还需支付合同总价</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0%的违约金</w:t>
      </w:r>
    </w:p>
    <w:p w14:paraId="1E649F46">
      <w:pPr>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监理人向委托人的索赔不成立时，监理人应赔偿委托人由此发生的费用。</w:t>
      </w:r>
    </w:p>
    <w:p w14:paraId="2E0B4496">
      <w:pPr>
        <w:snapToGrid w:val="0"/>
        <w:spacing w:line="60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4.2 委托人的违约责任</w:t>
      </w:r>
    </w:p>
    <w:p w14:paraId="36F8B766">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委托人未履行本合同义务的，应承担相应的责任。</w:t>
      </w:r>
    </w:p>
    <w:p w14:paraId="6F3B0ECB">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4.2.1 委托人违反本合同约定造成监理人损失的，委托人应予以赔偿。</w:t>
      </w:r>
    </w:p>
    <w:p w14:paraId="034FC675">
      <w:pPr>
        <w:spacing w:line="600" w:lineRule="atLeas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委托人</w:t>
      </w:r>
      <w:r>
        <w:rPr>
          <w:rFonts w:hint="eastAsia" w:ascii="宋体" w:hAnsi="宋体" w:eastAsia="宋体" w:cs="宋体"/>
          <w:color w:val="auto"/>
          <w:kern w:val="0"/>
          <w:sz w:val="24"/>
          <w:szCs w:val="24"/>
          <w:highlight w:val="none"/>
          <w:lang w:val="en-US" w:eastAsia="zh-CN"/>
        </w:rPr>
        <w:t>无故</w:t>
      </w:r>
      <w:r>
        <w:rPr>
          <w:rFonts w:hint="eastAsia" w:ascii="宋体" w:hAnsi="宋体" w:eastAsia="宋体" w:cs="宋体"/>
          <w:color w:val="auto"/>
          <w:kern w:val="0"/>
          <w:sz w:val="24"/>
          <w:szCs w:val="24"/>
          <w:highlight w:val="none"/>
        </w:rPr>
        <w:t>未能按期支付</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超过28天，应按专用条件约定支付逾期付款利息。逾期付款期间，监理人有权暂停部分非关键工作，但不得影响工程质量和安全</w:t>
      </w:r>
      <w:r>
        <w:rPr>
          <w:rFonts w:hint="eastAsia" w:ascii="宋体" w:hAnsi="宋体" w:cs="宋体"/>
          <w:color w:val="auto"/>
          <w:kern w:val="0"/>
          <w:sz w:val="24"/>
          <w:szCs w:val="24"/>
          <w:highlight w:val="none"/>
          <w:lang w:eastAsia="zh-CN"/>
        </w:rPr>
        <w:t>。</w:t>
      </w:r>
    </w:p>
    <w:p w14:paraId="20401A9E">
      <w:pPr>
        <w:spacing w:line="60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4.3 除外责任</w:t>
      </w:r>
    </w:p>
    <w:p w14:paraId="7EEABD56">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因非监理人的原因，且监理人无过错，发生工程质量事故、安全事故、工期延误等造成的损失，监理人不承担赔偿责任。</w:t>
      </w:r>
    </w:p>
    <w:p w14:paraId="319F0167">
      <w:pPr>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因不可抗力导致本合同全部或部分不能履行时，双方各自</w:t>
      </w:r>
      <w:r>
        <w:rPr>
          <w:rFonts w:hint="eastAsia" w:ascii="宋体" w:hAnsi="宋体" w:cs="宋体"/>
          <w:color w:val="auto"/>
          <w:kern w:val="0"/>
          <w:sz w:val="24"/>
          <w:szCs w:val="24"/>
          <w:highlight w:val="none"/>
          <w:lang w:eastAsia="zh-CN"/>
        </w:rPr>
        <w:t>承担</w:t>
      </w:r>
      <w:r>
        <w:rPr>
          <w:rFonts w:hint="eastAsia" w:ascii="宋体" w:hAnsi="宋体" w:eastAsia="宋体" w:cs="宋体"/>
          <w:color w:val="auto"/>
          <w:kern w:val="0"/>
          <w:sz w:val="24"/>
          <w:szCs w:val="24"/>
          <w:highlight w:val="none"/>
        </w:rPr>
        <w:t>因此而造成的损失、损害。不可抗力结束后，双方应在7日内协商恢复履行合同的事宜，监理人需在10日内恢复监理工作</w:t>
      </w:r>
    </w:p>
    <w:p w14:paraId="657EB848">
      <w:pPr>
        <w:snapToGrid w:val="0"/>
        <w:spacing w:line="600" w:lineRule="atLeas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支付</w:t>
      </w:r>
    </w:p>
    <w:p w14:paraId="6F7CC558">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5.1 </w:t>
      </w:r>
      <w:r>
        <w:rPr>
          <w:rFonts w:hint="eastAsia" w:ascii="宋体" w:hAnsi="宋体" w:eastAsia="宋体" w:cs="宋体"/>
          <w:b/>
          <w:bCs/>
          <w:color w:val="auto"/>
          <w:sz w:val="24"/>
          <w:szCs w:val="24"/>
          <w:highlight w:val="none"/>
        </w:rPr>
        <w:t>支付货币</w:t>
      </w:r>
    </w:p>
    <w:p w14:paraId="3ED617F5">
      <w:pPr>
        <w:snapToGrid w:val="0"/>
        <w:spacing w:line="60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除专用条件另有约定外，酬金均以人民币支付。涉及外币支付的，所采用的货币种类、比例和汇率在专用条件中约定。</w:t>
      </w:r>
    </w:p>
    <w:p w14:paraId="4F8B6A9F">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5.2 支付申请</w:t>
      </w:r>
    </w:p>
    <w:p w14:paraId="787D4D85">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在本合同约定的每次应付款时间的7天前，向委托人提交支付申请书。支付申请书应当说明当期应付款总额，并列出当期应支付的款项及其金额。支付申请书需附相关证明材料，如验收报告、进度报表等，材料不全的，委托人有权要求补充，付款时间相应顺延</w:t>
      </w:r>
    </w:p>
    <w:p w14:paraId="1AE54653">
      <w:pPr>
        <w:snapToGrid w:val="0"/>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支付酬金</w:t>
      </w:r>
    </w:p>
    <w:p w14:paraId="4D88B829">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支付的酬金包括正常工作酬金、附加工作酬金、合理化建议奖励金额及经委托人确认的其他合理费用。</w:t>
      </w:r>
    </w:p>
    <w:p w14:paraId="2CE3C87C">
      <w:pPr>
        <w:snapToGrid w:val="0"/>
        <w:spacing w:line="600" w:lineRule="atLeas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5.4 </w:t>
      </w:r>
      <w:r>
        <w:rPr>
          <w:rFonts w:hint="eastAsia" w:ascii="宋体" w:hAnsi="宋体" w:eastAsia="宋体" w:cs="宋体"/>
          <w:b/>
          <w:bCs/>
          <w:color w:val="auto"/>
          <w:sz w:val="24"/>
          <w:szCs w:val="24"/>
          <w:highlight w:val="none"/>
        </w:rPr>
        <w:t>有争议部分的付款</w:t>
      </w:r>
    </w:p>
    <w:p w14:paraId="2DBEC696">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委托人对监理人提交的支付申请书有异议时，应当在收到监理人提交的支付申请书后7天内，以书面形式向监理人发出异议通知。无异议部分的款项应按期支付，有异议部分的款项按通用条件第7条约定办理。</w:t>
      </w:r>
    </w:p>
    <w:p w14:paraId="063906D7">
      <w:pPr>
        <w:snapToGrid w:val="0"/>
        <w:spacing w:line="600" w:lineRule="atLeas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 合同生效、变更、暂停、解除与终止</w:t>
      </w:r>
    </w:p>
    <w:p w14:paraId="26C98775">
      <w:pPr>
        <w:spacing w:line="600" w:lineRule="atLeast"/>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6.1生效</w:t>
      </w:r>
    </w:p>
    <w:p w14:paraId="2C013B36">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除法律另有规定或者专用条件另有约定外，委托人和监理人的法定代表人或其授权代理人在协议书上签字并盖单位章后本合同生效。</w:t>
      </w:r>
    </w:p>
    <w:p w14:paraId="36855394">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6.2</w:t>
      </w:r>
      <w:r>
        <w:rPr>
          <w:rFonts w:hint="eastAsia" w:ascii="宋体" w:hAnsi="宋体" w:eastAsia="宋体" w:cs="宋体"/>
          <w:b/>
          <w:bCs/>
          <w:color w:val="auto"/>
          <w:sz w:val="24"/>
          <w:szCs w:val="24"/>
          <w:highlight w:val="none"/>
        </w:rPr>
        <w:t>变更</w:t>
      </w:r>
    </w:p>
    <w:p w14:paraId="612EA099">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任何一方提出变更请求时，双方经协商一致后可进行变更。</w:t>
      </w:r>
    </w:p>
    <w:p w14:paraId="1DFFE25E">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DE5B45D">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1ECBBCB4">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14:paraId="0610B0E7">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因非监理人原因造成工程概算投资额或建筑安装工程费增加时，正常工作酬金应作相应调整。调整方法在专用条件中约定。</w:t>
      </w:r>
    </w:p>
    <w:p w14:paraId="2298411D">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 因工程规模、监理范围的变化导致监理人的正常工作量减少时，正常工作酬金应作相应调整。调整方法在专用条件中约定。</w:t>
      </w:r>
    </w:p>
    <w:p w14:paraId="41160BA6">
      <w:pPr>
        <w:snapToGrid w:val="0"/>
        <w:spacing w:line="600" w:lineRule="atLeas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6.3 暂停与</w:t>
      </w:r>
      <w:r>
        <w:rPr>
          <w:rFonts w:hint="eastAsia" w:ascii="宋体" w:hAnsi="宋体" w:eastAsia="宋体" w:cs="宋体"/>
          <w:b/>
          <w:bCs/>
          <w:color w:val="auto"/>
          <w:sz w:val="24"/>
          <w:szCs w:val="24"/>
          <w:highlight w:val="none"/>
        </w:rPr>
        <w:t>解除</w:t>
      </w:r>
    </w:p>
    <w:p w14:paraId="209F8040">
      <w:pPr>
        <w:adjustRightInd w:val="0"/>
        <w:snapToGrid w:val="0"/>
        <w:spacing w:line="600" w:lineRule="atLeast"/>
        <w:ind w:firstLine="480" w:firstLineChars="200"/>
        <w:rPr>
          <w:rFonts w:hint="default"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r>
        <w:rPr>
          <w:rFonts w:hint="eastAsia" w:ascii="宋体" w:hAnsi="宋体" w:eastAsia="宋体" w:cs="宋体"/>
          <w:color w:val="auto"/>
          <w:sz w:val="24"/>
          <w:szCs w:val="24"/>
          <w:highlight w:val="none"/>
          <w:lang w:val="en-US" w:eastAsia="zh-CN"/>
        </w:rPr>
        <w:t>双方互不追究违约责任。</w:t>
      </w:r>
    </w:p>
    <w:p w14:paraId="68EB8DEA">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解除本合同的协议必须采取书面形式，协议未达成之前，本合同仍然有效。</w:t>
      </w:r>
    </w:p>
    <w:p w14:paraId="41DAEC01">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在本合同有效期内，因非监理人的原因导致工程施工全部或部分暂停，监理人应立即通知委托人，委托人在知悉上述情况后可通知监理人要求暂停全部或部分工作。监理人应立即安排停止工作，并将开支减至最小。除不可抗力外，由此导致监理人遭受的损失应由委托人予以补偿。</w:t>
      </w:r>
    </w:p>
    <w:p w14:paraId="46D6A828">
      <w:pPr>
        <w:adjustRightInd w:val="0"/>
        <w:snapToGrid w:val="0"/>
        <w:spacing w:line="60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酬金支付至本合同解除日，且应承担第4.2款约定的责任。工程暂停期间，监理人需每月提交现场保护及情况报告</w:t>
      </w:r>
      <w:r>
        <w:rPr>
          <w:rFonts w:hint="eastAsia" w:ascii="宋体" w:hAnsi="宋体" w:cs="宋体"/>
          <w:color w:val="auto"/>
          <w:sz w:val="24"/>
          <w:szCs w:val="24"/>
          <w:highlight w:val="none"/>
          <w:lang w:eastAsia="zh-CN"/>
        </w:rPr>
        <w:t>。</w:t>
      </w:r>
    </w:p>
    <w:p w14:paraId="68833A63">
      <w:pPr>
        <w:adjustRightInd w:val="0"/>
        <w:snapToGrid w:val="0"/>
        <w:spacing w:line="60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酬金支付至</w:t>
      </w:r>
      <w:r>
        <w:rPr>
          <w:rFonts w:hint="eastAsia" w:ascii="宋体" w:hAnsi="宋体" w:eastAsia="宋体" w:cs="宋体"/>
          <w:color w:val="auto"/>
          <w:kern w:val="0"/>
          <w:sz w:val="24"/>
          <w:szCs w:val="24"/>
          <w:highlight w:val="none"/>
        </w:rPr>
        <w:t>限期改正通知到达监理人之日</w:t>
      </w:r>
      <w:r>
        <w:rPr>
          <w:rFonts w:hint="eastAsia" w:ascii="宋体" w:hAnsi="宋体" w:eastAsia="宋体" w:cs="宋体"/>
          <w:color w:val="auto"/>
          <w:sz w:val="24"/>
          <w:szCs w:val="24"/>
          <w:highlight w:val="none"/>
        </w:rPr>
        <w:t>，但监理人应承担第4.1款约定的责任。监理人无正当理由停工超过3天（含）的，视为无正当理由未履行义务</w:t>
      </w:r>
      <w:r>
        <w:rPr>
          <w:rFonts w:hint="eastAsia" w:ascii="宋体" w:hAnsi="宋体" w:cs="宋体"/>
          <w:color w:val="auto"/>
          <w:sz w:val="24"/>
          <w:szCs w:val="24"/>
          <w:highlight w:val="none"/>
          <w:lang w:eastAsia="zh-CN"/>
        </w:rPr>
        <w:t>。</w:t>
      </w:r>
    </w:p>
    <w:p w14:paraId="39DBADBD">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92FB36C">
      <w:pPr>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6.3.5 因不可抗力致使本合同部分或全部不能履行时，一方应立即通知另一方，可暂停或解除本合同。</w:t>
      </w:r>
    </w:p>
    <w:p w14:paraId="3596F427">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6.3.6 本合同解除后，本合同约定的有关结算、清理、争议解决方式的条件仍然有效。</w:t>
      </w:r>
    </w:p>
    <w:p w14:paraId="0763F79F">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6.4 </w:t>
      </w:r>
      <w:r>
        <w:rPr>
          <w:rFonts w:hint="eastAsia" w:ascii="宋体" w:hAnsi="宋体" w:eastAsia="宋体" w:cs="宋体"/>
          <w:b/>
          <w:bCs/>
          <w:color w:val="auto"/>
          <w:sz w:val="24"/>
          <w:szCs w:val="24"/>
          <w:highlight w:val="none"/>
        </w:rPr>
        <w:t>终止</w:t>
      </w:r>
    </w:p>
    <w:p w14:paraId="3A607BDB">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若1、2条件全部满足，合同权利义务履行完毕，自然终止；3条件满足，为合同解除。属于终止的两种情形，不应为全部满足，才成立终止</w:t>
      </w:r>
      <w:r>
        <w:rPr>
          <w:rFonts w:hint="eastAsia" w:ascii="宋体" w:hAnsi="宋体" w:eastAsia="宋体" w:cs="宋体"/>
          <w:color w:val="auto"/>
          <w:sz w:val="24"/>
          <w:szCs w:val="24"/>
          <w:highlight w:val="none"/>
        </w:rPr>
        <w:t>：</w:t>
      </w:r>
    </w:p>
    <w:p w14:paraId="3FD7A03A">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（1）监理人完成本合同约定的全部工作；</w:t>
      </w:r>
    </w:p>
    <w:p w14:paraId="5C2FFA9D">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（2）委托人与监理人结清并支付全部酬金；</w:t>
      </w:r>
    </w:p>
    <w:p w14:paraId="4ED4A938">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（3）本合同依法或依本协议解除。</w:t>
      </w:r>
    </w:p>
    <w:p w14:paraId="210F6B02">
      <w:pPr>
        <w:snapToGrid w:val="0"/>
        <w:spacing w:line="600" w:lineRule="atLeas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争议解决</w:t>
      </w:r>
    </w:p>
    <w:p w14:paraId="60B8969B">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7.1</w:t>
      </w:r>
      <w:r>
        <w:rPr>
          <w:rFonts w:hint="eastAsia" w:ascii="宋体" w:hAnsi="宋体" w:eastAsia="宋体" w:cs="宋体"/>
          <w:b/>
          <w:bCs/>
          <w:color w:val="auto"/>
          <w:sz w:val="24"/>
          <w:szCs w:val="24"/>
          <w:highlight w:val="none"/>
        </w:rPr>
        <w:t>协商</w:t>
      </w:r>
    </w:p>
    <w:p w14:paraId="34209368">
      <w:pPr>
        <w:snapToGrid w:val="0"/>
        <w:spacing w:line="60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双方应本着诚信原则协商解决彼此间的争议。</w:t>
      </w:r>
    </w:p>
    <w:p w14:paraId="27F47A37">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7.2</w:t>
      </w:r>
      <w:r>
        <w:rPr>
          <w:rFonts w:hint="eastAsia" w:ascii="宋体" w:hAnsi="宋体" w:eastAsia="宋体" w:cs="宋体"/>
          <w:b/>
          <w:bCs/>
          <w:color w:val="auto"/>
          <w:sz w:val="24"/>
          <w:szCs w:val="24"/>
          <w:highlight w:val="none"/>
        </w:rPr>
        <w:t>调解</w:t>
      </w:r>
    </w:p>
    <w:p w14:paraId="5AE7FA64">
      <w:pPr>
        <w:snapToGrid w:val="0"/>
        <w:spacing w:line="600" w:lineRule="atLeas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如果双方不能在14天内或双方商定的其他时间内解决本合同争议，可以将其提交给专用条件约定的或事后达成协议的调解人进行调解。调解费用由提出调解一方先行垫付，最终由责任方承担</w:t>
      </w:r>
      <w:r>
        <w:rPr>
          <w:rFonts w:hint="eastAsia" w:ascii="宋体" w:hAnsi="宋体" w:cs="宋体"/>
          <w:color w:val="auto"/>
          <w:sz w:val="24"/>
          <w:szCs w:val="24"/>
          <w:highlight w:val="none"/>
          <w:lang w:eastAsia="zh-CN"/>
        </w:rPr>
        <w:t>。</w:t>
      </w:r>
    </w:p>
    <w:p w14:paraId="603D45DE">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7.3</w:t>
      </w:r>
      <w:r>
        <w:rPr>
          <w:rFonts w:hint="eastAsia" w:ascii="宋体" w:hAnsi="宋体" w:eastAsia="宋体" w:cs="宋体"/>
          <w:b/>
          <w:bCs/>
          <w:color w:val="auto"/>
          <w:sz w:val="24"/>
          <w:szCs w:val="24"/>
          <w:highlight w:val="none"/>
        </w:rPr>
        <w:t>仲裁或诉讼</w:t>
      </w:r>
    </w:p>
    <w:p w14:paraId="43ACA3AA">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双方均有权不经调解直接向专用条件中约定的仲裁机构申请仲裁</w:t>
      </w:r>
      <w:r>
        <w:rPr>
          <w:rFonts w:hint="eastAsia" w:ascii="宋体" w:hAnsi="宋体" w:cs="宋体"/>
          <w:color w:val="auto"/>
          <w:sz w:val="24"/>
          <w:szCs w:val="24"/>
          <w:highlight w:val="none"/>
          <w:lang w:val="en-US" w:eastAsia="zh-CN"/>
        </w:rPr>
        <w:t>或者如没有约定</w:t>
      </w:r>
      <w:r>
        <w:rPr>
          <w:rFonts w:hint="eastAsia" w:ascii="宋体" w:hAnsi="宋体" w:eastAsia="宋体" w:cs="宋体"/>
          <w:color w:val="auto"/>
          <w:sz w:val="24"/>
          <w:szCs w:val="24"/>
          <w:highlight w:val="none"/>
        </w:rPr>
        <w:t>提起诉讼。</w:t>
      </w:r>
    </w:p>
    <w:p w14:paraId="2C84BDAC">
      <w:pPr>
        <w:snapToGrid w:val="0"/>
        <w:spacing w:line="600" w:lineRule="atLeas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 其他</w:t>
      </w:r>
    </w:p>
    <w:p w14:paraId="249B3068">
      <w:pPr>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8.1 </w:t>
      </w:r>
      <w:r>
        <w:rPr>
          <w:rFonts w:hint="eastAsia" w:ascii="宋体" w:hAnsi="宋体" w:eastAsia="宋体" w:cs="宋体"/>
          <w:b/>
          <w:bCs/>
          <w:color w:val="auto"/>
          <w:sz w:val="24"/>
          <w:szCs w:val="24"/>
          <w:highlight w:val="none"/>
        </w:rPr>
        <w:t>外出考察费用</w:t>
      </w:r>
    </w:p>
    <w:p w14:paraId="67CF23FE">
      <w:pPr>
        <w:snapToGrid w:val="0"/>
        <w:spacing w:line="600" w:lineRule="atLeast"/>
        <w:ind w:right="0" w:rightChars="0" w:firstLine="432" w:firstLineChars="200"/>
        <w:rPr>
          <w:rFonts w:hint="eastAsia" w:ascii="宋体" w:hAnsi="宋体" w:eastAsia="宋体" w:cs="宋体"/>
          <w:bCs/>
          <w:color w:val="auto"/>
          <w:w w:val="90"/>
          <w:sz w:val="24"/>
          <w:szCs w:val="24"/>
          <w:highlight w:val="none"/>
        </w:rPr>
      </w:pPr>
      <w:r>
        <w:rPr>
          <w:rFonts w:hint="eastAsia" w:ascii="宋体" w:hAnsi="宋体" w:eastAsia="宋体" w:cs="宋体"/>
          <w:color w:val="auto"/>
          <w:w w:val="90"/>
          <w:sz w:val="24"/>
          <w:szCs w:val="24"/>
          <w:highlight w:val="none"/>
        </w:rPr>
        <w:t>经委托人同意，监理人员外出考察发生的费用由委托人审核后支付。</w:t>
      </w:r>
    </w:p>
    <w:p w14:paraId="115D2046">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8.2 </w:t>
      </w:r>
      <w:r>
        <w:rPr>
          <w:rFonts w:hint="eastAsia" w:ascii="宋体" w:hAnsi="宋体" w:eastAsia="宋体" w:cs="宋体"/>
          <w:b/>
          <w:bCs/>
          <w:color w:val="auto"/>
          <w:sz w:val="24"/>
          <w:szCs w:val="24"/>
          <w:highlight w:val="none"/>
        </w:rPr>
        <w:t>检测费用</w:t>
      </w:r>
    </w:p>
    <w:p w14:paraId="437DA058">
      <w:pPr>
        <w:snapToGrid w:val="0"/>
        <w:spacing w:line="60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经委托人同意，委托人要求监理人进行的材料和设备检测所发生的费用，由委托人支付，支付时间在专用条件中约定。</w:t>
      </w:r>
    </w:p>
    <w:p w14:paraId="099123B1">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8.3 </w:t>
      </w:r>
      <w:r>
        <w:rPr>
          <w:rFonts w:hint="eastAsia" w:ascii="宋体" w:hAnsi="宋体" w:eastAsia="宋体" w:cs="宋体"/>
          <w:b/>
          <w:bCs/>
          <w:color w:val="auto"/>
          <w:sz w:val="24"/>
          <w:szCs w:val="24"/>
          <w:highlight w:val="none"/>
        </w:rPr>
        <w:t>咨询费用</w:t>
      </w:r>
    </w:p>
    <w:p w14:paraId="10922463">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经委托人同意，根据工程需要由监理人组织的相关咨询论证会以及聘请相关专家等发生的费用由委托人支付，支付时间在专用条件中约定。</w:t>
      </w:r>
    </w:p>
    <w:p w14:paraId="21842100">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8.4 </w:t>
      </w:r>
      <w:r>
        <w:rPr>
          <w:rFonts w:hint="eastAsia" w:ascii="宋体" w:hAnsi="宋体" w:eastAsia="宋体" w:cs="宋体"/>
          <w:b/>
          <w:bCs/>
          <w:color w:val="auto"/>
          <w:sz w:val="24"/>
          <w:szCs w:val="24"/>
          <w:highlight w:val="none"/>
        </w:rPr>
        <w:t>奖励</w:t>
      </w:r>
    </w:p>
    <w:p w14:paraId="345CE7CF">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4A54EAC3">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8.5 </w:t>
      </w:r>
      <w:r>
        <w:rPr>
          <w:rFonts w:hint="eastAsia" w:ascii="宋体" w:hAnsi="宋体" w:eastAsia="宋体" w:cs="宋体"/>
          <w:b/>
          <w:bCs/>
          <w:color w:val="auto"/>
          <w:sz w:val="24"/>
          <w:szCs w:val="24"/>
          <w:highlight w:val="none"/>
        </w:rPr>
        <w:t>守法诚信</w:t>
      </w:r>
    </w:p>
    <w:p w14:paraId="56000731">
      <w:pPr>
        <w:snapToGrid w:val="0"/>
        <w:spacing w:line="60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监理人及其工作人员不得</w:t>
      </w:r>
      <w:r>
        <w:rPr>
          <w:rFonts w:hint="eastAsia" w:ascii="宋体" w:hAnsi="宋体" w:cs="宋体"/>
          <w:color w:val="auto"/>
          <w:sz w:val="24"/>
          <w:szCs w:val="24"/>
          <w:highlight w:val="none"/>
          <w:lang w:eastAsia="zh-CN"/>
        </w:rPr>
        <w:t>从事</w:t>
      </w:r>
      <w:r>
        <w:rPr>
          <w:rFonts w:hint="eastAsia" w:ascii="宋体" w:hAnsi="宋体" w:eastAsia="宋体" w:cs="宋体"/>
          <w:color w:val="auto"/>
          <w:sz w:val="24"/>
          <w:szCs w:val="24"/>
          <w:highlight w:val="none"/>
        </w:rPr>
        <w:t>与实施工程有关的第三方处获得任何经济利益。</w:t>
      </w:r>
    </w:p>
    <w:p w14:paraId="62304343">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8.6 </w:t>
      </w:r>
      <w:r>
        <w:rPr>
          <w:rFonts w:hint="eastAsia" w:ascii="宋体" w:hAnsi="宋体" w:eastAsia="宋体" w:cs="宋体"/>
          <w:b/>
          <w:bCs/>
          <w:color w:val="auto"/>
          <w:sz w:val="24"/>
          <w:szCs w:val="24"/>
          <w:highlight w:val="none"/>
        </w:rPr>
        <w:t>保密</w:t>
      </w:r>
    </w:p>
    <w:p w14:paraId="4A4FCAE7">
      <w:pPr>
        <w:snapToGrid w:val="0"/>
        <w:spacing w:line="60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双方不得泄露对方申明的保密资料，亦不得泄露与实施工程有关的第三方所提供的保密资料，保密事项在专用条件中约定。</w:t>
      </w:r>
    </w:p>
    <w:p w14:paraId="5E35BCB0">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8.7 </w:t>
      </w:r>
      <w:r>
        <w:rPr>
          <w:rFonts w:hint="eastAsia" w:ascii="宋体" w:hAnsi="宋体" w:eastAsia="宋体" w:cs="宋体"/>
          <w:b/>
          <w:bCs/>
          <w:color w:val="auto"/>
          <w:sz w:val="24"/>
          <w:szCs w:val="24"/>
          <w:highlight w:val="none"/>
        </w:rPr>
        <w:t>通知</w:t>
      </w:r>
    </w:p>
    <w:p w14:paraId="07C2E95A">
      <w:pPr>
        <w:snapToGrid w:val="0"/>
        <w:spacing w:line="60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本合同涉及的通知均应当采用书面形式，并在送达对方时生效，收件人应书面签收。</w:t>
      </w:r>
    </w:p>
    <w:p w14:paraId="52B9E5BF">
      <w:pPr>
        <w:snapToGrid w:val="0"/>
        <w:spacing w:line="600" w:lineRule="atLeast"/>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8.8 </w:t>
      </w:r>
      <w:r>
        <w:rPr>
          <w:rFonts w:hint="eastAsia" w:ascii="宋体" w:hAnsi="宋体" w:eastAsia="宋体" w:cs="宋体"/>
          <w:b/>
          <w:bCs/>
          <w:color w:val="auto"/>
          <w:sz w:val="24"/>
          <w:szCs w:val="24"/>
          <w:highlight w:val="none"/>
        </w:rPr>
        <w:t>著作权</w:t>
      </w:r>
    </w:p>
    <w:p w14:paraId="5669767E">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监理人对其编制的文件拥有著作权，在本合同有效期内免费使用。</w:t>
      </w:r>
    </w:p>
    <w:p w14:paraId="5DA8F34B">
      <w:pPr>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47F49D22">
      <w:pPr>
        <w:ind w:firstLine="480" w:firstLineChars="200"/>
        <w:jc w:val="center"/>
        <w:outlineLvl w:val="1"/>
        <w:rPr>
          <w:rFonts w:hint="eastAsia" w:ascii="宋体" w:hAnsi="宋体" w:eastAsia="宋体" w:cs="宋体"/>
          <w:color w:val="auto"/>
          <w:sz w:val="24"/>
          <w:szCs w:val="24"/>
          <w:highlight w:val="none"/>
        </w:rPr>
      </w:pPr>
    </w:p>
    <w:p w14:paraId="178059C5">
      <w:pPr>
        <w:ind w:firstLine="480" w:firstLineChars="200"/>
        <w:jc w:val="center"/>
        <w:outlineLvl w:val="1"/>
        <w:rPr>
          <w:rFonts w:hint="eastAsia" w:ascii="宋体" w:hAnsi="宋体" w:eastAsia="宋体" w:cs="宋体"/>
          <w:color w:val="auto"/>
          <w:sz w:val="24"/>
          <w:szCs w:val="24"/>
          <w:highlight w:val="none"/>
        </w:rPr>
      </w:pPr>
    </w:p>
    <w:p w14:paraId="4E171574">
      <w:pPr>
        <w:ind w:firstLine="480" w:firstLineChars="200"/>
        <w:jc w:val="center"/>
        <w:outlineLvl w:val="1"/>
        <w:rPr>
          <w:rFonts w:hint="eastAsia" w:ascii="宋体" w:hAnsi="宋体" w:eastAsia="宋体" w:cs="宋体"/>
          <w:color w:val="auto"/>
          <w:sz w:val="24"/>
          <w:szCs w:val="24"/>
          <w:highlight w:val="none"/>
        </w:rPr>
      </w:pPr>
    </w:p>
    <w:p w14:paraId="1F051894">
      <w:pPr>
        <w:ind w:firstLine="480" w:firstLineChars="200"/>
        <w:jc w:val="center"/>
        <w:outlineLvl w:val="1"/>
        <w:rPr>
          <w:rFonts w:hint="eastAsia" w:ascii="宋体" w:hAnsi="宋体" w:eastAsia="宋体" w:cs="宋体"/>
          <w:color w:val="auto"/>
          <w:sz w:val="24"/>
          <w:szCs w:val="24"/>
          <w:highlight w:val="none"/>
        </w:rPr>
      </w:pPr>
    </w:p>
    <w:p w14:paraId="33E08757">
      <w:pPr>
        <w:ind w:firstLine="480" w:firstLineChars="200"/>
        <w:jc w:val="center"/>
        <w:outlineLvl w:val="1"/>
        <w:rPr>
          <w:rFonts w:hint="eastAsia" w:ascii="宋体" w:hAnsi="宋体" w:eastAsia="宋体" w:cs="宋体"/>
          <w:color w:val="auto"/>
          <w:sz w:val="24"/>
          <w:szCs w:val="24"/>
          <w:highlight w:val="none"/>
        </w:rPr>
      </w:pPr>
    </w:p>
    <w:p w14:paraId="4070FCB3">
      <w:pPr>
        <w:ind w:firstLine="480" w:firstLineChars="200"/>
        <w:jc w:val="center"/>
        <w:outlineLvl w:val="1"/>
        <w:rPr>
          <w:rFonts w:hint="eastAsia" w:ascii="宋体" w:hAnsi="宋体" w:eastAsia="宋体" w:cs="宋体"/>
          <w:color w:val="auto"/>
          <w:sz w:val="24"/>
          <w:szCs w:val="24"/>
          <w:highlight w:val="none"/>
        </w:rPr>
      </w:pPr>
    </w:p>
    <w:p w14:paraId="2A323228">
      <w:pPr>
        <w:ind w:firstLine="480" w:firstLineChars="200"/>
        <w:jc w:val="center"/>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第三部分  专用条件</w:t>
      </w:r>
    </w:p>
    <w:p w14:paraId="1BC3030A">
      <w:pPr>
        <w:adjustRightInd w:val="0"/>
        <w:snapToGrid w:val="0"/>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定义与解释</w:t>
      </w:r>
    </w:p>
    <w:p w14:paraId="6E58D238">
      <w:pPr>
        <w:adjustRightInd w:val="0"/>
        <w:snapToGrid w:val="0"/>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解释</w:t>
      </w:r>
    </w:p>
    <w:p w14:paraId="3F034D90">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本合同文件除使用中文外，还可用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A8EAB64">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约定本合同文件的解释顺序为：</w:t>
      </w:r>
      <w:r>
        <w:rPr>
          <w:rFonts w:hint="eastAsia" w:ascii="宋体" w:hAnsi="宋体" w:eastAsia="宋体" w:cs="宋体"/>
          <w:color w:val="auto"/>
          <w:sz w:val="24"/>
          <w:szCs w:val="24"/>
          <w:highlight w:val="none"/>
          <w:u w:val="single"/>
        </w:rPr>
        <w:t>协议书、专用条件、通用条件</w:t>
      </w:r>
      <w:r>
        <w:rPr>
          <w:rFonts w:hint="eastAsia" w:ascii="宋体" w:hAnsi="宋体" w:eastAsia="宋体" w:cs="宋体"/>
          <w:color w:val="auto"/>
          <w:sz w:val="24"/>
          <w:szCs w:val="24"/>
          <w:highlight w:val="none"/>
        </w:rPr>
        <w:t>。</w:t>
      </w:r>
    </w:p>
    <w:p w14:paraId="4AF61A92">
      <w:pPr>
        <w:adjustRightInd w:val="0"/>
        <w:snapToGrid w:val="0"/>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监理人义务</w:t>
      </w:r>
    </w:p>
    <w:p w14:paraId="1A3FFDFF">
      <w:pPr>
        <w:adjustRightInd w:val="0"/>
        <w:snapToGrid w:val="0"/>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监理的范围和</w:t>
      </w:r>
      <w:r>
        <w:rPr>
          <w:rFonts w:hint="eastAsia" w:ascii="宋体" w:hAnsi="宋体" w:eastAsia="宋体" w:cs="宋体"/>
          <w:b/>
          <w:bCs/>
          <w:color w:val="auto"/>
          <w:sz w:val="24"/>
          <w:szCs w:val="24"/>
          <w:highlight w:val="none"/>
        </w:rPr>
        <w:t>内容</w:t>
      </w:r>
    </w:p>
    <w:p w14:paraId="4BEAD3BA">
      <w:pPr>
        <w:adjustRightInd w:val="0"/>
        <w:snapToGrid w:val="0"/>
        <w:spacing w:line="600" w:lineRule="atLeas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2.1.1及2.1.2：监理服务内容及监理范围详见合同《第一部分  协议书》。</w:t>
      </w:r>
    </w:p>
    <w:p w14:paraId="2B493C03">
      <w:pPr>
        <w:adjustRightInd w:val="0"/>
        <w:snapToGrid w:val="0"/>
        <w:spacing w:line="600" w:lineRule="atLeas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2.1.3监理目标：</w:t>
      </w:r>
    </w:p>
    <w:p w14:paraId="3EB2A226">
      <w:pPr>
        <w:adjustRightInd w:val="0"/>
        <w:snapToGrid w:val="0"/>
        <w:spacing w:line="600" w:lineRule="atLeas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（1）投资控制目标：工程费用不超过概算中的工程费用。</w:t>
      </w:r>
    </w:p>
    <w:p w14:paraId="190DCE0D">
      <w:pPr>
        <w:adjustRightInd w:val="0"/>
        <w:snapToGrid w:val="0"/>
        <w:spacing w:line="600" w:lineRule="atLeas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（2）进度控制目标：施工工期为业主下达开工令或开工报告审批之日起按进度要求控制，对施工工期按</w:t>
      </w:r>
      <w:r>
        <w:rPr>
          <w:rFonts w:hint="eastAsia" w:ascii="宋体" w:hAnsi="宋体" w:cs="宋体"/>
          <w:color w:val="auto"/>
          <w:sz w:val="24"/>
          <w:szCs w:val="24"/>
          <w:highlight w:val="none"/>
          <w:u w:val="single"/>
          <w:lang w:val="en-US" w:eastAsia="zh-CN"/>
        </w:rPr>
        <w:t>72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个日历天进行控制，具体进度控制目标以施工等合同为准。</w:t>
      </w:r>
    </w:p>
    <w:p w14:paraId="1E7CD9AB">
      <w:pPr>
        <w:adjustRightInd w:val="0"/>
        <w:snapToGrid w:val="0"/>
        <w:spacing w:line="600" w:lineRule="atLeas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（3）质量控制目标：工程质量达到合格工程。</w:t>
      </w:r>
    </w:p>
    <w:p w14:paraId="26FA58DD">
      <w:pPr>
        <w:adjustRightInd w:val="0"/>
        <w:snapToGrid w:val="0"/>
        <w:spacing w:line="600" w:lineRule="atLeas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（4）安全文明控制目标：确保工程无重大安全、质量事故，现场安全文明施工。</w:t>
      </w:r>
    </w:p>
    <w:p w14:paraId="16206E09">
      <w:pPr>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监理与相关服务依据</w:t>
      </w:r>
    </w:p>
    <w:p w14:paraId="15983943">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监理依据包括：</w:t>
      </w:r>
    </w:p>
    <w:p w14:paraId="161F89A6">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（1)法律法规及建设工程相关标准；</w:t>
      </w:r>
    </w:p>
    <w:p w14:paraId="1C394410">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（2)项目所在地政府及建设行政主管部门的有关法规和规章；</w:t>
      </w:r>
    </w:p>
    <w:p w14:paraId="397A4FD0">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（3)国家和地方现行的技术标准及施工验收规范；</w:t>
      </w:r>
    </w:p>
    <w:p w14:paraId="67341FD7">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（4)建设工程委托监理合同及其他合同文件；</w:t>
      </w:r>
    </w:p>
    <w:p w14:paraId="53EA704B">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（5)建设工程勘察设计文件；</w:t>
      </w:r>
    </w:p>
    <w:p w14:paraId="343483E0">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（6)GB/T50319-2013建设工程监理规范；</w:t>
      </w:r>
    </w:p>
    <w:p w14:paraId="05EA3832">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（7)委托人对工程的合理要求；</w:t>
      </w:r>
    </w:p>
    <w:p w14:paraId="06A94E52">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（8)工程监理规划及监理实施细则。</w:t>
      </w:r>
    </w:p>
    <w:p w14:paraId="0325B93A">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相关服务依据包括：</w:t>
      </w:r>
      <w:r>
        <w:rPr>
          <w:rFonts w:hint="eastAsia" w:ascii="宋体" w:hAnsi="宋体" w:eastAsia="宋体" w:cs="宋体"/>
          <w:color w:val="auto"/>
          <w:sz w:val="24"/>
          <w:szCs w:val="24"/>
          <w:highlight w:val="none"/>
          <w:u w:val="single"/>
        </w:rPr>
        <w:t xml:space="preserve">  监理规范、本合同 </w:t>
      </w:r>
      <w:r>
        <w:rPr>
          <w:rFonts w:hint="eastAsia" w:ascii="宋体" w:hAnsi="宋体" w:eastAsia="宋体" w:cs="宋体"/>
          <w:color w:val="auto"/>
          <w:sz w:val="24"/>
          <w:szCs w:val="24"/>
          <w:highlight w:val="none"/>
        </w:rPr>
        <w:t xml:space="preserve"> 。</w:t>
      </w:r>
    </w:p>
    <w:p w14:paraId="6C087B95">
      <w:pPr>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2.3项目监理机构和人员</w:t>
      </w:r>
    </w:p>
    <w:p w14:paraId="386DB02F">
      <w:pPr>
        <w:adjustRightInd w:val="0"/>
        <w:snapToGrid w:val="0"/>
        <w:spacing w:line="600" w:lineRule="atLeas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2.3.4 </w:t>
      </w:r>
      <w:r>
        <w:rPr>
          <w:rFonts w:hint="eastAsia" w:ascii="宋体" w:hAnsi="宋体" w:eastAsia="宋体" w:cs="宋体"/>
          <w:color w:val="auto"/>
          <w:kern w:val="0"/>
          <w:sz w:val="24"/>
          <w:szCs w:val="24"/>
          <w:highlight w:val="none"/>
        </w:rPr>
        <w:t>更换监理人员的其他情形：</w:t>
      </w:r>
      <w:r>
        <w:rPr>
          <w:rFonts w:hint="eastAsia" w:ascii="宋体" w:hAnsi="宋体" w:eastAsia="宋体" w:cs="宋体"/>
          <w:color w:val="auto"/>
          <w:kern w:val="0"/>
          <w:sz w:val="24"/>
          <w:szCs w:val="24"/>
          <w:highlight w:val="none"/>
          <w:u w:val="single"/>
        </w:rPr>
        <w:t>监理人员专业水平能力无法满足施工或机电设备管理要求，不按合同及规范要求进行监理</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如未经委托人同意擅自调整驻场时间低于约定标准的；被委托人抽查发现脱岗 3 次（含）以上的）</w:t>
      </w:r>
      <w:r>
        <w:rPr>
          <w:rFonts w:hint="eastAsia" w:ascii="宋体" w:hAnsi="宋体" w:eastAsia="宋体" w:cs="宋体"/>
          <w:color w:val="auto"/>
          <w:kern w:val="0"/>
          <w:sz w:val="24"/>
          <w:szCs w:val="24"/>
          <w:highlight w:val="none"/>
          <w:u w:val="single"/>
        </w:rPr>
        <w:t>，收受参建单位好处损害委托人利益 。</w:t>
      </w:r>
    </w:p>
    <w:p w14:paraId="63BC1300">
      <w:pPr>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2.4 </w:t>
      </w:r>
      <w:r>
        <w:rPr>
          <w:rFonts w:hint="eastAsia" w:ascii="宋体" w:hAnsi="宋体" w:eastAsia="宋体" w:cs="宋体"/>
          <w:b/>
          <w:color w:val="auto"/>
          <w:kern w:val="0"/>
          <w:sz w:val="24"/>
          <w:szCs w:val="24"/>
          <w:highlight w:val="none"/>
        </w:rPr>
        <w:t>履行职责</w:t>
      </w:r>
    </w:p>
    <w:p w14:paraId="6F6B9DA2">
      <w:pPr>
        <w:adjustRightInd w:val="0"/>
        <w:snapToGrid w:val="0"/>
        <w:spacing w:line="600" w:lineRule="atLeas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2.4.3 对监理人的授权范围：</w:t>
      </w:r>
      <w:r>
        <w:rPr>
          <w:rFonts w:hint="eastAsia" w:ascii="宋体" w:hAnsi="宋体" w:eastAsia="宋体" w:cs="宋体"/>
          <w:color w:val="auto"/>
          <w:kern w:val="0"/>
          <w:sz w:val="24"/>
          <w:szCs w:val="24"/>
          <w:highlight w:val="none"/>
          <w:u w:val="single"/>
        </w:rPr>
        <w:t>工程质量、进度、安全管理，工程款</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含工人工资</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、工程变更</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审核，经委托人同意颁发开工停工令。</w:t>
      </w:r>
    </w:p>
    <w:p w14:paraId="6394D600">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在涉及工程延期</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天内和（或）金额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万元内的变更，监理人不需请示委托人即可向承包人发布变更通知。</w:t>
      </w:r>
    </w:p>
    <w:p w14:paraId="4AA893B7">
      <w:pPr>
        <w:adjustRightInd w:val="0"/>
        <w:snapToGrid w:val="0"/>
        <w:spacing w:line="600" w:lineRule="atLeast"/>
        <w:ind w:firstLine="480" w:firstLineChars="200"/>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2.4.4 监理人有权要求承包人调换其人员</w:t>
      </w:r>
      <w:r>
        <w:rPr>
          <w:rFonts w:hint="eastAsia" w:ascii="宋体" w:hAnsi="宋体" w:eastAsia="宋体" w:cs="宋体"/>
          <w:color w:val="auto"/>
          <w:sz w:val="24"/>
          <w:szCs w:val="24"/>
          <w:highlight w:val="none"/>
        </w:rPr>
        <w:t>的限制条件：</w:t>
      </w:r>
      <w:r>
        <w:rPr>
          <w:rFonts w:hint="eastAsia" w:ascii="宋体" w:hAnsi="宋体" w:eastAsia="宋体" w:cs="宋体"/>
          <w:color w:val="auto"/>
          <w:kern w:val="0"/>
          <w:sz w:val="24"/>
          <w:szCs w:val="24"/>
          <w:highlight w:val="none"/>
          <w:u w:val="single"/>
        </w:rPr>
        <w:t>工程承包人员工作不力消极怠工严重影响施工质量进度的 。</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如承包人人员无证上岗、违章操作的；被建设行政主管部门通报批评的）</w:t>
      </w:r>
    </w:p>
    <w:p w14:paraId="5DC8938C">
      <w:pPr>
        <w:adjustRightInd w:val="0"/>
        <w:snapToGrid w:val="0"/>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 xml:space="preserve">2.5 </w:t>
      </w:r>
      <w:r>
        <w:rPr>
          <w:rFonts w:hint="eastAsia" w:ascii="宋体" w:hAnsi="宋体" w:eastAsia="宋体" w:cs="宋体"/>
          <w:b/>
          <w:color w:val="auto"/>
          <w:sz w:val="24"/>
          <w:szCs w:val="24"/>
          <w:highlight w:val="none"/>
        </w:rPr>
        <w:t>提交</w:t>
      </w:r>
      <w:r>
        <w:rPr>
          <w:rFonts w:hint="eastAsia" w:ascii="宋体" w:hAnsi="宋体" w:eastAsia="宋体" w:cs="宋体"/>
          <w:b/>
          <w:color w:val="auto"/>
          <w:kern w:val="0"/>
          <w:sz w:val="24"/>
          <w:szCs w:val="24"/>
          <w:highlight w:val="none"/>
        </w:rPr>
        <w:t>报告</w:t>
      </w:r>
    </w:p>
    <w:p w14:paraId="28D94F11">
      <w:pPr>
        <w:adjustRightInd w:val="0"/>
        <w:snapToGrid w:val="0"/>
        <w:spacing w:line="600" w:lineRule="atLeas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监理人应提交报告的种类(</w:t>
      </w:r>
      <w:r>
        <w:rPr>
          <w:rFonts w:hint="eastAsia" w:ascii="宋体" w:hAnsi="宋体" w:eastAsia="宋体" w:cs="宋体"/>
          <w:color w:val="auto"/>
          <w:kern w:val="0"/>
          <w:sz w:val="24"/>
          <w:szCs w:val="24"/>
          <w:highlight w:val="none"/>
        </w:rPr>
        <w:t>包括监理规划、监理月报及约定的专项报告)</w:t>
      </w:r>
      <w:r>
        <w:rPr>
          <w:rFonts w:hint="eastAsia" w:ascii="宋体" w:hAnsi="宋体" w:eastAsia="宋体" w:cs="宋体"/>
          <w:color w:val="auto"/>
          <w:sz w:val="24"/>
          <w:szCs w:val="24"/>
          <w:highlight w:val="none"/>
        </w:rPr>
        <w:t>、时间和份数</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在召开第一次工地会议前提交监理规划；在相应工程施工开始前提交监理实施细则；每月25日前提交当月监理月报；监理例会、专题会议召开后三天内提交会议纪要；工程竣工验收前一周内提交工程质量评估报告；工程竣工验收后一周内提交监理工作总结。监理人提交以上文件均应至少一式三份 </w:t>
      </w:r>
      <w:r>
        <w:rPr>
          <w:rFonts w:hint="eastAsia" w:ascii="宋体" w:hAnsi="宋体" w:eastAsia="宋体" w:cs="宋体"/>
          <w:color w:val="auto"/>
          <w:sz w:val="24"/>
          <w:szCs w:val="24"/>
          <w:highlight w:val="none"/>
        </w:rPr>
        <w:t>。所有报告需经总监理工程师签字并加盖项目监理机构公章，电子版同步报送委托人指定邮箱</w:t>
      </w:r>
    </w:p>
    <w:p w14:paraId="4BFD954E">
      <w:pPr>
        <w:spacing w:line="60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2.7 使用委托人的财产</w:t>
      </w:r>
    </w:p>
    <w:p w14:paraId="0AD85DF4">
      <w:pPr>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附录B中由委托人无偿提供的房屋、设备的所有权属于：</w:t>
      </w:r>
      <w:r>
        <w:rPr>
          <w:rFonts w:hint="eastAsia" w:ascii="宋体" w:hAnsi="宋体" w:eastAsia="宋体" w:cs="宋体"/>
          <w:color w:val="auto"/>
          <w:sz w:val="24"/>
          <w:szCs w:val="24"/>
          <w:highlight w:val="none"/>
          <w:u w:val="single"/>
        </w:rPr>
        <w:t>委托人</w:t>
      </w:r>
      <w:r>
        <w:rPr>
          <w:rFonts w:hint="eastAsia" w:ascii="宋体" w:hAnsi="宋体" w:eastAsia="宋体" w:cs="宋体"/>
          <w:color w:val="auto"/>
          <w:sz w:val="24"/>
          <w:szCs w:val="24"/>
          <w:highlight w:val="none"/>
        </w:rPr>
        <w:t>。</w:t>
      </w:r>
    </w:p>
    <w:p w14:paraId="6278392D">
      <w:pPr>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监理人应在本合同终止后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天内移交委托人无偿提供的房屋、设备，移交的时间和方式为：</w:t>
      </w:r>
      <w:r>
        <w:rPr>
          <w:rFonts w:hint="eastAsia" w:ascii="宋体" w:hAnsi="宋体" w:eastAsia="宋体" w:cs="宋体"/>
          <w:color w:val="auto"/>
          <w:sz w:val="24"/>
          <w:szCs w:val="24"/>
          <w:highlight w:val="none"/>
          <w:u w:val="single"/>
        </w:rPr>
        <w:t>双方人员现场交接</w:t>
      </w:r>
      <w:r>
        <w:rPr>
          <w:rFonts w:hint="eastAsia" w:ascii="宋体" w:hAnsi="宋体" w:eastAsia="宋体" w:cs="宋体"/>
          <w:color w:val="auto"/>
          <w:sz w:val="24"/>
          <w:szCs w:val="24"/>
          <w:highlight w:val="none"/>
        </w:rPr>
        <w:t>。</w:t>
      </w:r>
    </w:p>
    <w:p w14:paraId="29893DB7">
      <w:pPr>
        <w:adjustRightInd w:val="0"/>
        <w:snapToGrid w:val="0"/>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 xml:space="preserve">3. 委托人义务  </w:t>
      </w:r>
    </w:p>
    <w:p w14:paraId="08667D10">
      <w:pPr>
        <w:snapToGrid w:val="0"/>
        <w:spacing w:line="600" w:lineRule="atLeast"/>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kern w:val="0"/>
          <w:sz w:val="24"/>
          <w:szCs w:val="24"/>
          <w:highlight w:val="none"/>
        </w:rPr>
        <w:t xml:space="preserve">3.4 委托人代表   </w:t>
      </w:r>
      <w:r>
        <w:rPr>
          <w:rFonts w:hint="eastAsia" w:ascii="宋体" w:hAnsi="宋体" w:eastAsia="宋体" w:cs="宋体"/>
          <w:color w:val="auto"/>
          <w:sz w:val="24"/>
          <w:szCs w:val="24"/>
          <w:highlight w:val="none"/>
        </w:rPr>
        <w:t>委托人代表为：</w:t>
      </w:r>
      <w:r>
        <w:rPr>
          <w:rFonts w:hint="eastAsia" w:ascii="宋体" w:hAnsi="宋体" w:eastAsia="宋体" w:cs="宋体"/>
          <w:color w:val="auto"/>
          <w:sz w:val="24"/>
          <w:szCs w:val="24"/>
          <w:highlight w:val="none"/>
          <w:u w:val="single"/>
        </w:rPr>
        <w:t>另以书面文件通知</w:t>
      </w:r>
      <w:r>
        <w:rPr>
          <w:rFonts w:hint="eastAsia" w:ascii="宋体" w:hAnsi="宋体" w:eastAsia="宋体" w:cs="宋体"/>
          <w:color w:val="auto"/>
          <w:sz w:val="24"/>
          <w:szCs w:val="24"/>
          <w:highlight w:val="none"/>
        </w:rPr>
        <w:t>。</w:t>
      </w:r>
    </w:p>
    <w:p w14:paraId="73642AAD">
      <w:pPr>
        <w:adjustRightInd w:val="0"/>
        <w:snapToGrid w:val="0"/>
        <w:spacing w:line="60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3.6 答复</w:t>
      </w:r>
    </w:p>
    <w:p w14:paraId="126F1557">
      <w:pPr>
        <w:adjustRightInd w:val="0"/>
        <w:snapToGrid w:val="0"/>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委托人同意在</w:t>
      </w:r>
      <w:r>
        <w:rPr>
          <w:rFonts w:hint="eastAsia" w:ascii="宋体" w:hAnsi="宋体" w:eastAsia="宋体" w:cs="宋体"/>
          <w:color w:val="auto"/>
          <w:sz w:val="24"/>
          <w:szCs w:val="24"/>
          <w:highlight w:val="none"/>
          <w:u w:val="single"/>
        </w:rPr>
        <w:t xml:space="preserve"> 收到监理人相关书面材料14 </w:t>
      </w:r>
      <w:r>
        <w:rPr>
          <w:rFonts w:hint="eastAsia" w:ascii="宋体" w:hAnsi="宋体" w:eastAsia="宋体" w:cs="宋体"/>
          <w:color w:val="auto"/>
          <w:sz w:val="24"/>
          <w:szCs w:val="24"/>
          <w:highlight w:val="none"/>
        </w:rPr>
        <w:t>天内，对监理人书面提交并要求做出决定的事宜给予书面答复。</w:t>
      </w:r>
    </w:p>
    <w:p w14:paraId="28DD3758">
      <w:pPr>
        <w:snapToGrid w:val="0"/>
        <w:spacing w:line="600" w:lineRule="atLeas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违约责任</w:t>
      </w:r>
    </w:p>
    <w:p w14:paraId="77245846">
      <w:pPr>
        <w:spacing w:line="600" w:lineRule="atLeast"/>
        <w:ind w:left="0" w:lef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4.1 监理人的违约责任</w:t>
      </w:r>
    </w:p>
    <w:p w14:paraId="2442E8C1">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4.1.1监理人赔偿金额按下列方法确定：</w:t>
      </w:r>
    </w:p>
    <w:p w14:paraId="33978816">
      <w:pPr>
        <w:adjustRightInd w:val="0"/>
        <w:snapToGrid w:val="0"/>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赔偿金＝直接经济损失×正常工作酬金÷工程概算</w:t>
      </w:r>
      <w:r>
        <w:rPr>
          <w:rFonts w:hint="eastAsia" w:ascii="宋体" w:hAnsi="宋体" w:eastAsia="宋体" w:cs="宋体"/>
          <w:color w:val="auto"/>
          <w:kern w:val="0"/>
          <w:sz w:val="24"/>
          <w:szCs w:val="24"/>
          <w:highlight w:val="none"/>
        </w:rPr>
        <w:t>投资额（或建筑安装工程费）</w:t>
      </w:r>
      <w:r>
        <w:rPr>
          <w:rFonts w:hint="eastAsia"/>
          <w:lang w:eastAsia="zh-CN"/>
        </w:rPr>
        <w:t>；</w:t>
      </w:r>
    </w:p>
    <w:p w14:paraId="6DAC132F">
      <w:pPr>
        <w:snapToGrid w:val="0"/>
        <w:spacing w:line="60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4.2 委托人的违约责任</w:t>
      </w:r>
    </w:p>
    <w:p w14:paraId="63682B3F">
      <w:pPr>
        <w:spacing w:line="60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4.2.3 委托人</w:t>
      </w:r>
      <w:r>
        <w:rPr>
          <w:rFonts w:hint="eastAsia" w:ascii="宋体" w:hAnsi="宋体" w:eastAsia="宋体" w:cs="宋体"/>
          <w:color w:val="auto"/>
          <w:kern w:val="0"/>
          <w:sz w:val="24"/>
          <w:szCs w:val="24"/>
          <w:highlight w:val="none"/>
        </w:rPr>
        <w:t>逾期付款利息按下列方法确定：</w:t>
      </w:r>
    </w:p>
    <w:p w14:paraId="69CBD0BA">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逾期付款利息＝当期应付款总额×</w:t>
      </w:r>
      <w:r>
        <w:rPr>
          <w:rFonts w:hint="eastAsia" w:ascii="宋体" w:hAnsi="宋体" w:eastAsia="宋体" w:cs="宋体"/>
          <w:sz w:val="24"/>
          <w:szCs w:val="24"/>
        </w:rPr>
        <w:t>全国银行间同业拆借中心公布的贷款市场报价利率</w:t>
      </w:r>
      <w:r>
        <w:rPr>
          <w:rFonts w:hint="eastAsia" w:ascii="宋体" w:hAnsi="宋体" w:eastAsia="宋体" w:cs="宋体"/>
          <w:color w:val="auto"/>
          <w:sz w:val="24"/>
          <w:szCs w:val="24"/>
          <w:highlight w:val="none"/>
        </w:rPr>
        <w:t>×拖延支付天数。</w:t>
      </w:r>
    </w:p>
    <w:p w14:paraId="7ABD68AF">
      <w:pPr>
        <w:spacing w:line="6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由于本项目资金为</w:t>
      </w:r>
      <w:r>
        <w:rPr>
          <w:rFonts w:hint="eastAsia" w:ascii="宋体" w:hAnsi="宋体" w:eastAsia="宋体" w:cs="宋体"/>
          <w:color w:val="auto"/>
          <w:sz w:val="24"/>
          <w:szCs w:val="24"/>
          <w:highlight w:val="none"/>
          <w:lang w:eastAsia="zh-CN"/>
        </w:rPr>
        <w:t>企业自筹资金</w:t>
      </w:r>
      <w:r>
        <w:rPr>
          <w:rFonts w:hint="eastAsia" w:ascii="宋体" w:hAnsi="宋体" w:cs="宋体"/>
          <w:color w:val="auto"/>
          <w:sz w:val="24"/>
          <w:szCs w:val="24"/>
          <w:highlight w:val="none"/>
          <w:lang w:val="en-US" w:eastAsia="zh-CN"/>
        </w:rPr>
        <w:t>及财政资金</w:t>
      </w:r>
      <w:r>
        <w:rPr>
          <w:rFonts w:hint="eastAsia" w:ascii="宋体" w:hAnsi="宋体" w:eastAsia="宋体" w:cs="宋体"/>
          <w:color w:val="auto"/>
          <w:sz w:val="24"/>
          <w:szCs w:val="24"/>
          <w:highlight w:val="none"/>
        </w:rPr>
        <w:t>，需由</w:t>
      </w:r>
      <w:r>
        <w:rPr>
          <w:rFonts w:hint="eastAsia" w:ascii="宋体" w:hAnsi="宋体" w:eastAsia="宋体" w:cs="宋体"/>
          <w:color w:val="auto"/>
          <w:sz w:val="24"/>
          <w:szCs w:val="24"/>
          <w:highlight w:val="none"/>
          <w:lang w:eastAsia="zh-CN"/>
        </w:rPr>
        <w:t>广东华南粮食交易中心有限公司</w:t>
      </w:r>
      <w:r>
        <w:rPr>
          <w:rFonts w:hint="eastAsia" w:ascii="宋体" w:hAnsi="宋体" w:eastAsia="宋体" w:cs="宋体"/>
          <w:color w:val="auto"/>
          <w:sz w:val="24"/>
          <w:szCs w:val="24"/>
          <w:highlight w:val="none"/>
        </w:rPr>
        <w:t>统一支付，由于</w:t>
      </w:r>
      <w:r>
        <w:rPr>
          <w:rFonts w:hint="eastAsia" w:ascii="宋体" w:hAnsi="宋体" w:eastAsia="宋体" w:cs="宋体"/>
          <w:color w:val="auto"/>
          <w:sz w:val="24"/>
          <w:szCs w:val="24"/>
          <w:highlight w:val="none"/>
          <w:lang w:eastAsia="zh-CN"/>
        </w:rPr>
        <w:t>广东华南粮食交易中心有限公司</w:t>
      </w:r>
      <w:r>
        <w:rPr>
          <w:rFonts w:hint="eastAsia" w:ascii="宋体" w:hAnsi="宋体" w:eastAsia="宋体" w:cs="宋体"/>
          <w:color w:val="auto"/>
          <w:sz w:val="24"/>
          <w:szCs w:val="24"/>
          <w:highlight w:val="none"/>
        </w:rPr>
        <w:t>审批原因引起的监理费支付延迟，监理人不得因此解除合同、消极怠工、降低监理服务质量或要求支付违约金。</w:t>
      </w:r>
    </w:p>
    <w:p w14:paraId="0C06A275">
      <w:pPr>
        <w:snapToGrid w:val="0"/>
        <w:spacing w:line="60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5. 支付</w:t>
      </w:r>
    </w:p>
    <w:p w14:paraId="185B1AD5">
      <w:pPr>
        <w:tabs>
          <w:tab w:val="left" w:pos="567"/>
        </w:tabs>
        <w:snapToGrid w:val="0"/>
        <w:spacing w:line="600" w:lineRule="atLeas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5.1 </w:t>
      </w:r>
      <w:r>
        <w:rPr>
          <w:rFonts w:hint="eastAsia" w:ascii="宋体" w:hAnsi="宋体" w:eastAsia="宋体" w:cs="宋体"/>
          <w:b/>
          <w:bCs/>
          <w:color w:val="auto"/>
          <w:sz w:val="24"/>
          <w:szCs w:val="24"/>
          <w:highlight w:val="none"/>
        </w:rPr>
        <w:t xml:space="preserve">支付货币   </w:t>
      </w:r>
      <w:r>
        <w:rPr>
          <w:rFonts w:hint="eastAsia" w:ascii="宋体" w:hAnsi="宋体" w:eastAsia="宋体" w:cs="宋体"/>
          <w:color w:val="auto"/>
          <w:sz w:val="24"/>
          <w:szCs w:val="24"/>
          <w:highlight w:val="none"/>
        </w:rPr>
        <w:t>币种为：</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rPr>
        <w:t>。</w:t>
      </w:r>
    </w:p>
    <w:p w14:paraId="1EDEE8AB">
      <w:pPr>
        <w:tabs>
          <w:tab w:val="left" w:pos="567"/>
        </w:tabs>
        <w:snapToGrid w:val="0"/>
        <w:spacing w:line="600" w:lineRule="atLeast"/>
        <w:ind w:firstLine="482" w:firstLineChars="200"/>
        <w:rPr>
          <w:rFonts w:hint="eastAsia" w:ascii="宋体" w:hAnsi="宋体" w:eastAsia="宋体" w:cs="宋体"/>
          <w:color w:val="auto"/>
          <w:sz w:val="24"/>
          <w:szCs w:val="24"/>
          <w:highlight w:val="yellow"/>
        </w:rPr>
      </w:pPr>
      <w:r>
        <w:rPr>
          <w:rFonts w:hint="eastAsia" w:ascii="宋体" w:hAnsi="宋体" w:eastAsia="宋体" w:cs="宋体"/>
          <w:b/>
          <w:color w:val="auto"/>
          <w:sz w:val="24"/>
          <w:szCs w:val="24"/>
          <w:highlight w:val="none"/>
        </w:rPr>
        <w:t>5.2 监理酬金采用固定总价合同，一包到底，不得变更增加。（</w:t>
      </w:r>
      <w:r>
        <w:rPr>
          <w:rFonts w:hint="eastAsia" w:ascii="宋体" w:hAnsi="宋体" w:eastAsia="宋体" w:cs="宋体"/>
          <w:color w:val="auto"/>
          <w:sz w:val="24"/>
          <w:szCs w:val="24"/>
          <w:highlight w:val="none"/>
        </w:rPr>
        <w:t>如因工程建设进度推迟或延迟而超过书面约定的日期，合同期和监理服务期相应延长，但本工程监理酬金不变。</w:t>
      </w:r>
    </w:p>
    <w:p w14:paraId="741D5397">
      <w:pPr>
        <w:snapToGrid w:val="0"/>
        <w:spacing w:line="600" w:lineRule="atLeas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color w:val="auto"/>
          <w:kern w:val="0"/>
          <w:sz w:val="24"/>
          <w:szCs w:val="24"/>
          <w:highlight w:val="none"/>
        </w:rPr>
        <w:t xml:space="preserve">5.3 支付酬金   </w:t>
      </w:r>
      <w:r>
        <w:rPr>
          <w:rFonts w:hint="eastAsia" w:ascii="宋体" w:hAnsi="宋体" w:eastAsia="宋体" w:cs="宋体"/>
          <w:color w:val="auto"/>
          <w:kern w:val="0"/>
          <w:sz w:val="24"/>
          <w:szCs w:val="24"/>
          <w:highlight w:val="none"/>
        </w:rPr>
        <w:t>正常工作</w:t>
      </w:r>
      <w:r>
        <w:rPr>
          <w:rFonts w:hint="eastAsia" w:ascii="宋体" w:hAnsi="宋体" w:eastAsia="宋体" w:cs="宋体"/>
          <w:color w:val="auto"/>
          <w:sz w:val="24"/>
          <w:szCs w:val="24"/>
          <w:highlight w:val="none"/>
        </w:rPr>
        <w:t>酬金的</w:t>
      </w:r>
      <w:r>
        <w:rPr>
          <w:rFonts w:hint="eastAsia" w:ascii="宋体" w:hAnsi="宋体" w:eastAsia="宋体" w:cs="宋体"/>
          <w:color w:val="auto"/>
          <w:kern w:val="0"/>
          <w:sz w:val="24"/>
          <w:szCs w:val="24"/>
          <w:highlight w:val="none"/>
        </w:rPr>
        <w:t>支付</w:t>
      </w:r>
      <w:r>
        <w:rPr>
          <w:rFonts w:hint="eastAsia" w:ascii="宋体" w:hAnsi="宋体" w:eastAsia="宋体" w:cs="宋体"/>
          <w:color w:val="auto"/>
          <w:sz w:val="24"/>
          <w:szCs w:val="24"/>
          <w:highlight w:val="none"/>
        </w:rPr>
        <w:t>：</w:t>
      </w:r>
    </w:p>
    <w:tbl>
      <w:tblPr>
        <w:tblStyle w:val="23"/>
        <w:tblW w:w="9926"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4820"/>
        <w:gridCol w:w="1417"/>
        <w:gridCol w:w="2268"/>
      </w:tblGrid>
      <w:tr w14:paraId="2589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21" w:type="dxa"/>
            <w:noWrap w:val="0"/>
            <w:vAlign w:val="center"/>
          </w:tcPr>
          <w:p w14:paraId="4234D05B">
            <w:pPr>
              <w:spacing w:line="240" w:lineRule="atLeas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支付次数</w:t>
            </w:r>
          </w:p>
        </w:tc>
        <w:tc>
          <w:tcPr>
            <w:tcW w:w="4820" w:type="dxa"/>
            <w:noWrap w:val="0"/>
            <w:vAlign w:val="center"/>
          </w:tcPr>
          <w:p w14:paraId="743D8C9C">
            <w:pPr>
              <w:spacing w:line="240" w:lineRule="atLeas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w:t>
            </w:r>
          </w:p>
        </w:tc>
        <w:tc>
          <w:tcPr>
            <w:tcW w:w="1417" w:type="dxa"/>
            <w:noWrap w:val="0"/>
            <w:vAlign w:val="center"/>
          </w:tcPr>
          <w:p w14:paraId="3B372901">
            <w:pPr>
              <w:spacing w:line="240" w:lineRule="atLeas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支付比例</w:t>
            </w:r>
          </w:p>
        </w:tc>
        <w:tc>
          <w:tcPr>
            <w:tcW w:w="2268" w:type="dxa"/>
            <w:noWrap w:val="0"/>
            <w:vAlign w:val="center"/>
          </w:tcPr>
          <w:p w14:paraId="10DCF733">
            <w:pPr>
              <w:spacing w:line="240" w:lineRule="atLeas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支付金额（万元）</w:t>
            </w:r>
          </w:p>
        </w:tc>
      </w:tr>
      <w:tr w14:paraId="6758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1" w:type="dxa"/>
            <w:noWrap w:val="0"/>
            <w:vAlign w:val="center"/>
          </w:tcPr>
          <w:p w14:paraId="212F9595">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首付款</w:t>
            </w:r>
          </w:p>
        </w:tc>
        <w:tc>
          <w:tcPr>
            <w:tcW w:w="4820" w:type="dxa"/>
            <w:noWrap w:val="0"/>
            <w:vAlign w:val="center"/>
          </w:tcPr>
          <w:p w14:paraId="2325831F">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监理合同签订后，监理单位提交合同金额</w:t>
            </w:r>
            <w:r>
              <w:rPr>
                <w:rFonts w:hint="eastAsia" w:ascii="宋体" w:hAnsi="宋体" w:eastAsia="宋体" w:cs="宋体"/>
                <w:color w:val="auto"/>
                <w:sz w:val="24"/>
                <w:szCs w:val="24"/>
                <w:highlight w:val="none"/>
                <w:lang w:val="en-US" w:eastAsia="zh-CN"/>
              </w:rPr>
              <w:t>10%履约</w:t>
            </w:r>
            <w:r>
              <w:rPr>
                <w:rFonts w:hint="eastAsia" w:ascii="宋体" w:hAnsi="宋体" w:eastAsia="宋体" w:cs="宋体"/>
                <w:color w:val="auto"/>
                <w:sz w:val="24"/>
                <w:szCs w:val="24"/>
                <w:highlight w:val="none"/>
              </w:rPr>
              <w:t>保函，提供当期等额发票</w:t>
            </w:r>
          </w:p>
        </w:tc>
        <w:tc>
          <w:tcPr>
            <w:tcW w:w="1417" w:type="dxa"/>
            <w:noWrap w:val="0"/>
            <w:vAlign w:val="center"/>
          </w:tcPr>
          <w:p w14:paraId="3C31CB45">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p>
        </w:tc>
        <w:tc>
          <w:tcPr>
            <w:tcW w:w="2268" w:type="dxa"/>
            <w:noWrap w:val="0"/>
            <w:vAlign w:val="center"/>
          </w:tcPr>
          <w:p w14:paraId="289BE3FE">
            <w:pPr>
              <w:spacing w:line="500" w:lineRule="exact"/>
              <w:ind w:left="0" w:leftChars="0" w:firstLine="0" w:firstLineChars="0"/>
              <w:jc w:val="center"/>
              <w:rPr>
                <w:rFonts w:hint="eastAsia" w:ascii="宋体" w:hAnsi="宋体" w:eastAsia="宋体" w:cs="宋体"/>
                <w:color w:val="auto"/>
                <w:sz w:val="24"/>
                <w:szCs w:val="24"/>
                <w:highlight w:val="none"/>
              </w:rPr>
            </w:pPr>
          </w:p>
        </w:tc>
      </w:tr>
      <w:tr w14:paraId="0DF5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21" w:type="dxa"/>
            <w:noWrap w:val="0"/>
            <w:vAlign w:val="center"/>
          </w:tcPr>
          <w:p w14:paraId="67E7FBFC">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第二次付款</w:t>
            </w:r>
          </w:p>
        </w:tc>
        <w:tc>
          <w:tcPr>
            <w:tcW w:w="4820" w:type="dxa"/>
            <w:noWrap w:val="0"/>
            <w:vAlign w:val="center"/>
          </w:tcPr>
          <w:p w14:paraId="1260CEE2">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基础工程验收后办理付款手续；并提供当期等额发票。</w:t>
            </w:r>
          </w:p>
        </w:tc>
        <w:tc>
          <w:tcPr>
            <w:tcW w:w="1417" w:type="dxa"/>
            <w:noWrap w:val="0"/>
            <w:vAlign w:val="center"/>
          </w:tcPr>
          <w:p w14:paraId="69D143DC">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p>
        </w:tc>
        <w:tc>
          <w:tcPr>
            <w:tcW w:w="2268" w:type="dxa"/>
            <w:noWrap w:val="0"/>
            <w:vAlign w:val="center"/>
          </w:tcPr>
          <w:p w14:paraId="7A6FADCD">
            <w:pPr>
              <w:spacing w:line="500" w:lineRule="exact"/>
              <w:ind w:left="0" w:leftChars="0" w:firstLine="0" w:firstLineChars="0"/>
              <w:jc w:val="center"/>
              <w:rPr>
                <w:rFonts w:hint="eastAsia" w:ascii="宋体" w:hAnsi="宋体" w:eastAsia="宋体" w:cs="宋体"/>
                <w:color w:val="auto"/>
                <w:sz w:val="24"/>
                <w:szCs w:val="24"/>
                <w:highlight w:val="none"/>
              </w:rPr>
            </w:pPr>
          </w:p>
        </w:tc>
      </w:tr>
      <w:tr w14:paraId="2714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21" w:type="dxa"/>
            <w:noWrap w:val="0"/>
            <w:vAlign w:val="center"/>
          </w:tcPr>
          <w:p w14:paraId="59BFFE08">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第三次付款</w:t>
            </w:r>
          </w:p>
        </w:tc>
        <w:tc>
          <w:tcPr>
            <w:tcW w:w="4820" w:type="dxa"/>
            <w:noWrap w:val="0"/>
            <w:vAlign w:val="center"/>
          </w:tcPr>
          <w:p w14:paraId="5CC025EE">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滑模结束后办理付款手续；并提供当期等额发票。</w:t>
            </w:r>
          </w:p>
        </w:tc>
        <w:tc>
          <w:tcPr>
            <w:tcW w:w="1417" w:type="dxa"/>
            <w:noWrap w:val="0"/>
            <w:vAlign w:val="center"/>
          </w:tcPr>
          <w:p w14:paraId="195C912F">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c>
          <w:tcPr>
            <w:tcW w:w="2268" w:type="dxa"/>
            <w:noWrap w:val="0"/>
            <w:vAlign w:val="center"/>
          </w:tcPr>
          <w:p w14:paraId="00F88C94">
            <w:pPr>
              <w:spacing w:line="500" w:lineRule="exact"/>
              <w:ind w:left="0" w:leftChars="0" w:firstLine="0" w:firstLineChars="0"/>
              <w:jc w:val="center"/>
              <w:rPr>
                <w:rFonts w:hint="eastAsia" w:ascii="宋体" w:hAnsi="宋体" w:eastAsia="宋体" w:cs="宋体"/>
                <w:color w:val="auto"/>
                <w:sz w:val="24"/>
                <w:szCs w:val="24"/>
                <w:highlight w:val="none"/>
              </w:rPr>
            </w:pPr>
          </w:p>
        </w:tc>
      </w:tr>
      <w:tr w14:paraId="7385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0FEC6790">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第四次付款</w:t>
            </w:r>
          </w:p>
        </w:tc>
        <w:tc>
          <w:tcPr>
            <w:tcW w:w="4820" w:type="dxa"/>
            <w:noWrap w:val="0"/>
            <w:vAlign w:val="center"/>
          </w:tcPr>
          <w:p w14:paraId="0EDEA483">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土建主体工程验收后办理付款手续；并提供当期等额发票。</w:t>
            </w:r>
          </w:p>
        </w:tc>
        <w:tc>
          <w:tcPr>
            <w:tcW w:w="1417" w:type="dxa"/>
            <w:noWrap w:val="0"/>
            <w:vAlign w:val="center"/>
          </w:tcPr>
          <w:p w14:paraId="7556948D">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c>
          <w:tcPr>
            <w:tcW w:w="2268" w:type="dxa"/>
            <w:noWrap w:val="0"/>
            <w:vAlign w:val="center"/>
          </w:tcPr>
          <w:p w14:paraId="2E557838">
            <w:pPr>
              <w:spacing w:line="400" w:lineRule="exact"/>
              <w:ind w:left="0" w:leftChars="0" w:firstLine="0" w:firstLineChars="0"/>
              <w:rPr>
                <w:rFonts w:hint="eastAsia" w:ascii="宋体" w:hAnsi="宋体" w:eastAsia="宋体" w:cs="宋体"/>
                <w:color w:val="auto"/>
                <w:sz w:val="24"/>
                <w:szCs w:val="24"/>
                <w:highlight w:val="none"/>
              </w:rPr>
            </w:pPr>
          </w:p>
        </w:tc>
      </w:tr>
      <w:tr w14:paraId="0C7F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6E04F523">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第五次付款</w:t>
            </w:r>
          </w:p>
        </w:tc>
        <w:tc>
          <w:tcPr>
            <w:tcW w:w="4820" w:type="dxa"/>
            <w:noWrap w:val="0"/>
            <w:vAlign w:val="center"/>
          </w:tcPr>
          <w:p w14:paraId="0FB9BAFA">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屋面、电气</w:t>
            </w:r>
            <w:r>
              <w:rPr>
                <w:rFonts w:hint="eastAsia" w:ascii="宋体" w:hAnsi="宋体" w:eastAsia="宋体" w:cs="宋体"/>
                <w:color w:val="auto"/>
                <w:sz w:val="24"/>
                <w:szCs w:val="24"/>
                <w:highlight w:val="none"/>
                <w:lang w:val="en-US" w:eastAsia="zh-CN"/>
              </w:rPr>
              <w:t>、智能化、</w:t>
            </w:r>
            <w:r>
              <w:rPr>
                <w:rFonts w:hint="eastAsia" w:ascii="宋体" w:hAnsi="宋体" w:eastAsia="宋体" w:cs="宋体"/>
                <w:color w:val="auto"/>
                <w:sz w:val="24"/>
                <w:szCs w:val="24"/>
                <w:highlight w:val="none"/>
              </w:rPr>
              <w:t>给排水、装饰工程验收后办理付款手续；并提供当期等额发票。</w:t>
            </w:r>
          </w:p>
        </w:tc>
        <w:tc>
          <w:tcPr>
            <w:tcW w:w="1417" w:type="dxa"/>
            <w:noWrap w:val="0"/>
            <w:vAlign w:val="center"/>
          </w:tcPr>
          <w:p w14:paraId="54503A29">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68" w:type="dxa"/>
            <w:noWrap w:val="0"/>
            <w:vAlign w:val="center"/>
          </w:tcPr>
          <w:p w14:paraId="5119642B">
            <w:pPr>
              <w:spacing w:line="400" w:lineRule="exact"/>
              <w:ind w:left="0" w:leftChars="0" w:firstLine="0" w:firstLineChars="0"/>
              <w:rPr>
                <w:rFonts w:hint="eastAsia" w:ascii="宋体" w:hAnsi="宋体" w:eastAsia="宋体" w:cs="宋体"/>
                <w:color w:val="auto"/>
                <w:sz w:val="24"/>
                <w:szCs w:val="24"/>
                <w:highlight w:val="none"/>
              </w:rPr>
            </w:pPr>
          </w:p>
        </w:tc>
      </w:tr>
      <w:tr w14:paraId="0C08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21" w:type="dxa"/>
            <w:noWrap w:val="0"/>
            <w:vAlign w:val="center"/>
          </w:tcPr>
          <w:p w14:paraId="08F49781">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第六次付款</w:t>
            </w:r>
          </w:p>
        </w:tc>
        <w:tc>
          <w:tcPr>
            <w:tcW w:w="4820" w:type="dxa"/>
            <w:noWrap w:val="0"/>
            <w:vAlign w:val="center"/>
          </w:tcPr>
          <w:p w14:paraId="3E22D93A">
            <w:pPr>
              <w:spacing w:line="5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通过质监、规划、消防、防雷等部门专项验收后办理付款手续；并提供当期等额发票。</w:t>
            </w:r>
          </w:p>
        </w:tc>
        <w:tc>
          <w:tcPr>
            <w:tcW w:w="1417" w:type="dxa"/>
            <w:noWrap w:val="0"/>
            <w:vAlign w:val="center"/>
          </w:tcPr>
          <w:p w14:paraId="5E66912B">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c>
          <w:tcPr>
            <w:tcW w:w="2268" w:type="dxa"/>
            <w:noWrap w:val="0"/>
            <w:vAlign w:val="center"/>
          </w:tcPr>
          <w:p w14:paraId="534DB595">
            <w:pPr>
              <w:spacing w:line="500" w:lineRule="exact"/>
              <w:ind w:left="0" w:leftChars="0" w:firstLine="0" w:firstLineChars="0"/>
              <w:jc w:val="center"/>
              <w:rPr>
                <w:rFonts w:hint="eastAsia" w:ascii="宋体" w:hAnsi="宋体" w:eastAsia="宋体" w:cs="宋体"/>
                <w:color w:val="auto"/>
                <w:sz w:val="24"/>
                <w:szCs w:val="24"/>
                <w:highlight w:val="none"/>
              </w:rPr>
            </w:pPr>
          </w:p>
        </w:tc>
      </w:tr>
      <w:tr w14:paraId="3825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21" w:type="dxa"/>
            <w:noWrap w:val="0"/>
            <w:vAlign w:val="center"/>
          </w:tcPr>
          <w:p w14:paraId="1A1DFFDA">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第七次付款</w:t>
            </w:r>
          </w:p>
        </w:tc>
        <w:tc>
          <w:tcPr>
            <w:tcW w:w="4820" w:type="dxa"/>
            <w:noWrap w:val="0"/>
            <w:vAlign w:val="center"/>
          </w:tcPr>
          <w:p w14:paraId="2EE96842">
            <w:pPr>
              <w:spacing w:line="5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工程竣工预验收后办理付款手续；并提供当期等额发票。</w:t>
            </w:r>
          </w:p>
        </w:tc>
        <w:tc>
          <w:tcPr>
            <w:tcW w:w="1417" w:type="dxa"/>
            <w:noWrap w:val="0"/>
            <w:vAlign w:val="center"/>
          </w:tcPr>
          <w:p w14:paraId="415F5F33">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c>
          <w:tcPr>
            <w:tcW w:w="2268" w:type="dxa"/>
            <w:noWrap w:val="0"/>
            <w:vAlign w:val="center"/>
          </w:tcPr>
          <w:p w14:paraId="66B333D0">
            <w:pPr>
              <w:spacing w:line="500" w:lineRule="exact"/>
              <w:ind w:left="0" w:leftChars="0" w:firstLine="0" w:firstLineChars="0"/>
              <w:jc w:val="center"/>
              <w:rPr>
                <w:rFonts w:hint="eastAsia" w:ascii="宋体" w:hAnsi="宋体" w:eastAsia="宋体" w:cs="宋体"/>
                <w:color w:val="auto"/>
                <w:sz w:val="24"/>
                <w:szCs w:val="24"/>
                <w:highlight w:val="none"/>
              </w:rPr>
            </w:pPr>
          </w:p>
        </w:tc>
      </w:tr>
      <w:tr w14:paraId="2592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21" w:type="dxa"/>
            <w:noWrap w:val="0"/>
            <w:vAlign w:val="center"/>
          </w:tcPr>
          <w:p w14:paraId="3A550EAC">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第八次付款</w:t>
            </w:r>
          </w:p>
        </w:tc>
        <w:tc>
          <w:tcPr>
            <w:tcW w:w="4820" w:type="dxa"/>
            <w:noWrap w:val="0"/>
            <w:vAlign w:val="center"/>
          </w:tcPr>
          <w:p w14:paraId="06AF1174">
            <w:pPr>
              <w:spacing w:line="5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工程结算完成后办理付款手续；并提供当期等额发票。</w:t>
            </w:r>
          </w:p>
        </w:tc>
        <w:tc>
          <w:tcPr>
            <w:tcW w:w="1417" w:type="dxa"/>
            <w:noWrap w:val="0"/>
            <w:vAlign w:val="center"/>
          </w:tcPr>
          <w:p w14:paraId="0C16D652">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c>
          <w:tcPr>
            <w:tcW w:w="2268" w:type="dxa"/>
            <w:noWrap w:val="0"/>
            <w:vAlign w:val="center"/>
          </w:tcPr>
          <w:p w14:paraId="2E46E491">
            <w:pPr>
              <w:spacing w:line="500" w:lineRule="exact"/>
              <w:ind w:left="0" w:leftChars="0" w:firstLine="0" w:firstLineChars="0"/>
              <w:jc w:val="center"/>
              <w:rPr>
                <w:rFonts w:hint="eastAsia" w:ascii="宋体" w:hAnsi="宋体" w:eastAsia="宋体" w:cs="宋体"/>
                <w:color w:val="auto"/>
                <w:sz w:val="24"/>
                <w:szCs w:val="24"/>
                <w:highlight w:val="none"/>
              </w:rPr>
            </w:pPr>
          </w:p>
        </w:tc>
      </w:tr>
      <w:tr w14:paraId="1B53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421" w:type="dxa"/>
            <w:noWrap w:val="0"/>
            <w:vAlign w:val="center"/>
          </w:tcPr>
          <w:p w14:paraId="546C27B8">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第九次付款</w:t>
            </w:r>
          </w:p>
        </w:tc>
        <w:tc>
          <w:tcPr>
            <w:tcW w:w="4820" w:type="dxa"/>
            <w:noWrap w:val="0"/>
            <w:vAlign w:val="center"/>
          </w:tcPr>
          <w:p w14:paraId="5CA2E069">
            <w:pPr>
              <w:spacing w:line="500" w:lineRule="exact"/>
              <w:ind w:firstLine="0" w:firstLineChars="0"/>
              <w:jc w:val="left"/>
              <w:rPr>
                <w:rFonts w:hint="eastAsia" w:ascii="宋体" w:hAnsi="宋体" w:eastAsia="仿宋" w:cs="宋体"/>
                <w:color w:val="auto"/>
                <w:sz w:val="24"/>
                <w:szCs w:val="24"/>
                <w:highlight w:val="none"/>
                <w:lang w:eastAsia="zh-CN"/>
              </w:rPr>
            </w:pPr>
            <w:r>
              <w:rPr>
                <w:rFonts w:hint="eastAsia" w:ascii="宋体" w:hAnsi="宋体" w:eastAsia="宋体" w:cs="宋体"/>
                <w:color w:val="auto"/>
                <w:sz w:val="24"/>
                <w:szCs w:val="24"/>
                <w:highlight w:val="none"/>
              </w:rPr>
              <w:t>工程竣工且服务内容全部完成后30个工作日内支付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并提供当期等额发票。</w:t>
            </w:r>
          </w:p>
        </w:tc>
        <w:tc>
          <w:tcPr>
            <w:tcW w:w="1417" w:type="dxa"/>
            <w:noWrap w:val="0"/>
            <w:vAlign w:val="center"/>
          </w:tcPr>
          <w:p w14:paraId="3E4E849F">
            <w:pPr>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c>
          <w:tcPr>
            <w:tcW w:w="2268" w:type="dxa"/>
            <w:noWrap w:val="0"/>
            <w:vAlign w:val="center"/>
          </w:tcPr>
          <w:p w14:paraId="165D566C">
            <w:pPr>
              <w:spacing w:line="500" w:lineRule="exact"/>
              <w:ind w:left="0" w:leftChars="0" w:firstLine="0" w:firstLineChars="0"/>
              <w:jc w:val="center"/>
              <w:rPr>
                <w:rFonts w:hint="eastAsia" w:ascii="宋体" w:hAnsi="宋体" w:eastAsia="宋体" w:cs="宋体"/>
                <w:color w:val="auto"/>
                <w:sz w:val="24"/>
                <w:szCs w:val="24"/>
                <w:highlight w:val="none"/>
              </w:rPr>
            </w:pPr>
          </w:p>
        </w:tc>
      </w:tr>
    </w:tbl>
    <w:p w14:paraId="4A7C7B02">
      <w:pPr>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b/>
          <w:bCs/>
          <w:color w:val="auto"/>
          <w:sz w:val="24"/>
          <w:szCs w:val="24"/>
          <w:highlight w:val="none"/>
        </w:rPr>
        <w:t>. 合同生效、变更、暂停、解除与终止</w:t>
      </w:r>
    </w:p>
    <w:p w14:paraId="5E6A81C8">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生效</w:t>
      </w:r>
    </w:p>
    <w:p w14:paraId="7615B6D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本合同生效条件：</w:t>
      </w:r>
      <w:r>
        <w:rPr>
          <w:rFonts w:hint="eastAsia" w:ascii="宋体" w:hAnsi="宋体" w:eastAsia="宋体" w:cs="宋体"/>
          <w:color w:val="auto"/>
          <w:sz w:val="24"/>
          <w:szCs w:val="24"/>
          <w:highlight w:val="none"/>
          <w:u w:val="single"/>
        </w:rPr>
        <w:t xml:space="preserve">经双方签字盖章后生效 </w:t>
      </w:r>
      <w:r>
        <w:rPr>
          <w:rFonts w:hint="eastAsia" w:ascii="宋体" w:hAnsi="宋体" w:eastAsia="宋体" w:cs="宋体"/>
          <w:color w:val="auto"/>
          <w:sz w:val="24"/>
          <w:szCs w:val="24"/>
          <w:highlight w:val="none"/>
        </w:rPr>
        <w:t>。</w:t>
      </w:r>
    </w:p>
    <w:p w14:paraId="40A7850D">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6.2 变更</w:t>
      </w:r>
    </w:p>
    <w:p w14:paraId="00F0C4A2">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6.2.2如因工程建设进度推迟或延迟而超过书面约定的日期，合同期和监理服务期相应延长，但本工程监理酬金不变。</w:t>
      </w:r>
    </w:p>
    <w:p w14:paraId="6CD6C4C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 因工程规模、监理范围的变化导致监理人的正常工作量减少时，按减少工作量的比例从协议书约定的正常工作酬金中扣减相同比例的酬金。</w:t>
      </w:r>
    </w:p>
    <w:p w14:paraId="06EBE2B6">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7. 争议解决</w:t>
      </w:r>
    </w:p>
    <w:p w14:paraId="6C7D1ADB">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7.2 </w:t>
      </w:r>
      <w:r>
        <w:rPr>
          <w:rFonts w:hint="eastAsia" w:ascii="宋体" w:hAnsi="宋体" w:eastAsia="宋体" w:cs="宋体"/>
          <w:b/>
          <w:bCs/>
          <w:color w:val="auto"/>
          <w:sz w:val="24"/>
          <w:szCs w:val="24"/>
          <w:highlight w:val="none"/>
        </w:rPr>
        <w:t>调解</w:t>
      </w:r>
    </w:p>
    <w:p w14:paraId="372FBA6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本合同争议进行调解时，可提交</w:t>
      </w:r>
      <w:r>
        <w:rPr>
          <w:rFonts w:hint="eastAsia" w:ascii="宋体" w:hAnsi="宋体" w:eastAsia="宋体" w:cs="宋体"/>
          <w:color w:val="auto"/>
          <w:sz w:val="24"/>
          <w:szCs w:val="24"/>
          <w:highlight w:val="none"/>
          <w:u w:val="single"/>
        </w:rPr>
        <w:t xml:space="preserve"> 经双方协商确定的第三人 </w:t>
      </w:r>
      <w:r>
        <w:rPr>
          <w:rFonts w:hint="eastAsia" w:ascii="宋体" w:hAnsi="宋体" w:eastAsia="宋体" w:cs="宋体"/>
          <w:color w:val="auto"/>
          <w:sz w:val="24"/>
          <w:szCs w:val="24"/>
          <w:highlight w:val="none"/>
        </w:rPr>
        <w:t>进行调解。</w:t>
      </w:r>
    </w:p>
    <w:p w14:paraId="7762716A">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7.3 </w:t>
      </w:r>
      <w:r>
        <w:rPr>
          <w:rFonts w:hint="eastAsia" w:ascii="宋体" w:hAnsi="宋体" w:eastAsia="宋体" w:cs="宋体"/>
          <w:b/>
          <w:bCs/>
          <w:color w:val="auto"/>
          <w:sz w:val="24"/>
          <w:szCs w:val="24"/>
          <w:highlight w:val="none"/>
        </w:rPr>
        <w:t>仲裁或诉讼</w:t>
      </w:r>
    </w:p>
    <w:p w14:paraId="1D1396A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合同争议的最终解决方式为下列第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w:t>
      </w:r>
    </w:p>
    <w:p w14:paraId="0A56CA9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（1）提请</w:t>
      </w:r>
      <w:r>
        <w:rPr>
          <w:rFonts w:hint="eastAsia" w:ascii="宋体" w:hAnsi="宋体" w:eastAsia="宋体" w:cs="宋体"/>
          <w:color w:val="auto"/>
          <w:sz w:val="24"/>
          <w:szCs w:val="24"/>
          <w:highlight w:val="none"/>
          <w:u w:val="single"/>
        </w:rPr>
        <w:t xml:space="preserve"> 广州市仲裁委员会 </w:t>
      </w:r>
      <w:r>
        <w:rPr>
          <w:rFonts w:hint="eastAsia" w:ascii="宋体" w:hAnsi="宋体" w:eastAsia="宋体" w:cs="宋体"/>
          <w:color w:val="auto"/>
          <w:sz w:val="24"/>
          <w:szCs w:val="24"/>
          <w:highlight w:val="none"/>
        </w:rPr>
        <w:t>进行仲裁。</w:t>
      </w:r>
    </w:p>
    <w:p w14:paraId="476FCFE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广州</w:t>
      </w:r>
      <w:r>
        <w:rPr>
          <w:rFonts w:hint="eastAsia" w:ascii="宋体" w:hAnsi="宋体" w:eastAsia="宋体" w:cs="宋体"/>
          <w:color w:val="auto"/>
          <w:sz w:val="24"/>
          <w:szCs w:val="24"/>
          <w:highlight w:val="none"/>
          <w:u w:val="single"/>
        </w:rPr>
        <w:t xml:space="preserve">市 </w:t>
      </w:r>
      <w:r>
        <w:rPr>
          <w:rFonts w:hint="eastAsia" w:ascii="宋体" w:hAnsi="宋体" w:eastAsia="宋体" w:cs="宋体"/>
          <w:color w:val="auto"/>
          <w:sz w:val="24"/>
          <w:szCs w:val="24"/>
          <w:highlight w:val="none"/>
        </w:rPr>
        <w:t>人民法院提起诉讼。</w:t>
      </w:r>
    </w:p>
    <w:p w14:paraId="6EA6E152">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 其他</w:t>
      </w:r>
    </w:p>
    <w:p w14:paraId="36E3BC01">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8.2 检测费用</w:t>
      </w:r>
    </w:p>
    <w:p w14:paraId="790F4E51">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无此项</w:t>
      </w:r>
    </w:p>
    <w:p w14:paraId="2F40501E">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8.3 咨询费用</w:t>
      </w:r>
    </w:p>
    <w:p w14:paraId="437A1E19">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无此项</w:t>
      </w:r>
      <w:r>
        <w:rPr>
          <w:rFonts w:hint="eastAsia" w:ascii="宋体" w:hAnsi="宋体" w:eastAsia="宋体" w:cs="宋体"/>
          <w:bCs/>
          <w:color w:val="auto"/>
          <w:sz w:val="24"/>
          <w:szCs w:val="24"/>
          <w:highlight w:val="none"/>
        </w:rPr>
        <w:t>。</w:t>
      </w:r>
    </w:p>
    <w:p w14:paraId="49F32CC0">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8.4 奖励</w:t>
      </w:r>
    </w:p>
    <w:p w14:paraId="4114648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无此项</w:t>
      </w:r>
      <w:r>
        <w:rPr>
          <w:rFonts w:hint="eastAsia" w:ascii="宋体" w:hAnsi="宋体" w:eastAsia="宋体" w:cs="宋体"/>
          <w:color w:val="auto"/>
          <w:sz w:val="24"/>
          <w:szCs w:val="24"/>
          <w:highlight w:val="none"/>
        </w:rPr>
        <w:t>。</w:t>
      </w:r>
    </w:p>
    <w:p w14:paraId="6E19EEB2">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 xml:space="preserve"> 保密</w:t>
      </w:r>
    </w:p>
    <w:p w14:paraId="6C77B0FA">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委托人申明的保密事项和期限：</w:t>
      </w:r>
      <w:r>
        <w:rPr>
          <w:rFonts w:hint="eastAsia" w:ascii="宋体" w:hAnsi="宋体" w:eastAsia="宋体" w:cs="宋体"/>
          <w:color w:val="auto"/>
          <w:sz w:val="24"/>
          <w:szCs w:val="24"/>
          <w:highlight w:val="none"/>
          <w:u w:val="single"/>
        </w:rPr>
        <w:t xml:space="preserve"> 委托人提供的项目设计文件和与本项目相关的一切资料，保密期限为本合同生效之日至终止后十年 </w:t>
      </w:r>
      <w:r>
        <w:rPr>
          <w:rFonts w:hint="eastAsia" w:ascii="宋体" w:hAnsi="宋体" w:eastAsia="宋体" w:cs="宋体"/>
          <w:color w:val="auto"/>
          <w:sz w:val="24"/>
          <w:szCs w:val="24"/>
          <w:highlight w:val="none"/>
        </w:rPr>
        <w:t>。</w:t>
      </w:r>
    </w:p>
    <w:p w14:paraId="3DB44D61">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监理人申明的保密事项和期限：</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4CD34350">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第三方申明的保密事项和期限：</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BF88FF6">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cs="宋体"/>
          <w:b/>
          <w:color w:val="auto"/>
          <w:sz w:val="24"/>
          <w:szCs w:val="24"/>
          <w:highlight w:val="none"/>
          <w:lang w:val="en-US" w:eastAsia="zh-CN"/>
        </w:rPr>
        <w:t>.6</w:t>
      </w:r>
      <w:r>
        <w:rPr>
          <w:rFonts w:hint="eastAsia" w:ascii="宋体" w:hAnsi="宋体" w:eastAsia="宋体" w:cs="宋体"/>
          <w:b/>
          <w:bCs/>
          <w:color w:val="auto"/>
          <w:sz w:val="24"/>
          <w:szCs w:val="24"/>
          <w:highlight w:val="none"/>
        </w:rPr>
        <w:t>著作权</w:t>
      </w:r>
    </w:p>
    <w:p w14:paraId="61C4AC9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监理人在本合同履行期间及本合同终止后两年内出版涉及本工程的有关监理与相关服务的资料的限制条件：</w:t>
      </w:r>
      <w:r>
        <w:rPr>
          <w:rFonts w:hint="eastAsia" w:ascii="宋体" w:hAnsi="宋体" w:eastAsia="宋体" w:cs="宋体"/>
          <w:color w:val="auto"/>
          <w:sz w:val="24"/>
          <w:szCs w:val="24"/>
          <w:highlight w:val="none"/>
          <w:u w:val="single"/>
        </w:rPr>
        <w:t>需书面通知委托人并经委托人同意</w:t>
      </w:r>
      <w:r>
        <w:rPr>
          <w:rFonts w:hint="eastAsia" w:ascii="宋体" w:hAnsi="宋体" w:eastAsia="宋体" w:cs="宋体"/>
          <w:color w:val="auto"/>
          <w:sz w:val="24"/>
          <w:szCs w:val="24"/>
          <w:highlight w:val="none"/>
        </w:rPr>
        <w:t>。</w:t>
      </w:r>
    </w:p>
    <w:p w14:paraId="15199768">
      <w:pPr>
        <w:adjustRightInd w:val="0"/>
        <w:snapToGrid w:val="0"/>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 补充条款</w:t>
      </w:r>
    </w:p>
    <w:p w14:paraId="7636F475">
      <w:pPr>
        <w:adjustRightInd w:val="0"/>
        <w:snapToGrid w:val="0"/>
        <w:spacing w:before="120" w:beforeLines="50" w:after="120" w:after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（1)监理单位必须按投标文件内项目架构配备监理人员，监理人员必须持证上岗，如需更换监理人员需经过委托人同意；</w:t>
      </w:r>
    </w:p>
    <w:p w14:paraId="668B531E">
      <w:pPr>
        <w:adjustRightInd w:val="0"/>
        <w:snapToGrid w:val="0"/>
        <w:spacing w:before="120" w:beforeLines="50" w:after="120" w:after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 在本工程监理期间，总监理工程师不得擅自更换；总监理工程师必须按规定驻场且不能担任其他在建项目的总监。</w:t>
      </w:r>
    </w:p>
    <w:p w14:paraId="6EF14C98">
      <w:pPr>
        <w:adjustRightInd w:val="0"/>
        <w:snapToGrid w:val="0"/>
        <w:spacing w:before="120" w:beforeLines="50" w:after="120" w:after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 委托人免费向监理机构提供如下设施：1、必要的生活用房，2、提供必要的食堂搭伙条件，费用由监理机构自理，委托人对监理人自备的设施不给予经济补偿；</w:t>
      </w:r>
    </w:p>
    <w:p w14:paraId="3E1E83D3">
      <w:pPr>
        <w:adjustRightInd w:val="0"/>
        <w:snapToGrid w:val="0"/>
        <w:spacing w:before="120" w:beforeLines="50" w:after="120" w:after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 本合同自202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  月  日开始实施，至工程竣工验收结束，总工期暂定为</w:t>
      </w:r>
      <w:r>
        <w:rPr>
          <w:rFonts w:hint="eastAsia" w:ascii="宋体" w:hAnsi="宋体" w:cs="宋体"/>
          <w:color w:val="auto"/>
          <w:sz w:val="24"/>
          <w:szCs w:val="24"/>
          <w:highlight w:val="none"/>
          <w:u w:val="single"/>
          <w:lang w:val="en-US" w:eastAsia="zh-CN"/>
        </w:rPr>
        <w:t>720</w:t>
      </w:r>
      <w:r>
        <w:rPr>
          <w:rFonts w:hint="eastAsia" w:ascii="宋体" w:hAnsi="宋体" w:eastAsia="宋体" w:cs="宋体"/>
          <w:color w:val="auto"/>
          <w:sz w:val="24"/>
          <w:szCs w:val="24"/>
          <w:highlight w:val="none"/>
          <w:u w:val="single"/>
        </w:rPr>
        <w:t>日历天</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以工程施工实际情况为准）</w:t>
      </w:r>
      <w:r>
        <w:rPr>
          <w:rFonts w:hint="eastAsia" w:ascii="宋体" w:hAnsi="宋体" w:eastAsia="宋体" w:cs="宋体"/>
          <w:color w:val="auto"/>
          <w:sz w:val="24"/>
          <w:szCs w:val="24"/>
          <w:highlight w:val="none"/>
          <w:u w:val="single"/>
        </w:rPr>
        <w:t>，监理人进场时间以委托人书面通知为准；</w:t>
      </w:r>
    </w:p>
    <w:p w14:paraId="534E6FB9">
      <w:pPr>
        <w:adjustRightInd w:val="0"/>
        <w:snapToGrid w:val="0"/>
        <w:spacing w:before="120" w:beforeLines="50" w:after="120" w:after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 因监理人的直接责任，造成本工程在质量、安全方面被省市工程建设主管部门通报批评或受到处罚，或造成本工程进度严重滞后，由监理人支付委托人不超过合</w:t>
      </w:r>
      <w:r>
        <w:rPr>
          <w:rFonts w:hint="eastAsia" w:ascii="宋体" w:hAnsi="宋体" w:eastAsia="宋体" w:cs="宋体"/>
          <w:color w:val="auto"/>
          <w:sz w:val="24"/>
          <w:szCs w:val="24"/>
          <w:highlight w:val="none"/>
          <w:u w:val="single"/>
          <w:lang w:eastAsia="zh-CN"/>
        </w:rPr>
        <w:t>同</w:t>
      </w:r>
      <w:r>
        <w:rPr>
          <w:rFonts w:hint="eastAsia" w:ascii="宋体" w:hAnsi="宋体" w:eastAsia="宋体" w:cs="宋体"/>
          <w:color w:val="auto"/>
          <w:sz w:val="24"/>
          <w:szCs w:val="24"/>
          <w:highlight w:val="none"/>
          <w:u w:val="single"/>
        </w:rPr>
        <w:t>总价50%的违约金（扣除税金）；</w:t>
      </w:r>
    </w:p>
    <w:p w14:paraId="53597B73">
      <w:pPr>
        <w:adjustRightInd w:val="0"/>
        <w:snapToGrid w:val="0"/>
        <w:spacing w:before="120" w:beforeLines="50" w:after="120" w:after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（6）因监理人的直接责任，造成现场出现质量、安全及进度问题的，由监理人支付委托人1万元</w:t>
      </w:r>
      <w:r>
        <w:rPr>
          <w:rFonts w:hint="eastAsia" w:ascii="宋体" w:hAnsi="宋体" w:eastAsia="宋体" w:cs="宋体"/>
          <w:color w:val="auto"/>
          <w:sz w:val="24"/>
          <w:szCs w:val="24"/>
          <w:highlight w:val="none"/>
          <w:u w:val="single"/>
          <w:lang w:val="en-US" w:eastAsia="zh-CN"/>
        </w:rPr>
        <w:t>违约金</w:t>
      </w:r>
      <w:r>
        <w:rPr>
          <w:rFonts w:hint="eastAsia" w:ascii="宋体" w:hAnsi="宋体" w:eastAsia="宋体" w:cs="宋体"/>
          <w:color w:val="auto"/>
          <w:sz w:val="24"/>
          <w:szCs w:val="24"/>
          <w:highlight w:val="none"/>
          <w:u w:val="single"/>
        </w:rPr>
        <w:t>（扣除税金）同一问题多次出现的，每次违约金按前次的 2 倍递增，累计不超过合同总价</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0%；</w:t>
      </w:r>
    </w:p>
    <w:p w14:paraId="371689D4">
      <w:pPr>
        <w:adjustRightInd w:val="0"/>
        <w:snapToGrid w:val="0"/>
        <w:spacing w:before="120" w:beforeLines="50" w:after="120" w:after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除合同约定的监理人责任外，监理人还需对有电梯安装的施工现场安全生产负监理责任；督促施工总承包企业与电梯安装单位签订安全管理合同，明确各自安全责任；</w:t>
      </w:r>
    </w:p>
    <w:p w14:paraId="51F50650">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 投标文件承诺的总监理工程师及所有监理工程师应保持每月不少于20天驻现场，</w:t>
      </w:r>
      <w:r>
        <w:rPr>
          <w:rFonts w:hint="eastAsia" w:ascii="宋体" w:hAnsi="宋体" w:cs="宋体"/>
          <w:color w:val="auto"/>
          <w:sz w:val="24"/>
          <w:szCs w:val="24"/>
          <w:highlight w:val="none"/>
          <w:u w:val="single"/>
          <w:lang w:val="en-US" w:eastAsia="zh-CN"/>
        </w:rPr>
        <w:t>连续</w:t>
      </w:r>
      <w:r>
        <w:rPr>
          <w:rFonts w:hint="eastAsia" w:ascii="宋体" w:hAnsi="宋体" w:eastAsia="宋体" w:cs="宋体"/>
          <w:color w:val="auto"/>
          <w:sz w:val="24"/>
          <w:szCs w:val="24"/>
          <w:highlight w:val="none"/>
          <w:u w:val="single"/>
        </w:rPr>
        <w:t>离开现场超过3日，应事先征得发包人同意，否则每日承担违约金5000元，累计3次违约，委托人将保留取消监理合同的权利，监理人承担由此产生的损失。当委托人认为监理人总监理工程师或其他任何一位监理工程师在工程管理方面不能满足施工要求时，委托人可以要求更换人选，中标人须在收到委托人发出的更换人选书面通知后5个工作日内无条件调整到位，更换后的人选不能低于投标文件承诺的资质、业绩、职称、执业资格及驻场时间要求，且不得调整专业种类，否则按监理人违约处理。</w:t>
      </w:r>
    </w:p>
    <w:p w14:paraId="69F533A1">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监理人在投标文件中承诺的人员架构和驻场服务人员未经委托人同意不能随意更换。监理人主动提出对投标文件承诺的总监进行更换的，</w:t>
      </w:r>
      <w:r>
        <w:rPr>
          <w:rFonts w:hint="eastAsia" w:ascii="宋体" w:hAnsi="宋体" w:cs="宋体"/>
          <w:color w:val="auto"/>
          <w:sz w:val="24"/>
          <w:szCs w:val="24"/>
          <w:highlight w:val="none"/>
          <w:u w:val="single"/>
          <w:lang w:val="en-US" w:eastAsia="zh-CN"/>
        </w:rPr>
        <w:t>须</w:t>
      </w:r>
      <w:r>
        <w:rPr>
          <w:rFonts w:hint="eastAsia" w:ascii="宋体" w:hAnsi="宋体" w:eastAsia="宋体" w:cs="宋体"/>
          <w:color w:val="auto"/>
          <w:sz w:val="24"/>
          <w:szCs w:val="24"/>
          <w:highlight w:val="none"/>
          <w:u w:val="single"/>
        </w:rPr>
        <w:t>经委托人书面同意</w:t>
      </w:r>
      <w:r>
        <w:rPr>
          <w:rFonts w:hint="eastAsia" w:ascii="宋体" w:hAnsi="宋体" w:eastAsia="宋体" w:cs="宋体"/>
          <w:color w:val="auto"/>
          <w:sz w:val="24"/>
          <w:szCs w:val="24"/>
          <w:highlight w:val="none"/>
          <w:u w:val="single"/>
          <w:lang w:val="en-US" w:eastAsia="zh-CN"/>
        </w:rPr>
        <w:t>并</w:t>
      </w:r>
      <w:r>
        <w:rPr>
          <w:rFonts w:hint="eastAsia" w:ascii="宋体" w:hAnsi="宋体" w:eastAsia="宋体" w:cs="宋体"/>
          <w:color w:val="auto"/>
          <w:sz w:val="24"/>
          <w:szCs w:val="24"/>
          <w:highlight w:val="none"/>
          <w:u w:val="single"/>
        </w:rPr>
        <w:t>向委托人支付20万元</w:t>
      </w:r>
      <w:r>
        <w:rPr>
          <w:rFonts w:hint="eastAsia" w:ascii="宋体" w:hAnsi="宋体" w:eastAsia="宋体" w:cs="宋体"/>
          <w:color w:val="auto"/>
          <w:sz w:val="24"/>
          <w:szCs w:val="24"/>
          <w:highlight w:val="none"/>
          <w:u w:val="single"/>
          <w:lang w:val="en-US" w:eastAsia="zh-CN"/>
        </w:rPr>
        <w:t>违约金</w:t>
      </w:r>
      <w:r>
        <w:rPr>
          <w:rFonts w:hint="eastAsia" w:ascii="宋体" w:hAnsi="宋体" w:cs="宋体"/>
          <w:color w:val="auto"/>
          <w:sz w:val="24"/>
          <w:szCs w:val="24"/>
          <w:highlight w:val="none"/>
          <w:u w:val="single"/>
          <w:lang w:val="en-US" w:eastAsia="zh-CN"/>
        </w:rPr>
        <w:t>后</w:t>
      </w:r>
      <w:r>
        <w:rPr>
          <w:rFonts w:hint="eastAsia" w:ascii="宋体" w:hAnsi="宋体" w:eastAsia="宋体" w:cs="宋体"/>
          <w:color w:val="auto"/>
          <w:sz w:val="24"/>
          <w:szCs w:val="24"/>
          <w:highlight w:val="none"/>
          <w:u w:val="single"/>
        </w:rPr>
        <w:t>，才能更换。监理人主动提出对投标文件承诺的除总监外的其他监理工程师进行更换的，</w:t>
      </w:r>
      <w:r>
        <w:rPr>
          <w:rFonts w:hint="eastAsia" w:ascii="宋体" w:hAnsi="宋体" w:cs="宋体"/>
          <w:color w:val="auto"/>
          <w:sz w:val="24"/>
          <w:szCs w:val="24"/>
          <w:highlight w:val="none"/>
          <w:u w:val="single"/>
          <w:lang w:val="en-US" w:eastAsia="zh-CN"/>
        </w:rPr>
        <w:t>须</w:t>
      </w:r>
      <w:r>
        <w:rPr>
          <w:rFonts w:hint="eastAsia" w:ascii="宋体" w:hAnsi="宋体" w:eastAsia="宋体" w:cs="宋体"/>
          <w:color w:val="auto"/>
          <w:sz w:val="24"/>
          <w:szCs w:val="24"/>
          <w:highlight w:val="none"/>
          <w:u w:val="single"/>
        </w:rPr>
        <w:t>经委托人书面同意</w:t>
      </w:r>
      <w:r>
        <w:rPr>
          <w:rFonts w:hint="eastAsia" w:ascii="宋体" w:hAnsi="宋体" w:eastAsia="宋体" w:cs="宋体"/>
          <w:color w:val="auto"/>
          <w:sz w:val="24"/>
          <w:szCs w:val="24"/>
          <w:highlight w:val="none"/>
          <w:u w:val="single"/>
          <w:lang w:val="en-US" w:eastAsia="zh-CN"/>
        </w:rPr>
        <w:t>并</w:t>
      </w:r>
      <w:r>
        <w:rPr>
          <w:rFonts w:hint="eastAsia" w:ascii="宋体" w:hAnsi="宋体" w:eastAsia="宋体" w:cs="宋体"/>
          <w:color w:val="auto"/>
          <w:sz w:val="24"/>
          <w:szCs w:val="24"/>
          <w:highlight w:val="none"/>
          <w:u w:val="single"/>
        </w:rPr>
        <w:t>向委托人支付5万元</w:t>
      </w:r>
      <w:r>
        <w:rPr>
          <w:rFonts w:hint="eastAsia" w:ascii="宋体" w:hAnsi="宋体" w:cs="宋体"/>
          <w:color w:val="auto"/>
          <w:sz w:val="24"/>
          <w:szCs w:val="24"/>
          <w:highlight w:val="none"/>
          <w:u w:val="single"/>
          <w:lang w:val="en-US" w:eastAsia="zh-CN"/>
        </w:rPr>
        <w:t>/人/次违约金</w:t>
      </w:r>
      <w:r>
        <w:rPr>
          <w:rFonts w:hint="eastAsia" w:ascii="宋体" w:hAnsi="宋体" w:eastAsia="宋体" w:cs="宋体"/>
          <w:color w:val="auto"/>
          <w:sz w:val="24"/>
          <w:szCs w:val="24"/>
          <w:highlight w:val="none"/>
          <w:u w:val="single"/>
        </w:rPr>
        <w:t>后，才能更换。更换后的人选不能低于投标文件承诺的资质、业绩、职称、执业资格及驻场时间要求，且不得调整专业种类。</w:t>
      </w:r>
    </w:p>
    <w:p w14:paraId="2C8F08A4">
      <w:pPr>
        <w:widowControl/>
        <w:spacing w:line="360" w:lineRule="auto"/>
        <w:ind w:firstLine="480" w:firstLineChars="200"/>
        <w:jc w:val="left"/>
        <w:rPr>
          <w:rFonts w:hint="eastAsia" w:ascii="宋体" w:hAnsi="宋体" w:eastAsia="宋体" w:cs="宋体"/>
          <w:color w:val="auto"/>
          <w:sz w:val="24"/>
          <w:szCs w:val="24"/>
          <w:highlight w:val="none"/>
          <w:u w:val="single"/>
        </w:rPr>
      </w:pPr>
    </w:p>
    <w:p w14:paraId="26633C9F">
      <w:pPr>
        <w:widowControl/>
        <w:spacing w:line="360" w:lineRule="auto"/>
        <w:ind w:firstLine="480" w:firstLineChars="200"/>
        <w:jc w:val="left"/>
        <w:rPr>
          <w:rFonts w:hint="eastAsia" w:ascii="宋体" w:hAnsi="宋体" w:eastAsia="宋体" w:cs="宋体"/>
          <w:color w:val="auto"/>
          <w:sz w:val="24"/>
          <w:szCs w:val="24"/>
          <w:highlight w:val="none"/>
          <w:u w:val="single"/>
        </w:rPr>
      </w:pPr>
    </w:p>
    <w:p w14:paraId="104B75E3">
      <w:pPr>
        <w:widowControl/>
        <w:spacing w:line="360" w:lineRule="auto"/>
        <w:ind w:firstLine="480" w:firstLineChars="200"/>
        <w:jc w:val="left"/>
        <w:rPr>
          <w:rFonts w:hint="eastAsia" w:ascii="宋体" w:hAnsi="宋体" w:eastAsia="宋体" w:cs="宋体"/>
          <w:color w:val="auto"/>
          <w:sz w:val="24"/>
          <w:szCs w:val="24"/>
          <w:highlight w:val="none"/>
          <w:u w:val="single"/>
        </w:rPr>
      </w:pPr>
    </w:p>
    <w:p w14:paraId="667EB40A">
      <w:pPr>
        <w:widowControl/>
        <w:spacing w:line="360" w:lineRule="auto"/>
        <w:ind w:firstLine="480" w:firstLineChars="200"/>
        <w:jc w:val="left"/>
        <w:rPr>
          <w:rFonts w:hint="eastAsia" w:ascii="宋体" w:hAnsi="宋体" w:eastAsia="宋体" w:cs="宋体"/>
          <w:color w:val="auto"/>
          <w:sz w:val="24"/>
          <w:szCs w:val="24"/>
          <w:highlight w:val="none"/>
          <w:u w:val="single"/>
        </w:rPr>
      </w:pPr>
    </w:p>
    <w:p w14:paraId="2B9238A5">
      <w:pPr>
        <w:jc w:val="center"/>
        <w:rPr>
          <w:rFonts w:hint="eastAsia" w:ascii="宋体" w:hAnsi="宋体" w:eastAsia="宋体" w:cs="宋体"/>
          <w:color w:val="auto"/>
          <w:sz w:val="24"/>
          <w:szCs w:val="24"/>
          <w:highlight w:val="none"/>
        </w:rPr>
      </w:pPr>
    </w:p>
    <w:p w14:paraId="3F2931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附录A  相关服务的范围和内容</w:t>
      </w:r>
    </w:p>
    <w:p w14:paraId="5D00E739">
      <w:pPr>
        <w:snapToGrid w:val="0"/>
        <w:spacing w:before="120" w:beforeLines="50" w:after="120" w:afterLines="50" w:line="360" w:lineRule="auto"/>
        <w:ind w:firstLine="960" w:firstLineChars="400"/>
        <w:rPr>
          <w:rFonts w:hint="eastAsia" w:ascii="宋体" w:hAnsi="宋体" w:eastAsia="宋体" w:cs="宋体"/>
          <w:color w:val="auto"/>
          <w:kern w:val="0"/>
          <w:sz w:val="24"/>
          <w:szCs w:val="24"/>
          <w:highlight w:val="none"/>
        </w:rPr>
      </w:pPr>
    </w:p>
    <w:p w14:paraId="78D1D5F1">
      <w:pPr>
        <w:snapToGrid w:val="0"/>
        <w:spacing w:before="120" w:beforeLines="50" w:after="120" w:afterLines="5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A-1 勘察阶段：</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1B68EF1C">
      <w:pPr>
        <w:snapToGrid w:val="0"/>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A-2 设计阶段：</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3A38D04">
      <w:pPr>
        <w:snapToGrid w:val="0"/>
        <w:spacing w:before="120" w:beforeLines="50" w:after="120" w:afterLines="5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A-3 保修阶段：</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A076A1">
      <w:pPr>
        <w:snapToGrid w:val="0"/>
        <w:spacing w:before="120" w:beforeLines="50" w:after="120" w:after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 xml:space="preserve">A-4 </w:t>
      </w:r>
      <w:r>
        <w:rPr>
          <w:rFonts w:hint="eastAsia" w:ascii="宋体" w:hAnsi="宋体" w:eastAsia="宋体" w:cs="宋体"/>
          <w:color w:val="auto"/>
          <w:sz w:val="24"/>
          <w:szCs w:val="24"/>
          <w:highlight w:val="none"/>
        </w:rPr>
        <w:t>其他（专业技术咨询、外部协调工作等）：</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9AFC48E">
      <w:pPr>
        <w:snapToGrid w:val="0"/>
        <w:spacing w:before="120" w:beforeLines="50" w:after="120" w:afterLines="50" w:line="360" w:lineRule="auto"/>
        <w:ind w:firstLine="1120" w:firstLineChars="400"/>
        <w:rPr>
          <w:rFonts w:hint="eastAsia" w:ascii="宋体" w:hAnsi="宋体" w:eastAsia="宋体" w:cs="宋体"/>
          <w:color w:val="auto"/>
          <w:sz w:val="28"/>
          <w:szCs w:val="28"/>
          <w:highlight w:val="none"/>
          <w:u w:val="single"/>
        </w:rPr>
      </w:pPr>
    </w:p>
    <w:p w14:paraId="0902ADB9">
      <w:pP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4"/>
          <w:szCs w:val="24"/>
          <w:highlight w:val="none"/>
        </w:rPr>
        <w:t>附录B  委托人派遣的人员和提供的房屋、资料、设备</w:t>
      </w:r>
    </w:p>
    <w:p w14:paraId="6A2783CD">
      <w:pPr>
        <w:spacing w:before="120" w:beforeLines="50"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B-1  委托人派遣的人员</w:t>
      </w:r>
    </w:p>
    <w:tbl>
      <w:tblPr>
        <w:tblStyle w:val="23"/>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2126"/>
        <w:gridCol w:w="2268"/>
        <w:gridCol w:w="2126"/>
      </w:tblGrid>
      <w:tr w14:paraId="2CD7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noWrap w:val="0"/>
            <w:vAlign w:val="top"/>
          </w:tcPr>
          <w:p w14:paraId="685B04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2126" w:type="dxa"/>
            <w:noWrap w:val="0"/>
            <w:vAlign w:val="top"/>
          </w:tcPr>
          <w:p w14:paraId="40C30EB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268" w:type="dxa"/>
            <w:noWrap w:val="0"/>
            <w:vAlign w:val="top"/>
          </w:tcPr>
          <w:p w14:paraId="6E803D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工作要求</w:t>
            </w:r>
          </w:p>
        </w:tc>
        <w:tc>
          <w:tcPr>
            <w:tcW w:w="2126" w:type="dxa"/>
            <w:noWrap w:val="0"/>
            <w:vAlign w:val="top"/>
          </w:tcPr>
          <w:p w14:paraId="037567B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r>
      <w:tr w14:paraId="50C0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noWrap w:val="0"/>
            <w:vAlign w:val="top"/>
          </w:tcPr>
          <w:p w14:paraId="244C71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工程技术人员 </w:t>
            </w:r>
          </w:p>
        </w:tc>
        <w:tc>
          <w:tcPr>
            <w:tcW w:w="2126" w:type="dxa"/>
            <w:noWrap w:val="0"/>
            <w:vAlign w:val="top"/>
          </w:tcPr>
          <w:p w14:paraId="0893B5D7">
            <w:pPr>
              <w:widowControl/>
              <w:spacing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8" w:type="dxa"/>
            <w:shd w:val="clear" w:color="auto" w:fill="auto"/>
            <w:noWrap w:val="0"/>
            <w:vAlign w:val="top"/>
          </w:tcPr>
          <w:p w14:paraId="26A4B0FE">
            <w:pPr>
              <w:widowControl/>
              <w:spacing w:line="360" w:lineRule="auto"/>
              <w:ind w:firstLine="120" w:firstLine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2126" w:type="dxa"/>
            <w:shd w:val="clear" w:color="auto" w:fill="auto"/>
            <w:noWrap w:val="0"/>
            <w:vAlign w:val="top"/>
          </w:tcPr>
          <w:p w14:paraId="5FAF0816">
            <w:pPr>
              <w:widowControl/>
              <w:spacing w:line="360" w:lineRule="auto"/>
              <w:ind w:firstLine="120" w:firstLine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r w14:paraId="1BA3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noWrap w:val="0"/>
            <w:vAlign w:val="top"/>
          </w:tcPr>
          <w:p w14:paraId="19D2ED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辅助工作人员</w:t>
            </w:r>
          </w:p>
        </w:tc>
        <w:tc>
          <w:tcPr>
            <w:tcW w:w="2126" w:type="dxa"/>
            <w:noWrap w:val="0"/>
            <w:vAlign w:val="top"/>
          </w:tcPr>
          <w:p w14:paraId="2BF0F94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8" w:type="dxa"/>
            <w:shd w:val="clear" w:color="auto" w:fill="auto"/>
            <w:noWrap w:val="0"/>
            <w:vAlign w:val="top"/>
          </w:tcPr>
          <w:p w14:paraId="0097EBBB">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2126" w:type="dxa"/>
            <w:shd w:val="clear" w:color="auto" w:fill="auto"/>
            <w:noWrap w:val="0"/>
            <w:vAlign w:val="top"/>
          </w:tcPr>
          <w:p w14:paraId="4593B078">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r w14:paraId="6889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noWrap w:val="0"/>
            <w:vAlign w:val="top"/>
          </w:tcPr>
          <w:p w14:paraId="3E84B3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其他人员</w:t>
            </w:r>
          </w:p>
        </w:tc>
        <w:tc>
          <w:tcPr>
            <w:tcW w:w="2126" w:type="dxa"/>
            <w:noWrap w:val="0"/>
            <w:vAlign w:val="top"/>
          </w:tcPr>
          <w:p w14:paraId="278EAE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8" w:type="dxa"/>
            <w:shd w:val="clear" w:color="auto" w:fill="auto"/>
            <w:noWrap w:val="0"/>
            <w:vAlign w:val="top"/>
          </w:tcPr>
          <w:p w14:paraId="4E2D317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2126" w:type="dxa"/>
            <w:shd w:val="clear" w:color="auto" w:fill="auto"/>
            <w:noWrap w:val="0"/>
            <w:vAlign w:val="top"/>
          </w:tcPr>
          <w:p w14:paraId="29BA5C85">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bl>
    <w:p w14:paraId="16E2EEF2">
      <w:pPr>
        <w:spacing w:before="120" w:beforeLines="50"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B-2  委托人提供的房屋</w:t>
      </w:r>
    </w:p>
    <w:tbl>
      <w:tblPr>
        <w:tblStyle w:val="23"/>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2126"/>
        <w:gridCol w:w="2268"/>
        <w:gridCol w:w="2126"/>
      </w:tblGrid>
      <w:tr w14:paraId="2CEA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noWrap w:val="0"/>
            <w:vAlign w:val="top"/>
          </w:tcPr>
          <w:p w14:paraId="30A07E4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2126" w:type="dxa"/>
            <w:noWrap w:val="0"/>
            <w:vAlign w:val="top"/>
          </w:tcPr>
          <w:p w14:paraId="62D5BB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268" w:type="dxa"/>
            <w:noWrap w:val="0"/>
            <w:vAlign w:val="top"/>
          </w:tcPr>
          <w:p w14:paraId="2AFCC7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w:t>
            </w:r>
          </w:p>
        </w:tc>
        <w:tc>
          <w:tcPr>
            <w:tcW w:w="2126" w:type="dxa"/>
            <w:noWrap w:val="0"/>
            <w:vAlign w:val="top"/>
          </w:tcPr>
          <w:p w14:paraId="6936C8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r>
      <w:tr w14:paraId="39AF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noWrap w:val="0"/>
            <w:vAlign w:val="top"/>
          </w:tcPr>
          <w:p w14:paraId="587713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办公用房</w:t>
            </w:r>
          </w:p>
        </w:tc>
        <w:tc>
          <w:tcPr>
            <w:tcW w:w="2126" w:type="dxa"/>
            <w:noWrap w:val="0"/>
            <w:vAlign w:val="top"/>
          </w:tcPr>
          <w:p w14:paraId="55B0FDB1">
            <w:pPr>
              <w:spacing w:line="360" w:lineRule="auto"/>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8" w:type="dxa"/>
            <w:noWrap w:val="0"/>
            <w:vAlign w:val="top"/>
          </w:tcPr>
          <w:p w14:paraId="73AF55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6" w:type="dxa"/>
            <w:noWrap w:val="0"/>
            <w:vAlign w:val="top"/>
          </w:tcPr>
          <w:p w14:paraId="32D2925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4DD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noWrap w:val="0"/>
            <w:vAlign w:val="top"/>
          </w:tcPr>
          <w:p w14:paraId="7576FA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生活用房</w:t>
            </w:r>
          </w:p>
        </w:tc>
        <w:tc>
          <w:tcPr>
            <w:tcW w:w="2126" w:type="dxa"/>
            <w:noWrap w:val="0"/>
            <w:vAlign w:val="top"/>
          </w:tcPr>
          <w:p w14:paraId="0C1A7F7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8" w:type="dxa"/>
            <w:noWrap w:val="0"/>
            <w:vAlign w:val="top"/>
          </w:tcPr>
          <w:p w14:paraId="2200472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6" w:type="dxa"/>
            <w:noWrap w:val="0"/>
            <w:vAlign w:val="top"/>
          </w:tcPr>
          <w:p w14:paraId="671142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B15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noWrap w:val="0"/>
            <w:vAlign w:val="top"/>
          </w:tcPr>
          <w:p w14:paraId="1FFAEB88">
            <w:pPr>
              <w:spacing w:line="360" w:lineRule="auto"/>
              <w:rPr>
                <w:rFonts w:hint="eastAsia" w:ascii="宋体" w:hAnsi="宋体" w:eastAsia="宋体" w:cs="宋体"/>
                <w:dstrike/>
                <w:color w:val="auto"/>
                <w:sz w:val="24"/>
                <w:szCs w:val="24"/>
                <w:highlight w:val="none"/>
              </w:rPr>
            </w:pPr>
            <w:r>
              <w:rPr>
                <w:rFonts w:hint="eastAsia" w:ascii="宋体" w:hAnsi="宋体" w:eastAsia="宋体" w:cs="宋体"/>
                <w:color w:val="auto"/>
                <w:sz w:val="24"/>
                <w:szCs w:val="24"/>
                <w:highlight w:val="none"/>
              </w:rPr>
              <w:t>3. 试验用房</w:t>
            </w:r>
          </w:p>
        </w:tc>
        <w:tc>
          <w:tcPr>
            <w:tcW w:w="2126" w:type="dxa"/>
            <w:noWrap w:val="0"/>
            <w:vAlign w:val="top"/>
          </w:tcPr>
          <w:p w14:paraId="4B60F4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8" w:type="dxa"/>
            <w:noWrap w:val="0"/>
            <w:vAlign w:val="top"/>
          </w:tcPr>
          <w:p w14:paraId="284A7A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6" w:type="dxa"/>
            <w:noWrap w:val="0"/>
            <w:vAlign w:val="top"/>
          </w:tcPr>
          <w:p w14:paraId="5A5E2F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646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noWrap w:val="0"/>
            <w:vAlign w:val="top"/>
          </w:tcPr>
          <w:p w14:paraId="1BA233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样品用房</w:t>
            </w:r>
          </w:p>
        </w:tc>
        <w:tc>
          <w:tcPr>
            <w:tcW w:w="2126" w:type="dxa"/>
            <w:noWrap w:val="0"/>
            <w:vAlign w:val="top"/>
          </w:tcPr>
          <w:p w14:paraId="07DF659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8" w:type="dxa"/>
            <w:noWrap w:val="0"/>
            <w:vAlign w:val="top"/>
          </w:tcPr>
          <w:p w14:paraId="2FCE916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6" w:type="dxa"/>
            <w:noWrap w:val="0"/>
            <w:vAlign w:val="top"/>
          </w:tcPr>
          <w:p w14:paraId="4BCACC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ED3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noWrap w:val="0"/>
            <w:vAlign w:val="top"/>
          </w:tcPr>
          <w:p w14:paraId="4AD2B5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用餐及其他生活条件</w:t>
            </w:r>
          </w:p>
        </w:tc>
        <w:tc>
          <w:tcPr>
            <w:tcW w:w="6520" w:type="dxa"/>
            <w:gridSpan w:val="3"/>
            <w:noWrap w:val="0"/>
            <w:vAlign w:val="top"/>
          </w:tcPr>
          <w:p w14:paraId="30216B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6B09341F">
      <w:pPr>
        <w:spacing w:before="120" w:beforeLines="50" w:line="360" w:lineRule="auto"/>
        <w:rPr>
          <w:rFonts w:hint="eastAsia" w:ascii="宋体" w:hAnsi="宋体" w:eastAsia="宋体" w:cs="宋体"/>
          <w:b/>
          <w:color w:val="auto"/>
          <w:kern w:val="0"/>
          <w:sz w:val="24"/>
          <w:szCs w:val="24"/>
          <w:highlight w:val="none"/>
        </w:rPr>
      </w:pPr>
    </w:p>
    <w:p w14:paraId="655CE16D">
      <w:pPr>
        <w:spacing w:before="120" w:beforeLines="50"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B-3  委托人提供的资料</w:t>
      </w:r>
    </w:p>
    <w:tbl>
      <w:tblPr>
        <w:tblStyle w:val="23"/>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924"/>
        <w:gridCol w:w="2147"/>
        <w:gridCol w:w="2740"/>
      </w:tblGrid>
      <w:tr w14:paraId="1E70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545" w:type="dxa"/>
            <w:noWrap w:val="0"/>
            <w:vAlign w:val="top"/>
          </w:tcPr>
          <w:p w14:paraId="211C75F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p>
        </w:tc>
        <w:tc>
          <w:tcPr>
            <w:tcW w:w="924" w:type="dxa"/>
            <w:noWrap w:val="0"/>
            <w:vAlign w:val="center"/>
          </w:tcPr>
          <w:p w14:paraId="09B6C27E">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份数</w:t>
            </w:r>
          </w:p>
        </w:tc>
        <w:tc>
          <w:tcPr>
            <w:tcW w:w="2147" w:type="dxa"/>
            <w:noWrap w:val="0"/>
            <w:vAlign w:val="top"/>
          </w:tcPr>
          <w:p w14:paraId="264FB4E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提供时间</w:t>
            </w:r>
          </w:p>
        </w:tc>
        <w:tc>
          <w:tcPr>
            <w:tcW w:w="2740" w:type="dxa"/>
            <w:noWrap w:val="0"/>
            <w:vAlign w:val="top"/>
          </w:tcPr>
          <w:p w14:paraId="743E0C6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 注</w:t>
            </w:r>
          </w:p>
        </w:tc>
      </w:tr>
      <w:tr w14:paraId="633E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noWrap w:val="0"/>
            <w:vAlign w:val="center"/>
          </w:tcPr>
          <w:p w14:paraId="32F1804B">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工程项目备案证</w:t>
            </w:r>
          </w:p>
        </w:tc>
        <w:tc>
          <w:tcPr>
            <w:tcW w:w="924" w:type="dxa"/>
            <w:noWrap w:val="0"/>
            <w:vAlign w:val="center"/>
          </w:tcPr>
          <w:p w14:paraId="7A61584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147" w:type="dxa"/>
            <w:noWrap w:val="0"/>
            <w:vAlign w:val="top"/>
          </w:tcPr>
          <w:p w14:paraId="5D6751D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工程开工前</w:t>
            </w:r>
          </w:p>
        </w:tc>
        <w:tc>
          <w:tcPr>
            <w:tcW w:w="2740" w:type="dxa"/>
            <w:noWrap w:val="0"/>
            <w:vAlign w:val="center"/>
          </w:tcPr>
          <w:p w14:paraId="1C1E808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复印件</w:t>
            </w:r>
          </w:p>
        </w:tc>
      </w:tr>
      <w:tr w14:paraId="058C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noWrap w:val="0"/>
            <w:vAlign w:val="center"/>
          </w:tcPr>
          <w:p w14:paraId="05DF60EF">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工程勘察文件</w:t>
            </w:r>
          </w:p>
        </w:tc>
        <w:tc>
          <w:tcPr>
            <w:tcW w:w="924" w:type="dxa"/>
            <w:noWrap w:val="0"/>
            <w:vAlign w:val="center"/>
          </w:tcPr>
          <w:p w14:paraId="5484AD6A">
            <w:pPr>
              <w:spacing w:line="360" w:lineRule="auto"/>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147" w:type="dxa"/>
            <w:noWrap w:val="0"/>
            <w:vAlign w:val="top"/>
          </w:tcPr>
          <w:p w14:paraId="34FEF51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工程开工前</w:t>
            </w:r>
          </w:p>
        </w:tc>
        <w:tc>
          <w:tcPr>
            <w:tcW w:w="2740" w:type="dxa"/>
            <w:noWrap w:val="0"/>
            <w:vAlign w:val="center"/>
          </w:tcPr>
          <w:p w14:paraId="7279466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原件</w:t>
            </w:r>
          </w:p>
        </w:tc>
      </w:tr>
      <w:tr w14:paraId="55D4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noWrap w:val="0"/>
            <w:vAlign w:val="center"/>
          </w:tcPr>
          <w:p w14:paraId="2B710E4D">
            <w:pPr>
              <w:adjustRightInd w:val="0"/>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工程设计及施工图纸</w:t>
            </w:r>
          </w:p>
        </w:tc>
        <w:tc>
          <w:tcPr>
            <w:tcW w:w="924" w:type="dxa"/>
            <w:noWrap w:val="0"/>
            <w:vAlign w:val="center"/>
          </w:tcPr>
          <w:p w14:paraId="5CD057A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147" w:type="dxa"/>
            <w:noWrap w:val="0"/>
            <w:vAlign w:val="top"/>
          </w:tcPr>
          <w:p w14:paraId="53A6839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工程开工前</w:t>
            </w:r>
          </w:p>
        </w:tc>
        <w:tc>
          <w:tcPr>
            <w:tcW w:w="2740" w:type="dxa"/>
            <w:noWrap w:val="0"/>
            <w:vAlign w:val="center"/>
          </w:tcPr>
          <w:p w14:paraId="5B78C55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原件</w:t>
            </w:r>
          </w:p>
        </w:tc>
      </w:tr>
      <w:tr w14:paraId="3E7E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noWrap w:val="0"/>
            <w:vAlign w:val="center"/>
          </w:tcPr>
          <w:p w14:paraId="110B5158">
            <w:pPr>
              <w:adjustRightInd w:val="0"/>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工程承包合同及其他相关合同</w:t>
            </w:r>
          </w:p>
        </w:tc>
        <w:tc>
          <w:tcPr>
            <w:tcW w:w="924" w:type="dxa"/>
            <w:noWrap w:val="0"/>
            <w:vAlign w:val="center"/>
          </w:tcPr>
          <w:p w14:paraId="573B632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147" w:type="dxa"/>
            <w:noWrap w:val="0"/>
            <w:vAlign w:val="top"/>
          </w:tcPr>
          <w:p w14:paraId="23948E8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工程开工前</w:t>
            </w:r>
          </w:p>
        </w:tc>
        <w:tc>
          <w:tcPr>
            <w:tcW w:w="2740" w:type="dxa"/>
            <w:noWrap w:val="0"/>
            <w:vAlign w:val="center"/>
          </w:tcPr>
          <w:p w14:paraId="16C5F72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复印件</w:t>
            </w:r>
          </w:p>
        </w:tc>
      </w:tr>
      <w:tr w14:paraId="5FDD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noWrap w:val="0"/>
            <w:vAlign w:val="center"/>
          </w:tcPr>
          <w:p w14:paraId="207994C3">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施工许可文件</w:t>
            </w:r>
          </w:p>
        </w:tc>
        <w:tc>
          <w:tcPr>
            <w:tcW w:w="924" w:type="dxa"/>
            <w:noWrap w:val="0"/>
            <w:vAlign w:val="center"/>
          </w:tcPr>
          <w:p w14:paraId="0D68B99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147" w:type="dxa"/>
            <w:noWrap w:val="0"/>
            <w:vAlign w:val="top"/>
          </w:tcPr>
          <w:p w14:paraId="6F2D4B2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工程开工前</w:t>
            </w:r>
          </w:p>
        </w:tc>
        <w:tc>
          <w:tcPr>
            <w:tcW w:w="2740" w:type="dxa"/>
            <w:noWrap w:val="0"/>
            <w:vAlign w:val="center"/>
          </w:tcPr>
          <w:p w14:paraId="5260FEE3">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复印件</w:t>
            </w:r>
          </w:p>
        </w:tc>
      </w:tr>
      <w:tr w14:paraId="7812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noWrap w:val="0"/>
            <w:vAlign w:val="center"/>
          </w:tcPr>
          <w:p w14:paraId="21447BA0">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其他文件</w:t>
            </w:r>
          </w:p>
        </w:tc>
        <w:tc>
          <w:tcPr>
            <w:tcW w:w="924" w:type="dxa"/>
            <w:noWrap w:val="0"/>
            <w:vAlign w:val="top"/>
          </w:tcPr>
          <w:p w14:paraId="3F8EF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w:t>
            </w:r>
          </w:p>
        </w:tc>
        <w:tc>
          <w:tcPr>
            <w:tcW w:w="2147" w:type="dxa"/>
            <w:noWrap w:val="0"/>
            <w:vAlign w:val="top"/>
          </w:tcPr>
          <w:p w14:paraId="476F6D94">
            <w:pPr>
              <w:spacing w:line="360" w:lineRule="auto"/>
              <w:rPr>
                <w:rFonts w:hint="eastAsia" w:ascii="宋体" w:hAnsi="宋体" w:eastAsia="宋体" w:cs="宋体"/>
                <w:color w:val="auto"/>
                <w:kern w:val="0"/>
                <w:sz w:val="24"/>
                <w:szCs w:val="24"/>
                <w:highlight w:val="none"/>
              </w:rPr>
            </w:pPr>
          </w:p>
        </w:tc>
        <w:tc>
          <w:tcPr>
            <w:tcW w:w="2740" w:type="dxa"/>
            <w:noWrap w:val="0"/>
            <w:vAlign w:val="top"/>
          </w:tcPr>
          <w:p w14:paraId="50FB6C01">
            <w:pPr>
              <w:spacing w:line="360" w:lineRule="auto"/>
              <w:rPr>
                <w:rFonts w:hint="eastAsia" w:ascii="宋体" w:hAnsi="宋体" w:eastAsia="宋体" w:cs="宋体"/>
                <w:color w:val="auto"/>
                <w:kern w:val="0"/>
                <w:sz w:val="24"/>
                <w:szCs w:val="24"/>
                <w:highlight w:val="none"/>
              </w:rPr>
            </w:pPr>
          </w:p>
        </w:tc>
      </w:tr>
    </w:tbl>
    <w:p w14:paraId="69B2E55F">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B-4 委托人提供的设备</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6"/>
        <w:gridCol w:w="1570"/>
        <w:gridCol w:w="2103"/>
        <w:gridCol w:w="2443"/>
      </w:tblGrid>
      <w:tr w14:paraId="7E25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691" w:type="pct"/>
            <w:noWrap w:val="0"/>
            <w:vAlign w:val="top"/>
          </w:tcPr>
          <w:p w14:paraId="0F0FD1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849" w:type="pct"/>
            <w:noWrap w:val="0"/>
            <w:vAlign w:val="top"/>
          </w:tcPr>
          <w:p w14:paraId="2F8AA5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37" w:type="pct"/>
            <w:noWrap w:val="0"/>
            <w:vAlign w:val="top"/>
          </w:tcPr>
          <w:p w14:paraId="0E5EF7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型号与规格</w:t>
            </w:r>
          </w:p>
        </w:tc>
        <w:tc>
          <w:tcPr>
            <w:tcW w:w="1321" w:type="pct"/>
            <w:noWrap w:val="0"/>
            <w:vAlign w:val="top"/>
          </w:tcPr>
          <w:p w14:paraId="698AD7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r>
      <w:tr w14:paraId="6C32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691" w:type="pct"/>
            <w:noWrap w:val="0"/>
            <w:vAlign w:val="top"/>
          </w:tcPr>
          <w:p w14:paraId="7B9074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通讯设备</w:t>
            </w:r>
          </w:p>
        </w:tc>
        <w:tc>
          <w:tcPr>
            <w:tcW w:w="849" w:type="pct"/>
            <w:noWrap w:val="0"/>
            <w:vAlign w:val="top"/>
          </w:tcPr>
          <w:p w14:paraId="0724F89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37" w:type="pct"/>
            <w:shd w:val="clear" w:color="auto" w:fill="auto"/>
            <w:noWrap w:val="0"/>
            <w:vAlign w:val="top"/>
          </w:tcPr>
          <w:p w14:paraId="0E06C1B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1321" w:type="pct"/>
            <w:shd w:val="clear" w:color="auto" w:fill="auto"/>
            <w:noWrap w:val="0"/>
            <w:vAlign w:val="top"/>
          </w:tcPr>
          <w:p w14:paraId="49C2FFB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r w14:paraId="6597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pct"/>
            <w:noWrap w:val="0"/>
            <w:vAlign w:val="top"/>
          </w:tcPr>
          <w:p w14:paraId="607B4A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办公设备</w:t>
            </w:r>
          </w:p>
        </w:tc>
        <w:tc>
          <w:tcPr>
            <w:tcW w:w="849" w:type="pct"/>
            <w:noWrap w:val="0"/>
            <w:vAlign w:val="top"/>
          </w:tcPr>
          <w:p w14:paraId="5A54E6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37" w:type="pct"/>
            <w:shd w:val="clear" w:color="auto" w:fill="auto"/>
            <w:noWrap w:val="0"/>
            <w:vAlign w:val="top"/>
          </w:tcPr>
          <w:p w14:paraId="6A83CF42">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1321" w:type="pct"/>
            <w:shd w:val="clear" w:color="auto" w:fill="auto"/>
            <w:noWrap w:val="0"/>
            <w:vAlign w:val="top"/>
          </w:tcPr>
          <w:p w14:paraId="793CD68F">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r w14:paraId="7951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pct"/>
            <w:noWrap w:val="0"/>
            <w:vAlign w:val="top"/>
          </w:tcPr>
          <w:p w14:paraId="5BD9D0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交通工具</w:t>
            </w:r>
          </w:p>
        </w:tc>
        <w:tc>
          <w:tcPr>
            <w:tcW w:w="849" w:type="pct"/>
            <w:noWrap w:val="0"/>
            <w:vAlign w:val="top"/>
          </w:tcPr>
          <w:p w14:paraId="2EF6F9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37" w:type="pct"/>
            <w:shd w:val="clear" w:color="auto" w:fill="auto"/>
            <w:noWrap w:val="0"/>
            <w:vAlign w:val="top"/>
          </w:tcPr>
          <w:p w14:paraId="7565AD8B">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1321" w:type="pct"/>
            <w:shd w:val="clear" w:color="auto" w:fill="auto"/>
            <w:noWrap w:val="0"/>
            <w:vAlign w:val="top"/>
          </w:tcPr>
          <w:p w14:paraId="2589504D">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r w14:paraId="04D9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pct"/>
            <w:noWrap w:val="0"/>
            <w:vAlign w:val="top"/>
          </w:tcPr>
          <w:p w14:paraId="1181B5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检测和试验设备</w:t>
            </w:r>
          </w:p>
        </w:tc>
        <w:tc>
          <w:tcPr>
            <w:tcW w:w="849" w:type="pct"/>
            <w:noWrap w:val="0"/>
            <w:vAlign w:val="top"/>
          </w:tcPr>
          <w:p w14:paraId="59484EB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37" w:type="pct"/>
            <w:shd w:val="clear" w:color="auto" w:fill="auto"/>
            <w:noWrap w:val="0"/>
            <w:vAlign w:val="top"/>
          </w:tcPr>
          <w:p w14:paraId="3C31354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1321" w:type="pct"/>
            <w:shd w:val="clear" w:color="auto" w:fill="auto"/>
            <w:noWrap w:val="0"/>
            <w:vAlign w:val="top"/>
          </w:tcPr>
          <w:p w14:paraId="7FCB1A32">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bl>
    <w:p w14:paraId="77EC8BE3">
      <w:pPr>
        <w:tabs>
          <w:tab w:val="left" w:pos="720"/>
        </w:tabs>
        <w:snapToGrid w:val="0"/>
        <w:spacing w:line="360" w:lineRule="auto"/>
        <w:rPr>
          <w:rFonts w:hint="eastAsia" w:ascii="宋体" w:hAnsi="宋体" w:eastAsia="宋体" w:cs="宋体"/>
          <w:b/>
          <w:color w:val="auto"/>
          <w:spacing w:val="20"/>
          <w:sz w:val="24"/>
          <w:szCs w:val="24"/>
          <w:highlight w:val="none"/>
        </w:rPr>
      </w:pPr>
    </w:p>
    <w:p w14:paraId="011635B9">
      <w:pPr>
        <w:tabs>
          <w:tab w:val="left" w:pos="720"/>
        </w:tabs>
        <w:snapToGrid w:val="0"/>
        <w:spacing w:line="360" w:lineRule="auto"/>
        <w:rPr>
          <w:rFonts w:hint="eastAsia" w:ascii="宋体" w:hAnsi="宋体" w:eastAsia="宋体" w:cs="宋体"/>
          <w:b/>
          <w:color w:val="auto"/>
          <w:spacing w:val="20"/>
          <w:sz w:val="24"/>
          <w:szCs w:val="24"/>
          <w:highlight w:val="none"/>
        </w:rPr>
      </w:pPr>
    </w:p>
    <w:p w14:paraId="4AC5D631">
      <w:pPr>
        <w:tabs>
          <w:tab w:val="left" w:pos="720"/>
        </w:tabs>
        <w:snapToGrid w:val="0"/>
        <w:spacing w:line="360" w:lineRule="auto"/>
        <w:rPr>
          <w:rFonts w:hint="eastAsia" w:ascii="宋体" w:hAnsi="宋体" w:eastAsia="宋体" w:cs="宋体"/>
          <w:b/>
          <w:color w:val="auto"/>
          <w:spacing w:val="20"/>
          <w:sz w:val="24"/>
          <w:szCs w:val="24"/>
          <w:highlight w:val="none"/>
        </w:rPr>
      </w:pPr>
    </w:p>
    <w:p w14:paraId="48E19AB8">
      <w:pPr>
        <w:tabs>
          <w:tab w:val="left" w:pos="720"/>
        </w:tabs>
        <w:snapToGrid w:val="0"/>
        <w:spacing w:line="360" w:lineRule="auto"/>
        <w:rPr>
          <w:rFonts w:hint="eastAsia" w:ascii="宋体" w:hAnsi="宋体" w:eastAsia="宋体" w:cs="宋体"/>
          <w:b/>
          <w:color w:val="auto"/>
          <w:spacing w:val="20"/>
          <w:sz w:val="24"/>
          <w:szCs w:val="24"/>
          <w:highlight w:val="none"/>
        </w:rPr>
      </w:pPr>
    </w:p>
    <w:p w14:paraId="14E79E34">
      <w:pPr>
        <w:tabs>
          <w:tab w:val="left" w:pos="720"/>
        </w:tabs>
        <w:snapToGrid w:val="0"/>
        <w:spacing w:line="360" w:lineRule="auto"/>
        <w:rPr>
          <w:rFonts w:hint="eastAsia" w:ascii="宋体" w:hAnsi="宋体" w:eastAsia="宋体" w:cs="宋体"/>
          <w:b/>
          <w:color w:val="auto"/>
          <w:spacing w:val="20"/>
          <w:sz w:val="24"/>
          <w:szCs w:val="24"/>
          <w:highlight w:val="none"/>
        </w:rPr>
      </w:pPr>
    </w:p>
    <w:p w14:paraId="481CBD39">
      <w:pPr>
        <w:tabs>
          <w:tab w:val="left" w:pos="720"/>
        </w:tabs>
        <w:snapToGrid w:val="0"/>
        <w:spacing w:line="360" w:lineRule="auto"/>
        <w:rPr>
          <w:rFonts w:hint="eastAsia" w:ascii="宋体" w:hAnsi="宋体" w:eastAsia="宋体" w:cs="宋体"/>
          <w:b/>
          <w:color w:val="auto"/>
          <w:spacing w:val="20"/>
          <w:sz w:val="24"/>
          <w:szCs w:val="24"/>
          <w:highlight w:val="none"/>
        </w:rPr>
      </w:pPr>
    </w:p>
    <w:p w14:paraId="1E4312B6">
      <w:pPr>
        <w:tabs>
          <w:tab w:val="left" w:pos="720"/>
        </w:tabs>
        <w:snapToGrid w:val="0"/>
        <w:spacing w:line="360" w:lineRule="auto"/>
        <w:rPr>
          <w:rFonts w:hint="eastAsia" w:ascii="宋体" w:hAnsi="宋体" w:eastAsia="宋体" w:cs="宋体"/>
          <w:b/>
          <w:color w:val="auto"/>
          <w:spacing w:val="20"/>
          <w:sz w:val="24"/>
          <w:szCs w:val="24"/>
          <w:highlight w:val="none"/>
        </w:rPr>
      </w:pPr>
    </w:p>
    <w:p w14:paraId="2EEC4564">
      <w:pPr>
        <w:tabs>
          <w:tab w:val="left" w:pos="720"/>
        </w:tabs>
        <w:snapToGrid w:val="0"/>
        <w:spacing w:line="360" w:lineRule="auto"/>
        <w:rPr>
          <w:rFonts w:hint="eastAsia" w:ascii="宋体" w:hAnsi="宋体" w:eastAsia="宋体" w:cs="宋体"/>
          <w:b/>
          <w:color w:val="auto"/>
          <w:spacing w:val="20"/>
          <w:sz w:val="24"/>
          <w:szCs w:val="24"/>
          <w:highlight w:val="none"/>
        </w:rPr>
      </w:pPr>
    </w:p>
    <w:p w14:paraId="2AD3E9CC">
      <w:pPr>
        <w:tabs>
          <w:tab w:val="left" w:pos="720"/>
        </w:tabs>
        <w:snapToGrid w:val="0"/>
        <w:spacing w:line="360" w:lineRule="auto"/>
        <w:rPr>
          <w:rFonts w:hint="eastAsia" w:ascii="宋体" w:hAnsi="宋体" w:eastAsia="宋体" w:cs="宋体"/>
          <w:b/>
          <w:color w:val="auto"/>
          <w:spacing w:val="20"/>
          <w:sz w:val="24"/>
          <w:szCs w:val="24"/>
          <w:highlight w:val="none"/>
        </w:rPr>
      </w:pPr>
    </w:p>
    <w:p w14:paraId="7C01EF96">
      <w:pPr>
        <w:tabs>
          <w:tab w:val="left" w:pos="720"/>
        </w:tabs>
        <w:snapToGrid w:val="0"/>
        <w:spacing w:line="360" w:lineRule="auto"/>
        <w:rPr>
          <w:rFonts w:hint="eastAsia" w:ascii="宋体" w:hAnsi="宋体" w:eastAsia="宋体" w:cs="宋体"/>
          <w:b/>
          <w:color w:val="auto"/>
          <w:spacing w:val="20"/>
          <w:sz w:val="24"/>
          <w:szCs w:val="24"/>
          <w:highlight w:val="none"/>
        </w:rPr>
      </w:pPr>
      <w:r>
        <w:rPr>
          <w:rFonts w:hint="eastAsia" w:ascii="宋体" w:hAnsi="宋体" w:eastAsia="宋体" w:cs="宋体"/>
          <w:b/>
          <w:color w:val="auto"/>
          <w:spacing w:val="20"/>
          <w:sz w:val="24"/>
          <w:szCs w:val="24"/>
          <w:highlight w:val="none"/>
        </w:rPr>
        <w:br w:type="page"/>
      </w:r>
      <w:r>
        <w:rPr>
          <w:rFonts w:hint="eastAsia" w:ascii="宋体" w:hAnsi="宋体" w:eastAsia="宋体" w:cs="宋体"/>
          <w:b/>
          <w:color w:val="auto"/>
          <w:spacing w:val="20"/>
          <w:sz w:val="24"/>
          <w:szCs w:val="24"/>
          <w:highlight w:val="none"/>
        </w:rPr>
        <w:t xml:space="preserve">附件一： </w:t>
      </w:r>
    </w:p>
    <w:p w14:paraId="1D611910">
      <w:pPr>
        <w:spacing w:line="560" w:lineRule="exact"/>
        <w:jc w:val="center"/>
        <w:rPr>
          <w:rFonts w:hint="eastAsia" w:ascii="宋体" w:hAnsi="宋体" w:eastAsia="宋体" w:cs="宋体"/>
          <w:b/>
          <w:color w:val="auto"/>
          <w:sz w:val="24"/>
          <w:szCs w:val="24"/>
          <w:highlight w:val="none"/>
          <w:lang w:eastAsia="zh-CN"/>
        </w:rPr>
      </w:pPr>
      <w:r>
        <w:rPr>
          <w:rFonts w:hint="eastAsia" w:ascii="宋体" w:hAnsi="宋体" w:cs="宋体"/>
          <w:b/>
          <w:bCs/>
          <w:color w:val="auto"/>
          <w:sz w:val="24"/>
          <w:szCs w:val="24"/>
          <w:highlight w:val="none"/>
          <w:lang w:eastAsia="zh-CN"/>
        </w:rPr>
        <w:t>广东华南粮食交易中心有限公司常平粮库三期工程</w:t>
      </w:r>
    </w:p>
    <w:p w14:paraId="18E668F1">
      <w:pP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安全生产文明施工协议</w:t>
      </w:r>
    </w:p>
    <w:p w14:paraId="7BE671DD">
      <w:pPr>
        <w:spacing w:line="560" w:lineRule="exact"/>
        <w:jc w:val="center"/>
        <w:rPr>
          <w:rFonts w:hint="eastAsia" w:ascii="宋体" w:hAnsi="宋体" w:eastAsia="宋体" w:cs="宋体"/>
          <w:color w:val="auto"/>
          <w:sz w:val="24"/>
          <w:szCs w:val="24"/>
          <w:highlight w:val="none"/>
        </w:rPr>
      </w:pPr>
    </w:p>
    <w:p w14:paraId="40FC348B">
      <w:pPr>
        <w:spacing w:line="560" w:lineRule="exact"/>
        <w:ind w:left="567" w:leftChars="2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委托人：（甲方）  </w:t>
      </w:r>
      <w:r>
        <w:rPr>
          <w:rFonts w:hint="eastAsia" w:ascii="宋体" w:hAnsi="宋体" w:cs="宋体"/>
          <w:color w:val="auto"/>
          <w:sz w:val="24"/>
          <w:szCs w:val="24"/>
          <w:highlight w:val="none"/>
          <w:lang w:eastAsia="zh-CN"/>
        </w:rPr>
        <w:t>广东华南粮食交易中心有限公司</w:t>
      </w:r>
      <w:r>
        <w:rPr>
          <w:rFonts w:hint="eastAsia" w:ascii="宋体" w:hAnsi="宋体" w:eastAsia="宋体" w:cs="宋体"/>
          <w:color w:val="auto"/>
          <w:sz w:val="24"/>
          <w:szCs w:val="24"/>
          <w:highlight w:val="none"/>
        </w:rPr>
        <w:t xml:space="preserve">                </w:t>
      </w:r>
    </w:p>
    <w:p w14:paraId="6B776389">
      <w:pPr>
        <w:spacing w:line="560" w:lineRule="exact"/>
        <w:ind w:left="567" w:leftChars="2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监理人：（乙方）  </w:t>
      </w:r>
    </w:p>
    <w:p w14:paraId="5E8B44CE">
      <w:pPr>
        <w:spacing w:line="560" w:lineRule="exact"/>
        <w:jc w:val="center"/>
        <w:rPr>
          <w:rFonts w:hint="eastAsia" w:ascii="宋体" w:hAnsi="宋体" w:eastAsia="宋体" w:cs="宋体"/>
          <w:color w:val="auto"/>
          <w:sz w:val="24"/>
          <w:szCs w:val="24"/>
          <w:highlight w:val="none"/>
        </w:rPr>
      </w:pPr>
    </w:p>
    <w:p w14:paraId="7D022E10">
      <w:pPr>
        <w:spacing w:line="56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为贯彻“安全第一，预防为主”的方针，根据《中华人民共和国安全生产法》、《广东省安全生产条例》等有关法律、法规的规定，结合本工程项目实际情况，按规定签订如下协议。本协议适用于</w:t>
      </w:r>
      <w:r>
        <w:rPr>
          <w:rFonts w:hint="eastAsia" w:ascii="宋体" w:hAnsi="宋体" w:cs="宋体"/>
          <w:color w:val="auto"/>
          <w:sz w:val="24"/>
          <w:szCs w:val="24"/>
          <w:highlight w:val="none"/>
          <w:lang w:eastAsia="zh-CN"/>
        </w:rPr>
        <w:t>广东华南粮食交易中心有限公司常平粮库三期工程</w:t>
      </w:r>
      <w:r>
        <w:rPr>
          <w:rFonts w:hint="eastAsia" w:ascii="宋体" w:hAnsi="宋体" w:eastAsia="宋体" w:cs="宋体"/>
          <w:color w:val="auto"/>
          <w:sz w:val="24"/>
          <w:szCs w:val="24"/>
          <w:highlight w:val="none"/>
        </w:rPr>
        <w:t>。</w:t>
      </w:r>
    </w:p>
    <w:p w14:paraId="2B0A91E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一、委托人的权利与义务</w:t>
      </w:r>
    </w:p>
    <w:p w14:paraId="0177DFF9">
      <w:pPr>
        <w:tabs>
          <w:tab w:val="left" w:pos="894"/>
        </w:tabs>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遵守国家、省、市有关安全生产文明施工的法律、法规及有关规定，加强安全生产管理，建立、健全安全生产责任制度，完善安全生产条件，确保安全生产。</w:t>
      </w:r>
    </w:p>
    <w:p w14:paraId="4994A4C0">
      <w:pPr>
        <w:tabs>
          <w:tab w:val="left" w:pos="894"/>
        </w:tabs>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按国家有关规定保证安全生产所必需的资金投入。</w:t>
      </w:r>
    </w:p>
    <w:p w14:paraId="223FF3C8">
      <w:pPr>
        <w:tabs>
          <w:tab w:val="left" w:pos="894"/>
        </w:tabs>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保证不将工程项目发包（分包）给不具备安全生产条件或者不具备相应资质的单位或个人。</w:t>
      </w:r>
    </w:p>
    <w:p w14:paraId="30378C12">
      <w:pPr>
        <w:tabs>
          <w:tab w:val="left" w:pos="894"/>
        </w:tabs>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对监理人在监理过程中依照合同或依法采取的有效监控措施，如停工、停用等给予支持；对监理人以公司文件书面形式提交并要求作出决定的事宜在规定时限内作出书面决定。</w:t>
      </w:r>
    </w:p>
    <w:p w14:paraId="21F24AC8">
      <w:pPr>
        <w:tabs>
          <w:tab w:val="left" w:pos="894"/>
        </w:tabs>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授权工地常驻代表负责与监理人联系安全生产、文明施工的事宜，如需更换此人时提前通知监理人。</w:t>
      </w:r>
    </w:p>
    <w:p w14:paraId="7A5F894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二、监理人的权利与义务</w:t>
      </w:r>
    </w:p>
    <w:p w14:paraId="56A29D0B">
      <w:pPr>
        <w:tabs>
          <w:tab w:val="left" w:pos="894"/>
        </w:tabs>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遵守国家、省、市有关安全生产文明施工的法律、法规及有关规定，加强工程建设安全的监理，建立、健全安全监理责任制度，保证工程建设的安全。</w:t>
      </w:r>
    </w:p>
    <w:p w14:paraId="35127445">
      <w:pPr>
        <w:tabs>
          <w:tab w:val="left" w:pos="894"/>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建立、健全安全生产文明施工监理的组织、明确安全监理人员的职责。</w:t>
      </w:r>
    </w:p>
    <w:p w14:paraId="118DB17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建立安全生产文明施工的专项监理制度或方案。</w:t>
      </w:r>
    </w:p>
    <w:p w14:paraId="297726E6">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对施工单位的资质进行审查，对无资质单位会同委托人不准进入。</w:t>
      </w:r>
    </w:p>
    <w:p w14:paraId="4A829D00">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对施工单位提供的安全施工组织设计及专项安全技术方案进行审核。</w:t>
      </w:r>
    </w:p>
    <w:p w14:paraId="1805673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对施工人员、材料、主要设备的使用和运行状况进行检查并记录。</w:t>
      </w:r>
    </w:p>
    <w:p w14:paraId="5D04A912">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对重要施工环节和安全事故易发工序实施旁站或巡检。</w:t>
      </w:r>
    </w:p>
    <w:p w14:paraId="7CB62750">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8.</w:t>
      </w:r>
      <w:r>
        <w:rPr>
          <w:rFonts w:hint="eastAsia" w:ascii="宋体" w:hAnsi="宋体" w:eastAsia="宋体" w:cs="宋体"/>
          <w:color w:val="auto"/>
          <w:sz w:val="24"/>
          <w:szCs w:val="24"/>
          <w:highlight w:val="none"/>
        </w:rPr>
        <w:t>按规定对安全措施费用的列支和使用实施有效监控。</w:t>
      </w:r>
    </w:p>
    <w:p w14:paraId="4E8FA9F2">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9.</w:t>
      </w:r>
      <w:r>
        <w:rPr>
          <w:rFonts w:hint="eastAsia" w:ascii="宋体" w:hAnsi="宋体" w:eastAsia="宋体" w:cs="宋体"/>
          <w:color w:val="auto"/>
          <w:sz w:val="24"/>
          <w:szCs w:val="24"/>
          <w:highlight w:val="none"/>
        </w:rPr>
        <w:t>及时制止施工单位明显违章指挥和操作的行为。</w:t>
      </w:r>
    </w:p>
    <w:p w14:paraId="3F8DAA87">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10.</w:t>
      </w:r>
      <w:r>
        <w:rPr>
          <w:rFonts w:hint="eastAsia" w:ascii="宋体" w:hAnsi="宋体" w:eastAsia="宋体" w:cs="宋体"/>
          <w:color w:val="auto"/>
          <w:sz w:val="24"/>
          <w:szCs w:val="24"/>
          <w:highlight w:val="none"/>
        </w:rPr>
        <w:t>对危及工程和人员安全的施工及设备的使用，及时下达停工（停用）指令，坚决予以纠正。</w:t>
      </w:r>
    </w:p>
    <w:p w14:paraId="7AF1A910">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11.</w:t>
      </w:r>
      <w:r>
        <w:rPr>
          <w:rFonts w:hint="eastAsia" w:ascii="宋体" w:hAnsi="宋体" w:eastAsia="宋体" w:cs="宋体"/>
          <w:color w:val="auto"/>
          <w:sz w:val="24"/>
          <w:szCs w:val="24"/>
          <w:highlight w:val="none"/>
        </w:rPr>
        <w:t>对施工现场存在的安全隐患及时发出整改通知并向安监机构报告。</w:t>
      </w:r>
    </w:p>
    <w:p w14:paraId="3DA5C782">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12.</w:t>
      </w:r>
      <w:r>
        <w:rPr>
          <w:rFonts w:hint="eastAsia" w:ascii="宋体" w:hAnsi="宋体" w:eastAsia="宋体" w:cs="宋体"/>
          <w:color w:val="auto"/>
          <w:sz w:val="24"/>
          <w:szCs w:val="24"/>
          <w:highlight w:val="none"/>
        </w:rPr>
        <w:t>对因安全原因被建设行政主管部门和监督机构责令停工整改的，要积极主动抓好督促落实并及时反馈情况。</w:t>
      </w:r>
    </w:p>
    <w:p w14:paraId="15233A43">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13.</w:t>
      </w:r>
      <w:r>
        <w:rPr>
          <w:rFonts w:hint="eastAsia" w:ascii="宋体" w:hAnsi="宋体" w:eastAsia="宋体" w:cs="宋体"/>
          <w:color w:val="auto"/>
          <w:sz w:val="24"/>
          <w:szCs w:val="24"/>
          <w:highlight w:val="none"/>
        </w:rPr>
        <w:t>督促施工单位按规定购买施工意外保险和搞好文明施工管理。</w:t>
      </w:r>
    </w:p>
    <w:p w14:paraId="28DB5BDF">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14.</w:t>
      </w:r>
      <w:r>
        <w:rPr>
          <w:rFonts w:hint="eastAsia" w:ascii="宋体" w:hAnsi="宋体" w:eastAsia="宋体" w:cs="宋体"/>
          <w:color w:val="auto"/>
          <w:sz w:val="24"/>
          <w:szCs w:val="24"/>
          <w:highlight w:val="none"/>
        </w:rPr>
        <w:t>参与安全事故的调查处理。</w:t>
      </w:r>
    </w:p>
    <w:p w14:paraId="47872901">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15.</w:t>
      </w:r>
      <w:r>
        <w:rPr>
          <w:rFonts w:hint="eastAsia" w:ascii="宋体" w:hAnsi="宋体" w:eastAsia="宋体" w:cs="宋体"/>
          <w:color w:val="auto"/>
          <w:sz w:val="24"/>
          <w:szCs w:val="24"/>
          <w:highlight w:val="none"/>
        </w:rPr>
        <w:t>参与事故应急救援预案的公布和演练。</w:t>
      </w:r>
    </w:p>
    <w:p w14:paraId="5BA0351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16.</w:t>
      </w:r>
      <w:r>
        <w:rPr>
          <w:rFonts w:hint="eastAsia" w:ascii="宋体" w:hAnsi="宋体" w:eastAsia="宋体" w:cs="宋体"/>
          <w:color w:val="auto"/>
          <w:sz w:val="24"/>
          <w:szCs w:val="24"/>
          <w:highlight w:val="none"/>
        </w:rPr>
        <w:t xml:space="preserve">做好安全施工监理记录，日记和监理月报等资料整理，并督促承包单位及时整理现场安全管理文件资料。    </w:t>
      </w:r>
    </w:p>
    <w:p w14:paraId="4BC87F2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17.</w:t>
      </w:r>
      <w:r>
        <w:rPr>
          <w:rFonts w:hint="eastAsia" w:ascii="宋体" w:hAnsi="宋体" w:eastAsia="宋体" w:cs="宋体"/>
          <w:color w:val="auto"/>
          <w:sz w:val="24"/>
          <w:szCs w:val="24"/>
          <w:highlight w:val="none"/>
        </w:rPr>
        <w:t xml:space="preserve">本协议一式 捌 份，合同双方当事人各执 肆 份。 </w:t>
      </w:r>
    </w:p>
    <w:p w14:paraId="45DF145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委托人：（公章）                 监理人：（公章）</w:t>
      </w:r>
    </w:p>
    <w:p w14:paraId="06D707A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14:paraId="3F7DB9F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年    月    日  </w:t>
      </w:r>
    </w:p>
    <w:p w14:paraId="3FBD362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9989433">
      <w:pPr>
        <w:spacing w:line="560" w:lineRule="exact"/>
        <w:rPr>
          <w:rFonts w:hint="eastAsia" w:ascii="宋体" w:hAnsi="宋体" w:eastAsia="宋体" w:cs="宋体"/>
          <w:color w:val="auto"/>
          <w:sz w:val="24"/>
          <w:szCs w:val="24"/>
          <w:highlight w:val="none"/>
        </w:rPr>
      </w:pPr>
      <w:r>
        <w:rPr>
          <w:rFonts w:hint="eastAsia" w:ascii="宋体" w:hAnsi="宋体" w:eastAsia="宋体" w:cs="宋体"/>
          <w:b/>
          <w:color w:val="auto"/>
          <w:spacing w:val="10"/>
          <w:sz w:val="24"/>
          <w:szCs w:val="24"/>
          <w:highlight w:val="none"/>
        </w:rPr>
        <w:t>附件二</w:t>
      </w:r>
    </w:p>
    <w:p w14:paraId="17B48E3C">
      <w:pPr>
        <w:spacing w:line="560" w:lineRule="exact"/>
        <w:ind w:firstLine="482" w:firstLineChars="200"/>
        <w:jc w:val="center"/>
        <w:rPr>
          <w:rFonts w:hint="eastAsia" w:ascii="宋体" w:hAnsi="宋体" w:eastAsia="宋体" w:cs="宋体"/>
          <w:b/>
          <w:color w:val="auto"/>
          <w:sz w:val="24"/>
          <w:szCs w:val="24"/>
          <w:highlight w:val="none"/>
        </w:rPr>
      </w:pPr>
      <w:r>
        <w:rPr>
          <w:rFonts w:hint="eastAsia" w:ascii="宋体" w:hAnsi="宋体" w:cs="宋体"/>
          <w:b/>
          <w:bCs/>
          <w:color w:val="auto"/>
          <w:sz w:val="24"/>
          <w:szCs w:val="24"/>
          <w:highlight w:val="none"/>
          <w:lang w:eastAsia="zh-CN"/>
        </w:rPr>
        <w:t>广东华南粮食交易中心有限公司常平粮库三期工程</w:t>
      </w:r>
      <w:r>
        <w:rPr>
          <w:rFonts w:hint="eastAsia" w:ascii="宋体" w:hAnsi="宋体" w:eastAsia="宋体" w:cs="宋体"/>
          <w:b/>
          <w:bCs/>
          <w:color w:val="auto"/>
          <w:sz w:val="24"/>
          <w:szCs w:val="24"/>
          <w:highlight w:val="none"/>
        </w:rPr>
        <w:t>监理</w:t>
      </w:r>
    </w:p>
    <w:p w14:paraId="66C89E07">
      <w:pPr>
        <w:spacing w:line="560" w:lineRule="exact"/>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廉 政 合 同</w:t>
      </w:r>
    </w:p>
    <w:p w14:paraId="4EFA3C5D">
      <w:pPr>
        <w:spacing w:line="560" w:lineRule="exact"/>
        <w:ind w:firstLine="480" w:firstLineChars="200"/>
        <w:rPr>
          <w:rFonts w:hint="eastAsia" w:ascii="宋体" w:hAnsi="宋体" w:eastAsia="宋体" w:cs="宋体"/>
          <w:color w:val="auto"/>
          <w:sz w:val="24"/>
          <w:szCs w:val="24"/>
          <w:highlight w:val="none"/>
        </w:rPr>
      </w:pPr>
    </w:p>
    <w:p w14:paraId="6C5AAE7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委托人：（甲方）  </w:t>
      </w:r>
      <w:r>
        <w:rPr>
          <w:rFonts w:hint="eastAsia" w:ascii="宋体" w:hAnsi="宋体" w:cs="宋体"/>
          <w:color w:val="auto"/>
          <w:sz w:val="24"/>
          <w:szCs w:val="24"/>
          <w:highlight w:val="none"/>
          <w:lang w:eastAsia="zh-CN"/>
        </w:rPr>
        <w:t>广东华南粮食交易中心有限公司</w:t>
      </w:r>
      <w:r>
        <w:rPr>
          <w:rFonts w:hint="eastAsia" w:ascii="宋体" w:hAnsi="宋体" w:eastAsia="宋体" w:cs="宋体"/>
          <w:color w:val="auto"/>
          <w:sz w:val="24"/>
          <w:szCs w:val="24"/>
          <w:highlight w:val="none"/>
        </w:rPr>
        <w:t xml:space="preserve">                </w:t>
      </w:r>
    </w:p>
    <w:p w14:paraId="22BB3A0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监理人：（乙方）                              </w:t>
      </w:r>
    </w:p>
    <w:p w14:paraId="3EBD55E1">
      <w:pPr>
        <w:spacing w:line="560" w:lineRule="exact"/>
        <w:ind w:firstLine="480" w:firstLineChars="200"/>
        <w:rPr>
          <w:rFonts w:hint="eastAsia" w:ascii="宋体" w:hAnsi="宋体" w:eastAsia="宋体" w:cs="宋体"/>
          <w:color w:val="auto"/>
          <w:sz w:val="24"/>
          <w:szCs w:val="24"/>
          <w:highlight w:val="none"/>
        </w:rPr>
      </w:pPr>
    </w:p>
    <w:p w14:paraId="6EA7496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根据国家、省有关廉政建设的规定，为做好合同工程的廉政建设，保证工程质量与施工安全，提高建设资金的有效使用和投资效益，合同双方当事人就加强</w:t>
      </w:r>
      <w:r>
        <w:rPr>
          <w:rFonts w:hint="eastAsia" w:ascii="宋体" w:hAnsi="宋体" w:cs="宋体"/>
          <w:color w:val="auto"/>
          <w:sz w:val="24"/>
          <w:szCs w:val="24"/>
          <w:highlight w:val="none"/>
          <w:lang w:eastAsia="zh-CN"/>
        </w:rPr>
        <w:t>广东华南粮食交易中心有限公司常平粮库三期工程</w:t>
      </w:r>
      <w:r>
        <w:rPr>
          <w:rFonts w:hint="eastAsia" w:ascii="宋体" w:hAnsi="宋体" w:eastAsia="宋体" w:cs="宋体"/>
          <w:color w:val="auto"/>
          <w:sz w:val="24"/>
          <w:szCs w:val="24"/>
          <w:highlight w:val="none"/>
        </w:rPr>
        <w:t>监理的廉政建设，订立本合同。</w:t>
      </w:r>
    </w:p>
    <w:p w14:paraId="6D7F68C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双方权利和义务</w:t>
      </w:r>
    </w:p>
    <w:p w14:paraId="47786FE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严格遵守国家、省有关法律法规的规定。</w:t>
      </w:r>
    </w:p>
    <w:p w14:paraId="55FEBF7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严格执行合同工程的一切合同文件，自觉按合同办事。</w:t>
      </w:r>
    </w:p>
    <w:p w14:paraId="013D30D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合同双方当事人的业务活动应坚持公平、公开、公正和诚信的原则（法律认定的商业秘密和合同文件另有规定除外），不得损害国家和集体利益，不得违反工程建设管理规章制度。</w:t>
      </w:r>
    </w:p>
    <w:p w14:paraId="00D9657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建立健全廉政制度，开展廉政教育，设立廉政告示牌，公布举报电话，监督并认真查处违法违纪行为。</w:t>
      </w:r>
    </w:p>
    <w:p w14:paraId="0A4B559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发现对方在业务活动中有违反廉政建设规定的行为，应及时给予提醒和纠正。</w:t>
      </w:r>
    </w:p>
    <w:p w14:paraId="0260AEE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发现对方严重违反合同的行为，有向其上级部门举报、建议给予处理并要求告知处理结果的权利。</w:t>
      </w:r>
    </w:p>
    <w:p w14:paraId="34003B6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委托人义务</w:t>
      </w:r>
    </w:p>
    <w:p w14:paraId="74D4052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委托人及其工作人员不得索取或接受监理人的礼金、有价证券和贵重物品，不得在监理人报销任何应由委托人或其工作人员个人支付的费用。</w:t>
      </w:r>
    </w:p>
    <w:p w14:paraId="6EE1634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2.2委托人及其工作人员不得参加监理人安排的宴请（工作餐除外）和娱乐活动，不得接受监理人提供的通讯、交通工具和高档办公用品等物品。</w:t>
      </w:r>
    </w:p>
    <w:p w14:paraId="7ECE265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委托人及其工作人员不得要求或者接受监理人为其住房装修、婚丧嫁娶活动、配偶</w:t>
      </w:r>
      <w:r>
        <w:rPr>
          <w:rFonts w:hint="eastAsia" w:ascii="宋体" w:hAnsi="宋体" w:cs="宋体"/>
          <w:color w:val="auto"/>
          <w:sz w:val="24"/>
          <w:szCs w:val="24"/>
          <w:highlight w:val="none"/>
          <w:lang w:eastAsia="zh-CN"/>
        </w:rPr>
        <w:t>子女</w:t>
      </w:r>
      <w:r>
        <w:rPr>
          <w:rFonts w:hint="eastAsia" w:ascii="宋体" w:hAnsi="宋体" w:eastAsia="宋体" w:cs="宋体"/>
          <w:color w:val="auto"/>
          <w:sz w:val="24"/>
          <w:szCs w:val="24"/>
          <w:highlight w:val="none"/>
        </w:rPr>
        <w:t>安排以及出国出境、旅游等提供方便。</w:t>
      </w:r>
    </w:p>
    <w:p w14:paraId="32A7D20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委托人及其工作人员要秉公办事，不准营私舞弊，不准利用职权私自为合同工程安排施工队伍，也不得从事与合同工程有关的各种有偿中介活动。</w:t>
      </w:r>
    </w:p>
    <w:p w14:paraId="39DF92E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委托人及其工作人员（含其配偶、子女）不得从事与合同工程有关的材料和工程设备供应、工程分包、劳务等经济活动。</w:t>
      </w:r>
    </w:p>
    <w:p w14:paraId="77A4F34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监理人义务</w:t>
      </w:r>
    </w:p>
    <w:p w14:paraId="3A7CA9E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监理人不得以任何理由向委托人及其工作人员行贿或馈赠礼金、有价证券、贵重物品。</w:t>
      </w:r>
    </w:p>
    <w:p w14:paraId="1622CE4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监理人不得以任何名义为委托人及其工作人员报销应由委托人或其工作人员个人支付的任何费用。</w:t>
      </w:r>
    </w:p>
    <w:p w14:paraId="466FCCA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监理人不得以任何理由安排委托人及其工作人员参加宴请（工作餐除外）及娱乐活动。</w:t>
      </w:r>
    </w:p>
    <w:p w14:paraId="5BD7314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监理人不得为委托人及其个人购置或提供通讯、交通工具和高档办公用品等物品。</w:t>
      </w:r>
    </w:p>
    <w:p w14:paraId="25D81E1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监理人不得为委托人及其工作人员的住房装修、婚丧嫁娶活动、配偶子女工作安排以及出国出境、旅游等提供方便。</w:t>
      </w:r>
    </w:p>
    <w:p w14:paraId="3AA830D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监理人及其工作人员不得索取或接受施工单位</w:t>
      </w:r>
      <w:r>
        <w:rPr>
          <w:rFonts w:hint="eastAsia" w:ascii="宋体" w:hAnsi="宋体" w:eastAsia="宋体" w:cs="宋体"/>
          <w:b/>
          <w:color w:val="auto"/>
          <w:sz w:val="24"/>
          <w:szCs w:val="24"/>
          <w:highlight w:val="none"/>
        </w:rPr>
        <w:t>（指本工程的土建施工、机电设备承包单位或其分包单位，下同）</w:t>
      </w:r>
      <w:r>
        <w:rPr>
          <w:rFonts w:hint="eastAsia" w:ascii="宋体" w:hAnsi="宋体" w:eastAsia="宋体" w:cs="宋体"/>
          <w:color w:val="auto"/>
          <w:sz w:val="24"/>
          <w:szCs w:val="24"/>
          <w:highlight w:val="none"/>
        </w:rPr>
        <w:t>的礼金、有价证券和贵重物品，不得在施工单位报销任何应由监理人或其工作人员个人支付的费用。</w:t>
      </w:r>
    </w:p>
    <w:p w14:paraId="6136EED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3.7监理人及其工作人员不得参加施工单位安排的宴请和娱乐活动，不得接受施工单位提供的通讯、交通工具和高档办公用品等物品。</w:t>
      </w:r>
    </w:p>
    <w:p w14:paraId="7DF633B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 监理人及其工作人员不得要求或者接受施工单位为其住房装修、婚丧嫁娶活动、配偶子女工作安排以及出国出境、旅游等提供方便。</w:t>
      </w:r>
    </w:p>
    <w:p w14:paraId="4F8C15E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 监理人及其工作人员不得以任何理由向施工单位推荐分包人、建筑材料、工程设备或要求施工单位购买合同以外的材料和工程设备。</w:t>
      </w:r>
    </w:p>
    <w:p w14:paraId="05C5D65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 监理人及其工作人员要秉公办事，不准营私舞弊，不准利用职权私自为合同工程安排施工队伍，也不得从事与合同工程有关的各种有偿中介活动。</w:t>
      </w:r>
    </w:p>
    <w:p w14:paraId="6424FAA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监理人及其工作人员（含其配偶、子女）不得从事与本合同工程有关的材料和工程设备供应、工程分包、劳务等经济活动。</w:t>
      </w:r>
    </w:p>
    <w:p w14:paraId="6BC5280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违约责任</w:t>
      </w:r>
    </w:p>
    <w:p w14:paraId="6C5A87B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委托人及其工作人员违反本合同规定，应按照廉政建设的有关规定给予处分；涉嫌犯罪，移交司法机关追究刑事责任；给监理人造成损失的，应予赔偿。</w:t>
      </w:r>
    </w:p>
    <w:p w14:paraId="73DE840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及其工作人员违反本合同规定，应按照廉政建设的有关规定给予处分；情节严重的，给予监理人1～3年内不得进入工程建设市场的处罚；涉嫌犯罪的，移交司法机关追究刑事责任；给委托人造成损失的，应予赔偿</w:t>
      </w:r>
      <w:r>
        <w:rPr>
          <w:rFonts w:hint="eastAsia" w:ascii="宋体" w:hAnsi="宋体" w:cs="宋体"/>
          <w:color w:val="auto"/>
          <w:sz w:val="24"/>
          <w:szCs w:val="24"/>
          <w:highlight w:val="none"/>
          <w:lang w:eastAsia="zh-CN"/>
        </w:rPr>
        <w:t>。</w:t>
      </w:r>
    </w:p>
    <w:p w14:paraId="387799B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双方约定</w:t>
      </w:r>
    </w:p>
    <w:p w14:paraId="5EA110C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本合同由合同双方当事人或其上级部门负责监督执行，并由合同双方当事人或其上级部门相互约请对本合同执行情况进行检查。</w:t>
      </w:r>
    </w:p>
    <w:p w14:paraId="33268B8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6合同法律效力</w:t>
      </w:r>
    </w:p>
    <w:p w14:paraId="28C37DC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本合同作为</w:t>
      </w:r>
      <w:r>
        <w:rPr>
          <w:rFonts w:hint="eastAsia" w:ascii="宋体" w:hAnsi="宋体" w:cs="宋体"/>
          <w:color w:val="auto"/>
          <w:sz w:val="24"/>
          <w:szCs w:val="24"/>
          <w:highlight w:val="none"/>
          <w:lang w:eastAsia="zh-CN"/>
        </w:rPr>
        <w:t>广东华南粮食交易中心有限公司常平粮库三期工程</w:t>
      </w:r>
      <w:r>
        <w:rPr>
          <w:rFonts w:hint="eastAsia" w:ascii="宋体" w:hAnsi="宋体" w:eastAsia="宋体" w:cs="宋体"/>
          <w:color w:val="auto"/>
          <w:sz w:val="24"/>
          <w:szCs w:val="24"/>
          <w:highlight w:val="none"/>
        </w:rPr>
        <w:t>监理合同的附件，与施工监理合同具有同等的法律效力。</w:t>
      </w:r>
    </w:p>
    <w:p w14:paraId="7D61399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合同生效</w:t>
      </w:r>
    </w:p>
    <w:p w14:paraId="7C9A25B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本合同自合同双方当事人签署之日起生效，至监理服务期完成之日后失效</w:t>
      </w:r>
      <w:r>
        <w:rPr>
          <w:rFonts w:hint="eastAsia" w:ascii="宋体" w:hAnsi="宋体" w:cs="宋体"/>
          <w:color w:val="auto"/>
          <w:sz w:val="24"/>
          <w:szCs w:val="24"/>
          <w:highlight w:val="none"/>
          <w:lang w:eastAsia="zh-CN"/>
        </w:rPr>
        <w:t>，监理服务期完成包括工程竣工结算及保修阶段服务结束</w:t>
      </w:r>
      <w:r>
        <w:rPr>
          <w:rFonts w:hint="eastAsia" w:ascii="宋体" w:hAnsi="宋体" w:eastAsia="宋体" w:cs="宋体"/>
          <w:color w:val="auto"/>
          <w:sz w:val="24"/>
          <w:szCs w:val="24"/>
          <w:highlight w:val="none"/>
        </w:rPr>
        <w:t>。</w:t>
      </w:r>
    </w:p>
    <w:p w14:paraId="73FD64C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合同份数</w:t>
      </w:r>
    </w:p>
    <w:p w14:paraId="3F629AA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 捌 份，合同双方当事人各执 肆 份。有上级部门的，合同双方当事人应各送交其上级部门一份。</w:t>
      </w:r>
    </w:p>
    <w:p w14:paraId="2E9987D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4CB9C8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委托人：（公章）                 监理人：（公章）</w:t>
      </w:r>
    </w:p>
    <w:p w14:paraId="4E974E3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14:paraId="432F120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联系电话：                </w:t>
      </w:r>
    </w:p>
    <w:p w14:paraId="449C910B">
      <w:pPr>
        <w:widowControl/>
        <w:jc w:val="left"/>
        <w:rPr>
          <w:color w:val="000000" w:themeColor="text1"/>
          <w:sz w:val="18"/>
          <w14:textFill>
            <w14:solidFill>
              <w14:schemeClr w14:val="tx1"/>
            </w14:solidFill>
          </w14:textFill>
        </w:rPr>
      </w:pPr>
      <w:r>
        <w:rPr>
          <w:rFonts w:hint="eastAsia" w:ascii="宋体" w:hAnsi="宋体" w:eastAsia="宋体" w:cs="宋体"/>
          <w:color w:val="auto"/>
          <w:sz w:val="24"/>
          <w:szCs w:val="24"/>
          <w:highlight w:val="none"/>
        </w:rPr>
        <w:t>年    月    日                  年    月    日</w:t>
      </w:r>
    </w:p>
    <w:p w14:paraId="52D8EDD4">
      <w:pPr>
        <w:jc w:val="left"/>
        <w:outlineLvl w:val="9"/>
        <w:rPr>
          <w:rFonts w:hint="eastAsia"/>
          <w:b/>
          <w:color w:val="000000" w:themeColor="text1"/>
          <w:sz w:val="44"/>
          <w:highlight w:val="none"/>
          <w14:textFill>
            <w14:solidFill>
              <w14:schemeClr w14:val="tx1"/>
            </w14:solidFill>
          </w14:textFill>
        </w:rPr>
      </w:pPr>
      <w:bookmarkStart w:id="376" w:name="_Toc171430680"/>
      <w:bookmarkStart w:id="377" w:name="_Toc247085853"/>
      <w:bookmarkStart w:id="378" w:name="_Toc246997081"/>
      <w:bookmarkStart w:id="379" w:name="_Toc179632787"/>
      <w:bookmarkStart w:id="380" w:name="_Toc246996338"/>
      <w:bookmarkStart w:id="381" w:name="_Toc144974578"/>
      <w:bookmarkStart w:id="382" w:name="_Toc247514197"/>
      <w:bookmarkStart w:id="383" w:name="_Toc152042388"/>
      <w:bookmarkStart w:id="384" w:name="_Toc152042549"/>
      <w:bookmarkStart w:id="385" w:name="_Toc300835199"/>
      <w:bookmarkStart w:id="386" w:name="_Toc144974829"/>
      <w:bookmarkStart w:id="387" w:name="_Toc247527798"/>
      <w:bookmarkStart w:id="388" w:name="_Toc184635122"/>
      <w:bookmarkStart w:id="389" w:name="_Toc152045610"/>
      <w:r>
        <w:rPr>
          <w:rFonts w:hint="eastAsia"/>
          <w:b/>
          <w:color w:val="000000" w:themeColor="text1"/>
          <w:sz w:val="44"/>
          <w:highlight w:val="none"/>
          <w14:textFill>
            <w14:solidFill>
              <w14:schemeClr w14:val="tx1"/>
            </w14:solidFill>
          </w14:textFill>
        </w:rPr>
        <w:br w:type="page"/>
      </w:r>
    </w:p>
    <w:p w14:paraId="6A263BB5">
      <w:pPr>
        <w:jc w:val="center"/>
        <w:outlineLvl w:val="0"/>
        <w:rPr>
          <w:b/>
          <w:color w:val="000000" w:themeColor="text1"/>
          <w:sz w:val="44"/>
          <w:highlight w:val="none"/>
          <w14:textFill>
            <w14:solidFill>
              <w14:schemeClr w14:val="tx1"/>
            </w14:solidFill>
          </w14:textFill>
        </w:rPr>
      </w:pPr>
      <w:r>
        <w:rPr>
          <w:rFonts w:hint="eastAsia"/>
          <w:b/>
          <w:color w:val="000000" w:themeColor="text1"/>
          <w:sz w:val="44"/>
          <w:highlight w:val="none"/>
          <w14:textFill>
            <w14:solidFill>
              <w14:schemeClr w14:val="tx1"/>
            </w14:solidFill>
          </w14:textFill>
        </w:rPr>
        <w:t>第二卷</w:t>
      </w:r>
      <w:bookmarkEnd w:id="376"/>
    </w:p>
    <w:p w14:paraId="57CD6E23">
      <w:pPr>
        <w:pStyle w:val="5"/>
        <w:spacing w:line="360" w:lineRule="auto"/>
        <w:jc w:val="center"/>
        <w:rPr>
          <w:rFonts w:ascii="宋体" w:hAnsi="宋体"/>
          <w:strike w:val="0"/>
          <w:dstrike w:val="0"/>
          <w:szCs w:val="36"/>
          <w:highlight w:val="none"/>
        </w:rPr>
      </w:pPr>
      <w:bookmarkStart w:id="390" w:name="_Toc171430681"/>
      <w:r>
        <w:rPr>
          <w:rFonts w:hint="eastAsia" w:ascii="宋体" w:hAnsi="宋体"/>
          <w:strike w:val="0"/>
          <w:dstrike w:val="0"/>
          <w:szCs w:val="36"/>
          <w:highlight w:val="none"/>
        </w:rPr>
        <w:t>第五章</w:t>
      </w:r>
      <w:r>
        <w:rPr>
          <w:rFonts w:ascii="宋体" w:hAnsi="宋体"/>
          <w:strike w:val="0"/>
          <w:dstrike w:val="0"/>
          <w:szCs w:val="36"/>
          <w:highlight w:val="none"/>
        </w:rPr>
        <w:t xml:space="preserve"> </w:t>
      </w:r>
      <w:r>
        <w:rPr>
          <w:rFonts w:hint="eastAsia" w:ascii="宋体" w:hAnsi="宋体"/>
          <w:strike w:val="0"/>
          <w:dstrike w:val="0"/>
          <w:szCs w:val="36"/>
          <w:highlight w:val="none"/>
        </w:rPr>
        <w:t>委托人要求</w:t>
      </w:r>
      <w:bookmarkEnd w:id="377"/>
      <w:bookmarkEnd w:id="378"/>
      <w:bookmarkEnd w:id="379"/>
      <w:bookmarkEnd w:id="380"/>
      <w:bookmarkEnd w:id="390"/>
      <w:bookmarkStart w:id="391" w:name="_Toc529196595"/>
      <w:bookmarkStart w:id="392" w:name="_Toc386995907"/>
      <w:bookmarkStart w:id="393" w:name="_Toc535938725"/>
      <w:bookmarkStart w:id="394" w:name="_Toc525828225"/>
      <w:bookmarkStart w:id="395" w:name="_Toc497745189"/>
      <w:bookmarkStart w:id="396" w:name="_Toc525827491"/>
      <w:bookmarkStart w:id="397" w:name="_Toc530470634"/>
    </w:p>
    <w:bookmarkEnd w:id="391"/>
    <w:bookmarkEnd w:id="392"/>
    <w:bookmarkEnd w:id="393"/>
    <w:bookmarkEnd w:id="394"/>
    <w:bookmarkEnd w:id="395"/>
    <w:bookmarkEnd w:id="396"/>
    <w:bookmarkEnd w:id="397"/>
    <w:p w14:paraId="4E168020">
      <w:pPr>
        <w:ind w:firstLine="883" w:firstLineChars="200"/>
        <w:rPr>
          <w:b/>
          <w:color w:val="000000" w:themeColor="text1"/>
          <w:sz w:val="44"/>
          <w:highlight w:val="yellow"/>
          <w14:textFill>
            <w14:solidFill>
              <w14:schemeClr w14:val="tx1"/>
            </w14:solidFill>
          </w14:textFill>
        </w:rPr>
      </w:pPr>
      <w:bookmarkStart w:id="398" w:name="_Toc6575"/>
      <w:bookmarkEnd w:id="398"/>
    </w:p>
    <w:p w14:paraId="33F4F76F">
      <w:pPr>
        <w:jc w:val="center"/>
        <w:outlineLvl w:val="0"/>
        <w:rPr>
          <w:rFonts w:hint="default" w:eastAsia="宋体"/>
          <w:b/>
          <w:color w:val="000000" w:themeColor="text1"/>
          <w:sz w:val="44"/>
          <w:lang w:val="en-US" w:eastAsia="zh-CN"/>
          <w14:textFill>
            <w14:solidFill>
              <w14:schemeClr w14:val="tx1"/>
            </w14:solidFill>
          </w14:textFill>
        </w:rPr>
        <w:sectPr>
          <w:pgSz w:w="11906" w:h="16838"/>
          <w:pgMar w:top="1440" w:right="1440" w:bottom="1440" w:left="1440" w:header="720" w:footer="720" w:gutter="0"/>
          <w:pgNumType w:fmt="decimal"/>
          <w:cols w:space="720" w:num="1"/>
        </w:sectPr>
      </w:pPr>
      <w:r>
        <w:rPr>
          <w:rFonts w:hint="eastAsia"/>
          <w:b/>
          <w:color w:val="000000" w:themeColor="text1"/>
          <w:sz w:val="44"/>
          <w:lang w:val="en-US" w:eastAsia="zh-CN"/>
          <w14:textFill>
            <w14:solidFill>
              <w14:schemeClr w14:val="tx1"/>
            </w14:solidFill>
          </w14:textFill>
        </w:rPr>
        <w:t>详见合同文件</w:t>
      </w:r>
    </w:p>
    <w:p w14:paraId="7D9CFBF7">
      <w:pPr>
        <w:jc w:val="center"/>
        <w:outlineLvl w:val="0"/>
        <w:rPr>
          <w:b/>
          <w:color w:val="000000" w:themeColor="text1"/>
          <w14:textFill>
            <w14:solidFill>
              <w14:schemeClr w14:val="tx1"/>
            </w14:solidFill>
          </w14:textFill>
        </w:rPr>
      </w:pPr>
      <w:bookmarkStart w:id="399" w:name="_Toc171430682"/>
      <w:r>
        <w:rPr>
          <w:rFonts w:hint="eastAsia"/>
          <w:b/>
          <w:color w:val="000000" w:themeColor="text1"/>
          <w:sz w:val="44"/>
          <w14:textFill>
            <w14:solidFill>
              <w14:schemeClr w14:val="tx1"/>
            </w14:solidFill>
          </w14:textFill>
        </w:rPr>
        <w:t>第三卷</w:t>
      </w:r>
      <w:bookmarkEnd w:id="399"/>
    </w:p>
    <w:p w14:paraId="0A7B2AB2">
      <w:pPr>
        <w:pStyle w:val="5"/>
        <w:keepNext w:val="0"/>
        <w:keepLines w:val="0"/>
        <w:spacing w:line="240" w:lineRule="auto"/>
        <w:jc w:val="center"/>
        <w:rPr>
          <w:rFonts w:ascii="宋体" w:hAnsi="宋体"/>
          <w:color w:val="000000" w:themeColor="text1"/>
          <w14:textFill>
            <w14:solidFill>
              <w14:schemeClr w14:val="tx1"/>
            </w14:solidFill>
          </w14:textFill>
        </w:rPr>
      </w:pPr>
      <w:bookmarkStart w:id="400" w:name="_Toc171430683"/>
      <w:r>
        <w:rPr>
          <w:rFonts w:hint="eastAsia" w:ascii="宋体" w:hAnsi="宋体"/>
          <w:color w:val="000000" w:themeColor="text1"/>
          <w14:textFill>
            <w14:solidFill>
              <w14:schemeClr w14:val="tx1"/>
            </w14:solidFill>
          </w14:textFill>
        </w:rPr>
        <w:t>第六章</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投标文件格式</w:t>
      </w:r>
      <w:bookmarkEnd w:id="400"/>
    </w:p>
    <w:p w14:paraId="32219ACC">
      <w:pPr>
        <w:widowControl/>
        <w:jc w:val="left"/>
        <w:rPr>
          <w:rFonts w:ascii="宋体" w:hAnsi="宋体"/>
          <w:color w:val="000000" w:themeColor="text1"/>
          <w:sz w:val="28"/>
          <w:szCs w:val="28"/>
          <w:u w:val="single"/>
          <w14:textFill>
            <w14:solidFill>
              <w14:schemeClr w14:val="tx1"/>
            </w14:solidFill>
          </w14:textFill>
        </w:rPr>
      </w:pPr>
    </w:p>
    <w:p w14:paraId="4E3C5D6C">
      <w:pPr>
        <w:widowControl/>
        <w:jc w:val="left"/>
        <w:rPr>
          <w:rFonts w:ascii="宋体" w:hAnsi="宋体"/>
          <w:color w:val="000000" w:themeColor="text1"/>
          <w:sz w:val="28"/>
          <w:szCs w:val="28"/>
          <w:u w:val="single"/>
          <w14:textFill>
            <w14:solidFill>
              <w14:schemeClr w14:val="tx1"/>
            </w14:solidFill>
          </w14:textFill>
        </w:rPr>
      </w:pPr>
    </w:p>
    <w:p w14:paraId="7CD8E5DA">
      <w:pPr>
        <w:jc w:val="center"/>
        <w:rPr>
          <w:rFonts w:ascii="宋体" w:hAnsi="宋体"/>
          <w:color w:val="000000" w:themeColor="text1"/>
          <w:sz w:val="28"/>
          <w:szCs w:val="28"/>
          <w:u w:val="single"/>
          <w14:textFill>
            <w14:solidFill>
              <w14:schemeClr w14:val="tx1"/>
            </w14:solidFill>
          </w14:textFill>
        </w:rPr>
      </w:pPr>
    </w:p>
    <w:p w14:paraId="27F6D26F">
      <w:pPr>
        <w:widowControl/>
        <w:jc w:val="left"/>
        <w:rPr>
          <w:rFonts w:ascii="宋体" w:hAnsi="宋体"/>
          <w:b/>
          <w:color w:val="000000" w:themeColor="text1"/>
          <w:sz w:val="32"/>
          <w:szCs w:val="28"/>
          <w:u w:val="single"/>
          <w14:textFill>
            <w14:solidFill>
              <w14:schemeClr w14:val="tx1"/>
            </w14:solidFill>
          </w14:textFill>
        </w:rPr>
      </w:pPr>
      <w:r>
        <w:rPr>
          <w:rFonts w:ascii="宋体" w:hAnsi="宋体"/>
          <w:b/>
          <w:color w:val="000000" w:themeColor="text1"/>
          <w:sz w:val="32"/>
          <w:szCs w:val="28"/>
          <w:u w:val="single"/>
          <w14:textFill>
            <w14:solidFill>
              <w14:schemeClr w14:val="tx1"/>
            </w14:solidFill>
          </w14:textFill>
        </w:rPr>
        <w:br w:type="page"/>
      </w:r>
    </w:p>
    <w:p w14:paraId="1AE9A33F">
      <w:pPr>
        <w:jc w:val="center"/>
        <w:rPr>
          <w:rFonts w:ascii="宋体" w:hAnsi="宋体"/>
          <w:b/>
          <w:color w:val="000000" w:themeColor="text1"/>
          <w:sz w:val="24"/>
          <w:szCs w:val="28"/>
          <w:u w:val="single"/>
          <w14:textFill>
            <w14:solidFill>
              <w14:schemeClr w14:val="tx1"/>
            </w14:solidFill>
          </w14:textFill>
        </w:rPr>
      </w:pPr>
      <w:r>
        <w:rPr>
          <w:rFonts w:ascii="宋体" w:hAnsi="宋体"/>
          <w:b/>
          <w:color w:val="000000" w:themeColor="text1"/>
          <w:sz w:val="32"/>
          <w:szCs w:val="28"/>
          <w:u w:val="single"/>
          <w14:textFill>
            <w14:solidFill>
              <w14:schemeClr w14:val="tx1"/>
            </w14:solidFill>
          </w14:textFill>
        </w:rPr>
        <w:t>（项目名称）</w:t>
      </w:r>
    </w:p>
    <w:p w14:paraId="10286269">
      <w:pPr>
        <w:rPr>
          <w:rFonts w:ascii="宋体" w:hAnsi="宋体"/>
          <w:color w:val="000000" w:themeColor="text1"/>
          <w:sz w:val="20"/>
          <w14:textFill>
            <w14:solidFill>
              <w14:schemeClr w14:val="tx1"/>
            </w14:solidFill>
          </w14:textFill>
        </w:rPr>
      </w:pPr>
    </w:p>
    <w:p w14:paraId="7854044C">
      <w:pPr>
        <w:ind w:firstLine="3220" w:firstLineChars="115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(项目编号：</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w:t>
      </w:r>
    </w:p>
    <w:p w14:paraId="4A35D39E">
      <w:pPr>
        <w:rPr>
          <w:rFonts w:ascii="宋体" w:hAnsi="宋体"/>
          <w:color w:val="000000" w:themeColor="text1"/>
          <w:sz w:val="20"/>
          <w14:textFill>
            <w14:solidFill>
              <w14:schemeClr w14:val="tx1"/>
            </w14:solidFill>
          </w14:textFill>
        </w:rPr>
      </w:pPr>
    </w:p>
    <w:p w14:paraId="0E041F8E">
      <w:pPr>
        <w:rPr>
          <w:rFonts w:ascii="宋体" w:hAnsi="宋体"/>
          <w:color w:val="000000" w:themeColor="text1"/>
          <w:sz w:val="20"/>
          <w14:textFill>
            <w14:solidFill>
              <w14:schemeClr w14:val="tx1"/>
            </w14:solidFill>
          </w14:textFill>
        </w:rPr>
      </w:pPr>
    </w:p>
    <w:p w14:paraId="4F3B452E">
      <w:pPr>
        <w:rPr>
          <w:rFonts w:ascii="宋体" w:hAnsi="宋体"/>
          <w:color w:val="000000" w:themeColor="text1"/>
          <w:sz w:val="20"/>
          <w14:textFill>
            <w14:solidFill>
              <w14:schemeClr w14:val="tx1"/>
            </w14:solidFill>
          </w14:textFill>
        </w:rPr>
      </w:pPr>
    </w:p>
    <w:p w14:paraId="2FD9D133">
      <w:pPr>
        <w:rPr>
          <w:rFonts w:ascii="宋体" w:hAnsi="宋体"/>
          <w:color w:val="000000" w:themeColor="text1"/>
          <w:sz w:val="20"/>
          <w14:textFill>
            <w14:solidFill>
              <w14:schemeClr w14:val="tx1"/>
            </w14:solidFill>
          </w14:textFill>
        </w:rPr>
      </w:pPr>
    </w:p>
    <w:p w14:paraId="523B630C">
      <w:pPr>
        <w:rPr>
          <w:rFonts w:ascii="宋体" w:hAnsi="宋体"/>
          <w:color w:val="000000" w:themeColor="text1"/>
          <w:sz w:val="20"/>
          <w14:textFill>
            <w14:solidFill>
              <w14:schemeClr w14:val="tx1"/>
            </w14:solidFill>
          </w14:textFill>
        </w:rPr>
      </w:pPr>
    </w:p>
    <w:p w14:paraId="4B53B52D">
      <w:pPr>
        <w:rPr>
          <w:rFonts w:ascii="宋体" w:hAnsi="宋体"/>
          <w:color w:val="000000" w:themeColor="text1"/>
          <w:sz w:val="20"/>
          <w14:textFill>
            <w14:solidFill>
              <w14:schemeClr w14:val="tx1"/>
            </w14:solidFill>
          </w14:textFill>
        </w:rPr>
      </w:pPr>
    </w:p>
    <w:p w14:paraId="655A55D0">
      <w:pPr>
        <w:rPr>
          <w:rFonts w:ascii="宋体" w:hAnsi="宋体"/>
          <w:color w:val="000000" w:themeColor="text1"/>
          <w:sz w:val="20"/>
          <w14:textFill>
            <w14:solidFill>
              <w14:schemeClr w14:val="tx1"/>
            </w14:solidFill>
          </w14:textFill>
        </w:rPr>
      </w:pPr>
    </w:p>
    <w:p w14:paraId="559AFDEE">
      <w:pPr>
        <w:jc w:val="center"/>
        <w:rPr>
          <w:rFonts w:ascii="宋体" w:hAnsi="宋体"/>
          <w:b/>
          <w:color w:val="000000" w:themeColor="text1"/>
          <w:sz w:val="44"/>
          <w14:textFill>
            <w14:solidFill>
              <w14:schemeClr w14:val="tx1"/>
            </w14:solidFill>
          </w14:textFill>
        </w:rPr>
      </w:pPr>
      <w:r>
        <w:rPr>
          <w:rFonts w:hint="eastAsia" w:ascii="宋体" w:hAnsi="宋体"/>
          <w:b/>
          <w:color w:val="000000" w:themeColor="text1"/>
          <w:sz w:val="44"/>
          <w14:textFill>
            <w14:solidFill>
              <w14:schemeClr w14:val="tx1"/>
            </w14:solidFill>
          </w14:textFill>
        </w:rPr>
        <w:t>投标文件</w:t>
      </w:r>
    </w:p>
    <w:p w14:paraId="360C667B">
      <w:pPr>
        <w:jc w:val="left"/>
        <w:rPr>
          <w:rFonts w:ascii="宋体" w:hAnsi="宋体"/>
          <w:color w:val="000000" w:themeColor="text1"/>
          <w:sz w:val="44"/>
          <w14:textFill>
            <w14:solidFill>
              <w14:schemeClr w14:val="tx1"/>
            </w14:solidFill>
          </w14:textFill>
        </w:rPr>
      </w:pPr>
    </w:p>
    <w:p w14:paraId="14C4606B">
      <w:pPr>
        <w:rPr>
          <w:rFonts w:ascii="宋体" w:hAnsi="宋体"/>
          <w:color w:val="000000" w:themeColor="text1"/>
          <w:sz w:val="28"/>
          <w14:textFill>
            <w14:solidFill>
              <w14:schemeClr w14:val="tx1"/>
            </w14:solidFill>
          </w14:textFill>
        </w:rPr>
      </w:pPr>
    </w:p>
    <w:p w14:paraId="4CB39348">
      <w:pPr>
        <w:rPr>
          <w:rFonts w:ascii="宋体" w:hAnsi="宋体"/>
          <w:color w:val="000000" w:themeColor="text1"/>
          <w:sz w:val="28"/>
          <w14:textFill>
            <w14:solidFill>
              <w14:schemeClr w14:val="tx1"/>
            </w14:solidFill>
          </w14:textFill>
        </w:rPr>
      </w:pPr>
    </w:p>
    <w:p w14:paraId="202603A8">
      <w:pPr>
        <w:rPr>
          <w:rFonts w:ascii="宋体" w:hAnsi="宋体"/>
          <w:color w:val="000000" w:themeColor="text1"/>
          <w:sz w:val="28"/>
          <w14:textFill>
            <w14:solidFill>
              <w14:schemeClr w14:val="tx1"/>
            </w14:solidFill>
          </w14:textFill>
        </w:rPr>
      </w:pPr>
    </w:p>
    <w:p w14:paraId="6D66F6FB">
      <w:pPr>
        <w:rPr>
          <w:rFonts w:ascii="宋体" w:hAnsi="宋体"/>
          <w:color w:val="000000" w:themeColor="text1"/>
          <w:sz w:val="28"/>
          <w14:textFill>
            <w14:solidFill>
              <w14:schemeClr w14:val="tx1"/>
            </w14:solidFill>
          </w14:textFill>
        </w:rPr>
      </w:pPr>
    </w:p>
    <w:p w14:paraId="221DE8CE">
      <w:pPr>
        <w:rPr>
          <w:rFonts w:ascii="宋体" w:hAnsi="宋体"/>
          <w:color w:val="000000" w:themeColor="text1"/>
          <w:sz w:val="28"/>
          <w14:textFill>
            <w14:solidFill>
              <w14:schemeClr w14:val="tx1"/>
            </w14:solidFill>
          </w14:textFill>
        </w:rPr>
      </w:pPr>
    </w:p>
    <w:p w14:paraId="7078F6C8">
      <w:pPr>
        <w:spacing w:line="360" w:lineRule="auto"/>
        <w:rPr>
          <w:rFonts w:ascii="宋体" w:hAnsi="宋体"/>
          <w:color w:val="000000" w:themeColor="text1"/>
          <w:sz w:val="28"/>
          <w14:textFill>
            <w14:solidFill>
              <w14:schemeClr w14:val="tx1"/>
            </w14:solidFill>
          </w14:textFill>
        </w:rPr>
      </w:pPr>
    </w:p>
    <w:p w14:paraId="6BA04F97">
      <w:pPr>
        <w:spacing w:line="360" w:lineRule="auto"/>
        <w:ind w:firstLine="1120" w:firstLineChars="400"/>
        <w:rPr>
          <w:rFonts w:ascii="宋体" w:hAnsi="宋体"/>
          <w:color w:val="000000" w:themeColor="text1"/>
          <w:sz w:val="28"/>
          <w:u w:val="single"/>
          <w14:textFill>
            <w14:solidFill>
              <w14:schemeClr w14:val="tx1"/>
            </w14:solidFill>
          </w14:textFill>
        </w:rPr>
      </w:pPr>
      <w:r>
        <w:rPr>
          <w:rFonts w:hint="eastAsia" w:ascii="宋体" w:hAnsi="宋体"/>
          <w:color w:val="000000" w:themeColor="text1"/>
          <w:sz w:val="28"/>
          <w14:textFill>
            <w14:solidFill>
              <w14:schemeClr w14:val="tx1"/>
            </w14:solidFill>
          </w14:textFill>
        </w:rPr>
        <w:t>投标人：</w:t>
      </w:r>
      <w:r>
        <w:rPr>
          <w:rFonts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（盖单位章）</w:t>
      </w:r>
    </w:p>
    <w:p w14:paraId="001A344B">
      <w:pPr>
        <w:spacing w:line="360" w:lineRule="auto"/>
        <w:ind w:firstLine="1120" w:firstLineChars="4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法定代表人或其委托代理人：</w:t>
      </w:r>
      <w:r>
        <w:rPr>
          <w:rFonts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（签字或署印）</w:t>
      </w:r>
    </w:p>
    <w:p w14:paraId="0854CC09">
      <w:pPr>
        <w:jc w:val="center"/>
        <w:rPr>
          <w:rFonts w:ascii="宋体" w:hAnsi="宋体"/>
          <w:color w:val="000000" w:themeColor="text1"/>
          <w:sz w:val="28"/>
          <w14:textFill>
            <w14:solidFill>
              <w14:schemeClr w14:val="tx1"/>
            </w14:solidFill>
          </w14:textFill>
        </w:rPr>
      </w:pPr>
    </w:p>
    <w:p w14:paraId="38241DE2">
      <w:pPr>
        <w:spacing w:line="4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 w:val="28"/>
          <w14:textFill>
            <w14:solidFill>
              <w14:schemeClr w14:val="tx1"/>
            </w14:solidFill>
          </w14:textFill>
        </w:rPr>
        <w:t>年</w:t>
      </w:r>
      <w:r>
        <w:rPr>
          <w:rFonts w:ascii="宋体" w:hAnsi="宋体"/>
          <w:color w:val="000000" w:themeColor="text1"/>
          <w:sz w:val="28"/>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月</w:t>
      </w:r>
      <w:r>
        <w:rPr>
          <w:rFonts w:ascii="宋体" w:hAnsi="宋体"/>
          <w:color w:val="000000" w:themeColor="text1"/>
          <w:sz w:val="28"/>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日</w:t>
      </w:r>
    </w:p>
    <w:p w14:paraId="5C9B3A30">
      <w:pPr>
        <w:rPr>
          <w:rFonts w:ascii="宋体" w:hAnsi="宋体"/>
          <w:color w:val="000000" w:themeColor="text1"/>
          <w14:textFill>
            <w14:solidFill>
              <w14:schemeClr w14:val="tx1"/>
            </w14:solidFill>
          </w14:textFill>
        </w:rPr>
      </w:pPr>
    </w:p>
    <w:p w14:paraId="38A75EA3">
      <w:pPr>
        <w:spacing w:line="360" w:lineRule="auto"/>
        <w:rPr>
          <w:rFonts w:ascii="宋体" w:hAnsi="宋体"/>
          <w:color w:val="000000" w:themeColor="text1"/>
          <w:sz w:val="24"/>
          <w:szCs w:val="24"/>
          <w14:textFill>
            <w14:solidFill>
              <w14:schemeClr w14:val="tx1"/>
            </w14:solidFill>
          </w14:textFill>
        </w:rPr>
      </w:pPr>
      <w:bookmarkStart w:id="401" w:name="_Toc352691655"/>
      <w:bookmarkStart w:id="402" w:name="_Toc7039"/>
      <w:bookmarkStart w:id="403" w:name="_Toc369531691"/>
    </w:p>
    <w:p w14:paraId="07E66138">
      <w:pPr>
        <w:spacing w:line="540" w:lineRule="exact"/>
        <w:rPr>
          <w:rFonts w:ascii="宋体" w:hAnsi="宋体"/>
          <w:color w:val="000000" w:themeColor="text1"/>
          <w:sz w:val="20"/>
          <w14:textFill>
            <w14:solidFill>
              <w14:schemeClr w14:val="tx1"/>
            </w14:solidFill>
          </w14:textFill>
        </w:rPr>
      </w:pPr>
    </w:p>
    <w:p w14:paraId="2C2C5831">
      <w:pPr>
        <w:spacing w:line="540" w:lineRule="exact"/>
        <w:rPr>
          <w:rFonts w:ascii="宋体" w:hAnsi="宋体"/>
          <w:color w:val="000000" w:themeColor="text1"/>
          <w:sz w:val="20"/>
          <w14:textFill>
            <w14:solidFill>
              <w14:schemeClr w14:val="tx1"/>
            </w14:solidFill>
          </w14:textFill>
        </w:rPr>
      </w:pPr>
    </w:p>
    <w:p w14:paraId="3C402824">
      <w:pPr>
        <w:spacing w:line="540" w:lineRule="exact"/>
        <w:rPr>
          <w:rFonts w:ascii="宋体" w:hAnsi="宋体"/>
          <w:color w:val="000000" w:themeColor="text1"/>
          <w:sz w:val="20"/>
          <w14:textFill>
            <w14:solidFill>
              <w14:schemeClr w14:val="tx1"/>
            </w14:solidFill>
          </w14:textFill>
        </w:rPr>
      </w:pPr>
    </w:p>
    <w:bookmarkEnd w:id="401"/>
    <w:bookmarkEnd w:id="402"/>
    <w:bookmarkEnd w:id="403"/>
    <w:p w14:paraId="0450CCD7">
      <w:pPr>
        <w:pStyle w:val="6"/>
        <w:spacing w:after="240" w:line="360" w:lineRule="auto"/>
        <w:rPr>
          <w:rFonts w:hint="eastAsia" w:ascii="宋体" w:hAnsi="宋体" w:eastAsia="宋体"/>
          <w:color w:val="000000" w:themeColor="text1"/>
          <w:sz w:val="30"/>
          <w:szCs w:val="30"/>
          <w:lang w:eastAsia="zh-CN"/>
          <w14:textFill>
            <w14:solidFill>
              <w14:schemeClr w14:val="tx1"/>
            </w14:solidFill>
          </w14:textFill>
        </w:rPr>
      </w:pPr>
      <w:bookmarkStart w:id="404" w:name="_Toc535938751"/>
      <w:bookmarkStart w:id="405" w:name="_Toc530470642"/>
      <w:bookmarkStart w:id="406" w:name="_Toc529196600"/>
      <w:r>
        <w:rPr>
          <w:rFonts w:ascii="宋体" w:hAnsi="宋体" w:eastAsia="宋体"/>
          <w:color w:val="000000" w:themeColor="text1"/>
          <w14:textFill>
            <w14:solidFill>
              <w14:schemeClr w14:val="tx1"/>
            </w14:solidFill>
          </w14:textFill>
        </w:rPr>
        <w:br w:type="page"/>
      </w:r>
      <w:r>
        <w:rPr>
          <w:rFonts w:hint="eastAsia" w:ascii="宋体" w:hAnsi="宋体" w:eastAsia="宋体"/>
          <w:color w:val="000000" w:themeColor="text1"/>
          <w:sz w:val="30"/>
          <w:szCs w:val="30"/>
          <w14:textFill>
            <w14:solidFill>
              <w14:schemeClr w14:val="tx1"/>
            </w14:solidFill>
          </w14:textFill>
        </w:rPr>
        <w:t>一、</w:t>
      </w:r>
      <w:bookmarkEnd w:id="404"/>
      <w:bookmarkEnd w:id="405"/>
      <w:bookmarkEnd w:id="406"/>
      <w:bookmarkStart w:id="407" w:name="_Toc6931"/>
      <w:bookmarkStart w:id="408" w:name="_Toc352691656"/>
      <w:bookmarkStart w:id="409" w:name="_Toc369531692"/>
      <w:r>
        <w:rPr>
          <w:rFonts w:hint="eastAsia" w:ascii="宋体" w:hAnsi="宋体" w:eastAsia="宋体"/>
          <w:color w:val="000000" w:themeColor="text1"/>
          <w:sz w:val="30"/>
          <w:szCs w:val="30"/>
          <w:lang w:eastAsia="zh-CN"/>
          <w14:textFill>
            <w14:solidFill>
              <w14:schemeClr w14:val="tx1"/>
            </w14:solidFill>
          </w14:textFill>
        </w:rPr>
        <w:t>投标函、投标函附录及投标承诺书</w:t>
      </w:r>
    </w:p>
    <w:bookmarkEnd w:id="407"/>
    <w:bookmarkEnd w:id="408"/>
    <w:bookmarkEnd w:id="409"/>
    <w:p w14:paraId="2ACF0CD4">
      <w:pPr>
        <w:pStyle w:val="7"/>
        <w:jc w:val="left"/>
        <w:rPr>
          <w:rFonts w:ascii="宋体" w:hAnsi="宋体" w:eastAsia="宋体"/>
          <w:color w:val="000000" w:themeColor="text1"/>
          <w:szCs w:val="28"/>
          <w14:textFill>
            <w14:solidFill>
              <w14:schemeClr w14:val="tx1"/>
            </w14:solidFill>
          </w14:textFill>
        </w:rPr>
      </w:pPr>
      <w:bookmarkStart w:id="410" w:name="_Toc391394111"/>
      <w:bookmarkStart w:id="411" w:name="_Toc530470643"/>
      <w:bookmarkStart w:id="412" w:name="_Toc385943065"/>
      <w:bookmarkStart w:id="413" w:name="_Toc370676426"/>
      <w:bookmarkStart w:id="414" w:name="_Toc359594235"/>
      <w:bookmarkStart w:id="415" w:name="_Toc482188651"/>
      <w:bookmarkStart w:id="416" w:name="_Toc535938752"/>
      <w:bookmarkStart w:id="417" w:name="_Toc529196601"/>
      <w:r>
        <w:rPr>
          <w:rFonts w:hint="eastAsia" w:ascii="宋体" w:hAnsi="宋体" w:eastAsia="宋体"/>
          <w:color w:val="000000" w:themeColor="text1"/>
          <w:szCs w:val="28"/>
          <w14:textFill>
            <w14:solidFill>
              <w14:schemeClr w14:val="tx1"/>
            </w14:solidFill>
          </w14:textFill>
        </w:rPr>
        <w:t>（一）投标函</w:t>
      </w:r>
      <w:bookmarkEnd w:id="410"/>
      <w:bookmarkEnd w:id="411"/>
      <w:bookmarkEnd w:id="412"/>
      <w:bookmarkEnd w:id="413"/>
      <w:bookmarkEnd w:id="414"/>
      <w:bookmarkEnd w:id="415"/>
      <w:bookmarkEnd w:id="416"/>
      <w:bookmarkEnd w:id="417"/>
    </w:p>
    <w:p w14:paraId="642BE7BF">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（招标人名称）：</w:t>
      </w:r>
    </w:p>
    <w:p w14:paraId="03667636">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1.我方已仔细研究了</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（项目名称）监理招标项目招标文件的全部内容，愿意以《投标函附录》中的投标报价和监理服务期限，按合同约定完成监理工作。</w:t>
      </w:r>
    </w:p>
    <w:p w14:paraId="0CD1B7B5">
      <w:pPr>
        <w:spacing w:line="360" w:lineRule="auto"/>
        <w:ind w:firstLine="480" w:firstLineChars="200"/>
        <w:rPr>
          <w:rFonts w:ascii="宋体" w:hAnsi="宋体"/>
          <w:color w:val="000000" w:themeColor="text1"/>
          <w:sz w:val="24"/>
          <w:szCs w:val="24"/>
          <w14:textFill>
            <w14:solidFill>
              <w14:schemeClr w14:val="tx1"/>
            </w14:solidFill>
          </w14:textFill>
        </w:rPr>
      </w:pPr>
      <w:bookmarkStart w:id="418" w:name="_Toc530470644"/>
      <w:r>
        <w:rPr>
          <w:rFonts w:ascii="宋体" w:hAnsi="宋体"/>
          <w:color w:val="000000" w:themeColor="text1"/>
          <w:sz w:val="24"/>
          <w:szCs w:val="24"/>
          <w14:textFill>
            <w14:solidFill>
              <w14:schemeClr w14:val="tx1"/>
            </w14:solidFill>
          </w14:textFill>
        </w:rPr>
        <w:t>2.我方的投标文件包括下列内容：</w:t>
      </w:r>
      <w:bookmarkEnd w:id="418"/>
    </w:p>
    <w:p w14:paraId="575396A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投标函、投标函附录及投标承诺书</w:t>
      </w:r>
      <w:r>
        <w:rPr>
          <w:rFonts w:hint="eastAsia" w:ascii="宋体" w:hAnsi="宋体"/>
          <w:color w:val="000000" w:themeColor="text1"/>
          <w:sz w:val="24"/>
          <w:szCs w:val="24"/>
          <w14:textFill>
            <w14:solidFill>
              <w14:schemeClr w14:val="tx1"/>
            </w14:solidFill>
          </w14:textFill>
        </w:rPr>
        <w:t>；</w:t>
      </w:r>
    </w:p>
    <w:p w14:paraId="02685F73">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（2）法定代表人身份证明或授权委托书；</w:t>
      </w:r>
    </w:p>
    <w:p w14:paraId="0BBB2C2B">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）投标保证金；</w:t>
      </w:r>
    </w:p>
    <w:p w14:paraId="2434F8F1">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）资格审查资料；</w:t>
      </w:r>
    </w:p>
    <w:p w14:paraId="2C94FCC1">
      <w:pPr>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缴纳交易服务费、中标服务费承诺书</w:t>
      </w:r>
    </w:p>
    <w:p w14:paraId="6D080D50">
      <w:pPr>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lang w:eastAsia="zh-CN"/>
          <w14:textFill>
            <w14:solidFill>
              <w14:schemeClr w14:val="tx1"/>
            </w14:solidFill>
          </w14:textFill>
        </w:rPr>
        <w:t>）评标打分索引</w:t>
      </w:r>
    </w:p>
    <w:p w14:paraId="2933D598">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）资信文件及技术方案；</w:t>
      </w:r>
    </w:p>
    <w:p w14:paraId="410A20AF">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）投标人须知前附表规定的其他资料；</w:t>
      </w:r>
    </w:p>
    <w:p w14:paraId="12F3D0F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投标文件的上述组成部分如存在内容不一致的，以投标函为准。</w:t>
      </w:r>
    </w:p>
    <w:p w14:paraId="2EA5364E">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3.我方承诺在招标文件规定的投标有效期</w:t>
      </w:r>
      <w:r>
        <w:rPr>
          <w:rFonts w:hint="eastAsia" w:ascii="宋体" w:hAnsi="宋体"/>
          <w:color w:val="000000" w:themeColor="text1"/>
          <w:sz w:val="24"/>
          <w:szCs w:val="24"/>
          <w:u w:val="single"/>
          <w:lang w:val="en-US" w:eastAsia="zh-CN"/>
          <w14:textFill>
            <w14:solidFill>
              <w14:schemeClr w14:val="tx1"/>
            </w14:solidFill>
          </w14:textFill>
        </w:rPr>
        <w:t>90</w:t>
      </w:r>
      <w:r>
        <w:rPr>
          <w:rFonts w:hint="eastAsia" w:ascii="宋体" w:hAnsi="宋体"/>
          <w:color w:val="000000" w:themeColor="text1"/>
          <w:sz w:val="24"/>
          <w:szCs w:val="24"/>
          <w14:textFill>
            <w14:solidFill>
              <w14:schemeClr w14:val="tx1"/>
            </w14:solidFill>
          </w14:textFill>
        </w:rPr>
        <w:t>日历天内不撤销投标文件。</w:t>
      </w:r>
    </w:p>
    <w:p w14:paraId="13211140">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4.如我方中标，我方承诺：</w:t>
      </w:r>
    </w:p>
    <w:p w14:paraId="769F7F97">
      <w:pPr>
        <w:spacing w:line="360" w:lineRule="auto"/>
        <w:ind w:firstLine="708" w:firstLineChars="2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1）在收到中标通知书后，在中标通知书规定的期限内与你方签订合同；</w:t>
      </w:r>
    </w:p>
    <w:p w14:paraId="5FEEBEA9">
      <w:pPr>
        <w:spacing w:line="360" w:lineRule="auto"/>
        <w:ind w:firstLine="708" w:firstLineChars="2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2）在签订合同时不向你方提出附加条件；</w:t>
      </w:r>
    </w:p>
    <w:p w14:paraId="65154E81">
      <w:pPr>
        <w:spacing w:line="360" w:lineRule="auto"/>
        <w:ind w:firstLine="708" w:firstLineChars="2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3）按照招标文件要求提交履约保证金；</w:t>
      </w:r>
      <w:bookmarkStart w:id="419" w:name="_Toc1187"/>
      <w:bookmarkStart w:id="420" w:name="_Toc352691658"/>
      <w:bookmarkStart w:id="421" w:name="_Toc369531694"/>
    </w:p>
    <w:p w14:paraId="7D71A764">
      <w:pPr>
        <w:spacing w:line="360" w:lineRule="auto"/>
        <w:ind w:firstLine="708" w:firstLineChars="2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4）在合</w:t>
      </w:r>
      <w:bookmarkEnd w:id="419"/>
      <w:bookmarkEnd w:id="420"/>
      <w:bookmarkEnd w:id="421"/>
      <w:r>
        <w:rPr>
          <w:rFonts w:hint="eastAsia" w:ascii="宋体" w:hAnsi="宋体"/>
          <w:color w:val="000000" w:themeColor="text1"/>
          <w:sz w:val="24"/>
          <w:szCs w:val="24"/>
          <w14:textFill>
            <w14:solidFill>
              <w14:schemeClr w14:val="tx1"/>
            </w14:solidFill>
          </w14:textFill>
        </w:rPr>
        <w:t>同约定的期限内完成合同规定的全部义务；</w:t>
      </w:r>
    </w:p>
    <w:p w14:paraId="0C2FA330">
      <w:pPr>
        <w:spacing w:line="360" w:lineRule="auto"/>
        <w:ind w:firstLine="708" w:firstLineChars="2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5）除伤亡、吊销监理工程师执业资格等合法原因不能再从事监理工作情形外，如我方更换项目总监、总监代表，接受贵</w:t>
      </w:r>
      <w:r>
        <w:rPr>
          <w:rFonts w:hint="eastAsia" w:ascii="宋体" w:hAnsi="宋体"/>
          <w:color w:val="000000" w:themeColor="text1"/>
          <w:spacing w:val="4"/>
          <w:sz w:val="24"/>
          <w:szCs w:val="24"/>
          <w14:textFill>
            <w14:solidFill>
              <w14:schemeClr w14:val="tx1"/>
            </w14:solidFill>
          </w14:textFill>
        </w:rPr>
        <w:t>中心</w:t>
      </w:r>
      <w:r>
        <w:rPr>
          <w:rFonts w:ascii="宋体" w:hAnsi="宋体"/>
          <w:color w:val="000000" w:themeColor="text1"/>
          <w:sz w:val="24"/>
          <w:szCs w:val="24"/>
          <w14:textFill>
            <w14:solidFill>
              <w14:schemeClr w14:val="tx1"/>
            </w14:solidFill>
          </w14:textFill>
        </w:rPr>
        <w:t>1年内拒绝我方参与贵单位后续工程投标的处理。</w:t>
      </w:r>
    </w:p>
    <w:p w14:paraId="1A9425A8">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5.我方在此声明，</w:t>
      </w:r>
      <w:bookmarkStart w:id="422" w:name="_Hlk22686284"/>
      <w:r>
        <w:rPr>
          <w:rFonts w:hint="eastAsia" w:ascii="宋体" w:hAnsi="宋体"/>
          <w:color w:val="000000" w:themeColor="text1"/>
          <w:sz w:val="24"/>
          <w:szCs w:val="24"/>
          <w14:textFill>
            <w14:solidFill>
              <w14:schemeClr w14:val="tx1"/>
            </w14:solidFill>
          </w14:textFill>
        </w:rPr>
        <w:t>所递交的投标文件</w:t>
      </w:r>
      <w:bookmarkEnd w:id="422"/>
      <w:r>
        <w:rPr>
          <w:rFonts w:hint="eastAsia" w:ascii="宋体" w:hAnsi="宋体"/>
          <w:color w:val="000000" w:themeColor="text1"/>
          <w:sz w:val="24"/>
          <w:szCs w:val="24"/>
          <w14:textFill>
            <w14:solidFill>
              <w14:schemeClr w14:val="tx1"/>
            </w14:solidFill>
          </w14:textFill>
        </w:rPr>
        <w:t>及有关资料内容完整、真实和准确，且不存在第二章“投标人须知”第</w:t>
      </w:r>
      <w:r>
        <w:rPr>
          <w:rFonts w:ascii="宋体" w:hAnsi="宋体"/>
          <w:color w:val="000000" w:themeColor="text1"/>
          <w:sz w:val="24"/>
          <w:szCs w:val="24"/>
          <w14:textFill>
            <w14:solidFill>
              <w14:schemeClr w14:val="tx1"/>
            </w14:solidFill>
          </w14:textFill>
        </w:rPr>
        <w:t>1.4.3项规定的任何一种情形。</w:t>
      </w:r>
    </w:p>
    <w:p w14:paraId="407560DE">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6.如我方中标，我方承诺，满足“委托人要求”中的所有内容。</w:t>
      </w:r>
    </w:p>
    <w:p w14:paraId="7211FF62">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接受行政监督部门的行政处罚等。</w:t>
      </w:r>
    </w:p>
    <w:bookmarkEnd w:id="381"/>
    <w:bookmarkEnd w:id="382"/>
    <w:bookmarkEnd w:id="383"/>
    <w:bookmarkEnd w:id="384"/>
    <w:bookmarkEnd w:id="385"/>
    <w:bookmarkEnd w:id="386"/>
    <w:bookmarkEnd w:id="387"/>
    <w:bookmarkEnd w:id="388"/>
    <w:bookmarkEnd w:id="389"/>
    <w:p w14:paraId="377F5188">
      <w:pPr>
        <w:spacing w:line="360" w:lineRule="auto"/>
        <w:ind w:firstLine="2880" w:firstLineChars="1200"/>
        <w:jc w:val="left"/>
        <w:rPr>
          <w:rFonts w:ascii="宋体" w:hAnsi="宋体"/>
          <w:color w:val="000000" w:themeColor="text1"/>
          <w:sz w:val="24"/>
          <w:szCs w:val="24"/>
          <w14:textFill>
            <w14:solidFill>
              <w14:schemeClr w14:val="tx1"/>
            </w14:solidFill>
          </w14:textFill>
        </w:rPr>
      </w:pPr>
    </w:p>
    <w:p w14:paraId="2A679CDC">
      <w:pPr>
        <w:spacing w:line="360" w:lineRule="auto"/>
        <w:ind w:firstLine="2880" w:firstLineChars="1200"/>
        <w:jc w:val="left"/>
        <w:rPr>
          <w:rFonts w:ascii="宋体" w:hAnsi="宋体"/>
          <w:color w:val="000000" w:themeColor="text1"/>
          <w:sz w:val="24"/>
          <w:szCs w:val="24"/>
          <w14:textFill>
            <w14:solidFill>
              <w14:schemeClr w14:val="tx1"/>
            </w14:solidFill>
          </w14:textFill>
        </w:rPr>
      </w:pPr>
    </w:p>
    <w:p w14:paraId="63F95E37">
      <w:pPr>
        <w:spacing w:line="720" w:lineRule="auto"/>
        <w:ind w:firstLine="2835" w:firstLineChars="1350"/>
        <w:rPr>
          <w:color w:val="000000" w:themeColor="text1"/>
          <w:szCs w:val="21"/>
          <w14:textFill>
            <w14:solidFill>
              <w14:schemeClr w14:val="tx1"/>
            </w14:solidFill>
          </w14:textFill>
        </w:rPr>
      </w:pPr>
      <w:bookmarkStart w:id="423" w:name="_Toc535938753"/>
      <w:bookmarkStart w:id="424" w:name="_Toc530470645"/>
      <w:bookmarkStart w:id="425" w:name="_Toc529196602"/>
      <w:bookmarkStart w:id="426" w:name="_Toc385943066"/>
      <w:bookmarkStart w:id="427" w:name="_Toc482188652"/>
      <w:bookmarkStart w:id="428" w:name="_Toc391394112"/>
      <w:bookmarkStart w:id="429" w:name="_Toc370676427"/>
      <w:bookmarkStart w:id="430" w:name="_Toc359594236"/>
      <w:bookmarkStart w:id="431" w:name="_Toc144974856"/>
      <w:bookmarkStart w:id="432" w:name="_Toc247514246"/>
      <w:bookmarkStart w:id="433" w:name="_Toc152042576"/>
      <w:bookmarkStart w:id="434" w:name="_Toc384308375"/>
      <w:bookmarkStart w:id="435" w:name="_Toc361508752"/>
      <w:bookmarkStart w:id="436" w:name="_Toc247527827"/>
      <w:bookmarkStart w:id="437" w:name="_Toc152045787"/>
      <w:bookmarkStart w:id="438" w:name="_Toc17960"/>
      <w:bookmarkStart w:id="439" w:name="_Toc352691661"/>
      <w:bookmarkStart w:id="440" w:name="_Toc369531697"/>
      <w:bookmarkStart w:id="441" w:name="_Toc300835209"/>
      <w:r>
        <w:rPr>
          <w:rFonts w:hint="eastAsia"/>
          <w:color w:val="000000" w:themeColor="text1"/>
          <w:szCs w:val="21"/>
          <w14:textFill>
            <w14:solidFill>
              <w14:schemeClr w14:val="tx1"/>
            </w14:solidFill>
          </w14:textFill>
        </w:rPr>
        <w:t>投标人：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（盖单位章）</w:t>
      </w:r>
    </w:p>
    <w:p w14:paraId="70A049F5">
      <w:pPr>
        <w:spacing w:line="720" w:lineRule="auto"/>
        <w:ind w:firstLine="2835" w:firstLineChars="135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法定代表人</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或委托代理人</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（签字或署印）</w:t>
      </w:r>
    </w:p>
    <w:p w14:paraId="50421E02">
      <w:pPr>
        <w:spacing w:line="480" w:lineRule="auto"/>
        <w:ind w:firstLine="2835" w:firstLineChars="1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地址：</w:t>
      </w:r>
      <w:r>
        <w:rPr>
          <w:color w:val="000000" w:themeColor="text1"/>
          <w:szCs w:val="21"/>
          <w:u w:val="single"/>
          <w14:textFill>
            <w14:solidFill>
              <w14:schemeClr w14:val="tx1"/>
            </w14:solidFill>
          </w14:textFill>
        </w:rPr>
        <w:t xml:space="preserve">                                       </w:t>
      </w:r>
    </w:p>
    <w:p w14:paraId="1386230C">
      <w:pPr>
        <w:spacing w:line="480" w:lineRule="auto"/>
        <w:ind w:firstLine="2835" w:firstLineChars="1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网址：</w:t>
      </w:r>
      <w:r>
        <w:rPr>
          <w:color w:val="000000" w:themeColor="text1"/>
          <w:szCs w:val="21"/>
          <w:u w:val="single"/>
          <w14:textFill>
            <w14:solidFill>
              <w14:schemeClr w14:val="tx1"/>
            </w14:solidFill>
          </w14:textFill>
        </w:rPr>
        <w:t xml:space="preserve">                                       </w:t>
      </w:r>
    </w:p>
    <w:p w14:paraId="1BFB418D">
      <w:pPr>
        <w:spacing w:line="480" w:lineRule="auto"/>
        <w:ind w:right="85" w:firstLine="2835" w:firstLineChars="1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电话：</w:t>
      </w:r>
      <w:r>
        <w:rPr>
          <w:color w:val="000000" w:themeColor="text1"/>
          <w:szCs w:val="21"/>
          <w:u w:val="single"/>
          <w14:textFill>
            <w14:solidFill>
              <w14:schemeClr w14:val="tx1"/>
            </w14:solidFill>
          </w14:textFill>
        </w:rPr>
        <w:t xml:space="preserve">                                       </w:t>
      </w:r>
    </w:p>
    <w:p w14:paraId="110E8EEC">
      <w:pPr>
        <w:spacing w:line="480" w:lineRule="auto"/>
        <w:ind w:firstLine="2835" w:firstLineChars="1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传真：</w:t>
      </w:r>
      <w:r>
        <w:rPr>
          <w:color w:val="000000" w:themeColor="text1"/>
          <w:szCs w:val="21"/>
          <w:u w:val="single"/>
          <w14:textFill>
            <w14:solidFill>
              <w14:schemeClr w14:val="tx1"/>
            </w14:solidFill>
          </w14:textFill>
        </w:rPr>
        <w:t xml:space="preserve">                                       </w:t>
      </w:r>
    </w:p>
    <w:p w14:paraId="768DBF42">
      <w:pPr>
        <w:spacing w:line="480" w:lineRule="auto"/>
        <w:ind w:firstLine="2835" w:firstLineChars="1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邮政编码：</w:t>
      </w:r>
      <w:r>
        <w:rPr>
          <w:color w:val="000000" w:themeColor="text1"/>
          <w:szCs w:val="21"/>
          <w:u w:val="single"/>
          <w14:textFill>
            <w14:solidFill>
              <w14:schemeClr w14:val="tx1"/>
            </w14:solidFill>
          </w14:textFill>
        </w:rPr>
        <w:t xml:space="preserve">                                    </w:t>
      </w:r>
    </w:p>
    <w:p w14:paraId="36EF4AC7">
      <w:pPr>
        <w:spacing w:line="360" w:lineRule="auto"/>
        <w:ind w:firstLine="5775" w:firstLineChars="2750"/>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5CBEE64C">
      <w:pPr>
        <w:rPr>
          <w:rFonts w:ascii="宋体" w:hAnsi="宋体"/>
          <w:b w:val="0"/>
          <w:bCs w:val="0"/>
          <w:color w:val="000000" w:themeColor="text1"/>
          <w14:textFill>
            <w14:solidFill>
              <w14:schemeClr w14:val="tx1"/>
            </w14:solidFill>
          </w14:textFill>
        </w:rPr>
      </w:pPr>
      <w:r>
        <w:rPr>
          <w:rFonts w:ascii="宋体" w:hAnsi="宋体"/>
          <w:b w:val="0"/>
          <w:bCs w:val="0"/>
          <w:color w:val="000000" w:themeColor="text1"/>
          <w14:textFill>
            <w14:solidFill>
              <w14:schemeClr w14:val="tx1"/>
            </w14:solidFill>
          </w14:textFill>
        </w:rPr>
        <w:br w:type="page"/>
      </w:r>
    </w:p>
    <w:p w14:paraId="718A841E">
      <w:pPr>
        <w:pStyle w:val="12"/>
        <w:spacing w:line="360" w:lineRule="auto"/>
        <w:jc w:val="center"/>
        <w:rPr>
          <w:rFonts w:hint="eastAsia" w:ascii="宋体" w:hAnsi="宋体" w:eastAsia="宋体" w:cs="宋体"/>
          <w:color w:val="auto"/>
          <w:sz w:val="44"/>
          <w:szCs w:val="44"/>
          <w:highlight w:val="none"/>
        </w:rPr>
      </w:pPr>
      <w:r>
        <w:rPr>
          <w:rFonts w:hint="eastAsia" w:hAnsi="宋体" w:cs="宋体"/>
          <w:b/>
          <w:color w:val="auto"/>
          <w:sz w:val="44"/>
          <w:szCs w:val="44"/>
          <w:highlight w:val="none"/>
          <w:lang w:eastAsia="zh-CN"/>
        </w:rPr>
        <w:t>（</w:t>
      </w:r>
      <w:r>
        <w:rPr>
          <w:rFonts w:hint="eastAsia" w:hAnsi="宋体" w:cs="宋体"/>
          <w:b/>
          <w:color w:val="auto"/>
          <w:sz w:val="44"/>
          <w:szCs w:val="44"/>
          <w:highlight w:val="none"/>
          <w:lang w:val="en-US" w:eastAsia="zh-CN"/>
        </w:rPr>
        <w:t>二</w:t>
      </w:r>
      <w:r>
        <w:rPr>
          <w:rFonts w:hint="eastAsia" w:hAnsi="宋体" w:cs="宋体"/>
          <w:b/>
          <w:color w:val="auto"/>
          <w:sz w:val="44"/>
          <w:szCs w:val="44"/>
          <w:highlight w:val="none"/>
          <w:lang w:eastAsia="zh-CN"/>
        </w:rPr>
        <w:t>）</w:t>
      </w:r>
      <w:r>
        <w:rPr>
          <w:rFonts w:hint="eastAsia" w:ascii="宋体" w:hAnsi="宋体" w:eastAsia="宋体" w:cs="宋体"/>
          <w:b/>
          <w:color w:val="auto"/>
          <w:sz w:val="44"/>
          <w:szCs w:val="44"/>
          <w:highlight w:val="none"/>
        </w:rPr>
        <w:t>投标承诺书</w:t>
      </w:r>
    </w:p>
    <w:p w14:paraId="6047946B">
      <w:pPr>
        <w:tabs>
          <w:tab w:val="left" w:pos="5400"/>
        </w:tabs>
        <w:spacing w:line="360" w:lineRule="auto"/>
        <w:rPr>
          <w:rFonts w:hint="eastAsia" w:ascii="宋体" w:hAnsi="宋体" w:eastAsia="宋体" w:cs="宋体"/>
          <w:b/>
          <w:color w:val="auto"/>
          <w:sz w:val="24"/>
          <w:highlight w:val="none"/>
          <w:u w:val="single"/>
        </w:rPr>
      </w:pPr>
    </w:p>
    <w:p w14:paraId="391139E1">
      <w:pPr>
        <w:tabs>
          <w:tab w:val="left" w:pos="5400"/>
        </w:tabs>
        <w:spacing w:line="360" w:lineRule="auto"/>
        <w:rPr>
          <w:rFonts w:hint="eastAsia" w:ascii="宋体" w:hAnsi="宋体" w:eastAsia="宋体" w:cs="宋体"/>
          <w:color w:val="auto"/>
          <w:sz w:val="24"/>
          <w:highlight w:val="none"/>
        </w:rPr>
      </w:pPr>
      <w:r>
        <w:rPr>
          <w:rFonts w:hint="eastAsia" w:ascii="宋体" w:hAnsi="宋体" w:cs="宋体"/>
          <w:color w:val="auto"/>
          <w:sz w:val="24"/>
          <w:szCs w:val="24"/>
          <w:highlight w:val="none"/>
          <w:lang w:eastAsia="zh-CN"/>
        </w:rPr>
        <w:t>广东华南粮食交易中心有限公司</w:t>
      </w:r>
      <w:r>
        <w:rPr>
          <w:rFonts w:hint="eastAsia" w:ascii="宋体" w:hAnsi="宋体" w:eastAsia="宋体" w:cs="宋体"/>
          <w:color w:val="auto"/>
          <w:sz w:val="24"/>
          <w:highlight w:val="none"/>
        </w:rPr>
        <w:t>：</w:t>
      </w:r>
    </w:p>
    <w:p w14:paraId="05E5914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（一）根据已收到的</w:t>
      </w:r>
      <w:r>
        <w:rPr>
          <w:rFonts w:hint="eastAsia" w:ascii="宋体" w:hAnsi="宋体" w:cs="宋体"/>
          <w:color w:val="auto"/>
          <w:sz w:val="24"/>
          <w:highlight w:val="none"/>
          <w:u w:val="single"/>
          <w:lang w:eastAsia="zh-CN"/>
        </w:rPr>
        <w:t>广东华南粮食交易中心有限公司常平粮库三期工程</w:t>
      </w:r>
      <w:r>
        <w:rPr>
          <w:rFonts w:hint="eastAsia" w:ascii="宋体" w:hAnsi="宋体" w:eastAsia="宋体" w:cs="宋体"/>
          <w:color w:val="auto"/>
          <w:sz w:val="24"/>
          <w:highlight w:val="none"/>
          <w:u w:val="single"/>
        </w:rPr>
        <w:t>监理</w:t>
      </w:r>
      <w:r>
        <w:rPr>
          <w:rFonts w:hint="eastAsia" w:ascii="宋体" w:hAnsi="宋体" w:eastAsia="宋体" w:cs="宋体"/>
          <w:color w:val="auto"/>
          <w:sz w:val="24"/>
          <w:highlight w:val="none"/>
        </w:rPr>
        <w:t>的招标文件，我方经研究招标文件和有关资料后，愿意按招标文件规定的监理服务范围服务。监理服务费报价为人民币</w:t>
      </w:r>
      <w:r>
        <w:rPr>
          <w:rFonts w:hint="eastAsia" w:ascii="宋体" w:hAnsi="宋体" w:eastAsia="宋体" w:cs="宋体"/>
          <w:color w:val="auto"/>
          <w:sz w:val="24"/>
          <w:highlight w:val="none"/>
          <w:u w:val="single"/>
        </w:rPr>
        <w:t xml:space="preserve">     （大写）      元（￥： （小写）   元）</w:t>
      </w:r>
      <w:r>
        <w:rPr>
          <w:rFonts w:hint="eastAsia" w:ascii="宋体" w:hAnsi="宋体" w:eastAsia="宋体" w:cs="宋体"/>
          <w:color w:val="auto"/>
          <w:sz w:val="24"/>
          <w:highlight w:val="none"/>
        </w:rPr>
        <w:t>。</w:t>
      </w:r>
    </w:p>
    <w:p w14:paraId="18A5E710">
      <w:pPr>
        <w:tabs>
          <w:tab w:val="left" w:pos="54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监理服务应满足工程的需要，监理人员服务费中包括工资、奖金、补贴、加班费（法定节假日和8小时工作以外）、办公费、差旅费（包括进、退场和探亲交通费）、因公受伤医疗费，以及监理单位为监理人员提供或承担的住房、医疗、保险、交通等福利待遇。</w:t>
      </w:r>
    </w:p>
    <w:p w14:paraId="67B12E91">
      <w:pPr>
        <w:tabs>
          <w:tab w:val="left" w:pos="5400"/>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我单位一旦中标将对本项目监理服务期履行以下承诺：</w:t>
      </w:r>
    </w:p>
    <w:p w14:paraId="608E5CBB">
      <w:pPr>
        <w:tabs>
          <w:tab w:val="left" w:pos="54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（1）施工准备阶段监理服务期：从中标通知书发放之日起至业主下达开工令或开工报告审批之日为止；</w:t>
      </w:r>
    </w:p>
    <w:p w14:paraId="276DB269">
      <w:pPr>
        <w:tabs>
          <w:tab w:val="left" w:pos="54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（2）施工阶段监理服务期：从业主下达开工令或开工报告审批之日起至施工项目全部完工并办理竣工验收、竣工结算、备案管理，且本合同工程结算金额经政府部门审定之日止，监理人员服务期约为</w:t>
      </w:r>
      <w:r>
        <w:rPr>
          <w:rFonts w:hint="eastAsia" w:ascii="宋体" w:hAnsi="宋体" w:cs="宋体"/>
          <w:color w:val="auto"/>
          <w:sz w:val="24"/>
          <w:highlight w:val="none"/>
          <w:lang w:val="en-US" w:eastAsia="zh-CN"/>
        </w:rPr>
        <w:t>72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天，现场服务从土建工程开工至通过竣工预验收并移交装粮压仓为止。</w:t>
      </w:r>
    </w:p>
    <w:p w14:paraId="362AAC33">
      <w:pPr>
        <w:tabs>
          <w:tab w:val="left" w:pos="54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（3）保修阶段（监理缺陷期）监理服务期：从工程竣工验收合格、备案管理完成之日起并完成保修期服务为止共两年。</w:t>
      </w:r>
    </w:p>
    <w:p w14:paraId="28135BA9">
      <w:pPr>
        <w:tabs>
          <w:tab w:val="left" w:pos="54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如因工程建设进度推迟或延迟而超过书面约定的日期，合同期和监理服务期相应延长，但本工程监理酬金不变。</w:t>
      </w:r>
    </w:p>
    <w:p w14:paraId="44D61CBE">
      <w:pPr>
        <w:tabs>
          <w:tab w:val="left" w:pos="54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（三）我方将严格按照监理人员执业守则，按照国家相关法规、规范及我方制定的监理大纲、实施细则进行监理，在保证质量、安全的前提下，确保工程按期交付。</w:t>
      </w:r>
    </w:p>
    <w:p w14:paraId="33745A15">
      <w:pPr>
        <w:tabs>
          <w:tab w:val="left" w:pos="5400"/>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（四）贵单位的招标文件、中标通知书和本投标文件将构成约束我们双方的合同。</w:t>
      </w:r>
    </w:p>
    <w:p w14:paraId="2DC1D4EB">
      <w:pPr>
        <w:tabs>
          <w:tab w:val="left" w:pos="540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（五）如果贵方接受我方投标，我方将按照招标文件中规定的条件，按招标文件写明的金额，向贵方提交投标保证金。</w:t>
      </w:r>
    </w:p>
    <w:p w14:paraId="497089BD">
      <w:pPr>
        <w:tabs>
          <w:tab w:val="left" w:pos="5400"/>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（六）我单位同意从开标之日起</w:t>
      </w:r>
      <w:r>
        <w:rPr>
          <w:rFonts w:hint="eastAsia" w:ascii="宋体" w:hAnsi="宋体" w:eastAsia="宋体" w:cs="宋体"/>
          <w:color w:val="auto"/>
          <w:sz w:val="24"/>
          <w:highlight w:val="none"/>
          <w:u w:val="single"/>
        </w:rPr>
        <w:t xml:space="preserve"> 90日历天 </w:t>
      </w:r>
      <w:r>
        <w:rPr>
          <w:rFonts w:hint="eastAsia" w:ascii="宋体" w:hAnsi="宋体" w:eastAsia="宋体" w:cs="宋体"/>
          <w:color w:val="auto"/>
          <w:sz w:val="24"/>
          <w:highlight w:val="none"/>
        </w:rPr>
        <w:t>的投标有效期内遵守本投标文件。在此期限届满之前，本投标文件将始终对我方有约束力，并可随时接受中标。</w:t>
      </w:r>
    </w:p>
    <w:p w14:paraId="294D5C38">
      <w:pPr>
        <w:tabs>
          <w:tab w:val="left" w:pos="5400"/>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（七）我单位理解，贵方不一定接受最低标价的投标文件或可能接受任何的投标文件。同时也理解，不论结果如何，贵方不承担我方的任何投标费用。</w:t>
      </w:r>
    </w:p>
    <w:p w14:paraId="364418A7">
      <w:pPr>
        <w:tabs>
          <w:tab w:val="left" w:pos="5400"/>
        </w:tabs>
        <w:spacing w:line="360" w:lineRule="auto"/>
        <w:ind w:firstLine="480"/>
        <w:outlineLvl w:val="1"/>
        <w:rPr>
          <w:rFonts w:hint="eastAsia" w:ascii="宋体" w:hAnsi="宋体" w:eastAsia="宋体" w:cs="宋体"/>
          <w:color w:val="auto"/>
          <w:sz w:val="24"/>
          <w:highlight w:val="none"/>
        </w:rPr>
      </w:pPr>
      <w:bookmarkStart w:id="442" w:name="_Toc26993"/>
      <w:r>
        <w:rPr>
          <w:rFonts w:hint="eastAsia" w:ascii="宋体" w:hAnsi="宋体" w:eastAsia="宋体" w:cs="宋体"/>
          <w:color w:val="auto"/>
          <w:sz w:val="24"/>
          <w:highlight w:val="none"/>
        </w:rPr>
        <w:t>（八）我单位承诺委派本项目的总监理工程师：</w:t>
      </w:r>
      <w:bookmarkEnd w:id="442"/>
    </w:p>
    <w:p w14:paraId="5D994DCC">
      <w:pPr>
        <w:tabs>
          <w:tab w:val="left" w:pos="5400"/>
        </w:tabs>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xml:space="preserve">：                                </w:t>
      </w:r>
    </w:p>
    <w:p w14:paraId="77BDF666">
      <w:pPr>
        <w:tabs>
          <w:tab w:val="left" w:pos="5400"/>
        </w:tabs>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（九）如果我单位在投标有效期内撤回投标文件；或收到中标通知书后，未能按中标通知书规定的期限签署或拒绝签署合同，贵方有权不予退回我单位提交的投标保证金。</w:t>
      </w:r>
    </w:p>
    <w:p w14:paraId="6E50B27C">
      <w:pPr>
        <w:tabs>
          <w:tab w:val="left" w:pos="5400"/>
        </w:tabs>
        <w:spacing w:line="360" w:lineRule="auto"/>
        <w:ind w:firstLine="480"/>
        <w:rPr>
          <w:rFonts w:hint="eastAsia" w:ascii="宋体" w:hAnsi="宋体" w:eastAsia="宋体" w:cs="宋体"/>
          <w:color w:val="auto"/>
          <w:sz w:val="24"/>
          <w:highlight w:val="none"/>
        </w:rPr>
      </w:pPr>
    </w:p>
    <w:p w14:paraId="42687AD0">
      <w:pPr>
        <w:tabs>
          <w:tab w:val="left" w:pos="5400"/>
        </w:tabs>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投标单位（法人盖章）：</w:t>
      </w:r>
      <w:r>
        <w:rPr>
          <w:rFonts w:hint="eastAsia" w:ascii="宋体" w:hAnsi="宋体" w:eastAsia="宋体" w:cs="宋体"/>
          <w:color w:val="auto"/>
          <w:sz w:val="24"/>
          <w:highlight w:val="none"/>
          <w:u w:val="single"/>
        </w:rPr>
        <w:t xml:space="preserve">                                      </w:t>
      </w:r>
    </w:p>
    <w:p w14:paraId="38057098">
      <w:pPr>
        <w:tabs>
          <w:tab w:val="left" w:pos="5400"/>
        </w:tabs>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法定代表人或授权委托人（签字或盖章）</w:t>
      </w:r>
      <w:r>
        <w:rPr>
          <w:rFonts w:hint="eastAsia" w:ascii="宋体" w:hAnsi="宋体" w:eastAsia="宋体" w:cs="宋体"/>
          <w:color w:val="auto"/>
          <w:sz w:val="24"/>
          <w:highlight w:val="none"/>
          <w:u w:val="single"/>
        </w:rPr>
        <w:t xml:space="preserve">                       </w:t>
      </w:r>
    </w:p>
    <w:p w14:paraId="4680D569">
      <w:pPr>
        <w:tabs>
          <w:tab w:val="left" w:pos="5400"/>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5147B41">
      <w:pPr>
        <w:pStyle w:val="7"/>
        <w:spacing w:line="480" w:lineRule="auto"/>
        <w:rPr>
          <w:rFonts w:ascii="宋体" w:hAnsi="宋体" w:eastAsia="宋体"/>
          <w:color w:val="000000" w:themeColor="text1"/>
          <w14:textFill>
            <w14:solidFill>
              <w14:schemeClr w14:val="tx1"/>
            </w14:solidFill>
          </w14:textFill>
        </w:rPr>
      </w:pPr>
      <w:r>
        <w:rPr>
          <w:rFonts w:ascii="宋体" w:hAnsi="宋体"/>
          <w:b w:val="0"/>
          <w:bCs w:val="0"/>
          <w:color w:val="000000" w:themeColor="text1"/>
          <w14:textFill>
            <w14:solidFill>
              <w14:schemeClr w14:val="tx1"/>
            </w14:solidFill>
          </w14:textFill>
        </w:rPr>
        <w:br w:type="page"/>
      </w:r>
      <w:r>
        <w:rPr>
          <w:rFonts w:hint="eastAsia" w:ascii="宋体" w:hAnsi="宋体" w:eastAsia="宋体"/>
          <w:color w:val="000000" w:themeColor="text1"/>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三</w:t>
      </w:r>
      <w:r>
        <w:rPr>
          <w:rFonts w:hint="eastAsia" w:ascii="宋体" w:hAnsi="宋体" w:eastAsia="宋体"/>
          <w:color w:val="000000" w:themeColor="text1"/>
          <w14:textFill>
            <w14:solidFill>
              <w14:schemeClr w14:val="tx1"/>
            </w14:solidFill>
          </w14:textFill>
        </w:rPr>
        <w:t>）投标函附录</w:t>
      </w:r>
      <w:bookmarkEnd w:id="423"/>
      <w:bookmarkEnd w:id="424"/>
      <w:bookmarkEnd w:id="425"/>
      <w:bookmarkEnd w:id="426"/>
      <w:bookmarkEnd w:id="427"/>
      <w:bookmarkEnd w:id="428"/>
      <w:bookmarkEnd w:id="429"/>
      <w:bookmarkEnd w:id="430"/>
    </w:p>
    <w:tbl>
      <w:tblPr>
        <w:tblStyle w:val="23"/>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425"/>
        <w:gridCol w:w="2664"/>
        <w:gridCol w:w="82"/>
        <w:gridCol w:w="1894"/>
      </w:tblGrid>
      <w:tr w14:paraId="3797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33" w:type="dxa"/>
            <w:noWrap w:val="0"/>
            <w:vAlign w:val="center"/>
          </w:tcPr>
          <w:p w14:paraId="5F5D8A79">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2425" w:type="dxa"/>
            <w:noWrap w:val="0"/>
            <w:vAlign w:val="center"/>
          </w:tcPr>
          <w:p w14:paraId="07C290EC">
            <w:pPr>
              <w:pStyle w:val="12"/>
              <w:spacing w:line="360" w:lineRule="auto"/>
              <w:jc w:val="center"/>
              <w:rPr>
                <w:rFonts w:hint="eastAsia" w:ascii="宋体" w:hAnsi="宋体" w:eastAsia="宋体" w:cs="宋体"/>
                <w:color w:val="auto"/>
                <w:highlight w:val="none"/>
              </w:rPr>
            </w:pPr>
          </w:p>
        </w:tc>
        <w:tc>
          <w:tcPr>
            <w:tcW w:w="2664" w:type="dxa"/>
            <w:noWrap w:val="0"/>
            <w:vAlign w:val="center"/>
          </w:tcPr>
          <w:p w14:paraId="1646ADE4">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地址、电话</w:t>
            </w:r>
          </w:p>
        </w:tc>
        <w:tc>
          <w:tcPr>
            <w:tcW w:w="1976" w:type="dxa"/>
            <w:gridSpan w:val="2"/>
            <w:noWrap w:val="0"/>
            <w:vAlign w:val="center"/>
          </w:tcPr>
          <w:p w14:paraId="239C8B92">
            <w:pPr>
              <w:pStyle w:val="12"/>
              <w:spacing w:line="360" w:lineRule="auto"/>
              <w:jc w:val="center"/>
              <w:rPr>
                <w:rFonts w:hint="eastAsia" w:ascii="宋体" w:hAnsi="宋体" w:eastAsia="宋体" w:cs="宋体"/>
                <w:color w:val="auto"/>
                <w:highlight w:val="none"/>
              </w:rPr>
            </w:pPr>
          </w:p>
        </w:tc>
      </w:tr>
      <w:tr w14:paraId="29EA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33" w:type="dxa"/>
            <w:noWrap w:val="0"/>
            <w:vAlign w:val="center"/>
          </w:tcPr>
          <w:p w14:paraId="1BFBA639">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w:t>
            </w:r>
          </w:p>
          <w:p w14:paraId="28E81D39">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w:t>
            </w:r>
          </w:p>
          <w:p w14:paraId="4D684591">
            <w:pPr>
              <w:pStyle w:val="12"/>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注册证书号</w:t>
            </w:r>
          </w:p>
        </w:tc>
        <w:tc>
          <w:tcPr>
            <w:tcW w:w="2425" w:type="dxa"/>
            <w:noWrap w:val="0"/>
            <w:vAlign w:val="center"/>
          </w:tcPr>
          <w:p w14:paraId="7F4F3215">
            <w:pPr>
              <w:pStyle w:val="12"/>
              <w:jc w:val="center"/>
              <w:rPr>
                <w:rFonts w:hint="eastAsia" w:ascii="宋体" w:hAnsi="宋体" w:eastAsia="宋体" w:cs="宋体"/>
                <w:color w:val="auto"/>
                <w:highlight w:val="none"/>
              </w:rPr>
            </w:pPr>
          </w:p>
        </w:tc>
        <w:tc>
          <w:tcPr>
            <w:tcW w:w="2664" w:type="dxa"/>
            <w:noWrap w:val="0"/>
            <w:vAlign w:val="center"/>
          </w:tcPr>
          <w:p w14:paraId="169FCADE">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资质等级</w:t>
            </w:r>
          </w:p>
          <w:p w14:paraId="4BBCD5C5">
            <w:pPr>
              <w:pStyle w:val="12"/>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及证书号</w:t>
            </w:r>
          </w:p>
        </w:tc>
        <w:tc>
          <w:tcPr>
            <w:tcW w:w="1976" w:type="dxa"/>
            <w:gridSpan w:val="2"/>
            <w:noWrap w:val="0"/>
            <w:vAlign w:val="center"/>
          </w:tcPr>
          <w:p w14:paraId="238FFA55">
            <w:pPr>
              <w:pStyle w:val="12"/>
              <w:spacing w:line="360" w:lineRule="auto"/>
              <w:jc w:val="center"/>
              <w:rPr>
                <w:rFonts w:hint="eastAsia" w:ascii="宋体" w:hAnsi="宋体" w:eastAsia="宋体" w:cs="宋体"/>
                <w:color w:val="auto"/>
                <w:highlight w:val="none"/>
              </w:rPr>
            </w:pPr>
          </w:p>
        </w:tc>
      </w:tr>
      <w:tr w14:paraId="2169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733" w:type="dxa"/>
            <w:noWrap w:val="0"/>
            <w:vAlign w:val="center"/>
          </w:tcPr>
          <w:p w14:paraId="067324E5">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法人营业</w:t>
            </w:r>
          </w:p>
          <w:p w14:paraId="54ADD23D">
            <w:pPr>
              <w:pStyle w:val="12"/>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执照证号</w:t>
            </w:r>
          </w:p>
        </w:tc>
        <w:tc>
          <w:tcPr>
            <w:tcW w:w="2425" w:type="dxa"/>
            <w:noWrap w:val="0"/>
            <w:vAlign w:val="center"/>
          </w:tcPr>
          <w:p w14:paraId="432F436F">
            <w:pPr>
              <w:pStyle w:val="12"/>
              <w:jc w:val="center"/>
              <w:rPr>
                <w:rFonts w:hint="eastAsia" w:ascii="宋体" w:hAnsi="宋体" w:eastAsia="宋体" w:cs="宋体"/>
                <w:color w:val="auto"/>
                <w:highlight w:val="none"/>
              </w:rPr>
            </w:pPr>
          </w:p>
        </w:tc>
        <w:tc>
          <w:tcPr>
            <w:tcW w:w="2664" w:type="dxa"/>
            <w:noWrap w:val="0"/>
            <w:vAlign w:val="center"/>
          </w:tcPr>
          <w:p w14:paraId="2D0CD368">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w:t>
            </w:r>
          </w:p>
          <w:p w14:paraId="599D0FAC">
            <w:pPr>
              <w:pStyle w:val="12"/>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仓容规模</w:t>
            </w:r>
          </w:p>
        </w:tc>
        <w:tc>
          <w:tcPr>
            <w:tcW w:w="1976" w:type="dxa"/>
            <w:gridSpan w:val="2"/>
            <w:noWrap w:val="0"/>
            <w:vAlign w:val="center"/>
          </w:tcPr>
          <w:p w14:paraId="496976BB">
            <w:pPr>
              <w:pStyle w:val="12"/>
              <w:spacing w:line="360" w:lineRule="auto"/>
              <w:jc w:val="center"/>
              <w:rPr>
                <w:rFonts w:hint="eastAsia" w:ascii="宋体" w:hAnsi="宋体" w:eastAsia="宋体" w:cs="宋体"/>
                <w:bCs/>
                <w:color w:val="auto"/>
                <w:highlight w:val="none"/>
              </w:rPr>
            </w:pPr>
          </w:p>
        </w:tc>
      </w:tr>
      <w:tr w14:paraId="2463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733" w:type="dxa"/>
            <w:vMerge w:val="restart"/>
            <w:noWrap w:val="0"/>
            <w:vAlign w:val="center"/>
          </w:tcPr>
          <w:p w14:paraId="5970206A">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概算总造价</w:t>
            </w:r>
          </w:p>
          <w:p w14:paraId="118DEC03">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2425" w:type="dxa"/>
            <w:vMerge w:val="restart"/>
            <w:noWrap w:val="0"/>
            <w:vAlign w:val="center"/>
          </w:tcPr>
          <w:p w14:paraId="680508B9">
            <w:pPr>
              <w:pStyle w:val="12"/>
              <w:spacing w:line="360" w:lineRule="auto"/>
              <w:jc w:val="center"/>
              <w:rPr>
                <w:rFonts w:hint="eastAsia" w:ascii="宋体" w:hAnsi="宋体" w:eastAsia="宋体" w:cs="宋体"/>
                <w:color w:val="auto"/>
                <w:sz w:val="24"/>
                <w:szCs w:val="24"/>
                <w:highlight w:val="none"/>
                <w:lang w:val="en-US" w:eastAsia="zh-CN"/>
              </w:rPr>
            </w:pPr>
          </w:p>
        </w:tc>
        <w:tc>
          <w:tcPr>
            <w:tcW w:w="2664" w:type="dxa"/>
            <w:vMerge w:val="restart"/>
            <w:noWrap w:val="0"/>
            <w:vAlign w:val="center"/>
          </w:tcPr>
          <w:p w14:paraId="5755C972">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监理费总报价</w:t>
            </w:r>
          </w:p>
        </w:tc>
        <w:tc>
          <w:tcPr>
            <w:tcW w:w="1976" w:type="dxa"/>
            <w:gridSpan w:val="2"/>
            <w:noWrap w:val="0"/>
            <w:vAlign w:val="center"/>
          </w:tcPr>
          <w:p w14:paraId="10AEBA61">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14:paraId="715A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733" w:type="dxa"/>
            <w:vMerge w:val="continue"/>
            <w:noWrap w:val="0"/>
            <w:vAlign w:val="center"/>
          </w:tcPr>
          <w:p w14:paraId="73EADFD8">
            <w:pPr>
              <w:pStyle w:val="12"/>
              <w:spacing w:line="360" w:lineRule="auto"/>
              <w:jc w:val="center"/>
              <w:rPr>
                <w:rFonts w:hint="eastAsia" w:ascii="宋体" w:hAnsi="宋体" w:eastAsia="宋体" w:cs="宋体"/>
                <w:color w:val="auto"/>
                <w:sz w:val="24"/>
                <w:szCs w:val="24"/>
                <w:highlight w:val="none"/>
              </w:rPr>
            </w:pPr>
          </w:p>
        </w:tc>
        <w:tc>
          <w:tcPr>
            <w:tcW w:w="2425" w:type="dxa"/>
            <w:vMerge w:val="continue"/>
            <w:noWrap w:val="0"/>
            <w:vAlign w:val="center"/>
          </w:tcPr>
          <w:p w14:paraId="0A9242E5">
            <w:pPr>
              <w:pStyle w:val="12"/>
              <w:spacing w:line="360" w:lineRule="auto"/>
              <w:jc w:val="center"/>
              <w:rPr>
                <w:rFonts w:hint="eastAsia" w:ascii="宋体" w:hAnsi="宋体" w:eastAsia="宋体" w:cs="宋体"/>
                <w:color w:val="auto"/>
                <w:sz w:val="24"/>
                <w:szCs w:val="24"/>
                <w:highlight w:val="none"/>
              </w:rPr>
            </w:pPr>
          </w:p>
        </w:tc>
        <w:tc>
          <w:tcPr>
            <w:tcW w:w="2664" w:type="dxa"/>
            <w:vMerge w:val="continue"/>
            <w:noWrap w:val="0"/>
            <w:vAlign w:val="center"/>
          </w:tcPr>
          <w:p w14:paraId="7DF223EF">
            <w:pPr>
              <w:pStyle w:val="12"/>
              <w:spacing w:line="360" w:lineRule="auto"/>
              <w:jc w:val="center"/>
              <w:rPr>
                <w:rFonts w:hint="eastAsia" w:ascii="宋体" w:hAnsi="宋体" w:eastAsia="宋体" w:cs="宋体"/>
                <w:color w:val="auto"/>
                <w:sz w:val="24"/>
                <w:szCs w:val="24"/>
                <w:highlight w:val="none"/>
              </w:rPr>
            </w:pPr>
          </w:p>
        </w:tc>
        <w:tc>
          <w:tcPr>
            <w:tcW w:w="1976" w:type="dxa"/>
            <w:gridSpan w:val="2"/>
            <w:noWrap w:val="0"/>
            <w:vAlign w:val="center"/>
          </w:tcPr>
          <w:p w14:paraId="1D9E5D44">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r>
      <w:tr w14:paraId="59FF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33" w:type="dxa"/>
            <w:vMerge w:val="continue"/>
            <w:noWrap w:val="0"/>
            <w:vAlign w:val="center"/>
          </w:tcPr>
          <w:p w14:paraId="77BA793B">
            <w:pPr>
              <w:pStyle w:val="12"/>
              <w:spacing w:line="360" w:lineRule="auto"/>
              <w:jc w:val="center"/>
              <w:rPr>
                <w:rFonts w:hint="eastAsia" w:ascii="宋体" w:hAnsi="宋体" w:eastAsia="宋体" w:cs="宋体"/>
                <w:color w:val="auto"/>
                <w:sz w:val="24"/>
                <w:szCs w:val="24"/>
                <w:highlight w:val="none"/>
              </w:rPr>
            </w:pPr>
          </w:p>
        </w:tc>
        <w:tc>
          <w:tcPr>
            <w:tcW w:w="2425" w:type="dxa"/>
            <w:vMerge w:val="continue"/>
            <w:noWrap w:val="0"/>
            <w:vAlign w:val="center"/>
          </w:tcPr>
          <w:p w14:paraId="36D08E5F">
            <w:pPr>
              <w:pStyle w:val="12"/>
              <w:spacing w:line="360" w:lineRule="auto"/>
              <w:jc w:val="center"/>
              <w:rPr>
                <w:rFonts w:hint="eastAsia" w:ascii="宋体" w:hAnsi="宋体" w:eastAsia="宋体" w:cs="宋体"/>
                <w:color w:val="auto"/>
                <w:sz w:val="24"/>
                <w:szCs w:val="24"/>
                <w:highlight w:val="none"/>
              </w:rPr>
            </w:pPr>
          </w:p>
        </w:tc>
        <w:tc>
          <w:tcPr>
            <w:tcW w:w="2664" w:type="dxa"/>
            <w:noWrap w:val="0"/>
            <w:vAlign w:val="center"/>
          </w:tcPr>
          <w:p w14:paraId="4C48B1E5">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专业调整系数</w:t>
            </w:r>
          </w:p>
        </w:tc>
        <w:tc>
          <w:tcPr>
            <w:tcW w:w="1976" w:type="dxa"/>
            <w:gridSpan w:val="2"/>
            <w:noWrap w:val="0"/>
            <w:vAlign w:val="center"/>
          </w:tcPr>
          <w:p w14:paraId="349DBA63">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4591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33" w:type="dxa"/>
            <w:vMerge w:val="continue"/>
            <w:noWrap w:val="0"/>
            <w:vAlign w:val="center"/>
          </w:tcPr>
          <w:p w14:paraId="48D842E0">
            <w:pPr>
              <w:pStyle w:val="12"/>
              <w:spacing w:line="360" w:lineRule="auto"/>
              <w:jc w:val="center"/>
              <w:rPr>
                <w:rFonts w:hint="eastAsia" w:ascii="宋体" w:hAnsi="宋体" w:eastAsia="宋体" w:cs="宋体"/>
                <w:color w:val="auto"/>
                <w:sz w:val="24"/>
                <w:szCs w:val="24"/>
                <w:highlight w:val="none"/>
              </w:rPr>
            </w:pPr>
          </w:p>
        </w:tc>
        <w:tc>
          <w:tcPr>
            <w:tcW w:w="2425" w:type="dxa"/>
            <w:vMerge w:val="continue"/>
            <w:noWrap w:val="0"/>
            <w:vAlign w:val="center"/>
          </w:tcPr>
          <w:p w14:paraId="35B94711">
            <w:pPr>
              <w:pStyle w:val="12"/>
              <w:spacing w:line="360" w:lineRule="auto"/>
              <w:jc w:val="center"/>
              <w:rPr>
                <w:rFonts w:hint="eastAsia" w:ascii="宋体" w:hAnsi="宋体" w:eastAsia="宋体" w:cs="宋体"/>
                <w:color w:val="auto"/>
                <w:sz w:val="24"/>
                <w:szCs w:val="24"/>
                <w:highlight w:val="none"/>
              </w:rPr>
            </w:pPr>
          </w:p>
        </w:tc>
        <w:tc>
          <w:tcPr>
            <w:tcW w:w="2664" w:type="dxa"/>
            <w:noWrap w:val="0"/>
            <w:vAlign w:val="center"/>
          </w:tcPr>
          <w:p w14:paraId="68AE5C40">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工程复杂程度调整系数</w:t>
            </w:r>
          </w:p>
        </w:tc>
        <w:tc>
          <w:tcPr>
            <w:tcW w:w="1976" w:type="dxa"/>
            <w:gridSpan w:val="2"/>
            <w:noWrap w:val="0"/>
            <w:vAlign w:val="center"/>
          </w:tcPr>
          <w:p w14:paraId="7F4424CB">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2C2E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33" w:type="dxa"/>
            <w:vMerge w:val="continue"/>
            <w:noWrap w:val="0"/>
            <w:vAlign w:val="center"/>
          </w:tcPr>
          <w:p w14:paraId="243B3950">
            <w:pPr>
              <w:pStyle w:val="12"/>
              <w:spacing w:line="360" w:lineRule="auto"/>
              <w:jc w:val="center"/>
              <w:rPr>
                <w:rFonts w:hint="eastAsia" w:ascii="宋体" w:hAnsi="宋体" w:eastAsia="宋体" w:cs="宋体"/>
                <w:color w:val="auto"/>
                <w:sz w:val="24"/>
                <w:szCs w:val="24"/>
                <w:highlight w:val="none"/>
              </w:rPr>
            </w:pPr>
          </w:p>
        </w:tc>
        <w:tc>
          <w:tcPr>
            <w:tcW w:w="2425" w:type="dxa"/>
            <w:vMerge w:val="continue"/>
            <w:noWrap w:val="0"/>
            <w:vAlign w:val="center"/>
          </w:tcPr>
          <w:p w14:paraId="66CCC2A5">
            <w:pPr>
              <w:pStyle w:val="12"/>
              <w:spacing w:line="360" w:lineRule="auto"/>
              <w:jc w:val="center"/>
              <w:rPr>
                <w:rFonts w:hint="eastAsia" w:ascii="宋体" w:hAnsi="宋体" w:eastAsia="宋体" w:cs="宋体"/>
                <w:color w:val="auto"/>
                <w:sz w:val="24"/>
                <w:szCs w:val="24"/>
                <w:highlight w:val="none"/>
              </w:rPr>
            </w:pPr>
          </w:p>
        </w:tc>
        <w:tc>
          <w:tcPr>
            <w:tcW w:w="2664" w:type="dxa"/>
            <w:noWrap w:val="0"/>
            <w:vAlign w:val="center"/>
          </w:tcPr>
          <w:p w14:paraId="3AA91753">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高程调整系数</w:t>
            </w:r>
          </w:p>
        </w:tc>
        <w:tc>
          <w:tcPr>
            <w:tcW w:w="1976" w:type="dxa"/>
            <w:gridSpan w:val="2"/>
            <w:noWrap w:val="0"/>
            <w:vAlign w:val="center"/>
          </w:tcPr>
          <w:p w14:paraId="329198E3">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0313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33" w:type="dxa"/>
            <w:noWrap w:val="0"/>
            <w:vAlign w:val="center"/>
          </w:tcPr>
          <w:p w14:paraId="390F6701">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监理工期</w:t>
            </w:r>
          </w:p>
        </w:tc>
        <w:tc>
          <w:tcPr>
            <w:tcW w:w="2425" w:type="dxa"/>
            <w:noWrap w:val="0"/>
            <w:vAlign w:val="center"/>
          </w:tcPr>
          <w:p w14:paraId="42180C86">
            <w:pPr>
              <w:pStyle w:val="12"/>
              <w:spacing w:line="360" w:lineRule="auto"/>
              <w:jc w:val="center"/>
              <w:rPr>
                <w:rFonts w:hint="eastAsia" w:ascii="宋体" w:hAnsi="宋体" w:eastAsia="宋体" w:cs="宋体"/>
                <w:color w:val="auto"/>
                <w:sz w:val="24"/>
                <w:szCs w:val="24"/>
                <w:highlight w:val="none"/>
              </w:rPr>
            </w:pPr>
          </w:p>
        </w:tc>
        <w:tc>
          <w:tcPr>
            <w:tcW w:w="2664" w:type="dxa"/>
            <w:noWrap w:val="0"/>
            <w:vAlign w:val="center"/>
          </w:tcPr>
          <w:p w14:paraId="418BB7B2">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监理质量目标</w:t>
            </w:r>
          </w:p>
        </w:tc>
        <w:tc>
          <w:tcPr>
            <w:tcW w:w="1976" w:type="dxa"/>
            <w:gridSpan w:val="2"/>
            <w:noWrap w:val="0"/>
            <w:vAlign w:val="center"/>
          </w:tcPr>
          <w:p w14:paraId="15F89E79">
            <w:pPr>
              <w:pStyle w:val="12"/>
              <w:spacing w:line="360" w:lineRule="auto"/>
              <w:jc w:val="center"/>
              <w:rPr>
                <w:rFonts w:hint="eastAsia" w:ascii="宋体" w:hAnsi="宋体" w:eastAsia="宋体" w:cs="宋体"/>
                <w:color w:val="auto"/>
                <w:sz w:val="24"/>
                <w:szCs w:val="24"/>
                <w:highlight w:val="none"/>
              </w:rPr>
            </w:pPr>
          </w:p>
        </w:tc>
      </w:tr>
      <w:tr w14:paraId="32F6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733" w:type="dxa"/>
            <w:noWrap w:val="0"/>
            <w:vAlign w:val="center"/>
          </w:tcPr>
          <w:p w14:paraId="3B2E6A55">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驻场监理机构</w:t>
            </w:r>
          </w:p>
          <w:p w14:paraId="164F7F9A">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人数（人）</w:t>
            </w:r>
          </w:p>
        </w:tc>
        <w:tc>
          <w:tcPr>
            <w:tcW w:w="2425" w:type="dxa"/>
            <w:noWrap w:val="0"/>
            <w:vAlign w:val="center"/>
          </w:tcPr>
          <w:p w14:paraId="5A1E8C55">
            <w:pPr>
              <w:pStyle w:val="12"/>
              <w:jc w:val="center"/>
              <w:rPr>
                <w:rFonts w:hint="eastAsia" w:ascii="宋体" w:hAnsi="宋体" w:eastAsia="宋体" w:cs="宋体"/>
                <w:color w:val="auto"/>
                <w:sz w:val="24"/>
                <w:szCs w:val="24"/>
                <w:highlight w:val="none"/>
              </w:rPr>
            </w:pPr>
          </w:p>
        </w:tc>
        <w:tc>
          <w:tcPr>
            <w:tcW w:w="2664" w:type="dxa"/>
            <w:noWrap w:val="0"/>
            <w:vAlign w:val="center"/>
          </w:tcPr>
          <w:p w14:paraId="2705BC53">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驻场注册监理工程师人数（人）</w:t>
            </w:r>
          </w:p>
        </w:tc>
        <w:tc>
          <w:tcPr>
            <w:tcW w:w="1976" w:type="dxa"/>
            <w:gridSpan w:val="2"/>
            <w:noWrap w:val="0"/>
            <w:vAlign w:val="center"/>
          </w:tcPr>
          <w:p w14:paraId="0CB0A2DD">
            <w:pPr>
              <w:pStyle w:val="12"/>
              <w:jc w:val="center"/>
              <w:rPr>
                <w:rFonts w:hint="eastAsia" w:ascii="宋体" w:hAnsi="宋体" w:eastAsia="宋体" w:cs="宋体"/>
                <w:color w:val="auto"/>
                <w:sz w:val="24"/>
                <w:szCs w:val="24"/>
                <w:highlight w:val="none"/>
              </w:rPr>
            </w:pPr>
          </w:p>
        </w:tc>
      </w:tr>
      <w:tr w14:paraId="2B5F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3" w:type="dxa"/>
            <w:vMerge w:val="restart"/>
            <w:noWrap w:val="0"/>
            <w:vAlign w:val="center"/>
          </w:tcPr>
          <w:p w14:paraId="3C41E87A">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拟委派的项目</w:t>
            </w:r>
          </w:p>
          <w:p w14:paraId="082F4D27">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2425" w:type="dxa"/>
            <w:noWrap w:val="0"/>
            <w:vAlign w:val="center"/>
          </w:tcPr>
          <w:p w14:paraId="1A0C4E50">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640" w:type="dxa"/>
            <w:gridSpan w:val="3"/>
            <w:noWrap w:val="0"/>
            <w:vAlign w:val="center"/>
          </w:tcPr>
          <w:p w14:paraId="502A871F">
            <w:pPr>
              <w:pStyle w:val="12"/>
              <w:jc w:val="center"/>
              <w:rPr>
                <w:rFonts w:hint="eastAsia" w:ascii="宋体" w:hAnsi="宋体" w:eastAsia="宋体" w:cs="宋体"/>
                <w:color w:val="auto"/>
                <w:sz w:val="24"/>
                <w:szCs w:val="24"/>
                <w:highlight w:val="none"/>
              </w:rPr>
            </w:pPr>
          </w:p>
        </w:tc>
      </w:tr>
      <w:tr w14:paraId="5233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33" w:type="dxa"/>
            <w:vMerge w:val="continue"/>
            <w:noWrap w:val="0"/>
            <w:vAlign w:val="center"/>
          </w:tcPr>
          <w:p w14:paraId="1D8EA2ED">
            <w:pPr>
              <w:pStyle w:val="12"/>
              <w:jc w:val="center"/>
              <w:rPr>
                <w:rFonts w:hint="eastAsia" w:ascii="宋体" w:hAnsi="宋体" w:eastAsia="宋体" w:cs="宋体"/>
                <w:color w:val="auto"/>
                <w:sz w:val="24"/>
                <w:szCs w:val="24"/>
                <w:highlight w:val="none"/>
              </w:rPr>
            </w:pPr>
          </w:p>
        </w:tc>
        <w:tc>
          <w:tcPr>
            <w:tcW w:w="2425" w:type="dxa"/>
            <w:noWrap w:val="0"/>
            <w:vAlign w:val="center"/>
          </w:tcPr>
          <w:p w14:paraId="40AB43AC">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4640" w:type="dxa"/>
            <w:gridSpan w:val="3"/>
            <w:noWrap w:val="0"/>
            <w:vAlign w:val="center"/>
          </w:tcPr>
          <w:p w14:paraId="2001D902">
            <w:pPr>
              <w:pStyle w:val="12"/>
              <w:jc w:val="center"/>
              <w:rPr>
                <w:rFonts w:hint="eastAsia" w:ascii="宋体" w:hAnsi="宋体" w:eastAsia="宋体" w:cs="宋体"/>
                <w:color w:val="auto"/>
                <w:sz w:val="24"/>
                <w:szCs w:val="24"/>
                <w:highlight w:val="none"/>
              </w:rPr>
            </w:pPr>
          </w:p>
        </w:tc>
      </w:tr>
      <w:tr w14:paraId="7F74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33" w:type="dxa"/>
            <w:vMerge w:val="continue"/>
            <w:noWrap w:val="0"/>
            <w:vAlign w:val="center"/>
          </w:tcPr>
          <w:p w14:paraId="08D09D8F">
            <w:pPr>
              <w:pStyle w:val="12"/>
              <w:jc w:val="center"/>
              <w:rPr>
                <w:rFonts w:hint="eastAsia" w:ascii="宋体" w:hAnsi="宋体" w:eastAsia="宋体" w:cs="宋体"/>
                <w:color w:val="auto"/>
                <w:sz w:val="24"/>
                <w:szCs w:val="24"/>
                <w:highlight w:val="none"/>
              </w:rPr>
            </w:pPr>
          </w:p>
        </w:tc>
        <w:tc>
          <w:tcPr>
            <w:tcW w:w="2425" w:type="dxa"/>
            <w:noWrap w:val="0"/>
            <w:vAlign w:val="center"/>
          </w:tcPr>
          <w:p w14:paraId="366C0D40">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注册监理工程师证号</w:t>
            </w:r>
          </w:p>
        </w:tc>
        <w:tc>
          <w:tcPr>
            <w:tcW w:w="4640" w:type="dxa"/>
            <w:gridSpan w:val="3"/>
            <w:noWrap w:val="0"/>
            <w:vAlign w:val="center"/>
          </w:tcPr>
          <w:p w14:paraId="058E1326">
            <w:pPr>
              <w:pStyle w:val="12"/>
              <w:jc w:val="center"/>
              <w:rPr>
                <w:rFonts w:hint="eastAsia" w:ascii="宋体" w:hAnsi="宋体" w:eastAsia="宋体" w:cs="宋体"/>
                <w:color w:val="auto"/>
                <w:sz w:val="24"/>
                <w:szCs w:val="24"/>
                <w:highlight w:val="none"/>
              </w:rPr>
            </w:pPr>
          </w:p>
        </w:tc>
      </w:tr>
      <w:tr w14:paraId="05FE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733" w:type="dxa"/>
            <w:vMerge w:val="continue"/>
            <w:noWrap w:val="0"/>
            <w:vAlign w:val="center"/>
          </w:tcPr>
          <w:p w14:paraId="15D030AA">
            <w:pPr>
              <w:pStyle w:val="12"/>
              <w:jc w:val="center"/>
              <w:rPr>
                <w:rFonts w:hint="eastAsia" w:ascii="宋体" w:hAnsi="宋体" w:eastAsia="宋体" w:cs="宋体"/>
                <w:color w:val="auto"/>
                <w:sz w:val="24"/>
                <w:szCs w:val="24"/>
                <w:highlight w:val="none"/>
              </w:rPr>
            </w:pPr>
          </w:p>
        </w:tc>
        <w:tc>
          <w:tcPr>
            <w:tcW w:w="2425" w:type="dxa"/>
            <w:noWrap w:val="0"/>
            <w:vAlign w:val="center"/>
          </w:tcPr>
          <w:p w14:paraId="4351BFB2">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注册监理工程师证</w:t>
            </w:r>
          </w:p>
          <w:p w14:paraId="3EE4B98E">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核发日期</w:t>
            </w:r>
          </w:p>
        </w:tc>
        <w:tc>
          <w:tcPr>
            <w:tcW w:w="4640" w:type="dxa"/>
            <w:gridSpan w:val="3"/>
            <w:noWrap w:val="0"/>
            <w:vAlign w:val="center"/>
          </w:tcPr>
          <w:p w14:paraId="3A381ED2">
            <w:pPr>
              <w:pStyle w:val="12"/>
              <w:jc w:val="center"/>
              <w:rPr>
                <w:rFonts w:hint="eastAsia" w:ascii="宋体" w:hAnsi="宋体" w:eastAsia="宋体" w:cs="宋体"/>
                <w:color w:val="auto"/>
                <w:sz w:val="24"/>
                <w:szCs w:val="24"/>
                <w:highlight w:val="none"/>
              </w:rPr>
            </w:pPr>
          </w:p>
        </w:tc>
      </w:tr>
      <w:tr w14:paraId="3846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733" w:type="dxa"/>
            <w:noWrap w:val="0"/>
            <w:vAlign w:val="center"/>
          </w:tcPr>
          <w:p w14:paraId="7FE7D6D9">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需要建设</w:t>
            </w:r>
          </w:p>
          <w:p w14:paraId="611D14B9">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单位提供</w:t>
            </w:r>
          </w:p>
          <w:p w14:paraId="5669766C">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的配合条件</w:t>
            </w:r>
          </w:p>
        </w:tc>
        <w:tc>
          <w:tcPr>
            <w:tcW w:w="7065" w:type="dxa"/>
            <w:gridSpan w:val="4"/>
            <w:noWrap w:val="0"/>
            <w:vAlign w:val="center"/>
          </w:tcPr>
          <w:p w14:paraId="04D373AC">
            <w:pPr>
              <w:pStyle w:val="12"/>
              <w:jc w:val="center"/>
              <w:rPr>
                <w:rFonts w:hint="eastAsia" w:ascii="宋体" w:hAnsi="宋体" w:eastAsia="宋体" w:cs="宋体"/>
                <w:color w:val="auto"/>
                <w:sz w:val="24"/>
                <w:szCs w:val="24"/>
                <w:highlight w:val="none"/>
              </w:rPr>
            </w:pPr>
          </w:p>
        </w:tc>
      </w:tr>
      <w:tr w14:paraId="6CE0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733" w:type="dxa"/>
            <w:noWrap w:val="0"/>
            <w:vAlign w:val="center"/>
          </w:tcPr>
          <w:p w14:paraId="28F8AB6D">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p w14:paraId="6F91FC76">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5C2C316">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（签名或盖章）</w:t>
            </w:r>
          </w:p>
        </w:tc>
        <w:tc>
          <w:tcPr>
            <w:tcW w:w="2425" w:type="dxa"/>
            <w:noWrap w:val="0"/>
            <w:vAlign w:val="center"/>
          </w:tcPr>
          <w:p w14:paraId="73C60DD5">
            <w:pPr>
              <w:pStyle w:val="12"/>
              <w:jc w:val="center"/>
              <w:rPr>
                <w:rFonts w:hint="eastAsia" w:ascii="宋体" w:hAnsi="宋体" w:eastAsia="宋体" w:cs="宋体"/>
                <w:color w:val="auto"/>
                <w:sz w:val="24"/>
                <w:szCs w:val="24"/>
                <w:highlight w:val="none"/>
              </w:rPr>
            </w:pPr>
          </w:p>
        </w:tc>
        <w:tc>
          <w:tcPr>
            <w:tcW w:w="2746" w:type="dxa"/>
            <w:gridSpan w:val="2"/>
            <w:noWrap w:val="0"/>
            <w:vAlign w:val="center"/>
          </w:tcPr>
          <w:p w14:paraId="7C66A1B1">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本项目的法人</w:t>
            </w:r>
          </w:p>
          <w:p w14:paraId="1D7AA696">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授权的代理人</w:t>
            </w:r>
          </w:p>
          <w:p w14:paraId="7045A11E">
            <w:pPr>
              <w:pStyle w:val="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（签名）</w:t>
            </w:r>
          </w:p>
        </w:tc>
        <w:tc>
          <w:tcPr>
            <w:tcW w:w="1894" w:type="dxa"/>
            <w:noWrap w:val="0"/>
            <w:vAlign w:val="center"/>
          </w:tcPr>
          <w:p w14:paraId="2076C2C5">
            <w:pPr>
              <w:pStyle w:val="12"/>
              <w:spacing w:line="360" w:lineRule="auto"/>
              <w:jc w:val="center"/>
              <w:rPr>
                <w:rFonts w:hint="eastAsia" w:ascii="宋体" w:hAnsi="宋体" w:eastAsia="宋体" w:cs="宋体"/>
                <w:color w:val="auto"/>
                <w:sz w:val="24"/>
                <w:szCs w:val="24"/>
                <w:highlight w:val="none"/>
              </w:rPr>
            </w:pPr>
          </w:p>
        </w:tc>
      </w:tr>
    </w:tbl>
    <w:p w14:paraId="26C6832E">
      <w:pPr>
        <w:spacing w:line="44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28A33050">
      <w:pPr>
        <w:spacing w:line="360" w:lineRule="auto"/>
        <w:ind w:firstLine="722" w:firstLineChars="344"/>
        <w:jc w:val="left"/>
        <w:rPr>
          <w:rFonts w:ascii="宋体" w:hAnsi="宋体"/>
          <w:color w:val="000000" w:themeColor="text1"/>
          <w:sz w:val="24"/>
          <w:szCs w:val="24"/>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color w:val="000000" w:themeColor="text1"/>
          <w14:textFill>
            <w14:solidFill>
              <w14:schemeClr w14:val="tx1"/>
            </w14:solidFill>
          </w14:textFill>
        </w:rPr>
        <w:t>投标人根据企业自身情况进行报价，</w:t>
      </w:r>
      <w:r>
        <w:rPr>
          <w:rFonts w:hint="eastAsia"/>
          <w:bCs/>
          <w:color w:val="000000" w:themeColor="text1"/>
          <w14:textFill>
            <w14:solidFill>
              <w14:schemeClr w14:val="tx1"/>
            </w14:solidFill>
          </w14:textFill>
        </w:rPr>
        <w:t>投标报价不得超过最高投标限价。</w:t>
      </w:r>
      <w:r>
        <w:rPr>
          <w:rFonts w:hint="eastAsia" w:ascii="宋体" w:hAnsi="宋体"/>
          <w:color w:val="000000" w:themeColor="text1"/>
          <w:szCs w:val="21"/>
          <w14:textFill>
            <w14:solidFill>
              <w14:schemeClr w14:val="tx1"/>
            </w14:solidFill>
          </w14:textFill>
        </w:rPr>
        <w:t>小数点后保留两位小数，第三位小数四舍五入。</w:t>
      </w:r>
    </w:p>
    <w:p w14:paraId="1781342C">
      <w:pPr>
        <w:spacing w:line="720" w:lineRule="auto"/>
        <w:ind w:firstLine="3120" w:firstLineChars="1300"/>
        <w:jc w:val="left"/>
        <w:rPr>
          <w:rFonts w:ascii="宋体" w:hAnsi="宋体"/>
          <w:color w:val="000000" w:themeColor="text1"/>
          <w:sz w:val="24"/>
          <w:szCs w:val="24"/>
          <w14:textFill>
            <w14:solidFill>
              <w14:schemeClr w14:val="tx1"/>
            </w14:solidFill>
          </w14:textFill>
        </w:rPr>
      </w:pPr>
    </w:p>
    <w:p w14:paraId="52BB3DEC">
      <w:pPr>
        <w:spacing w:line="72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14:paraId="74435A94">
      <w:pPr>
        <w:spacing w:line="72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法定代表人或其委托代理人：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（签字或署印）</w:t>
      </w:r>
    </w:p>
    <w:p w14:paraId="56F6C36B">
      <w:pPr>
        <w:wordWrap w:val="0"/>
        <w:spacing w:line="720" w:lineRule="auto"/>
        <w:ind w:firstLine="5400" w:firstLineChars="2250"/>
        <w:jc w:val="right"/>
        <w:rPr>
          <w:rFonts w:ascii="宋体" w:hAnsi="宋体"/>
          <w:color w:val="000000" w:themeColor="text1"/>
          <w:sz w:val="24"/>
          <w14:textFill>
            <w14:solidFill>
              <w14:schemeClr w14:val="tx1"/>
            </w14:solidFill>
          </w14:textFill>
        </w:rPr>
      </w:pP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53B3D030">
      <w:pPr>
        <w:pStyle w:val="6"/>
        <w:spacing w:line="600" w:lineRule="auto"/>
        <w:rPr>
          <w:rFonts w:ascii="宋体" w:hAnsi="宋体" w:eastAsia="宋体"/>
          <w:color w:val="000000" w:themeColor="text1"/>
          <w:sz w:val="30"/>
          <w:szCs w:val="30"/>
          <w14:textFill>
            <w14:solidFill>
              <w14:schemeClr w14:val="tx1"/>
            </w14:solidFill>
          </w14:textFill>
        </w:rPr>
      </w:pPr>
      <w:r>
        <w:rPr>
          <w:rFonts w:ascii="宋体" w:hAnsi="宋体"/>
          <w:b w:val="0"/>
          <w:bCs w:val="0"/>
          <w:color w:val="000000" w:themeColor="text1"/>
          <w14:textFill>
            <w14:solidFill>
              <w14:schemeClr w14:val="tx1"/>
            </w14:solidFill>
          </w14:textFill>
        </w:rPr>
        <w:br w:type="page"/>
      </w:r>
      <w:bookmarkStart w:id="443" w:name="_Toc535938754"/>
      <w:bookmarkStart w:id="444" w:name="_Toc529196603"/>
      <w:bookmarkStart w:id="445" w:name="_Toc530470646"/>
      <w:r>
        <w:rPr>
          <w:rFonts w:hint="eastAsia" w:ascii="宋体" w:hAnsi="宋体" w:eastAsia="宋体"/>
          <w:color w:val="000000" w:themeColor="text1"/>
          <w:sz w:val="30"/>
          <w:szCs w:val="30"/>
          <w14:textFill>
            <w14:solidFill>
              <w14:schemeClr w14:val="tx1"/>
            </w14:solidFill>
          </w14:textFill>
        </w:rPr>
        <w:t>二</w:t>
      </w:r>
      <w:bookmarkEnd w:id="431"/>
      <w:bookmarkEnd w:id="432"/>
      <w:bookmarkEnd w:id="433"/>
      <w:bookmarkEnd w:id="434"/>
      <w:bookmarkEnd w:id="435"/>
      <w:bookmarkEnd w:id="436"/>
      <w:bookmarkEnd w:id="437"/>
      <w:bookmarkEnd w:id="438"/>
      <w:bookmarkEnd w:id="439"/>
      <w:bookmarkEnd w:id="440"/>
      <w:bookmarkEnd w:id="441"/>
      <w:r>
        <w:rPr>
          <w:rFonts w:hint="eastAsia" w:ascii="宋体" w:hAnsi="宋体" w:eastAsia="宋体"/>
          <w:color w:val="000000" w:themeColor="text1"/>
          <w:sz w:val="30"/>
          <w:szCs w:val="30"/>
          <w14:textFill>
            <w14:solidFill>
              <w14:schemeClr w14:val="tx1"/>
            </w14:solidFill>
          </w14:textFill>
        </w:rPr>
        <w:t>、法定代表人身份证明或授权委托书（格式可自定）</w:t>
      </w:r>
      <w:bookmarkEnd w:id="443"/>
      <w:bookmarkEnd w:id="444"/>
      <w:bookmarkEnd w:id="445"/>
    </w:p>
    <w:p w14:paraId="3446A5FE">
      <w:pPr>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法定代表人身份证明</w:t>
      </w:r>
    </w:p>
    <w:p w14:paraId="155AD1F9">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投标人名称：</w:t>
      </w:r>
      <w:r>
        <w:rPr>
          <w:rFonts w:ascii="宋体" w:hAnsi="宋体"/>
          <w:color w:val="000000" w:themeColor="text1"/>
          <w:sz w:val="24"/>
          <w:u w:val="single"/>
          <w14:textFill>
            <w14:solidFill>
              <w14:schemeClr w14:val="tx1"/>
            </w14:solidFill>
          </w14:textFill>
        </w:rPr>
        <w:t xml:space="preserve">            </w:t>
      </w:r>
    </w:p>
    <w:p w14:paraId="583608FC">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性别：</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w:t>
      </w:r>
      <w:r>
        <w:rPr>
          <w:rFonts w:ascii="宋体" w:hAnsi="宋体"/>
          <w:color w:val="000000" w:themeColor="text1"/>
          <w:sz w:val="24"/>
          <w:u w:val="single"/>
          <w14:textFill>
            <w14:solidFill>
              <w14:schemeClr w14:val="tx1"/>
            </w14:solidFill>
          </w14:textFill>
        </w:rPr>
        <w:t xml:space="preserve">       </w:t>
      </w:r>
    </w:p>
    <w:p w14:paraId="2C0388FC">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w:t>
      </w:r>
    </w:p>
    <w:p w14:paraId="1EAAF26E">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1F23395C">
      <w:pPr>
        <w:spacing w:line="440" w:lineRule="exact"/>
        <w:rPr>
          <w:rFonts w:ascii="宋体" w:hAnsi="宋体"/>
          <w:color w:val="000000" w:themeColor="text1"/>
          <w:sz w:val="24"/>
          <w:szCs w:val="24"/>
          <w14:textFill>
            <w14:solidFill>
              <w14:schemeClr w14:val="tx1"/>
            </w14:solidFill>
          </w14:textFill>
        </w:rPr>
      </w:pPr>
    </w:p>
    <w:p w14:paraId="255C3845">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附：法定代表人身份证扫描件。</w:t>
      </w:r>
    </w:p>
    <w:p w14:paraId="5DE76B3B">
      <w:pPr>
        <w:spacing w:line="440" w:lineRule="exact"/>
        <w:ind w:firstLine="480" w:firstLineChars="200"/>
        <w:rPr>
          <w:rFonts w:ascii="宋体" w:hAnsi="宋体"/>
          <w:color w:val="000000" w:themeColor="text1"/>
          <w:sz w:val="24"/>
          <w:szCs w:val="24"/>
          <w14:textFill>
            <w14:solidFill>
              <w14:schemeClr w14:val="tx1"/>
            </w14:solidFill>
          </w14:textFill>
        </w:rPr>
      </w:pPr>
    </w:p>
    <w:p w14:paraId="1209B12B">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注：本身份证明需由投标人加盖单位公章。</w:t>
      </w:r>
    </w:p>
    <w:p w14:paraId="18DE8655">
      <w:pPr>
        <w:spacing w:line="440" w:lineRule="exact"/>
        <w:rPr>
          <w:rFonts w:ascii="宋体" w:hAnsi="宋体"/>
          <w:color w:val="000000" w:themeColor="text1"/>
          <w:sz w:val="24"/>
          <w:szCs w:val="24"/>
          <w14:textFill>
            <w14:solidFill>
              <w14:schemeClr w14:val="tx1"/>
            </w14:solidFill>
          </w14:textFill>
        </w:rPr>
      </w:pPr>
    </w:p>
    <w:p w14:paraId="2BD417D6">
      <w:pPr>
        <w:spacing w:line="440" w:lineRule="exact"/>
        <w:rPr>
          <w:rFonts w:ascii="宋体" w:hAnsi="宋体"/>
          <w:color w:val="000000" w:themeColor="text1"/>
          <w:sz w:val="24"/>
          <w:szCs w:val="24"/>
          <w14:textFill>
            <w14:solidFill>
              <w14:schemeClr w14:val="tx1"/>
            </w14:solidFill>
          </w14:textFill>
        </w:rPr>
      </w:pPr>
    </w:p>
    <w:p w14:paraId="02A345FC">
      <w:pPr>
        <w:spacing w:line="44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14:paraId="4CC094D6">
      <w:pPr>
        <w:spacing w:line="440" w:lineRule="exact"/>
        <w:jc w:val="right"/>
        <w:rPr>
          <w:rFonts w:ascii="宋体" w:hAnsi="宋体"/>
          <w:color w:val="000000" w:themeColor="text1"/>
          <w:sz w:val="24"/>
          <w14:textFill>
            <w14:solidFill>
              <w14:schemeClr w14:val="tx1"/>
            </w14:solidFill>
          </w14:textFill>
        </w:rPr>
      </w:pPr>
    </w:p>
    <w:p w14:paraId="131AA9BE">
      <w:pPr>
        <w:spacing w:line="440" w:lineRule="exact"/>
        <w:ind w:firstLine="5280" w:firstLineChars="2200"/>
        <w:jc w:val="right"/>
        <w:rPr>
          <w:rFonts w:ascii="宋体" w:hAnsi="宋体"/>
          <w:color w:val="000000" w:themeColor="text1"/>
          <w:sz w:val="24"/>
          <w14:textFill>
            <w14:solidFill>
              <w14:schemeClr w14:val="tx1"/>
            </w14:solidFill>
          </w14:textFill>
        </w:rPr>
      </w:pP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00EE99E5">
      <w:pPr>
        <w:spacing w:line="440" w:lineRule="exact"/>
        <w:jc w:val="center"/>
        <w:rPr>
          <w:rFonts w:ascii="宋体" w:hAnsi="宋体"/>
          <w:color w:val="000000" w:themeColor="text1"/>
          <w:sz w:val="24"/>
          <w:szCs w:val="24"/>
          <w14:textFill>
            <w14:solidFill>
              <w14:schemeClr w14:val="tx1"/>
            </w14:solidFill>
          </w14:textFill>
        </w:rPr>
      </w:pPr>
    </w:p>
    <w:p w14:paraId="5C929EB0">
      <w:pPr>
        <w:spacing w:line="360" w:lineRule="auto"/>
        <w:jc w:val="center"/>
        <w:rPr>
          <w:rFonts w:ascii="宋体" w:hAnsi="宋体"/>
          <w:b/>
          <w:color w:val="000000" w:themeColor="text1"/>
          <w:sz w:val="32"/>
          <w:szCs w:val="32"/>
          <w14:textFill>
            <w14:solidFill>
              <w14:schemeClr w14:val="tx1"/>
            </w14:solidFill>
          </w14:textFill>
        </w:rPr>
      </w:pPr>
      <w:r>
        <w:rPr>
          <w:rFonts w:ascii="宋体" w:hAnsi="宋体"/>
          <w:b/>
          <w:bCs/>
          <w:color w:val="000000" w:themeColor="text1"/>
          <w:sz w:val="20"/>
          <w14:textFill>
            <w14:solidFill>
              <w14:schemeClr w14:val="tx1"/>
            </w14:solidFill>
          </w14:textFill>
        </w:rPr>
        <w:br w:type="page"/>
      </w:r>
      <w:bookmarkStart w:id="446" w:name="_Toc535938755"/>
      <w:bookmarkEnd w:id="446"/>
      <w:bookmarkStart w:id="447" w:name="_Toc529196604"/>
      <w:bookmarkEnd w:id="447"/>
      <w:bookmarkStart w:id="448" w:name="_Toc530470647"/>
      <w:bookmarkEnd w:id="448"/>
      <w:r>
        <w:rPr>
          <w:rFonts w:hint="eastAsia" w:ascii="宋体" w:hAnsi="宋体"/>
          <w:b/>
          <w:color w:val="000000" w:themeColor="text1"/>
          <w:sz w:val="32"/>
          <w:szCs w:val="32"/>
          <w14:textFill>
            <w14:solidFill>
              <w14:schemeClr w14:val="tx1"/>
            </w14:solidFill>
          </w14:textFill>
        </w:rPr>
        <w:t>授权委托书</w:t>
      </w:r>
    </w:p>
    <w:p w14:paraId="7FDE9E20">
      <w:pPr>
        <w:pStyle w:val="8"/>
        <w:spacing w:line="360" w:lineRule="auto"/>
        <w:ind w:firstLine="643"/>
        <w:jc w:val="center"/>
        <w:rPr>
          <w:rFonts w:ascii="宋体" w:hAnsi="宋体"/>
          <w:b/>
          <w:sz w:val="32"/>
          <w:szCs w:val="32"/>
        </w:rPr>
      </w:pPr>
    </w:p>
    <w:p w14:paraId="1A653547">
      <w:pPr>
        <w:topLinePunct/>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（投标人名称）的法定代表人，现委托</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（姓名）为我方代理人。代理人根据授权，以我方名义签署、澄清确认、递交、撤回、修改招标项目投标文件、签订合同和处理有关事宜，其法律后果由我方承担。</w:t>
      </w:r>
    </w:p>
    <w:p w14:paraId="37B99DD0">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14:paraId="66E8172B">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代理人无转委托权。</w:t>
      </w:r>
    </w:p>
    <w:p w14:paraId="70CDA7F5">
      <w:pPr>
        <w:spacing w:line="440" w:lineRule="exact"/>
        <w:ind w:firstLine="480" w:firstLineChars="200"/>
        <w:rPr>
          <w:rFonts w:ascii="宋体" w:hAnsi="宋体"/>
          <w:color w:val="000000" w:themeColor="text1"/>
          <w:sz w:val="24"/>
          <w:szCs w:val="24"/>
          <w14:textFill>
            <w14:solidFill>
              <w14:schemeClr w14:val="tx1"/>
            </w14:solidFill>
          </w14:textFill>
        </w:rPr>
      </w:pPr>
    </w:p>
    <w:p w14:paraId="1CB14BF4">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附：法定代表人身份证扫描件及委托代理人身份证扫描件</w:t>
      </w:r>
    </w:p>
    <w:p w14:paraId="58BBA37C">
      <w:pPr>
        <w:spacing w:line="440" w:lineRule="exact"/>
        <w:rPr>
          <w:rFonts w:ascii="宋体" w:hAnsi="宋体"/>
          <w:color w:val="000000" w:themeColor="text1"/>
          <w:sz w:val="24"/>
          <w:szCs w:val="24"/>
          <w14:textFill>
            <w14:solidFill>
              <w14:schemeClr w14:val="tx1"/>
            </w14:solidFill>
          </w14:textFill>
        </w:rPr>
      </w:pPr>
    </w:p>
    <w:p w14:paraId="317BAFB4">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注：本授权委托书需由投标人加盖单位公章并由其法定代表人和委托代理人签字。</w:t>
      </w:r>
    </w:p>
    <w:p w14:paraId="71105631">
      <w:pPr>
        <w:spacing w:line="440" w:lineRule="exact"/>
        <w:rPr>
          <w:rFonts w:ascii="宋体" w:hAnsi="宋体"/>
          <w:color w:val="000000" w:themeColor="text1"/>
          <w:sz w:val="24"/>
          <w:szCs w:val="24"/>
          <w14:textFill>
            <w14:solidFill>
              <w14:schemeClr w14:val="tx1"/>
            </w14:solidFill>
          </w14:textFill>
        </w:rPr>
      </w:pPr>
    </w:p>
    <w:p w14:paraId="1AC792C9">
      <w:pPr>
        <w:spacing w:line="440" w:lineRule="exact"/>
        <w:ind w:firstLine="3076" w:firstLineChars="12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标</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人：</w:t>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（盖单位章）</w:t>
      </w:r>
    </w:p>
    <w:p w14:paraId="7556DB98">
      <w:pPr>
        <w:spacing w:line="440" w:lineRule="exact"/>
        <w:ind w:firstLine="3076" w:firstLineChars="1282"/>
        <w:rPr>
          <w:rFonts w:ascii="宋体" w:hAnsi="宋体"/>
          <w:color w:val="000000" w:themeColor="text1"/>
          <w:sz w:val="24"/>
          <w:szCs w:val="24"/>
          <w14:textFill>
            <w14:solidFill>
              <w14:schemeClr w14:val="tx1"/>
            </w14:solidFill>
          </w14:textFill>
        </w:rPr>
      </w:pPr>
    </w:p>
    <w:p w14:paraId="2033475D">
      <w:pPr>
        <w:spacing w:line="440" w:lineRule="exact"/>
        <w:ind w:firstLine="3074" w:firstLineChars="12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（签字或署印）</w:t>
      </w:r>
    </w:p>
    <w:p w14:paraId="6A45790C">
      <w:pPr>
        <w:spacing w:line="440" w:lineRule="exact"/>
        <w:ind w:firstLine="3076" w:firstLineChars="1282"/>
        <w:rPr>
          <w:rFonts w:ascii="宋体" w:hAnsi="宋体"/>
          <w:color w:val="000000" w:themeColor="text1"/>
          <w:sz w:val="24"/>
          <w:szCs w:val="24"/>
          <w14:textFill>
            <w14:solidFill>
              <w14:schemeClr w14:val="tx1"/>
            </w14:solidFill>
          </w14:textFill>
        </w:rPr>
      </w:pPr>
    </w:p>
    <w:p w14:paraId="0641BF65">
      <w:pPr>
        <w:spacing w:line="440" w:lineRule="exact"/>
        <w:ind w:firstLine="3076" w:firstLineChars="12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身份证号码：</w:t>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ab/>
      </w:r>
    </w:p>
    <w:p w14:paraId="235826BD">
      <w:pPr>
        <w:spacing w:line="440" w:lineRule="exact"/>
        <w:ind w:firstLine="3076" w:firstLineChars="1282"/>
        <w:rPr>
          <w:rFonts w:ascii="宋体" w:hAnsi="宋体"/>
          <w:color w:val="000000" w:themeColor="text1"/>
          <w:sz w:val="24"/>
          <w:szCs w:val="24"/>
          <w14:textFill>
            <w14:solidFill>
              <w14:schemeClr w14:val="tx1"/>
            </w14:solidFill>
          </w14:textFill>
        </w:rPr>
      </w:pPr>
    </w:p>
    <w:p w14:paraId="07D2D81C">
      <w:pPr>
        <w:spacing w:line="440" w:lineRule="exact"/>
        <w:ind w:firstLine="3076" w:firstLineChars="128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委托代理人：</w:t>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（签字或署印）</w:t>
      </w:r>
    </w:p>
    <w:p w14:paraId="3EB96D88">
      <w:pPr>
        <w:spacing w:line="440" w:lineRule="exact"/>
        <w:ind w:firstLine="3076" w:firstLineChars="1282"/>
        <w:rPr>
          <w:rFonts w:ascii="宋体" w:hAnsi="宋体"/>
          <w:color w:val="000000" w:themeColor="text1"/>
          <w:sz w:val="24"/>
          <w:szCs w:val="24"/>
          <w14:textFill>
            <w14:solidFill>
              <w14:schemeClr w14:val="tx1"/>
            </w14:solidFill>
          </w14:textFill>
        </w:rPr>
      </w:pPr>
    </w:p>
    <w:p w14:paraId="6AABDF8F">
      <w:pPr>
        <w:spacing w:line="440" w:lineRule="exact"/>
        <w:ind w:firstLine="3076" w:firstLineChars="1282"/>
        <w:rPr>
          <w:rFonts w:ascii="宋体" w:hAnsi="宋体"/>
          <w:color w:val="000000" w:themeColor="text1"/>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身份证号码：</w:t>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ab/>
      </w:r>
    </w:p>
    <w:p w14:paraId="5EAC5307">
      <w:pPr>
        <w:spacing w:line="440" w:lineRule="exact"/>
        <w:ind w:firstLine="2692" w:firstLineChars="1282"/>
        <w:rPr>
          <w:rFonts w:ascii="宋体" w:hAnsi="宋体"/>
          <w:color w:val="000000" w:themeColor="text1"/>
          <w:szCs w:val="24"/>
          <w14:textFill>
            <w14:solidFill>
              <w14:schemeClr w14:val="tx1"/>
            </w14:solidFill>
          </w14:textFill>
        </w:rPr>
      </w:pPr>
    </w:p>
    <w:p w14:paraId="13FA2AD5">
      <w:pPr>
        <w:spacing w:line="440" w:lineRule="exact"/>
        <w:ind w:firstLine="4636" w:firstLineChars="1932"/>
        <w:jc w:val="right"/>
        <w:rPr>
          <w:rFonts w:ascii="宋体" w:hAnsi="宋体"/>
          <w:color w:val="000000" w:themeColor="text1"/>
          <w:szCs w:val="24"/>
          <w14:textFill>
            <w14:solidFill>
              <w14:schemeClr w14:val="tx1"/>
            </w14:solidFill>
          </w14:textFill>
        </w:rPr>
      </w:pPr>
      <w:r>
        <w:rPr>
          <w:rFonts w:ascii="宋体" w:hAnsi="宋体"/>
          <w:color w:val="000000" w:themeColor="text1"/>
          <w:sz w:val="24"/>
          <w:szCs w:val="24"/>
          <w:u w:val="single"/>
          <w14:textFill>
            <w14:solidFill>
              <w14:schemeClr w14:val="tx1"/>
            </w14:solidFill>
          </w14:textFill>
        </w:rPr>
        <w:tab/>
      </w:r>
      <w:r>
        <w:rPr>
          <w:rFonts w:hint="eastAsia" w:ascii="宋体" w:hAnsi="宋体"/>
          <w:color w:val="000000" w:themeColor="text1"/>
          <w14:textFill>
            <w14:solidFill>
              <w14:schemeClr w14:val="tx1"/>
            </w14:solidFill>
          </w14:textFill>
        </w:rPr>
        <w:t>年</w:t>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ab/>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14:paraId="7F49E772">
      <w:pPr>
        <w:rPr>
          <w:color w:val="000000" w:themeColor="text1"/>
          <w14:textFill>
            <w14:solidFill>
              <w14:schemeClr w14:val="tx1"/>
            </w14:solidFill>
          </w14:textFill>
        </w:rPr>
      </w:pPr>
    </w:p>
    <w:p w14:paraId="5140F7D9">
      <w:pPr>
        <w:pStyle w:val="6"/>
        <w:spacing w:line="600" w:lineRule="auto"/>
        <w:rPr>
          <w:rFonts w:ascii="宋体" w:hAnsi="宋体" w:eastAsia="宋体"/>
          <w:color w:val="000000" w:themeColor="text1"/>
          <w:sz w:val="30"/>
          <w:szCs w:val="30"/>
          <w14:textFill>
            <w14:solidFill>
              <w14:schemeClr w14:val="tx1"/>
            </w14:solidFill>
          </w14:textFill>
        </w:rPr>
      </w:pPr>
      <w:r>
        <w:rPr>
          <w:rFonts w:ascii="宋体" w:hAnsi="宋体"/>
          <w:b w:val="0"/>
          <w:bCs w:val="0"/>
          <w:color w:val="000000" w:themeColor="text1"/>
          <w14:textFill>
            <w14:solidFill>
              <w14:schemeClr w14:val="tx1"/>
            </w14:solidFill>
          </w14:textFill>
        </w:rPr>
        <w:br w:type="page"/>
      </w:r>
      <w:bookmarkStart w:id="449" w:name="_Toc535938756"/>
      <w:bookmarkStart w:id="450" w:name="_Toc529196605"/>
      <w:bookmarkStart w:id="451" w:name="_Toc530470648"/>
      <w:r>
        <w:rPr>
          <w:rFonts w:hint="eastAsia" w:ascii="宋体" w:hAnsi="宋体" w:eastAsia="宋体"/>
          <w:color w:val="000000" w:themeColor="text1"/>
          <w:sz w:val="30"/>
          <w:szCs w:val="30"/>
          <w14:textFill>
            <w14:solidFill>
              <w14:schemeClr w14:val="tx1"/>
            </w14:solidFill>
          </w14:textFill>
        </w:rPr>
        <w:t>三、投标保证金（格式可自定）</w:t>
      </w:r>
      <w:bookmarkEnd w:id="449"/>
      <w:bookmarkEnd w:id="450"/>
      <w:bookmarkEnd w:id="451"/>
    </w:p>
    <w:p w14:paraId="44712E5A">
      <w:pPr>
        <w:spacing w:line="1" w:lineRule="exact"/>
        <w:rPr>
          <w:rFonts w:ascii="宋体" w:hAnsi="宋体"/>
          <w:strike/>
          <w:color w:val="000000" w:themeColor="text1"/>
          <w14:textFill>
            <w14:solidFill>
              <w14:schemeClr w14:val="tx1"/>
            </w14:solidFill>
          </w14:textFill>
        </w:rPr>
      </w:pPr>
    </w:p>
    <w:p w14:paraId="450C0976">
      <w:pPr>
        <w:spacing w:line="44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）采用电汇方式递交，投标人应附</w:t>
      </w:r>
      <w:r>
        <w:rPr>
          <w:rFonts w:hint="eastAsia" w:ascii="Times New Roman" w:hAnsi="Times New Roman"/>
          <w:color w:val="000000" w:themeColor="text1"/>
          <w:szCs w:val="21"/>
          <w:lang w:eastAsia="zh-CN"/>
          <w14:textFill>
            <w14:solidFill>
              <w14:schemeClr w14:val="tx1"/>
            </w14:solidFill>
          </w14:textFill>
        </w:rPr>
        <w:t>广州交易集团有限公司（广州公共资源交易中心）</w:t>
      </w:r>
      <w:r>
        <w:rPr>
          <w:rFonts w:hint="eastAsia" w:ascii="Times New Roman" w:hAnsi="Times New Roman"/>
          <w:color w:val="000000" w:themeColor="text1"/>
          <w:szCs w:val="21"/>
          <w14:textFill>
            <w14:solidFill>
              <w14:schemeClr w14:val="tx1"/>
            </w14:solidFill>
          </w14:textFill>
        </w:rPr>
        <w:t>出具的关于收取本项目投标保证金的收款回执单。投标保证金到账情况以开标时</w:t>
      </w:r>
      <w:r>
        <w:rPr>
          <w:rFonts w:hint="eastAsia" w:ascii="Times New Roman" w:hAnsi="Times New Roman"/>
          <w:color w:val="000000" w:themeColor="text1"/>
          <w:szCs w:val="21"/>
          <w:lang w:eastAsia="zh-CN"/>
          <w14:textFill>
            <w14:solidFill>
              <w14:schemeClr w14:val="tx1"/>
            </w14:solidFill>
          </w14:textFill>
        </w:rPr>
        <w:t>广州交易集团有限公司（广州公共资源交易中心）</w:t>
      </w:r>
      <w:r>
        <w:rPr>
          <w:rFonts w:hint="eastAsia" w:ascii="Times New Roman" w:hAnsi="Times New Roman"/>
          <w:color w:val="000000" w:themeColor="text1"/>
          <w:szCs w:val="21"/>
          <w14:textFill>
            <w14:solidFill>
              <w14:schemeClr w14:val="tx1"/>
            </w14:solidFill>
          </w14:textFill>
        </w:rPr>
        <w:t>数据库查询的信息为准。</w:t>
      </w:r>
    </w:p>
    <w:p w14:paraId="79D3DABE">
      <w:pPr>
        <w:spacing w:line="44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）若采用投标保函或投标保证保险或专业担保公司担保形式递交，参考格式如下（开具保函的机构可根据实际情况调整保函内容）：</w:t>
      </w:r>
    </w:p>
    <w:p w14:paraId="4F7B93EC">
      <w:pPr>
        <w:spacing w:line="440" w:lineRule="exact"/>
        <w:rPr>
          <w:color w:val="000000" w:themeColor="text1"/>
          <w:szCs w:val="21"/>
          <w14:textFill>
            <w14:solidFill>
              <w14:schemeClr w14:val="tx1"/>
            </w14:solidFill>
          </w14:textFill>
        </w:rPr>
      </w:pPr>
    </w:p>
    <w:p w14:paraId="52E6A9F6">
      <w:pPr>
        <w:spacing w:line="440" w:lineRule="exact"/>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投标保函</w:t>
      </w:r>
    </w:p>
    <w:p w14:paraId="76132B6A">
      <w:pPr>
        <w:spacing w:line="440" w:lineRule="exact"/>
        <w:rPr>
          <w:color w:val="000000" w:themeColor="text1"/>
          <w:szCs w:val="21"/>
          <w14:textFill>
            <w14:solidFill>
              <w14:schemeClr w14:val="tx1"/>
            </w14:solidFill>
          </w14:textFill>
        </w:rPr>
      </w:pPr>
    </w:p>
    <w:p w14:paraId="587574AC">
      <w:pPr>
        <w:spacing w:line="440" w:lineRule="exact"/>
        <w:rPr>
          <w:color w:val="000000" w:themeColor="text1"/>
          <w14:textFill>
            <w14:solidFill>
              <w14:schemeClr w14:val="tx1"/>
            </w14:solidFill>
          </w14:textFill>
        </w:rPr>
      </w:pP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rFonts w:hint="eastAsia"/>
          <w:color w:val="000000" w:themeColor="text1"/>
          <w14:textFill>
            <w14:solidFill>
              <w14:schemeClr w14:val="tx1"/>
            </w14:solidFill>
          </w14:textFill>
        </w:rPr>
        <w:t>（招标人名称）</w:t>
      </w:r>
      <w:r>
        <w:rPr>
          <w:rFonts w:hint="eastAsia"/>
          <w:color w:val="000000" w:themeColor="text1"/>
          <w:szCs w:val="21"/>
          <w14:textFill>
            <w14:solidFill>
              <w14:schemeClr w14:val="tx1"/>
            </w14:solidFill>
          </w14:textFill>
        </w:rPr>
        <w:t>：</w:t>
      </w:r>
    </w:p>
    <w:p w14:paraId="2D09CB5E">
      <w:pPr>
        <w:spacing w:line="440" w:lineRule="exact"/>
        <w:rPr>
          <w:color w:val="000000" w:themeColor="text1"/>
          <w:szCs w:val="21"/>
          <w14:textFill>
            <w14:solidFill>
              <w14:schemeClr w14:val="tx1"/>
            </w14:solidFill>
          </w14:textFill>
        </w:rPr>
      </w:pPr>
    </w:p>
    <w:p w14:paraId="6BCBA9AA">
      <w:pPr>
        <w:spacing w:line="400" w:lineRule="exact"/>
        <w:ind w:firstLine="315" w:firstLineChars="15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鉴于</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（投标人名称）（以下</w:t>
      </w:r>
      <w:r>
        <w:rPr>
          <w:rFonts w:hint="eastAsia" w:ascii="Times New Roman" w:hAnsi="Times New Roman"/>
          <w:color w:val="000000" w:themeColor="text1"/>
          <w14:textFill>
            <w14:solidFill>
              <w14:schemeClr w14:val="tx1"/>
            </w14:solidFill>
          </w14:textFill>
        </w:rPr>
        <w:t>称“投标人”）于</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日参加</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（项目名称）的</w:t>
      </w:r>
      <w:r>
        <w:rPr>
          <w:rFonts w:hint="eastAsia" w:ascii="Times New Roman" w:hAnsi="Times New Roman"/>
          <w:color w:val="000000" w:themeColor="text1"/>
          <w:szCs w:val="21"/>
          <w14:textFill>
            <w14:solidFill>
              <w14:schemeClr w14:val="tx1"/>
            </w14:solidFill>
          </w14:textFill>
        </w:rPr>
        <w:t>投标，</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（担保人名称，以下简称“我方”）无条件地、不可撤销地保证：若</w:t>
      </w:r>
      <w:r>
        <w:rPr>
          <w:rFonts w:hint="eastAsia" w:ascii="Times New Roman" w:hAnsi="Times New Roman"/>
          <w:color w:val="000000" w:themeColor="text1"/>
          <w14:textFill>
            <w14:solidFill>
              <w14:schemeClr w14:val="tx1"/>
            </w14:solidFill>
          </w14:textFill>
        </w:rPr>
        <w:t>投标人在投标有效期内</w:t>
      </w:r>
      <w:r>
        <w:rPr>
          <w:rFonts w:hint="eastAsia" w:ascii="Times New Roman" w:hAnsi="Times New Roman"/>
          <w:color w:val="000000" w:themeColor="text1"/>
          <w:szCs w:val="21"/>
          <w14:textFill>
            <w14:solidFill>
              <w14:schemeClr w14:val="tx1"/>
            </w14:solidFill>
          </w14:textFill>
        </w:rPr>
        <w:t>撤销投标文件，中标后无正当理由不与招标人订立合同，在签订合同时向招标人提出附加条件，不按照招标文件要求提交履约保证金，或者</w:t>
      </w:r>
      <w:r>
        <w:rPr>
          <w:rFonts w:hint="eastAsia" w:ascii="Times New Roman" w:hAnsi="Times New Roman"/>
          <w:color w:val="000000" w:themeColor="text1"/>
          <w14:textFill>
            <w14:solidFill>
              <w14:schemeClr w14:val="tx1"/>
            </w14:solidFill>
          </w14:textFill>
        </w:rPr>
        <w:t>发生招标文件明确规定可以</w:t>
      </w:r>
      <w:r>
        <w:rPr>
          <w:rFonts w:hint="eastAsia" w:ascii="Times New Roman" w:hAnsi="Times New Roman"/>
          <w:color w:val="000000" w:themeColor="text1"/>
          <w:szCs w:val="21"/>
          <w14:textFill>
            <w14:solidFill>
              <w14:schemeClr w14:val="tx1"/>
            </w14:solidFill>
          </w14:textFill>
        </w:rPr>
        <w:t>不予退还</w:t>
      </w:r>
      <w:r>
        <w:rPr>
          <w:rFonts w:hint="eastAsia" w:ascii="Times New Roman" w:hAnsi="Times New Roman"/>
          <w:color w:val="000000" w:themeColor="text1"/>
          <w14:textFill>
            <w14:solidFill>
              <w14:schemeClr w14:val="tx1"/>
            </w14:solidFill>
          </w14:textFill>
        </w:rPr>
        <w:t>投标保证金的其他情形</w:t>
      </w:r>
      <w:r>
        <w:rPr>
          <w:rFonts w:hint="eastAsia" w:ascii="Times New Roman" w:hAnsi="Times New Roman"/>
          <w:color w:val="000000" w:themeColor="text1"/>
          <w:szCs w:val="21"/>
          <w14:textFill>
            <w14:solidFill>
              <w14:schemeClr w14:val="tx1"/>
            </w14:solidFill>
          </w14:textFill>
        </w:rPr>
        <w:t>，我方承担保证责任。收到你方书面通知后，我方在</w:t>
      </w:r>
      <w:r>
        <w:rPr>
          <w:rFonts w:ascii="Times New Roman" w:hAnsi="Times New Roman"/>
          <w:color w:val="000000" w:themeColor="text1"/>
          <w:szCs w:val="21"/>
          <w14:textFill>
            <w14:solidFill>
              <w14:schemeClr w14:val="tx1"/>
            </w14:solidFill>
          </w14:textFill>
        </w:rPr>
        <w:t>7</w:t>
      </w:r>
      <w:r>
        <w:rPr>
          <w:rFonts w:hint="eastAsia" w:ascii="Times New Roman" w:hAnsi="Times New Roman"/>
          <w:color w:val="000000" w:themeColor="text1"/>
          <w:szCs w:val="21"/>
          <w14:textFill>
            <w14:solidFill>
              <w14:schemeClr w14:val="tx1"/>
            </w14:solidFill>
          </w14:textFill>
        </w:rPr>
        <w:t>日内向你方无条件支付人民币（大写）</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w:t>
      </w:r>
    </w:p>
    <w:p w14:paraId="7F38DAC3">
      <w:pPr>
        <w:spacing w:line="44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本保函在投标有效期内保持有效。要求我方承担保证责任的通知应在投标有效期内送达我方。</w:t>
      </w:r>
    </w:p>
    <w:p w14:paraId="432D5C5B">
      <w:pPr>
        <w:spacing w:line="440" w:lineRule="exact"/>
        <w:rPr>
          <w:color w:val="000000" w:themeColor="text1"/>
          <w:szCs w:val="21"/>
          <w14:textFill>
            <w14:solidFill>
              <w14:schemeClr w14:val="tx1"/>
            </w14:solidFill>
          </w14:textFill>
        </w:rPr>
      </w:pPr>
    </w:p>
    <w:p w14:paraId="3E3CF017">
      <w:pPr>
        <w:spacing w:line="720" w:lineRule="auto"/>
        <w:ind w:right="-58" w:firstLine="3628" w:firstLineChars="172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担保人名称：</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rFonts w:hint="eastAsia"/>
          <w:color w:val="000000" w:themeColor="text1"/>
          <w:szCs w:val="21"/>
          <w14:textFill>
            <w14:solidFill>
              <w14:schemeClr w14:val="tx1"/>
            </w14:solidFill>
          </w14:textFill>
        </w:rPr>
        <w:t>（盖单位章）</w:t>
      </w:r>
    </w:p>
    <w:p w14:paraId="42D384D0">
      <w:pPr>
        <w:spacing w:line="720" w:lineRule="auto"/>
        <w:ind w:right="-58" w:firstLine="3628" w:firstLineChars="172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法定代表人或委托代理人：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（签字或署印）</w:t>
      </w:r>
    </w:p>
    <w:p w14:paraId="479AECF7">
      <w:pPr>
        <w:spacing w:line="440" w:lineRule="exact"/>
        <w:ind w:right="-58" w:firstLine="3628" w:firstLineChars="172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址：</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1D818B8F">
      <w:pPr>
        <w:spacing w:line="440" w:lineRule="exact"/>
        <w:ind w:right="84" w:firstLine="3628" w:firstLineChars="1728"/>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邮政编码：</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0DD3BFE6">
      <w:pPr>
        <w:spacing w:line="440" w:lineRule="exact"/>
        <w:ind w:right="84" w:firstLine="3628" w:firstLineChars="1728"/>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电</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话：</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0F7590F5">
      <w:pPr>
        <w:spacing w:line="440" w:lineRule="exact"/>
        <w:ind w:right="84" w:firstLine="3628" w:firstLineChars="1728"/>
        <w:rPr>
          <w:rFonts w:ascii="宋体" w:hAnsi="宋体"/>
          <w:strike/>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368D29B9">
      <w:pPr>
        <w:pStyle w:val="6"/>
        <w:spacing w:line="600" w:lineRule="auto"/>
        <w:rPr>
          <w:rFonts w:ascii="宋体" w:hAnsi="宋体" w:eastAsia="宋体"/>
          <w:color w:val="000000" w:themeColor="text1"/>
          <w:sz w:val="30"/>
          <w:szCs w:val="30"/>
          <w14:textFill>
            <w14:solidFill>
              <w14:schemeClr w14:val="tx1"/>
            </w14:solidFill>
          </w14:textFill>
        </w:rPr>
      </w:pPr>
      <w:r>
        <w:rPr>
          <w:rFonts w:ascii="宋体" w:hAnsi="宋体"/>
          <w:strike/>
          <w:color w:val="000000" w:themeColor="text1"/>
          <w14:textFill>
            <w14:solidFill>
              <w14:schemeClr w14:val="tx1"/>
            </w14:solidFill>
          </w14:textFill>
        </w:rPr>
        <w:br w:type="page"/>
      </w:r>
      <w:bookmarkStart w:id="452" w:name="_Toc361508760"/>
      <w:r>
        <w:rPr>
          <w:rFonts w:hint="eastAsia" w:ascii="宋体" w:hAnsi="宋体" w:eastAsia="宋体"/>
          <w:bCs w:val="0"/>
          <w:color w:val="000000" w:themeColor="text1"/>
          <w:sz w:val="30"/>
          <w:szCs w:val="30"/>
          <w:lang w:val="en-US" w:eastAsia="zh-CN"/>
          <w14:textFill>
            <w14:solidFill>
              <w14:schemeClr w14:val="tx1"/>
            </w14:solidFill>
          </w14:textFill>
        </w:rPr>
        <w:t>四</w:t>
      </w:r>
      <w:r>
        <w:rPr>
          <w:rFonts w:hint="eastAsia" w:ascii="宋体" w:hAnsi="宋体" w:eastAsia="宋体"/>
          <w:color w:val="000000" w:themeColor="text1"/>
          <w:sz w:val="30"/>
          <w:szCs w:val="30"/>
          <w14:textFill>
            <w14:solidFill>
              <w14:schemeClr w14:val="tx1"/>
            </w14:solidFill>
          </w14:textFill>
        </w:rPr>
        <w:t>、</w:t>
      </w:r>
      <w:bookmarkStart w:id="453" w:name="_Hlk22686998"/>
      <w:r>
        <w:rPr>
          <w:rFonts w:hint="eastAsia" w:ascii="宋体" w:hAnsi="宋体" w:eastAsia="宋体"/>
          <w:color w:val="000000" w:themeColor="text1"/>
          <w:sz w:val="30"/>
          <w:szCs w:val="30"/>
          <w14:textFill>
            <w14:solidFill>
              <w14:schemeClr w14:val="tx1"/>
            </w14:solidFill>
          </w14:textFill>
        </w:rPr>
        <w:t>资格审查资料</w:t>
      </w:r>
      <w:bookmarkEnd w:id="453"/>
    </w:p>
    <w:p w14:paraId="60865C05">
      <w:pPr>
        <w:spacing w:before="20" w:line="412" w:lineRule="auto"/>
        <w:ind w:firstLine="137"/>
        <w:outlineLvl w:val="2"/>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（一）基本情况表（格式可自定）</w:t>
      </w:r>
    </w:p>
    <w:tbl>
      <w:tblPr>
        <w:tblStyle w:val="23"/>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1368"/>
        <w:gridCol w:w="1148"/>
        <w:gridCol w:w="1270"/>
      </w:tblGrid>
      <w:tr w14:paraId="76FD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1D852667">
            <w:pPr>
              <w:topLinePunct/>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投标人名称</w:t>
            </w:r>
          </w:p>
        </w:tc>
        <w:tc>
          <w:tcPr>
            <w:tcW w:w="6994" w:type="dxa"/>
            <w:gridSpan w:val="6"/>
            <w:tcBorders>
              <w:top w:val="single" w:color="auto" w:sz="4" w:space="0"/>
              <w:left w:val="single" w:color="auto" w:sz="4" w:space="0"/>
              <w:bottom w:val="single" w:color="auto" w:sz="4" w:space="0"/>
              <w:right w:val="single" w:color="auto" w:sz="4" w:space="0"/>
            </w:tcBorders>
            <w:noWrap/>
            <w:vAlign w:val="center"/>
          </w:tcPr>
          <w:p w14:paraId="181EF731">
            <w:pPr>
              <w:topLinePunct/>
              <w:spacing w:line="440" w:lineRule="exact"/>
              <w:jc w:val="center"/>
              <w:rPr>
                <w:rFonts w:ascii="宋体" w:hAnsi="宋体"/>
                <w:color w:val="000000" w:themeColor="text1"/>
                <w:sz w:val="24"/>
                <w:szCs w:val="24"/>
                <w14:textFill>
                  <w14:solidFill>
                    <w14:schemeClr w14:val="tx1"/>
                  </w14:solidFill>
                </w14:textFill>
              </w:rPr>
            </w:pPr>
          </w:p>
        </w:tc>
      </w:tr>
      <w:tr w14:paraId="355E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0EE807F">
            <w:pPr>
              <w:topLinePunct/>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注册地址</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58C4292E">
            <w:pPr>
              <w:topLinePunct/>
              <w:spacing w:line="440" w:lineRule="exact"/>
              <w:jc w:val="center"/>
              <w:rPr>
                <w:rFonts w:ascii="宋体" w:hAnsi="宋体"/>
                <w:color w:val="000000" w:themeColor="text1"/>
                <w:sz w:val="24"/>
                <w:szCs w:val="24"/>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786CA785">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邮政编码</w:t>
            </w:r>
          </w:p>
        </w:tc>
        <w:tc>
          <w:tcPr>
            <w:tcW w:w="2418" w:type="dxa"/>
            <w:gridSpan w:val="2"/>
            <w:tcBorders>
              <w:top w:val="single" w:color="auto" w:sz="4" w:space="0"/>
              <w:left w:val="single" w:color="auto" w:sz="4" w:space="0"/>
              <w:bottom w:val="single" w:color="auto" w:sz="4" w:space="0"/>
              <w:right w:val="single" w:color="auto" w:sz="4" w:space="0"/>
            </w:tcBorders>
            <w:noWrap/>
            <w:vAlign w:val="center"/>
          </w:tcPr>
          <w:p w14:paraId="7B638E80">
            <w:pPr>
              <w:topLinePunct/>
              <w:spacing w:line="440" w:lineRule="exact"/>
              <w:jc w:val="center"/>
              <w:rPr>
                <w:rFonts w:ascii="宋体" w:hAnsi="宋体"/>
                <w:color w:val="000000" w:themeColor="text1"/>
                <w:sz w:val="24"/>
                <w:szCs w:val="24"/>
                <w14:textFill>
                  <w14:solidFill>
                    <w14:schemeClr w14:val="tx1"/>
                  </w14:solidFill>
                </w14:textFill>
              </w:rPr>
            </w:pPr>
          </w:p>
        </w:tc>
      </w:tr>
      <w:tr w14:paraId="61A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tcBorders>
              <w:top w:val="single" w:color="auto" w:sz="4" w:space="0"/>
              <w:left w:val="single" w:color="auto" w:sz="4" w:space="0"/>
              <w:bottom w:val="single" w:color="auto" w:sz="4" w:space="0"/>
              <w:right w:val="single" w:color="auto" w:sz="4" w:space="0"/>
            </w:tcBorders>
            <w:noWrap/>
            <w:vAlign w:val="center"/>
          </w:tcPr>
          <w:p w14:paraId="102B7973">
            <w:pPr>
              <w:topLinePunct/>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联系方式</w:t>
            </w:r>
          </w:p>
        </w:tc>
        <w:tc>
          <w:tcPr>
            <w:tcW w:w="991" w:type="dxa"/>
            <w:tcBorders>
              <w:top w:val="single" w:color="auto" w:sz="4" w:space="0"/>
              <w:left w:val="single" w:color="auto" w:sz="4" w:space="0"/>
              <w:bottom w:val="single" w:color="auto" w:sz="4" w:space="0"/>
              <w:right w:val="single" w:color="auto" w:sz="4" w:space="0"/>
            </w:tcBorders>
            <w:noWrap/>
            <w:vAlign w:val="center"/>
          </w:tcPr>
          <w:p w14:paraId="6EDEF542">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7A73E5ED">
            <w:pPr>
              <w:topLinePunct/>
              <w:spacing w:line="440" w:lineRule="exact"/>
              <w:jc w:val="center"/>
              <w:rPr>
                <w:rFonts w:ascii="宋体" w:hAnsi="宋体"/>
                <w:color w:val="000000" w:themeColor="text1"/>
                <w:sz w:val="24"/>
                <w:szCs w:val="24"/>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4B48A62A">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话</w:t>
            </w:r>
          </w:p>
        </w:tc>
        <w:tc>
          <w:tcPr>
            <w:tcW w:w="2418" w:type="dxa"/>
            <w:gridSpan w:val="2"/>
            <w:tcBorders>
              <w:top w:val="single" w:color="auto" w:sz="4" w:space="0"/>
              <w:left w:val="single" w:color="auto" w:sz="4" w:space="0"/>
              <w:bottom w:val="single" w:color="auto" w:sz="4" w:space="0"/>
              <w:right w:val="single" w:color="auto" w:sz="4" w:space="0"/>
            </w:tcBorders>
            <w:noWrap/>
            <w:vAlign w:val="center"/>
          </w:tcPr>
          <w:p w14:paraId="3D1B76D8">
            <w:pPr>
              <w:topLinePunct/>
              <w:spacing w:line="440" w:lineRule="exact"/>
              <w:jc w:val="center"/>
              <w:rPr>
                <w:rFonts w:ascii="宋体" w:hAnsi="宋体"/>
                <w:color w:val="000000" w:themeColor="text1"/>
                <w:sz w:val="24"/>
                <w:szCs w:val="24"/>
                <w14:textFill>
                  <w14:solidFill>
                    <w14:schemeClr w14:val="tx1"/>
                  </w14:solidFill>
                </w14:textFill>
              </w:rPr>
            </w:pPr>
          </w:p>
        </w:tc>
      </w:tr>
      <w:tr w14:paraId="12DD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tcBorders>
              <w:top w:val="single" w:color="auto" w:sz="4" w:space="0"/>
              <w:left w:val="single" w:color="auto" w:sz="4" w:space="0"/>
              <w:bottom w:val="single" w:color="auto" w:sz="4" w:space="0"/>
              <w:right w:val="single" w:color="auto" w:sz="4" w:space="0"/>
            </w:tcBorders>
            <w:noWrap/>
            <w:vAlign w:val="center"/>
          </w:tcPr>
          <w:p w14:paraId="7AC30F08">
            <w:pPr>
              <w:widowControl/>
              <w:jc w:val="left"/>
              <w:rPr>
                <w:rFonts w:ascii="宋体" w:hAnsi="宋体"/>
                <w:color w:val="000000" w:themeColor="text1"/>
                <w:sz w:val="24"/>
                <w:szCs w:val="24"/>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824AD3B">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真</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221665B6">
            <w:pPr>
              <w:topLinePunct/>
              <w:spacing w:line="440" w:lineRule="exact"/>
              <w:jc w:val="center"/>
              <w:rPr>
                <w:rFonts w:ascii="宋体" w:hAnsi="宋体"/>
                <w:color w:val="000000" w:themeColor="text1"/>
                <w:sz w:val="24"/>
                <w:szCs w:val="24"/>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5048B036">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网</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址</w:t>
            </w:r>
          </w:p>
        </w:tc>
        <w:tc>
          <w:tcPr>
            <w:tcW w:w="2418" w:type="dxa"/>
            <w:gridSpan w:val="2"/>
            <w:tcBorders>
              <w:top w:val="single" w:color="auto" w:sz="4" w:space="0"/>
              <w:left w:val="single" w:color="auto" w:sz="4" w:space="0"/>
              <w:bottom w:val="single" w:color="auto" w:sz="4" w:space="0"/>
              <w:right w:val="single" w:color="auto" w:sz="4" w:space="0"/>
            </w:tcBorders>
            <w:noWrap/>
            <w:vAlign w:val="center"/>
          </w:tcPr>
          <w:p w14:paraId="0F9CF132">
            <w:pPr>
              <w:topLinePunct/>
              <w:spacing w:line="440" w:lineRule="exact"/>
              <w:jc w:val="center"/>
              <w:rPr>
                <w:rFonts w:ascii="宋体" w:hAnsi="宋体"/>
                <w:color w:val="000000" w:themeColor="text1"/>
                <w:sz w:val="24"/>
                <w:szCs w:val="24"/>
                <w14:textFill>
                  <w14:solidFill>
                    <w14:schemeClr w14:val="tx1"/>
                  </w14:solidFill>
                </w14:textFill>
              </w:rPr>
            </w:pPr>
          </w:p>
        </w:tc>
      </w:tr>
      <w:tr w14:paraId="32B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5F82CFC6">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tc>
        <w:tc>
          <w:tcPr>
            <w:tcW w:w="991" w:type="dxa"/>
            <w:tcBorders>
              <w:top w:val="single" w:color="auto" w:sz="4" w:space="0"/>
              <w:left w:val="single" w:color="auto" w:sz="4" w:space="0"/>
              <w:bottom w:val="single" w:color="auto" w:sz="4" w:space="0"/>
              <w:right w:val="single" w:color="auto" w:sz="4" w:space="0"/>
            </w:tcBorders>
            <w:noWrap/>
            <w:vAlign w:val="center"/>
          </w:tcPr>
          <w:p w14:paraId="3869D578">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4F2F1DB5">
            <w:pPr>
              <w:topLinePunct/>
              <w:spacing w:line="440" w:lineRule="exact"/>
              <w:jc w:val="center"/>
              <w:rPr>
                <w:rFonts w:ascii="宋体" w:hAnsi="宋体"/>
                <w:color w:val="000000" w:themeColor="text1"/>
                <w:sz w:val="24"/>
                <w:szCs w:val="24"/>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5D937CAC">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技术职称</w:t>
            </w:r>
          </w:p>
        </w:tc>
        <w:tc>
          <w:tcPr>
            <w:tcW w:w="1368" w:type="dxa"/>
            <w:tcBorders>
              <w:top w:val="single" w:color="auto" w:sz="4" w:space="0"/>
              <w:left w:val="single" w:color="auto" w:sz="4" w:space="0"/>
              <w:bottom w:val="single" w:color="auto" w:sz="4" w:space="0"/>
              <w:right w:val="single" w:color="auto" w:sz="4" w:space="0"/>
            </w:tcBorders>
            <w:noWrap/>
            <w:vAlign w:val="center"/>
          </w:tcPr>
          <w:p w14:paraId="7E22BD1B">
            <w:pPr>
              <w:topLinePunct/>
              <w:spacing w:line="440" w:lineRule="exact"/>
              <w:jc w:val="center"/>
              <w:rPr>
                <w:rFonts w:ascii="宋体" w:hAnsi="宋体"/>
                <w:color w:val="000000" w:themeColor="text1"/>
                <w:sz w:val="24"/>
                <w:szCs w:val="24"/>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15BDA0DC">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26D0C8B4">
            <w:pPr>
              <w:topLinePunct/>
              <w:spacing w:line="440" w:lineRule="exact"/>
              <w:jc w:val="center"/>
              <w:rPr>
                <w:rFonts w:ascii="宋体" w:hAnsi="宋体"/>
                <w:color w:val="000000" w:themeColor="text1"/>
                <w:sz w:val="24"/>
                <w:szCs w:val="24"/>
                <w14:textFill>
                  <w14:solidFill>
                    <w14:schemeClr w14:val="tx1"/>
                  </w14:solidFill>
                </w14:textFill>
              </w:rPr>
            </w:pPr>
          </w:p>
        </w:tc>
      </w:tr>
      <w:tr w14:paraId="24B2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321A9E6">
            <w:pPr>
              <w:topLinePunct/>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技术负责人</w:t>
            </w:r>
          </w:p>
        </w:tc>
        <w:tc>
          <w:tcPr>
            <w:tcW w:w="991" w:type="dxa"/>
            <w:tcBorders>
              <w:top w:val="single" w:color="auto" w:sz="4" w:space="0"/>
              <w:left w:val="single" w:color="auto" w:sz="4" w:space="0"/>
              <w:bottom w:val="single" w:color="auto" w:sz="4" w:space="0"/>
              <w:right w:val="single" w:color="auto" w:sz="4" w:space="0"/>
            </w:tcBorders>
            <w:noWrap/>
            <w:vAlign w:val="center"/>
          </w:tcPr>
          <w:p w14:paraId="13C21DB1">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18F9C1CE">
            <w:pPr>
              <w:topLinePunct/>
              <w:spacing w:line="440" w:lineRule="exact"/>
              <w:jc w:val="center"/>
              <w:rPr>
                <w:rFonts w:ascii="宋体" w:hAnsi="宋体"/>
                <w:color w:val="000000" w:themeColor="text1"/>
                <w:sz w:val="24"/>
                <w:szCs w:val="24"/>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408CBFA5">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技术职称</w:t>
            </w:r>
          </w:p>
        </w:tc>
        <w:tc>
          <w:tcPr>
            <w:tcW w:w="1368" w:type="dxa"/>
            <w:tcBorders>
              <w:top w:val="single" w:color="auto" w:sz="4" w:space="0"/>
              <w:left w:val="single" w:color="auto" w:sz="4" w:space="0"/>
              <w:bottom w:val="single" w:color="auto" w:sz="4" w:space="0"/>
              <w:right w:val="single" w:color="auto" w:sz="4" w:space="0"/>
            </w:tcBorders>
            <w:noWrap/>
            <w:vAlign w:val="center"/>
          </w:tcPr>
          <w:p w14:paraId="72A1058A">
            <w:pPr>
              <w:topLinePunct/>
              <w:spacing w:line="440" w:lineRule="exact"/>
              <w:jc w:val="center"/>
              <w:rPr>
                <w:rFonts w:ascii="宋体" w:hAnsi="宋体"/>
                <w:color w:val="000000" w:themeColor="text1"/>
                <w:sz w:val="24"/>
                <w:szCs w:val="24"/>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265E6EDA">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0FCF7472">
            <w:pPr>
              <w:topLinePunct/>
              <w:spacing w:line="440" w:lineRule="exact"/>
              <w:jc w:val="center"/>
              <w:rPr>
                <w:rFonts w:ascii="宋体" w:hAnsi="宋体"/>
                <w:color w:val="000000" w:themeColor="text1"/>
                <w:sz w:val="24"/>
                <w:szCs w:val="24"/>
                <w14:textFill>
                  <w14:solidFill>
                    <w14:schemeClr w14:val="tx1"/>
                  </w14:solidFill>
                </w14:textFill>
              </w:rPr>
            </w:pPr>
          </w:p>
        </w:tc>
      </w:tr>
      <w:tr w14:paraId="798E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E14658F">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企业监理资质证书</w:t>
            </w:r>
          </w:p>
        </w:tc>
        <w:tc>
          <w:tcPr>
            <w:tcW w:w="6994" w:type="dxa"/>
            <w:gridSpan w:val="6"/>
            <w:tcBorders>
              <w:top w:val="single" w:color="auto" w:sz="4" w:space="0"/>
              <w:left w:val="single" w:color="auto" w:sz="4" w:space="0"/>
              <w:bottom w:val="single" w:color="auto" w:sz="4" w:space="0"/>
              <w:right w:val="single" w:color="auto" w:sz="4" w:space="0"/>
            </w:tcBorders>
            <w:noWrap/>
            <w:vAlign w:val="center"/>
          </w:tcPr>
          <w:p w14:paraId="6F8918EE">
            <w:pPr>
              <w:topLinePunct/>
              <w:spacing w:before="100" w:beforeAutospacing="1" w:after="100" w:afterAutospacing="1" w:line="440" w:lineRule="exact"/>
              <w:ind w:firstLine="120" w:firstLine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类型：</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等级：</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证书号：</w:t>
            </w:r>
          </w:p>
        </w:tc>
      </w:tr>
      <w:tr w14:paraId="4352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64C278A5">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质量管理体系证书（如有）</w:t>
            </w:r>
          </w:p>
        </w:tc>
        <w:tc>
          <w:tcPr>
            <w:tcW w:w="6994" w:type="dxa"/>
            <w:gridSpan w:val="6"/>
            <w:tcBorders>
              <w:top w:val="single" w:color="auto" w:sz="4" w:space="0"/>
              <w:left w:val="single" w:color="auto" w:sz="4" w:space="0"/>
              <w:bottom w:val="single" w:color="auto" w:sz="4" w:space="0"/>
              <w:right w:val="single" w:color="auto" w:sz="4" w:space="0"/>
            </w:tcBorders>
            <w:noWrap/>
            <w:vAlign w:val="center"/>
          </w:tcPr>
          <w:p w14:paraId="139B2E7B">
            <w:pPr>
              <w:topLinePunct/>
              <w:spacing w:before="100" w:beforeAutospacing="1" w:after="100" w:afterAutospacing="1" w:line="440" w:lineRule="exact"/>
              <w:ind w:firstLine="120" w:firstLine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类型：</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等级：</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证书号：</w:t>
            </w:r>
          </w:p>
        </w:tc>
      </w:tr>
      <w:tr w14:paraId="1C3E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5E1B78F8">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投标人关联企业情况（包括但不限于与投标人法定代表人为同一人或者存在控股、管理关系的不同单位）</w:t>
            </w:r>
          </w:p>
        </w:tc>
        <w:tc>
          <w:tcPr>
            <w:tcW w:w="6994" w:type="dxa"/>
            <w:gridSpan w:val="6"/>
            <w:tcBorders>
              <w:top w:val="single" w:color="auto" w:sz="4" w:space="0"/>
              <w:left w:val="single" w:color="auto" w:sz="4" w:space="0"/>
              <w:bottom w:val="single" w:color="auto" w:sz="4" w:space="0"/>
              <w:right w:val="single" w:color="auto" w:sz="4" w:space="0"/>
            </w:tcBorders>
            <w:noWrap/>
            <w:vAlign w:val="center"/>
          </w:tcPr>
          <w:p w14:paraId="5EFC9DCE">
            <w:pPr>
              <w:topLinePunct/>
              <w:spacing w:line="440" w:lineRule="exact"/>
              <w:jc w:val="center"/>
              <w:rPr>
                <w:rFonts w:ascii="宋体" w:hAnsi="宋体"/>
                <w:color w:val="000000" w:themeColor="text1"/>
                <w:sz w:val="24"/>
                <w:szCs w:val="24"/>
                <w14:textFill>
                  <w14:solidFill>
                    <w14:schemeClr w14:val="tx1"/>
                  </w14:solidFill>
                </w14:textFill>
              </w:rPr>
            </w:pPr>
          </w:p>
        </w:tc>
      </w:tr>
      <w:tr w14:paraId="5261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07BC5CB">
            <w:pPr>
              <w:topLinePunct/>
              <w:spacing w:before="100" w:beforeAutospacing="1" w:after="100" w:afterAutospacing="1"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tc>
        <w:tc>
          <w:tcPr>
            <w:tcW w:w="6994" w:type="dxa"/>
            <w:gridSpan w:val="6"/>
            <w:tcBorders>
              <w:top w:val="single" w:color="auto" w:sz="4" w:space="0"/>
              <w:left w:val="single" w:color="auto" w:sz="4" w:space="0"/>
              <w:bottom w:val="single" w:color="auto" w:sz="4" w:space="0"/>
              <w:right w:val="single" w:color="auto" w:sz="4" w:space="0"/>
            </w:tcBorders>
            <w:noWrap/>
            <w:vAlign w:val="center"/>
          </w:tcPr>
          <w:p w14:paraId="175FD457">
            <w:pPr>
              <w:topLinePunct/>
              <w:spacing w:line="440" w:lineRule="exact"/>
              <w:jc w:val="center"/>
              <w:rPr>
                <w:rFonts w:ascii="宋体" w:hAnsi="宋体"/>
                <w:color w:val="000000" w:themeColor="text1"/>
                <w:sz w:val="24"/>
                <w:szCs w:val="24"/>
                <w14:textFill>
                  <w14:solidFill>
                    <w14:schemeClr w14:val="tx1"/>
                  </w14:solidFill>
                </w14:textFill>
              </w:rPr>
            </w:pPr>
          </w:p>
        </w:tc>
      </w:tr>
    </w:tbl>
    <w:p w14:paraId="0D2A5DEE">
      <w:pPr>
        <w:spacing w:line="4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注：本表后附招标公告资格要求证明材料。</w:t>
      </w:r>
    </w:p>
    <w:p w14:paraId="2D623673">
      <w:pPr>
        <w:rPr>
          <w:rFonts w:ascii="宋体" w:hAnsi="宋体"/>
          <w:color w:val="000000" w:themeColor="text1"/>
          <w14:textFill>
            <w14:solidFill>
              <w14:schemeClr w14:val="tx1"/>
            </w14:solidFill>
          </w14:textFill>
        </w:rPr>
      </w:pPr>
    </w:p>
    <w:p w14:paraId="2BCF9C17">
      <w:pPr>
        <w:rPr>
          <w:rFonts w:ascii="宋体" w:hAnsi="宋体"/>
          <w:color w:val="000000" w:themeColor="text1"/>
          <w14:textFill>
            <w14:solidFill>
              <w14:schemeClr w14:val="tx1"/>
            </w14:solidFill>
          </w14:textFill>
        </w:rPr>
      </w:pPr>
    </w:p>
    <w:p w14:paraId="10D8A029">
      <w:pPr>
        <w:snapToGrid w:val="0"/>
        <w:spacing w:after="120" w:line="360" w:lineRule="auto"/>
        <w:jc w:val="center"/>
        <w:rPr>
          <w:rFonts w:hint="eastAsia" w:ascii="宋体" w:hAnsi="宋体" w:eastAsia="宋体" w:cs="宋体"/>
          <w:b/>
          <w:color w:val="auto"/>
          <w:sz w:val="32"/>
          <w:szCs w:val="32"/>
          <w:highlight w:val="none"/>
        </w:rPr>
      </w:pPr>
      <w:r>
        <w:rPr>
          <w:rFonts w:ascii="宋体" w:hAns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lang w:eastAsia="zh-CN"/>
          <w14:textFill>
            <w14:solidFill>
              <w14:schemeClr w14:val="tx1"/>
            </w14:solidFill>
          </w14:textFill>
        </w:rPr>
        <w:t>（</w:t>
      </w:r>
      <w:r>
        <w:rPr>
          <w:rFonts w:hint="eastAsia" w:ascii="宋体" w:hAnsi="宋体"/>
          <w:b/>
          <w:bCs/>
          <w:color w:val="000000" w:themeColor="text1"/>
          <w:sz w:val="32"/>
          <w:szCs w:val="32"/>
          <w:lang w:val="en-US" w:eastAsia="zh-CN"/>
          <w14:textFill>
            <w14:solidFill>
              <w14:schemeClr w14:val="tx1"/>
            </w14:solidFill>
          </w14:textFill>
        </w:rPr>
        <w:t>二</w:t>
      </w:r>
      <w:r>
        <w:rPr>
          <w:rFonts w:hint="eastAsia" w:ascii="宋体" w:hAnsi="宋体"/>
          <w:b/>
          <w:bCs/>
          <w:color w:val="000000" w:themeColor="text1"/>
          <w:sz w:val="32"/>
          <w:szCs w:val="32"/>
          <w:lang w:eastAsia="zh-CN"/>
          <w14:textFill>
            <w14:solidFill>
              <w14:schemeClr w14:val="tx1"/>
            </w14:solidFill>
          </w14:textFill>
        </w:rPr>
        <w:t>）</w:t>
      </w:r>
      <w:r>
        <w:rPr>
          <w:rFonts w:hint="eastAsia" w:ascii="宋体" w:hAnsi="宋体"/>
          <w:b/>
          <w:bCs/>
          <w:color w:val="000000" w:themeColor="text1"/>
          <w:sz w:val="32"/>
          <w:szCs w:val="32"/>
          <w:lang w:val="en-US" w:eastAsia="zh-CN"/>
          <w14:textFill>
            <w14:solidFill>
              <w14:schemeClr w14:val="tx1"/>
            </w14:solidFill>
          </w14:textFill>
        </w:rPr>
        <w:t>-（1）</w:t>
      </w:r>
      <w:r>
        <w:rPr>
          <w:rFonts w:hint="eastAsia" w:ascii="宋体" w:hAnsi="宋体" w:cs="宋体"/>
          <w:b/>
          <w:color w:val="auto"/>
          <w:sz w:val="32"/>
          <w:szCs w:val="32"/>
          <w:highlight w:val="none"/>
          <w:lang w:eastAsia="zh-CN"/>
        </w:rPr>
        <w:t>2020</w:t>
      </w:r>
      <w:r>
        <w:rPr>
          <w:rFonts w:hint="eastAsia" w:ascii="宋体" w:hAnsi="宋体" w:eastAsia="宋体" w:cs="宋体"/>
          <w:b/>
          <w:color w:val="auto"/>
          <w:sz w:val="32"/>
          <w:szCs w:val="32"/>
          <w:highlight w:val="none"/>
          <w:lang w:eastAsia="zh-CN"/>
        </w:rPr>
        <w:t>年1月1日</w:t>
      </w:r>
      <w:r>
        <w:rPr>
          <w:rFonts w:hint="eastAsia" w:ascii="宋体" w:hAnsi="宋体" w:cs="宋体"/>
          <w:b/>
          <w:color w:val="auto"/>
          <w:sz w:val="32"/>
          <w:szCs w:val="32"/>
          <w:highlight w:val="none"/>
          <w:lang w:eastAsia="zh-CN"/>
        </w:rPr>
        <w:t>至投标截止日</w:t>
      </w:r>
      <w:r>
        <w:rPr>
          <w:rFonts w:hint="eastAsia" w:ascii="宋体" w:hAnsi="宋体" w:eastAsia="宋体" w:cs="宋体"/>
          <w:b/>
          <w:color w:val="auto"/>
          <w:sz w:val="32"/>
          <w:szCs w:val="32"/>
          <w:highlight w:val="none"/>
        </w:rPr>
        <w:t>企业监理业绩一览表</w:t>
      </w:r>
    </w:p>
    <w:tbl>
      <w:tblPr>
        <w:tblStyle w:val="23"/>
        <w:tblW w:w="10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03"/>
        <w:gridCol w:w="2077"/>
        <w:gridCol w:w="1575"/>
        <w:gridCol w:w="1286"/>
        <w:gridCol w:w="1365"/>
        <w:gridCol w:w="1365"/>
        <w:gridCol w:w="876"/>
      </w:tblGrid>
      <w:tr w14:paraId="5914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7831EC0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03" w:type="dxa"/>
            <w:noWrap w:val="0"/>
            <w:vAlign w:val="center"/>
          </w:tcPr>
          <w:p w14:paraId="6049589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w:t>
            </w:r>
          </w:p>
          <w:p w14:paraId="064471A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2077" w:type="dxa"/>
            <w:noWrap w:val="0"/>
            <w:vAlign w:val="center"/>
          </w:tcPr>
          <w:p w14:paraId="0FE3792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w:t>
            </w:r>
          </w:p>
          <w:p w14:paraId="4F2F143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575" w:type="dxa"/>
            <w:noWrap w:val="0"/>
            <w:vAlign w:val="center"/>
          </w:tcPr>
          <w:p w14:paraId="137D168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建设地点</w:t>
            </w:r>
          </w:p>
        </w:tc>
        <w:tc>
          <w:tcPr>
            <w:tcW w:w="1286" w:type="dxa"/>
            <w:noWrap w:val="0"/>
            <w:vAlign w:val="center"/>
          </w:tcPr>
          <w:p w14:paraId="53C8BEBF">
            <w:pPr>
              <w:spacing w:line="360" w:lineRule="auto"/>
              <w:jc w:val="center"/>
              <w:rPr>
                <w:rFonts w:hint="eastAsia" w:ascii="宋体" w:hAnsi="宋体" w:eastAsia="宋体" w:cs="宋体"/>
                <w:color w:val="auto"/>
                <w:sz w:val="24"/>
                <w:highlight w:val="none"/>
              </w:rPr>
            </w:pPr>
          </w:p>
          <w:p w14:paraId="40E1591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项目投资额(万元)</w:t>
            </w:r>
          </w:p>
          <w:p w14:paraId="40DC6FF8">
            <w:pPr>
              <w:spacing w:line="360" w:lineRule="auto"/>
              <w:jc w:val="center"/>
              <w:rPr>
                <w:rFonts w:hint="eastAsia" w:ascii="宋体" w:hAnsi="宋体" w:eastAsia="宋体" w:cs="宋体"/>
                <w:color w:val="auto"/>
                <w:sz w:val="24"/>
                <w:highlight w:val="none"/>
              </w:rPr>
            </w:pPr>
          </w:p>
        </w:tc>
        <w:tc>
          <w:tcPr>
            <w:tcW w:w="1365" w:type="dxa"/>
            <w:noWrap w:val="0"/>
            <w:vAlign w:val="center"/>
          </w:tcPr>
          <w:p w14:paraId="1C7F177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监理合同金额(万元)</w:t>
            </w:r>
          </w:p>
        </w:tc>
        <w:tc>
          <w:tcPr>
            <w:tcW w:w="1365" w:type="dxa"/>
            <w:noWrap w:val="0"/>
            <w:vAlign w:val="center"/>
          </w:tcPr>
          <w:p w14:paraId="16093C7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w:t>
            </w:r>
          </w:p>
          <w:p w14:paraId="66C2DCE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tc>
        <w:tc>
          <w:tcPr>
            <w:tcW w:w="876" w:type="dxa"/>
            <w:noWrap w:val="0"/>
            <w:vAlign w:val="center"/>
          </w:tcPr>
          <w:p w14:paraId="151BA64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7D93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5B590864">
            <w:pPr>
              <w:spacing w:line="360" w:lineRule="auto"/>
              <w:rPr>
                <w:rFonts w:hint="eastAsia" w:ascii="宋体" w:hAnsi="宋体" w:eastAsia="宋体" w:cs="宋体"/>
                <w:color w:val="auto"/>
                <w:sz w:val="28"/>
                <w:highlight w:val="none"/>
              </w:rPr>
            </w:pPr>
          </w:p>
        </w:tc>
        <w:tc>
          <w:tcPr>
            <w:tcW w:w="1403" w:type="dxa"/>
            <w:noWrap w:val="0"/>
            <w:vAlign w:val="top"/>
          </w:tcPr>
          <w:p w14:paraId="32D6F228">
            <w:pPr>
              <w:spacing w:line="360" w:lineRule="auto"/>
              <w:rPr>
                <w:rFonts w:hint="eastAsia" w:ascii="宋体" w:hAnsi="宋体" w:eastAsia="宋体" w:cs="宋体"/>
                <w:color w:val="auto"/>
                <w:sz w:val="28"/>
                <w:highlight w:val="none"/>
              </w:rPr>
            </w:pPr>
          </w:p>
        </w:tc>
        <w:tc>
          <w:tcPr>
            <w:tcW w:w="2077" w:type="dxa"/>
            <w:noWrap w:val="0"/>
            <w:vAlign w:val="top"/>
          </w:tcPr>
          <w:p w14:paraId="65C6D9D1">
            <w:pPr>
              <w:spacing w:line="360" w:lineRule="auto"/>
              <w:rPr>
                <w:rFonts w:hint="eastAsia" w:ascii="宋体" w:hAnsi="宋体" w:eastAsia="宋体" w:cs="宋体"/>
                <w:color w:val="auto"/>
                <w:sz w:val="28"/>
                <w:highlight w:val="none"/>
              </w:rPr>
            </w:pPr>
          </w:p>
        </w:tc>
        <w:tc>
          <w:tcPr>
            <w:tcW w:w="1575" w:type="dxa"/>
            <w:noWrap w:val="0"/>
            <w:vAlign w:val="top"/>
          </w:tcPr>
          <w:p w14:paraId="44400D95">
            <w:pPr>
              <w:spacing w:line="360" w:lineRule="auto"/>
              <w:rPr>
                <w:rFonts w:hint="eastAsia" w:ascii="宋体" w:hAnsi="宋体" w:eastAsia="宋体" w:cs="宋体"/>
                <w:color w:val="auto"/>
                <w:sz w:val="28"/>
                <w:highlight w:val="none"/>
              </w:rPr>
            </w:pPr>
          </w:p>
        </w:tc>
        <w:tc>
          <w:tcPr>
            <w:tcW w:w="1286" w:type="dxa"/>
            <w:noWrap w:val="0"/>
            <w:vAlign w:val="top"/>
          </w:tcPr>
          <w:p w14:paraId="6C2E8608">
            <w:pPr>
              <w:spacing w:line="360" w:lineRule="auto"/>
              <w:rPr>
                <w:rFonts w:hint="eastAsia" w:ascii="宋体" w:hAnsi="宋体" w:eastAsia="宋体" w:cs="宋体"/>
                <w:color w:val="auto"/>
                <w:sz w:val="28"/>
                <w:highlight w:val="none"/>
              </w:rPr>
            </w:pPr>
          </w:p>
        </w:tc>
        <w:tc>
          <w:tcPr>
            <w:tcW w:w="1365" w:type="dxa"/>
            <w:noWrap w:val="0"/>
            <w:vAlign w:val="top"/>
          </w:tcPr>
          <w:p w14:paraId="6C519020">
            <w:pPr>
              <w:spacing w:line="360" w:lineRule="auto"/>
              <w:rPr>
                <w:rFonts w:hint="eastAsia" w:ascii="宋体" w:hAnsi="宋体" w:eastAsia="宋体" w:cs="宋体"/>
                <w:color w:val="auto"/>
                <w:sz w:val="28"/>
                <w:highlight w:val="none"/>
              </w:rPr>
            </w:pPr>
          </w:p>
        </w:tc>
        <w:tc>
          <w:tcPr>
            <w:tcW w:w="1365" w:type="dxa"/>
            <w:noWrap w:val="0"/>
            <w:vAlign w:val="top"/>
          </w:tcPr>
          <w:p w14:paraId="3C988AEF">
            <w:pPr>
              <w:spacing w:line="360" w:lineRule="auto"/>
              <w:rPr>
                <w:rFonts w:hint="eastAsia" w:ascii="宋体" w:hAnsi="宋体" w:eastAsia="宋体" w:cs="宋体"/>
                <w:color w:val="auto"/>
                <w:sz w:val="28"/>
                <w:highlight w:val="none"/>
              </w:rPr>
            </w:pPr>
          </w:p>
        </w:tc>
        <w:tc>
          <w:tcPr>
            <w:tcW w:w="876" w:type="dxa"/>
            <w:noWrap w:val="0"/>
            <w:vAlign w:val="top"/>
          </w:tcPr>
          <w:p w14:paraId="3A5BDB20">
            <w:pPr>
              <w:spacing w:line="360" w:lineRule="auto"/>
              <w:rPr>
                <w:rFonts w:hint="eastAsia" w:ascii="宋体" w:hAnsi="宋体" w:eastAsia="宋体" w:cs="宋体"/>
                <w:color w:val="auto"/>
                <w:sz w:val="28"/>
                <w:highlight w:val="none"/>
              </w:rPr>
            </w:pPr>
          </w:p>
        </w:tc>
      </w:tr>
      <w:tr w14:paraId="47AB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55F89690">
            <w:pPr>
              <w:spacing w:line="360" w:lineRule="auto"/>
              <w:rPr>
                <w:rFonts w:hint="eastAsia" w:ascii="宋体" w:hAnsi="宋体" w:eastAsia="宋体" w:cs="宋体"/>
                <w:color w:val="auto"/>
                <w:sz w:val="28"/>
                <w:highlight w:val="none"/>
              </w:rPr>
            </w:pPr>
          </w:p>
        </w:tc>
        <w:tc>
          <w:tcPr>
            <w:tcW w:w="1403" w:type="dxa"/>
            <w:noWrap w:val="0"/>
            <w:vAlign w:val="top"/>
          </w:tcPr>
          <w:p w14:paraId="5F3044FA">
            <w:pPr>
              <w:spacing w:line="360" w:lineRule="auto"/>
              <w:rPr>
                <w:rFonts w:hint="eastAsia" w:ascii="宋体" w:hAnsi="宋体" w:eastAsia="宋体" w:cs="宋体"/>
                <w:color w:val="auto"/>
                <w:sz w:val="28"/>
                <w:highlight w:val="none"/>
              </w:rPr>
            </w:pPr>
          </w:p>
        </w:tc>
        <w:tc>
          <w:tcPr>
            <w:tcW w:w="2077" w:type="dxa"/>
            <w:noWrap w:val="0"/>
            <w:vAlign w:val="top"/>
          </w:tcPr>
          <w:p w14:paraId="6692AFD0">
            <w:pPr>
              <w:spacing w:line="360" w:lineRule="auto"/>
              <w:rPr>
                <w:rFonts w:hint="eastAsia" w:ascii="宋体" w:hAnsi="宋体" w:eastAsia="宋体" w:cs="宋体"/>
                <w:color w:val="auto"/>
                <w:sz w:val="28"/>
                <w:highlight w:val="none"/>
              </w:rPr>
            </w:pPr>
          </w:p>
        </w:tc>
        <w:tc>
          <w:tcPr>
            <w:tcW w:w="1575" w:type="dxa"/>
            <w:noWrap w:val="0"/>
            <w:vAlign w:val="top"/>
          </w:tcPr>
          <w:p w14:paraId="1E394015">
            <w:pPr>
              <w:spacing w:line="360" w:lineRule="auto"/>
              <w:rPr>
                <w:rFonts w:hint="eastAsia" w:ascii="宋体" w:hAnsi="宋体" w:eastAsia="宋体" w:cs="宋体"/>
                <w:color w:val="auto"/>
                <w:sz w:val="28"/>
                <w:highlight w:val="none"/>
              </w:rPr>
            </w:pPr>
          </w:p>
        </w:tc>
        <w:tc>
          <w:tcPr>
            <w:tcW w:w="1286" w:type="dxa"/>
            <w:noWrap w:val="0"/>
            <w:vAlign w:val="top"/>
          </w:tcPr>
          <w:p w14:paraId="27C774E1">
            <w:pPr>
              <w:spacing w:line="360" w:lineRule="auto"/>
              <w:rPr>
                <w:rFonts w:hint="eastAsia" w:ascii="宋体" w:hAnsi="宋体" w:eastAsia="宋体" w:cs="宋体"/>
                <w:color w:val="auto"/>
                <w:sz w:val="28"/>
                <w:highlight w:val="none"/>
              </w:rPr>
            </w:pPr>
          </w:p>
        </w:tc>
        <w:tc>
          <w:tcPr>
            <w:tcW w:w="1365" w:type="dxa"/>
            <w:noWrap w:val="0"/>
            <w:vAlign w:val="top"/>
          </w:tcPr>
          <w:p w14:paraId="318B41F9">
            <w:pPr>
              <w:spacing w:line="360" w:lineRule="auto"/>
              <w:rPr>
                <w:rFonts w:hint="eastAsia" w:ascii="宋体" w:hAnsi="宋体" w:eastAsia="宋体" w:cs="宋体"/>
                <w:color w:val="auto"/>
                <w:sz w:val="28"/>
                <w:highlight w:val="none"/>
              </w:rPr>
            </w:pPr>
          </w:p>
        </w:tc>
        <w:tc>
          <w:tcPr>
            <w:tcW w:w="1365" w:type="dxa"/>
            <w:noWrap w:val="0"/>
            <w:vAlign w:val="top"/>
          </w:tcPr>
          <w:p w14:paraId="7CB2819B">
            <w:pPr>
              <w:spacing w:line="360" w:lineRule="auto"/>
              <w:rPr>
                <w:rFonts w:hint="eastAsia" w:ascii="宋体" w:hAnsi="宋体" w:eastAsia="宋体" w:cs="宋体"/>
                <w:color w:val="auto"/>
                <w:sz w:val="28"/>
                <w:highlight w:val="none"/>
              </w:rPr>
            </w:pPr>
          </w:p>
        </w:tc>
        <w:tc>
          <w:tcPr>
            <w:tcW w:w="876" w:type="dxa"/>
            <w:noWrap w:val="0"/>
            <w:vAlign w:val="top"/>
          </w:tcPr>
          <w:p w14:paraId="56E45C5B">
            <w:pPr>
              <w:spacing w:line="360" w:lineRule="auto"/>
              <w:rPr>
                <w:rFonts w:hint="eastAsia" w:ascii="宋体" w:hAnsi="宋体" w:eastAsia="宋体" w:cs="宋体"/>
                <w:color w:val="auto"/>
                <w:sz w:val="28"/>
                <w:highlight w:val="none"/>
              </w:rPr>
            </w:pPr>
          </w:p>
        </w:tc>
      </w:tr>
      <w:tr w14:paraId="4FBE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76216B07">
            <w:pPr>
              <w:spacing w:line="360" w:lineRule="auto"/>
              <w:rPr>
                <w:rFonts w:hint="eastAsia" w:ascii="宋体" w:hAnsi="宋体" w:eastAsia="宋体" w:cs="宋体"/>
                <w:color w:val="auto"/>
                <w:sz w:val="28"/>
                <w:highlight w:val="none"/>
              </w:rPr>
            </w:pPr>
          </w:p>
        </w:tc>
        <w:tc>
          <w:tcPr>
            <w:tcW w:w="1403" w:type="dxa"/>
            <w:noWrap w:val="0"/>
            <w:vAlign w:val="top"/>
          </w:tcPr>
          <w:p w14:paraId="5F9C2F74">
            <w:pPr>
              <w:spacing w:line="360" w:lineRule="auto"/>
              <w:rPr>
                <w:rFonts w:hint="eastAsia" w:ascii="宋体" w:hAnsi="宋体" w:eastAsia="宋体" w:cs="宋体"/>
                <w:color w:val="auto"/>
                <w:sz w:val="28"/>
                <w:highlight w:val="none"/>
              </w:rPr>
            </w:pPr>
          </w:p>
        </w:tc>
        <w:tc>
          <w:tcPr>
            <w:tcW w:w="2077" w:type="dxa"/>
            <w:noWrap w:val="0"/>
            <w:vAlign w:val="top"/>
          </w:tcPr>
          <w:p w14:paraId="17A010F0">
            <w:pPr>
              <w:spacing w:line="360" w:lineRule="auto"/>
              <w:rPr>
                <w:rFonts w:hint="eastAsia" w:ascii="宋体" w:hAnsi="宋体" w:eastAsia="宋体" w:cs="宋体"/>
                <w:color w:val="auto"/>
                <w:sz w:val="28"/>
                <w:highlight w:val="none"/>
              </w:rPr>
            </w:pPr>
          </w:p>
        </w:tc>
        <w:tc>
          <w:tcPr>
            <w:tcW w:w="1575" w:type="dxa"/>
            <w:noWrap w:val="0"/>
            <w:vAlign w:val="top"/>
          </w:tcPr>
          <w:p w14:paraId="1EB2826C">
            <w:pPr>
              <w:spacing w:line="360" w:lineRule="auto"/>
              <w:rPr>
                <w:rFonts w:hint="eastAsia" w:ascii="宋体" w:hAnsi="宋体" w:eastAsia="宋体" w:cs="宋体"/>
                <w:color w:val="auto"/>
                <w:sz w:val="28"/>
                <w:highlight w:val="none"/>
              </w:rPr>
            </w:pPr>
          </w:p>
        </w:tc>
        <w:tc>
          <w:tcPr>
            <w:tcW w:w="1286" w:type="dxa"/>
            <w:noWrap w:val="0"/>
            <w:vAlign w:val="top"/>
          </w:tcPr>
          <w:p w14:paraId="40B81811">
            <w:pPr>
              <w:spacing w:line="360" w:lineRule="auto"/>
              <w:rPr>
                <w:rFonts w:hint="eastAsia" w:ascii="宋体" w:hAnsi="宋体" w:eastAsia="宋体" w:cs="宋体"/>
                <w:color w:val="auto"/>
                <w:sz w:val="28"/>
                <w:highlight w:val="none"/>
              </w:rPr>
            </w:pPr>
          </w:p>
        </w:tc>
        <w:tc>
          <w:tcPr>
            <w:tcW w:w="1365" w:type="dxa"/>
            <w:noWrap w:val="0"/>
            <w:vAlign w:val="top"/>
          </w:tcPr>
          <w:p w14:paraId="378651E3">
            <w:pPr>
              <w:spacing w:line="360" w:lineRule="auto"/>
              <w:rPr>
                <w:rFonts w:hint="eastAsia" w:ascii="宋体" w:hAnsi="宋体" w:eastAsia="宋体" w:cs="宋体"/>
                <w:color w:val="auto"/>
                <w:sz w:val="28"/>
                <w:highlight w:val="none"/>
              </w:rPr>
            </w:pPr>
          </w:p>
        </w:tc>
        <w:tc>
          <w:tcPr>
            <w:tcW w:w="1365" w:type="dxa"/>
            <w:noWrap w:val="0"/>
            <w:vAlign w:val="top"/>
          </w:tcPr>
          <w:p w14:paraId="0A51C2B8">
            <w:pPr>
              <w:spacing w:line="360" w:lineRule="auto"/>
              <w:rPr>
                <w:rFonts w:hint="eastAsia" w:ascii="宋体" w:hAnsi="宋体" w:eastAsia="宋体" w:cs="宋体"/>
                <w:color w:val="auto"/>
                <w:sz w:val="28"/>
                <w:highlight w:val="none"/>
              </w:rPr>
            </w:pPr>
          </w:p>
        </w:tc>
        <w:tc>
          <w:tcPr>
            <w:tcW w:w="876" w:type="dxa"/>
            <w:noWrap w:val="0"/>
            <w:vAlign w:val="top"/>
          </w:tcPr>
          <w:p w14:paraId="1E988D5A">
            <w:pPr>
              <w:spacing w:line="360" w:lineRule="auto"/>
              <w:rPr>
                <w:rFonts w:hint="eastAsia" w:ascii="宋体" w:hAnsi="宋体" w:eastAsia="宋体" w:cs="宋体"/>
                <w:color w:val="auto"/>
                <w:sz w:val="28"/>
                <w:highlight w:val="none"/>
              </w:rPr>
            </w:pPr>
          </w:p>
        </w:tc>
      </w:tr>
      <w:tr w14:paraId="740E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6A9ED883">
            <w:pPr>
              <w:spacing w:line="360" w:lineRule="auto"/>
              <w:rPr>
                <w:rFonts w:hint="eastAsia" w:ascii="宋体" w:hAnsi="宋体" w:eastAsia="宋体" w:cs="宋体"/>
                <w:color w:val="auto"/>
                <w:sz w:val="28"/>
                <w:highlight w:val="none"/>
              </w:rPr>
            </w:pPr>
          </w:p>
        </w:tc>
        <w:tc>
          <w:tcPr>
            <w:tcW w:w="1403" w:type="dxa"/>
            <w:noWrap w:val="0"/>
            <w:vAlign w:val="top"/>
          </w:tcPr>
          <w:p w14:paraId="3E5C2B1C">
            <w:pPr>
              <w:spacing w:line="360" w:lineRule="auto"/>
              <w:rPr>
                <w:rFonts w:hint="eastAsia" w:ascii="宋体" w:hAnsi="宋体" w:eastAsia="宋体" w:cs="宋体"/>
                <w:color w:val="auto"/>
                <w:sz w:val="28"/>
                <w:highlight w:val="none"/>
              </w:rPr>
            </w:pPr>
          </w:p>
        </w:tc>
        <w:tc>
          <w:tcPr>
            <w:tcW w:w="2077" w:type="dxa"/>
            <w:noWrap w:val="0"/>
            <w:vAlign w:val="top"/>
          </w:tcPr>
          <w:p w14:paraId="2FBEBDCF">
            <w:pPr>
              <w:spacing w:line="360" w:lineRule="auto"/>
              <w:rPr>
                <w:rFonts w:hint="eastAsia" w:ascii="宋体" w:hAnsi="宋体" w:eastAsia="宋体" w:cs="宋体"/>
                <w:color w:val="auto"/>
                <w:sz w:val="28"/>
                <w:highlight w:val="none"/>
              </w:rPr>
            </w:pPr>
          </w:p>
        </w:tc>
        <w:tc>
          <w:tcPr>
            <w:tcW w:w="1575" w:type="dxa"/>
            <w:noWrap w:val="0"/>
            <w:vAlign w:val="top"/>
          </w:tcPr>
          <w:p w14:paraId="67D34A60">
            <w:pPr>
              <w:spacing w:line="360" w:lineRule="auto"/>
              <w:rPr>
                <w:rFonts w:hint="eastAsia" w:ascii="宋体" w:hAnsi="宋体" w:eastAsia="宋体" w:cs="宋体"/>
                <w:color w:val="auto"/>
                <w:sz w:val="28"/>
                <w:highlight w:val="none"/>
              </w:rPr>
            </w:pPr>
          </w:p>
        </w:tc>
        <w:tc>
          <w:tcPr>
            <w:tcW w:w="1286" w:type="dxa"/>
            <w:noWrap w:val="0"/>
            <w:vAlign w:val="top"/>
          </w:tcPr>
          <w:p w14:paraId="4F76BAAE">
            <w:pPr>
              <w:spacing w:line="360" w:lineRule="auto"/>
              <w:rPr>
                <w:rFonts w:hint="eastAsia" w:ascii="宋体" w:hAnsi="宋体" w:eastAsia="宋体" w:cs="宋体"/>
                <w:color w:val="auto"/>
                <w:sz w:val="28"/>
                <w:highlight w:val="none"/>
              </w:rPr>
            </w:pPr>
          </w:p>
        </w:tc>
        <w:tc>
          <w:tcPr>
            <w:tcW w:w="1365" w:type="dxa"/>
            <w:noWrap w:val="0"/>
            <w:vAlign w:val="top"/>
          </w:tcPr>
          <w:p w14:paraId="0136236B">
            <w:pPr>
              <w:spacing w:line="360" w:lineRule="auto"/>
              <w:rPr>
                <w:rFonts w:hint="eastAsia" w:ascii="宋体" w:hAnsi="宋体" w:eastAsia="宋体" w:cs="宋体"/>
                <w:color w:val="auto"/>
                <w:sz w:val="28"/>
                <w:highlight w:val="none"/>
              </w:rPr>
            </w:pPr>
          </w:p>
        </w:tc>
        <w:tc>
          <w:tcPr>
            <w:tcW w:w="1365" w:type="dxa"/>
            <w:noWrap w:val="0"/>
            <w:vAlign w:val="top"/>
          </w:tcPr>
          <w:p w14:paraId="784B1FE4">
            <w:pPr>
              <w:spacing w:line="360" w:lineRule="auto"/>
              <w:rPr>
                <w:rFonts w:hint="eastAsia" w:ascii="宋体" w:hAnsi="宋体" w:eastAsia="宋体" w:cs="宋体"/>
                <w:color w:val="auto"/>
                <w:sz w:val="28"/>
                <w:highlight w:val="none"/>
              </w:rPr>
            </w:pPr>
          </w:p>
        </w:tc>
        <w:tc>
          <w:tcPr>
            <w:tcW w:w="876" w:type="dxa"/>
            <w:noWrap w:val="0"/>
            <w:vAlign w:val="top"/>
          </w:tcPr>
          <w:p w14:paraId="0C56209E">
            <w:pPr>
              <w:spacing w:line="360" w:lineRule="auto"/>
              <w:rPr>
                <w:rFonts w:hint="eastAsia" w:ascii="宋体" w:hAnsi="宋体" w:eastAsia="宋体" w:cs="宋体"/>
                <w:color w:val="auto"/>
                <w:sz w:val="28"/>
                <w:highlight w:val="none"/>
              </w:rPr>
            </w:pPr>
          </w:p>
        </w:tc>
      </w:tr>
      <w:tr w14:paraId="029D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0D303F4C">
            <w:pPr>
              <w:spacing w:line="360" w:lineRule="auto"/>
              <w:rPr>
                <w:rFonts w:hint="eastAsia" w:ascii="宋体" w:hAnsi="宋体" w:eastAsia="宋体" w:cs="宋体"/>
                <w:color w:val="auto"/>
                <w:sz w:val="28"/>
                <w:highlight w:val="none"/>
              </w:rPr>
            </w:pPr>
          </w:p>
        </w:tc>
        <w:tc>
          <w:tcPr>
            <w:tcW w:w="1403" w:type="dxa"/>
            <w:noWrap w:val="0"/>
            <w:vAlign w:val="top"/>
          </w:tcPr>
          <w:p w14:paraId="058BBC5E">
            <w:pPr>
              <w:spacing w:line="360" w:lineRule="auto"/>
              <w:rPr>
                <w:rFonts w:hint="eastAsia" w:ascii="宋体" w:hAnsi="宋体" w:eastAsia="宋体" w:cs="宋体"/>
                <w:color w:val="auto"/>
                <w:sz w:val="28"/>
                <w:highlight w:val="none"/>
              </w:rPr>
            </w:pPr>
          </w:p>
        </w:tc>
        <w:tc>
          <w:tcPr>
            <w:tcW w:w="2077" w:type="dxa"/>
            <w:noWrap w:val="0"/>
            <w:vAlign w:val="top"/>
          </w:tcPr>
          <w:p w14:paraId="1C1FDC11">
            <w:pPr>
              <w:spacing w:line="360" w:lineRule="auto"/>
              <w:rPr>
                <w:rFonts w:hint="eastAsia" w:ascii="宋体" w:hAnsi="宋体" w:eastAsia="宋体" w:cs="宋体"/>
                <w:color w:val="auto"/>
                <w:sz w:val="28"/>
                <w:highlight w:val="none"/>
              </w:rPr>
            </w:pPr>
          </w:p>
        </w:tc>
        <w:tc>
          <w:tcPr>
            <w:tcW w:w="1575" w:type="dxa"/>
            <w:noWrap w:val="0"/>
            <w:vAlign w:val="top"/>
          </w:tcPr>
          <w:p w14:paraId="15780362">
            <w:pPr>
              <w:spacing w:line="360" w:lineRule="auto"/>
              <w:rPr>
                <w:rFonts w:hint="eastAsia" w:ascii="宋体" w:hAnsi="宋体" w:eastAsia="宋体" w:cs="宋体"/>
                <w:color w:val="auto"/>
                <w:sz w:val="28"/>
                <w:highlight w:val="none"/>
              </w:rPr>
            </w:pPr>
          </w:p>
        </w:tc>
        <w:tc>
          <w:tcPr>
            <w:tcW w:w="1286" w:type="dxa"/>
            <w:noWrap w:val="0"/>
            <w:vAlign w:val="top"/>
          </w:tcPr>
          <w:p w14:paraId="2AB404F9">
            <w:pPr>
              <w:spacing w:line="360" w:lineRule="auto"/>
              <w:rPr>
                <w:rFonts w:hint="eastAsia" w:ascii="宋体" w:hAnsi="宋体" w:eastAsia="宋体" w:cs="宋体"/>
                <w:color w:val="auto"/>
                <w:sz w:val="28"/>
                <w:highlight w:val="none"/>
              </w:rPr>
            </w:pPr>
          </w:p>
        </w:tc>
        <w:tc>
          <w:tcPr>
            <w:tcW w:w="1365" w:type="dxa"/>
            <w:noWrap w:val="0"/>
            <w:vAlign w:val="top"/>
          </w:tcPr>
          <w:p w14:paraId="09518A11">
            <w:pPr>
              <w:spacing w:line="360" w:lineRule="auto"/>
              <w:rPr>
                <w:rFonts w:hint="eastAsia" w:ascii="宋体" w:hAnsi="宋体" w:eastAsia="宋体" w:cs="宋体"/>
                <w:color w:val="auto"/>
                <w:sz w:val="28"/>
                <w:highlight w:val="none"/>
              </w:rPr>
            </w:pPr>
          </w:p>
        </w:tc>
        <w:tc>
          <w:tcPr>
            <w:tcW w:w="1365" w:type="dxa"/>
            <w:noWrap w:val="0"/>
            <w:vAlign w:val="top"/>
          </w:tcPr>
          <w:p w14:paraId="7A73881F">
            <w:pPr>
              <w:spacing w:line="360" w:lineRule="auto"/>
              <w:rPr>
                <w:rFonts w:hint="eastAsia" w:ascii="宋体" w:hAnsi="宋体" w:eastAsia="宋体" w:cs="宋体"/>
                <w:color w:val="auto"/>
                <w:sz w:val="28"/>
                <w:highlight w:val="none"/>
              </w:rPr>
            </w:pPr>
          </w:p>
        </w:tc>
        <w:tc>
          <w:tcPr>
            <w:tcW w:w="876" w:type="dxa"/>
            <w:noWrap w:val="0"/>
            <w:vAlign w:val="top"/>
          </w:tcPr>
          <w:p w14:paraId="16F9B8E8">
            <w:pPr>
              <w:spacing w:line="360" w:lineRule="auto"/>
              <w:rPr>
                <w:rFonts w:hint="eastAsia" w:ascii="宋体" w:hAnsi="宋体" w:eastAsia="宋体" w:cs="宋体"/>
                <w:color w:val="auto"/>
                <w:sz w:val="28"/>
                <w:highlight w:val="none"/>
              </w:rPr>
            </w:pPr>
          </w:p>
        </w:tc>
      </w:tr>
      <w:tr w14:paraId="1DE0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02DEC2FC">
            <w:pPr>
              <w:spacing w:line="360" w:lineRule="auto"/>
              <w:rPr>
                <w:rFonts w:hint="eastAsia" w:ascii="宋体" w:hAnsi="宋体" w:eastAsia="宋体" w:cs="宋体"/>
                <w:color w:val="auto"/>
                <w:sz w:val="28"/>
                <w:highlight w:val="none"/>
              </w:rPr>
            </w:pPr>
          </w:p>
        </w:tc>
        <w:tc>
          <w:tcPr>
            <w:tcW w:w="1403" w:type="dxa"/>
            <w:noWrap w:val="0"/>
            <w:vAlign w:val="top"/>
          </w:tcPr>
          <w:p w14:paraId="42CCE6B9">
            <w:pPr>
              <w:spacing w:line="360" w:lineRule="auto"/>
              <w:rPr>
                <w:rFonts w:hint="eastAsia" w:ascii="宋体" w:hAnsi="宋体" w:eastAsia="宋体" w:cs="宋体"/>
                <w:color w:val="auto"/>
                <w:sz w:val="28"/>
                <w:highlight w:val="none"/>
              </w:rPr>
            </w:pPr>
          </w:p>
        </w:tc>
        <w:tc>
          <w:tcPr>
            <w:tcW w:w="2077" w:type="dxa"/>
            <w:noWrap w:val="0"/>
            <w:vAlign w:val="top"/>
          </w:tcPr>
          <w:p w14:paraId="75DE0B25">
            <w:pPr>
              <w:spacing w:line="360" w:lineRule="auto"/>
              <w:rPr>
                <w:rFonts w:hint="eastAsia" w:ascii="宋体" w:hAnsi="宋体" w:eastAsia="宋体" w:cs="宋体"/>
                <w:color w:val="auto"/>
                <w:sz w:val="28"/>
                <w:highlight w:val="none"/>
              </w:rPr>
            </w:pPr>
          </w:p>
        </w:tc>
        <w:tc>
          <w:tcPr>
            <w:tcW w:w="1575" w:type="dxa"/>
            <w:noWrap w:val="0"/>
            <w:vAlign w:val="top"/>
          </w:tcPr>
          <w:p w14:paraId="4CDD808A">
            <w:pPr>
              <w:spacing w:line="360" w:lineRule="auto"/>
              <w:rPr>
                <w:rFonts w:hint="eastAsia" w:ascii="宋体" w:hAnsi="宋体" w:eastAsia="宋体" w:cs="宋体"/>
                <w:color w:val="auto"/>
                <w:sz w:val="28"/>
                <w:highlight w:val="none"/>
              </w:rPr>
            </w:pPr>
          </w:p>
        </w:tc>
        <w:tc>
          <w:tcPr>
            <w:tcW w:w="1286" w:type="dxa"/>
            <w:noWrap w:val="0"/>
            <w:vAlign w:val="top"/>
          </w:tcPr>
          <w:p w14:paraId="1C8BE764">
            <w:pPr>
              <w:spacing w:line="360" w:lineRule="auto"/>
              <w:rPr>
                <w:rFonts w:hint="eastAsia" w:ascii="宋体" w:hAnsi="宋体" w:eastAsia="宋体" w:cs="宋体"/>
                <w:color w:val="auto"/>
                <w:sz w:val="28"/>
                <w:highlight w:val="none"/>
              </w:rPr>
            </w:pPr>
          </w:p>
        </w:tc>
        <w:tc>
          <w:tcPr>
            <w:tcW w:w="1365" w:type="dxa"/>
            <w:noWrap w:val="0"/>
            <w:vAlign w:val="top"/>
          </w:tcPr>
          <w:p w14:paraId="227E4376">
            <w:pPr>
              <w:spacing w:line="360" w:lineRule="auto"/>
              <w:rPr>
                <w:rFonts w:hint="eastAsia" w:ascii="宋体" w:hAnsi="宋体" w:eastAsia="宋体" w:cs="宋体"/>
                <w:color w:val="auto"/>
                <w:sz w:val="28"/>
                <w:highlight w:val="none"/>
              </w:rPr>
            </w:pPr>
          </w:p>
        </w:tc>
        <w:tc>
          <w:tcPr>
            <w:tcW w:w="1365" w:type="dxa"/>
            <w:noWrap w:val="0"/>
            <w:vAlign w:val="top"/>
          </w:tcPr>
          <w:p w14:paraId="0F3EF1FD">
            <w:pPr>
              <w:spacing w:line="360" w:lineRule="auto"/>
              <w:rPr>
                <w:rFonts w:hint="eastAsia" w:ascii="宋体" w:hAnsi="宋体" w:eastAsia="宋体" w:cs="宋体"/>
                <w:color w:val="auto"/>
                <w:sz w:val="28"/>
                <w:highlight w:val="none"/>
              </w:rPr>
            </w:pPr>
          </w:p>
        </w:tc>
        <w:tc>
          <w:tcPr>
            <w:tcW w:w="876" w:type="dxa"/>
            <w:noWrap w:val="0"/>
            <w:vAlign w:val="top"/>
          </w:tcPr>
          <w:p w14:paraId="72F0AC18">
            <w:pPr>
              <w:spacing w:line="360" w:lineRule="auto"/>
              <w:rPr>
                <w:rFonts w:hint="eastAsia" w:ascii="宋体" w:hAnsi="宋体" w:eastAsia="宋体" w:cs="宋体"/>
                <w:color w:val="auto"/>
                <w:sz w:val="28"/>
                <w:highlight w:val="none"/>
              </w:rPr>
            </w:pPr>
          </w:p>
        </w:tc>
      </w:tr>
      <w:tr w14:paraId="56A9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281070AE">
            <w:pPr>
              <w:spacing w:line="360" w:lineRule="auto"/>
              <w:rPr>
                <w:rFonts w:hint="eastAsia" w:ascii="宋体" w:hAnsi="宋体" w:eastAsia="宋体" w:cs="宋体"/>
                <w:color w:val="auto"/>
                <w:sz w:val="28"/>
                <w:highlight w:val="none"/>
              </w:rPr>
            </w:pPr>
          </w:p>
        </w:tc>
        <w:tc>
          <w:tcPr>
            <w:tcW w:w="1403" w:type="dxa"/>
            <w:noWrap w:val="0"/>
            <w:vAlign w:val="top"/>
          </w:tcPr>
          <w:p w14:paraId="5ED52A55">
            <w:pPr>
              <w:spacing w:line="360" w:lineRule="auto"/>
              <w:rPr>
                <w:rFonts w:hint="eastAsia" w:ascii="宋体" w:hAnsi="宋体" w:eastAsia="宋体" w:cs="宋体"/>
                <w:color w:val="auto"/>
                <w:sz w:val="28"/>
                <w:highlight w:val="none"/>
              </w:rPr>
            </w:pPr>
          </w:p>
        </w:tc>
        <w:tc>
          <w:tcPr>
            <w:tcW w:w="2077" w:type="dxa"/>
            <w:noWrap w:val="0"/>
            <w:vAlign w:val="top"/>
          </w:tcPr>
          <w:p w14:paraId="1DAD7720">
            <w:pPr>
              <w:spacing w:line="360" w:lineRule="auto"/>
              <w:rPr>
                <w:rFonts w:hint="eastAsia" w:ascii="宋体" w:hAnsi="宋体" w:eastAsia="宋体" w:cs="宋体"/>
                <w:color w:val="auto"/>
                <w:sz w:val="28"/>
                <w:highlight w:val="none"/>
              </w:rPr>
            </w:pPr>
          </w:p>
        </w:tc>
        <w:tc>
          <w:tcPr>
            <w:tcW w:w="1575" w:type="dxa"/>
            <w:noWrap w:val="0"/>
            <w:vAlign w:val="top"/>
          </w:tcPr>
          <w:p w14:paraId="7D0DB99D">
            <w:pPr>
              <w:spacing w:line="360" w:lineRule="auto"/>
              <w:rPr>
                <w:rFonts w:hint="eastAsia" w:ascii="宋体" w:hAnsi="宋体" w:eastAsia="宋体" w:cs="宋体"/>
                <w:color w:val="auto"/>
                <w:sz w:val="28"/>
                <w:highlight w:val="none"/>
              </w:rPr>
            </w:pPr>
          </w:p>
        </w:tc>
        <w:tc>
          <w:tcPr>
            <w:tcW w:w="1286" w:type="dxa"/>
            <w:noWrap w:val="0"/>
            <w:vAlign w:val="top"/>
          </w:tcPr>
          <w:p w14:paraId="16E27A92">
            <w:pPr>
              <w:spacing w:line="360" w:lineRule="auto"/>
              <w:rPr>
                <w:rFonts w:hint="eastAsia" w:ascii="宋体" w:hAnsi="宋体" w:eastAsia="宋体" w:cs="宋体"/>
                <w:color w:val="auto"/>
                <w:sz w:val="28"/>
                <w:highlight w:val="none"/>
              </w:rPr>
            </w:pPr>
          </w:p>
        </w:tc>
        <w:tc>
          <w:tcPr>
            <w:tcW w:w="1365" w:type="dxa"/>
            <w:noWrap w:val="0"/>
            <w:vAlign w:val="top"/>
          </w:tcPr>
          <w:p w14:paraId="38333606">
            <w:pPr>
              <w:spacing w:line="360" w:lineRule="auto"/>
              <w:rPr>
                <w:rFonts w:hint="eastAsia" w:ascii="宋体" w:hAnsi="宋体" w:eastAsia="宋体" w:cs="宋体"/>
                <w:color w:val="auto"/>
                <w:sz w:val="28"/>
                <w:highlight w:val="none"/>
              </w:rPr>
            </w:pPr>
          </w:p>
        </w:tc>
        <w:tc>
          <w:tcPr>
            <w:tcW w:w="1365" w:type="dxa"/>
            <w:noWrap w:val="0"/>
            <w:vAlign w:val="top"/>
          </w:tcPr>
          <w:p w14:paraId="6A77A323">
            <w:pPr>
              <w:spacing w:line="360" w:lineRule="auto"/>
              <w:rPr>
                <w:rFonts w:hint="eastAsia" w:ascii="宋体" w:hAnsi="宋体" w:eastAsia="宋体" w:cs="宋体"/>
                <w:color w:val="auto"/>
                <w:sz w:val="28"/>
                <w:highlight w:val="none"/>
              </w:rPr>
            </w:pPr>
          </w:p>
        </w:tc>
        <w:tc>
          <w:tcPr>
            <w:tcW w:w="876" w:type="dxa"/>
            <w:noWrap w:val="0"/>
            <w:vAlign w:val="top"/>
          </w:tcPr>
          <w:p w14:paraId="4F1BEDD1">
            <w:pPr>
              <w:spacing w:line="360" w:lineRule="auto"/>
              <w:rPr>
                <w:rFonts w:hint="eastAsia" w:ascii="宋体" w:hAnsi="宋体" w:eastAsia="宋体" w:cs="宋体"/>
                <w:color w:val="auto"/>
                <w:sz w:val="28"/>
                <w:highlight w:val="none"/>
              </w:rPr>
            </w:pPr>
          </w:p>
        </w:tc>
      </w:tr>
      <w:tr w14:paraId="0B2A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07D5B037">
            <w:pPr>
              <w:spacing w:line="360" w:lineRule="auto"/>
              <w:rPr>
                <w:rFonts w:hint="eastAsia" w:ascii="宋体" w:hAnsi="宋体" w:eastAsia="宋体" w:cs="宋体"/>
                <w:color w:val="auto"/>
                <w:sz w:val="28"/>
                <w:highlight w:val="none"/>
              </w:rPr>
            </w:pPr>
          </w:p>
        </w:tc>
        <w:tc>
          <w:tcPr>
            <w:tcW w:w="1403" w:type="dxa"/>
            <w:noWrap w:val="0"/>
            <w:vAlign w:val="top"/>
          </w:tcPr>
          <w:p w14:paraId="7B31FA31">
            <w:pPr>
              <w:spacing w:line="360" w:lineRule="auto"/>
              <w:rPr>
                <w:rFonts w:hint="eastAsia" w:ascii="宋体" w:hAnsi="宋体" w:eastAsia="宋体" w:cs="宋体"/>
                <w:color w:val="auto"/>
                <w:sz w:val="28"/>
                <w:highlight w:val="none"/>
              </w:rPr>
            </w:pPr>
          </w:p>
        </w:tc>
        <w:tc>
          <w:tcPr>
            <w:tcW w:w="2077" w:type="dxa"/>
            <w:noWrap w:val="0"/>
            <w:vAlign w:val="top"/>
          </w:tcPr>
          <w:p w14:paraId="609E5404">
            <w:pPr>
              <w:spacing w:line="360" w:lineRule="auto"/>
              <w:rPr>
                <w:rFonts w:hint="eastAsia" w:ascii="宋体" w:hAnsi="宋体" w:eastAsia="宋体" w:cs="宋体"/>
                <w:color w:val="auto"/>
                <w:sz w:val="28"/>
                <w:highlight w:val="none"/>
              </w:rPr>
            </w:pPr>
          </w:p>
        </w:tc>
        <w:tc>
          <w:tcPr>
            <w:tcW w:w="1575" w:type="dxa"/>
            <w:noWrap w:val="0"/>
            <w:vAlign w:val="top"/>
          </w:tcPr>
          <w:p w14:paraId="728E758F">
            <w:pPr>
              <w:spacing w:line="360" w:lineRule="auto"/>
              <w:rPr>
                <w:rFonts w:hint="eastAsia" w:ascii="宋体" w:hAnsi="宋体" w:eastAsia="宋体" w:cs="宋体"/>
                <w:color w:val="auto"/>
                <w:sz w:val="28"/>
                <w:highlight w:val="none"/>
              </w:rPr>
            </w:pPr>
          </w:p>
        </w:tc>
        <w:tc>
          <w:tcPr>
            <w:tcW w:w="1286" w:type="dxa"/>
            <w:noWrap w:val="0"/>
            <w:vAlign w:val="top"/>
          </w:tcPr>
          <w:p w14:paraId="1FEAD390">
            <w:pPr>
              <w:spacing w:line="360" w:lineRule="auto"/>
              <w:rPr>
                <w:rFonts w:hint="eastAsia" w:ascii="宋体" w:hAnsi="宋体" w:eastAsia="宋体" w:cs="宋体"/>
                <w:color w:val="auto"/>
                <w:sz w:val="28"/>
                <w:highlight w:val="none"/>
              </w:rPr>
            </w:pPr>
          </w:p>
        </w:tc>
        <w:tc>
          <w:tcPr>
            <w:tcW w:w="1365" w:type="dxa"/>
            <w:noWrap w:val="0"/>
            <w:vAlign w:val="top"/>
          </w:tcPr>
          <w:p w14:paraId="6A829D72">
            <w:pPr>
              <w:spacing w:line="360" w:lineRule="auto"/>
              <w:rPr>
                <w:rFonts w:hint="eastAsia" w:ascii="宋体" w:hAnsi="宋体" w:eastAsia="宋体" w:cs="宋体"/>
                <w:color w:val="auto"/>
                <w:sz w:val="28"/>
                <w:highlight w:val="none"/>
              </w:rPr>
            </w:pPr>
          </w:p>
        </w:tc>
        <w:tc>
          <w:tcPr>
            <w:tcW w:w="1365" w:type="dxa"/>
            <w:noWrap w:val="0"/>
            <w:vAlign w:val="top"/>
          </w:tcPr>
          <w:p w14:paraId="2B3CCAB4">
            <w:pPr>
              <w:spacing w:line="360" w:lineRule="auto"/>
              <w:rPr>
                <w:rFonts w:hint="eastAsia" w:ascii="宋体" w:hAnsi="宋体" w:eastAsia="宋体" w:cs="宋体"/>
                <w:color w:val="auto"/>
                <w:sz w:val="28"/>
                <w:highlight w:val="none"/>
              </w:rPr>
            </w:pPr>
          </w:p>
        </w:tc>
        <w:tc>
          <w:tcPr>
            <w:tcW w:w="876" w:type="dxa"/>
            <w:noWrap w:val="0"/>
            <w:vAlign w:val="top"/>
          </w:tcPr>
          <w:p w14:paraId="2A6459A4">
            <w:pPr>
              <w:spacing w:line="360" w:lineRule="auto"/>
              <w:rPr>
                <w:rFonts w:hint="eastAsia" w:ascii="宋体" w:hAnsi="宋体" w:eastAsia="宋体" w:cs="宋体"/>
                <w:color w:val="auto"/>
                <w:sz w:val="28"/>
                <w:highlight w:val="none"/>
              </w:rPr>
            </w:pPr>
          </w:p>
        </w:tc>
      </w:tr>
      <w:tr w14:paraId="5C07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0356FB8F">
            <w:pPr>
              <w:spacing w:line="360" w:lineRule="auto"/>
              <w:rPr>
                <w:rFonts w:hint="eastAsia" w:ascii="宋体" w:hAnsi="宋体" w:eastAsia="宋体" w:cs="宋体"/>
                <w:color w:val="auto"/>
                <w:sz w:val="28"/>
                <w:highlight w:val="none"/>
              </w:rPr>
            </w:pPr>
          </w:p>
        </w:tc>
        <w:tc>
          <w:tcPr>
            <w:tcW w:w="1403" w:type="dxa"/>
            <w:noWrap w:val="0"/>
            <w:vAlign w:val="top"/>
          </w:tcPr>
          <w:p w14:paraId="1D8EA0DE">
            <w:pPr>
              <w:spacing w:line="360" w:lineRule="auto"/>
              <w:rPr>
                <w:rFonts w:hint="eastAsia" w:ascii="宋体" w:hAnsi="宋体" w:eastAsia="宋体" w:cs="宋体"/>
                <w:color w:val="auto"/>
                <w:sz w:val="28"/>
                <w:highlight w:val="none"/>
              </w:rPr>
            </w:pPr>
          </w:p>
        </w:tc>
        <w:tc>
          <w:tcPr>
            <w:tcW w:w="2077" w:type="dxa"/>
            <w:noWrap w:val="0"/>
            <w:vAlign w:val="top"/>
          </w:tcPr>
          <w:p w14:paraId="7B27094B">
            <w:pPr>
              <w:spacing w:line="360" w:lineRule="auto"/>
              <w:rPr>
                <w:rFonts w:hint="eastAsia" w:ascii="宋体" w:hAnsi="宋体" w:eastAsia="宋体" w:cs="宋体"/>
                <w:color w:val="auto"/>
                <w:sz w:val="28"/>
                <w:highlight w:val="none"/>
              </w:rPr>
            </w:pPr>
          </w:p>
        </w:tc>
        <w:tc>
          <w:tcPr>
            <w:tcW w:w="1575" w:type="dxa"/>
            <w:noWrap w:val="0"/>
            <w:vAlign w:val="top"/>
          </w:tcPr>
          <w:p w14:paraId="1319316B">
            <w:pPr>
              <w:spacing w:line="360" w:lineRule="auto"/>
              <w:rPr>
                <w:rFonts w:hint="eastAsia" w:ascii="宋体" w:hAnsi="宋体" w:eastAsia="宋体" w:cs="宋体"/>
                <w:color w:val="auto"/>
                <w:sz w:val="28"/>
                <w:highlight w:val="none"/>
              </w:rPr>
            </w:pPr>
          </w:p>
        </w:tc>
        <w:tc>
          <w:tcPr>
            <w:tcW w:w="1286" w:type="dxa"/>
            <w:noWrap w:val="0"/>
            <w:vAlign w:val="top"/>
          </w:tcPr>
          <w:p w14:paraId="70573EB7">
            <w:pPr>
              <w:spacing w:line="360" w:lineRule="auto"/>
              <w:rPr>
                <w:rFonts w:hint="eastAsia" w:ascii="宋体" w:hAnsi="宋体" w:eastAsia="宋体" w:cs="宋体"/>
                <w:color w:val="auto"/>
                <w:sz w:val="28"/>
                <w:highlight w:val="none"/>
              </w:rPr>
            </w:pPr>
          </w:p>
        </w:tc>
        <w:tc>
          <w:tcPr>
            <w:tcW w:w="1365" w:type="dxa"/>
            <w:noWrap w:val="0"/>
            <w:vAlign w:val="top"/>
          </w:tcPr>
          <w:p w14:paraId="7C6102A6">
            <w:pPr>
              <w:spacing w:line="360" w:lineRule="auto"/>
              <w:rPr>
                <w:rFonts w:hint="eastAsia" w:ascii="宋体" w:hAnsi="宋体" w:eastAsia="宋体" w:cs="宋体"/>
                <w:color w:val="auto"/>
                <w:sz w:val="28"/>
                <w:highlight w:val="none"/>
              </w:rPr>
            </w:pPr>
          </w:p>
        </w:tc>
        <w:tc>
          <w:tcPr>
            <w:tcW w:w="1365" w:type="dxa"/>
            <w:noWrap w:val="0"/>
            <w:vAlign w:val="top"/>
          </w:tcPr>
          <w:p w14:paraId="6378CAF9">
            <w:pPr>
              <w:spacing w:line="360" w:lineRule="auto"/>
              <w:rPr>
                <w:rFonts w:hint="eastAsia" w:ascii="宋体" w:hAnsi="宋体" w:eastAsia="宋体" w:cs="宋体"/>
                <w:color w:val="auto"/>
                <w:sz w:val="28"/>
                <w:highlight w:val="none"/>
              </w:rPr>
            </w:pPr>
          </w:p>
        </w:tc>
        <w:tc>
          <w:tcPr>
            <w:tcW w:w="876" w:type="dxa"/>
            <w:noWrap w:val="0"/>
            <w:vAlign w:val="top"/>
          </w:tcPr>
          <w:p w14:paraId="24DD4B8B">
            <w:pPr>
              <w:spacing w:line="360" w:lineRule="auto"/>
              <w:rPr>
                <w:rFonts w:hint="eastAsia" w:ascii="宋体" w:hAnsi="宋体" w:eastAsia="宋体" w:cs="宋体"/>
                <w:color w:val="auto"/>
                <w:sz w:val="28"/>
                <w:highlight w:val="none"/>
              </w:rPr>
            </w:pPr>
          </w:p>
        </w:tc>
      </w:tr>
      <w:tr w14:paraId="35EF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599F7C1D">
            <w:pPr>
              <w:spacing w:line="360" w:lineRule="auto"/>
              <w:rPr>
                <w:rFonts w:hint="eastAsia" w:ascii="宋体" w:hAnsi="宋体" w:eastAsia="宋体" w:cs="宋体"/>
                <w:color w:val="auto"/>
                <w:sz w:val="28"/>
                <w:highlight w:val="none"/>
              </w:rPr>
            </w:pPr>
          </w:p>
        </w:tc>
        <w:tc>
          <w:tcPr>
            <w:tcW w:w="1403" w:type="dxa"/>
            <w:noWrap w:val="0"/>
            <w:vAlign w:val="top"/>
          </w:tcPr>
          <w:p w14:paraId="29D970C0">
            <w:pPr>
              <w:spacing w:line="360" w:lineRule="auto"/>
              <w:rPr>
                <w:rFonts w:hint="eastAsia" w:ascii="宋体" w:hAnsi="宋体" w:eastAsia="宋体" w:cs="宋体"/>
                <w:color w:val="auto"/>
                <w:sz w:val="28"/>
                <w:highlight w:val="none"/>
              </w:rPr>
            </w:pPr>
          </w:p>
        </w:tc>
        <w:tc>
          <w:tcPr>
            <w:tcW w:w="2077" w:type="dxa"/>
            <w:noWrap w:val="0"/>
            <w:vAlign w:val="top"/>
          </w:tcPr>
          <w:p w14:paraId="5BB43CC6">
            <w:pPr>
              <w:spacing w:line="360" w:lineRule="auto"/>
              <w:rPr>
                <w:rFonts w:hint="eastAsia" w:ascii="宋体" w:hAnsi="宋体" w:eastAsia="宋体" w:cs="宋体"/>
                <w:color w:val="auto"/>
                <w:sz w:val="28"/>
                <w:highlight w:val="none"/>
              </w:rPr>
            </w:pPr>
          </w:p>
        </w:tc>
        <w:tc>
          <w:tcPr>
            <w:tcW w:w="1575" w:type="dxa"/>
            <w:noWrap w:val="0"/>
            <w:vAlign w:val="top"/>
          </w:tcPr>
          <w:p w14:paraId="080F85F3">
            <w:pPr>
              <w:spacing w:line="360" w:lineRule="auto"/>
              <w:rPr>
                <w:rFonts w:hint="eastAsia" w:ascii="宋体" w:hAnsi="宋体" w:eastAsia="宋体" w:cs="宋体"/>
                <w:color w:val="auto"/>
                <w:sz w:val="28"/>
                <w:highlight w:val="none"/>
              </w:rPr>
            </w:pPr>
          </w:p>
        </w:tc>
        <w:tc>
          <w:tcPr>
            <w:tcW w:w="1286" w:type="dxa"/>
            <w:noWrap w:val="0"/>
            <w:vAlign w:val="top"/>
          </w:tcPr>
          <w:p w14:paraId="3E07F11C">
            <w:pPr>
              <w:spacing w:line="360" w:lineRule="auto"/>
              <w:rPr>
                <w:rFonts w:hint="eastAsia" w:ascii="宋体" w:hAnsi="宋体" w:eastAsia="宋体" w:cs="宋体"/>
                <w:color w:val="auto"/>
                <w:sz w:val="28"/>
                <w:highlight w:val="none"/>
              </w:rPr>
            </w:pPr>
          </w:p>
        </w:tc>
        <w:tc>
          <w:tcPr>
            <w:tcW w:w="1365" w:type="dxa"/>
            <w:noWrap w:val="0"/>
            <w:vAlign w:val="top"/>
          </w:tcPr>
          <w:p w14:paraId="4ED96C5A">
            <w:pPr>
              <w:spacing w:line="360" w:lineRule="auto"/>
              <w:rPr>
                <w:rFonts w:hint="eastAsia" w:ascii="宋体" w:hAnsi="宋体" w:eastAsia="宋体" w:cs="宋体"/>
                <w:color w:val="auto"/>
                <w:sz w:val="28"/>
                <w:highlight w:val="none"/>
              </w:rPr>
            </w:pPr>
          </w:p>
        </w:tc>
        <w:tc>
          <w:tcPr>
            <w:tcW w:w="1365" w:type="dxa"/>
            <w:noWrap w:val="0"/>
            <w:vAlign w:val="top"/>
          </w:tcPr>
          <w:p w14:paraId="29B701F7">
            <w:pPr>
              <w:spacing w:line="360" w:lineRule="auto"/>
              <w:rPr>
                <w:rFonts w:hint="eastAsia" w:ascii="宋体" w:hAnsi="宋体" w:eastAsia="宋体" w:cs="宋体"/>
                <w:color w:val="auto"/>
                <w:sz w:val="28"/>
                <w:highlight w:val="none"/>
              </w:rPr>
            </w:pPr>
          </w:p>
        </w:tc>
        <w:tc>
          <w:tcPr>
            <w:tcW w:w="876" w:type="dxa"/>
            <w:noWrap w:val="0"/>
            <w:vAlign w:val="top"/>
          </w:tcPr>
          <w:p w14:paraId="6A9DF704">
            <w:pPr>
              <w:spacing w:line="360" w:lineRule="auto"/>
              <w:rPr>
                <w:rFonts w:hint="eastAsia" w:ascii="宋体" w:hAnsi="宋体" w:eastAsia="宋体" w:cs="宋体"/>
                <w:color w:val="auto"/>
                <w:sz w:val="28"/>
                <w:highlight w:val="none"/>
              </w:rPr>
            </w:pPr>
          </w:p>
        </w:tc>
      </w:tr>
      <w:tr w14:paraId="56A0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01DD80EC">
            <w:pPr>
              <w:spacing w:line="360" w:lineRule="auto"/>
              <w:rPr>
                <w:rFonts w:hint="eastAsia" w:ascii="宋体" w:hAnsi="宋体" w:eastAsia="宋体" w:cs="宋体"/>
                <w:color w:val="auto"/>
                <w:sz w:val="28"/>
                <w:highlight w:val="none"/>
              </w:rPr>
            </w:pPr>
          </w:p>
        </w:tc>
        <w:tc>
          <w:tcPr>
            <w:tcW w:w="1403" w:type="dxa"/>
            <w:noWrap w:val="0"/>
            <w:vAlign w:val="top"/>
          </w:tcPr>
          <w:p w14:paraId="09846F7A">
            <w:pPr>
              <w:spacing w:line="360" w:lineRule="auto"/>
              <w:rPr>
                <w:rFonts w:hint="eastAsia" w:ascii="宋体" w:hAnsi="宋体" w:eastAsia="宋体" w:cs="宋体"/>
                <w:color w:val="auto"/>
                <w:sz w:val="28"/>
                <w:highlight w:val="none"/>
              </w:rPr>
            </w:pPr>
          </w:p>
        </w:tc>
        <w:tc>
          <w:tcPr>
            <w:tcW w:w="2077" w:type="dxa"/>
            <w:noWrap w:val="0"/>
            <w:vAlign w:val="top"/>
          </w:tcPr>
          <w:p w14:paraId="651D8579">
            <w:pPr>
              <w:spacing w:line="360" w:lineRule="auto"/>
              <w:rPr>
                <w:rFonts w:hint="eastAsia" w:ascii="宋体" w:hAnsi="宋体" w:eastAsia="宋体" w:cs="宋体"/>
                <w:color w:val="auto"/>
                <w:sz w:val="28"/>
                <w:highlight w:val="none"/>
              </w:rPr>
            </w:pPr>
          </w:p>
        </w:tc>
        <w:tc>
          <w:tcPr>
            <w:tcW w:w="1575" w:type="dxa"/>
            <w:noWrap w:val="0"/>
            <w:vAlign w:val="top"/>
          </w:tcPr>
          <w:p w14:paraId="3842CFF3">
            <w:pPr>
              <w:spacing w:line="360" w:lineRule="auto"/>
              <w:rPr>
                <w:rFonts w:hint="eastAsia" w:ascii="宋体" w:hAnsi="宋体" w:eastAsia="宋体" w:cs="宋体"/>
                <w:color w:val="auto"/>
                <w:sz w:val="28"/>
                <w:highlight w:val="none"/>
              </w:rPr>
            </w:pPr>
          </w:p>
        </w:tc>
        <w:tc>
          <w:tcPr>
            <w:tcW w:w="1286" w:type="dxa"/>
            <w:noWrap w:val="0"/>
            <w:vAlign w:val="top"/>
          </w:tcPr>
          <w:p w14:paraId="4E43F575">
            <w:pPr>
              <w:spacing w:line="360" w:lineRule="auto"/>
              <w:rPr>
                <w:rFonts w:hint="eastAsia" w:ascii="宋体" w:hAnsi="宋体" w:eastAsia="宋体" w:cs="宋体"/>
                <w:color w:val="auto"/>
                <w:sz w:val="28"/>
                <w:highlight w:val="none"/>
              </w:rPr>
            </w:pPr>
          </w:p>
        </w:tc>
        <w:tc>
          <w:tcPr>
            <w:tcW w:w="1365" w:type="dxa"/>
            <w:noWrap w:val="0"/>
            <w:vAlign w:val="top"/>
          </w:tcPr>
          <w:p w14:paraId="152D36B7">
            <w:pPr>
              <w:spacing w:line="360" w:lineRule="auto"/>
              <w:rPr>
                <w:rFonts w:hint="eastAsia" w:ascii="宋体" w:hAnsi="宋体" w:eastAsia="宋体" w:cs="宋体"/>
                <w:color w:val="auto"/>
                <w:sz w:val="28"/>
                <w:highlight w:val="none"/>
              </w:rPr>
            </w:pPr>
          </w:p>
        </w:tc>
        <w:tc>
          <w:tcPr>
            <w:tcW w:w="1365" w:type="dxa"/>
            <w:noWrap w:val="0"/>
            <w:vAlign w:val="top"/>
          </w:tcPr>
          <w:p w14:paraId="2FC448EF">
            <w:pPr>
              <w:spacing w:line="360" w:lineRule="auto"/>
              <w:rPr>
                <w:rFonts w:hint="eastAsia" w:ascii="宋体" w:hAnsi="宋体" w:eastAsia="宋体" w:cs="宋体"/>
                <w:color w:val="auto"/>
                <w:sz w:val="28"/>
                <w:highlight w:val="none"/>
              </w:rPr>
            </w:pPr>
          </w:p>
        </w:tc>
        <w:tc>
          <w:tcPr>
            <w:tcW w:w="876" w:type="dxa"/>
            <w:noWrap w:val="0"/>
            <w:vAlign w:val="top"/>
          </w:tcPr>
          <w:p w14:paraId="15E2FB2A">
            <w:pPr>
              <w:spacing w:line="360" w:lineRule="auto"/>
              <w:rPr>
                <w:rFonts w:hint="eastAsia" w:ascii="宋体" w:hAnsi="宋体" w:eastAsia="宋体" w:cs="宋体"/>
                <w:color w:val="auto"/>
                <w:sz w:val="28"/>
                <w:highlight w:val="none"/>
              </w:rPr>
            </w:pPr>
          </w:p>
        </w:tc>
      </w:tr>
      <w:tr w14:paraId="51A1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664769D3">
            <w:pPr>
              <w:spacing w:line="360" w:lineRule="auto"/>
              <w:rPr>
                <w:rFonts w:hint="eastAsia" w:ascii="宋体" w:hAnsi="宋体" w:eastAsia="宋体" w:cs="宋体"/>
                <w:color w:val="auto"/>
                <w:sz w:val="28"/>
                <w:highlight w:val="none"/>
              </w:rPr>
            </w:pPr>
          </w:p>
        </w:tc>
        <w:tc>
          <w:tcPr>
            <w:tcW w:w="1403" w:type="dxa"/>
            <w:noWrap w:val="0"/>
            <w:vAlign w:val="top"/>
          </w:tcPr>
          <w:p w14:paraId="5F258575">
            <w:pPr>
              <w:spacing w:line="360" w:lineRule="auto"/>
              <w:rPr>
                <w:rFonts w:hint="eastAsia" w:ascii="宋体" w:hAnsi="宋体" w:eastAsia="宋体" w:cs="宋体"/>
                <w:color w:val="auto"/>
                <w:sz w:val="28"/>
                <w:highlight w:val="none"/>
              </w:rPr>
            </w:pPr>
          </w:p>
        </w:tc>
        <w:tc>
          <w:tcPr>
            <w:tcW w:w="2077" w:type="dxa"/>
            <w:noWrap w:val="0"/>
            <w:vAlign w:val="top"/>
          </w:tcPr>
          <w:p w14:paraId="3FEE1111">
            <w:pPr>
              <w:spacing w:line="360" w:lineRule="auto"/>
              <w:rPr>
                <w:rFonts w:hint="eastAsia" w:ascii="宋体" w:hAnsi="宋体" w:eastAsia="宋体" w:cs="宋体"/>
                <w:color w:val="auto"/>
                <w:sz w:val="28"/>
                <w:highlight w:val="none"/>
              </w:rPr>
            </w:pPr>
          </w:p>
        </w:tc>
        <w:tc>
          <w:tcPr>
            <w:tcW w:w="1575" w:type="dxa"/>
            <w:noWrap w:val="0"/>
            <w:vAlign w:val="top"/>
          </w:tcPr>
          <w:p w14:paraId="40D730B6">
            <w:pPr>
              <w:spacing w:line="360" w:lineRule="auto"/>
              <w:rPr>
                <w:rFonts w:hint="eastAsia" w:ascii="宋体" w:hAnsi="宋体" w:eastAsia="宋体" w:cs="宋体"/>
                <w:color w:val="auto"/>
                <w:sz w:val="28"/>
                <w:highlight w:val="none"/>
              </w:rPr>
            </w:pPr>
          </w:p>
        </w:tc>
        <w:tc>
          <w:tcPr>
            <w:tcW w:w="1286" w:type="dxa"/>
            <w:noWrap w:val="0"/>
            <w:vAlign w:val="top"/>
          </w:tcPr>
          <w:p w14:paraId="3E1E856F">
            <w:pPr>
              <w:spacing w:line="360" w:lineRule="auto"/>
              <w:rPr>
                <w:rFonts w:hint="eastAsia" w:ascii="宋体" w:hAnsi="宋体" w:eastAsia="宋体" w:cs="宋体"/>
                <w:color w:val="auto"/>
                <w:sz w:val="28"/>
                <w:highlight w:val="none"/>
              </w:rPr>
            </w:pPr>
          </w:p>
        </w:tc>
        <w:tc>
          <w:tcPr>
            <w:tcW w:w="1365" w:type="dxa"/>
            <w:noWrap w:val="0"/>
            <w:vAlign w:val="top"/>
          </w:tcPr>
          <w:p w14:paraId="08D90C03">
            <w:pPr>
              <w:spacing w:line="360" w:lineRule="auto"/>
              <w:rPr>
                <w:rFonts w:hint="eastAsia" w:ascii="宋体" w:hAnsi="宋体" w:eastAsia="宋体" w:cs="宋体"/>
                <w:color w:val="auto"/>
                <w:sz w:val="28"/>
                <w:highlight w:val="none"/>
              </w:rPr>
            </w:pPr>
          </w:p>
        </w:tc>
        <w:tc>
          <w:tcPr>
            <w:tcW w:w="1365" w:type="dxa"/>
            <w:noWrap w:val="0"/>
            <w:vAlign w:val="top"/>
          </w:tcPr>
          <w:p w14:paraId="1BB54D11">
            <w:pPr>
              <w:spacing w:line="360" w:lineRule="auto"/>
              <w:rPr>
                <w:rFonts w:hint="eastAsia" w:ascii="宋体" w:hAnsi="宋体" w:eastAsia="宋体" w:cs="宋体"/>
                <w:color w:val="auto"/>
                <w:sz w:val="28"/>
                <w:highlight w:val="none"/>
              </w:rPr>
            </w:pPr>
          </w:p>
        </w:tc>
        <w:tc>
          <w:tcPr>
            <w:tcW w:w="876" w:type="dxa"/>
            <w:noWrap w:val="0"/>
            <w:vAlign w:val="top"/>
          </w:tcPr>
          <w:p w14:paraId="0D3FE2F8">
            <w:pPr>
              <w:spacing w:line="360" w:lineRule="auto"/>
              <w:rPr>
                <w:rFonts w:hint="eastAsia" w:ascii="宋体" w:hAnsi="宋体" w:eastAsia="宋体" w:cs="宋体"/>
                <w:color w:val="auto"/>
                <w:sz w:val="28"/>
                <w:highlight w:val="none"/>
              </w:rPr>
            </w:pPr>
          </w:p>
        </w:tc>
      </w:tr>
      <w:tr w14:paraId="4DB5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top"/>
          </w:tcPr>
          <w:p w14:paraId="5D7A58FB">
            <w:pPr>
              <w:spacing w:line="360" w:lineRule="auto"/>
              <w:rPr>
                <w:rFonts w:hint="eastAsia" w:ascii="宋体" w:hAnsi="宋体" w:eastAsia="宋体" w:cs="宋体"/>
                <w:color w:val="auto"/>
                <w:sz w:val="28"/>
                <w:highlight w:val="none"/>
              </w:rPr>
            </w:pPr>
          </w:p>
        </w:tc>
        <w:tc>
          <w:tcPr>
            <w:tcW w:w="1403" w:type="dxa"/>
            <w:noWrap w:val="0"/>
            <w:vAlign w:val="top"/>
          </w:tcPr>
          <w:p w14:paraId="560DFADC">
            <w:pPr>
              <w:spacing w:line="360" w:lineRule="auto"/>
              <w:rPr>
                <w:rFonts w:hint="eastAsia" w:ascii="宋体" w:hAnsi="宋体" w:eastAsia="宋体" w:cs="宋体"/>
                <w:color w:val="auto"/>
                <w:sz w:val="28"/>
                <w:highlight w:val="none"/>
              </w:rPr>
            </w:pPr>
          </w:p>
        </w:tc>
        <w:tc>
          <w:tcPr>
            <w:tcW w:w="2077" w:type="dxa"/>
            <w:noWrap w:val="0"/>
            <w:vAlign w:val="top"/>
          </w:tcPr>
          <w:p w14:paraId="0471D27D">
            <w:pPr>
              <w:spacing w:line="360" w:lineRule="auto"/>
              <w:rPr>
                <w:rFonts w:hint="eastAsia" w:ascii="宋体" w:hAnsi="宋体" w:eastAsia="宋体" w:cs="宋体"/>
                <w:color w:val="auto"/>
                <w:sz w:val="28"/>
                <w:highlight w:val="none"/>
              </w:rPr>
            </w:pPr>
          </w:p>
        </w:tc>
        <w:tc>
          <w:tcPr>
            <w:tcW w:w="1575" w:type="dxa"/>
            <w:noWrap w:val="0"/>
            <w:vAlign w:val="top"/>
          </w:tcPr>
          <w:p w14:paraId="64ADC12D">
            <w:pPr>
              <w:spacing w:line="360" w:lineRule="auto"/>
              <w:rPr>
                <w:rFonts w:hint="eastAsia" w:ascii="宋体" w:hAnsi="宋体" w:eastAsia="宋体" w:cs="宋体"/>
                <w:color w:val="auto"/>
                <w:sz w:val="28"/>
                <w:highlight w:val="none"/>
              </w:rPr>
            </w:pPr>
          </w:p>
        </w:tc>
        <w:tc>
          <w:tcPr>
            <w:tcW w:w="1286" w:type="dxa"/>
            <w:noWrap w:val="0"/>
            <w:vAlign w:val="top"/>
          </w:tcPr>
          <w:p w14:paraId="013D8D1F">
            <w:pPr>
              <w:spacing w:line="360" w:lineRule="auto"/>
              <w:rPr>
                <w:rFonts w:hint="eastAsia" w:ascii="宋体" w:hAnsi="宋体" w:eastAsia="宋体" w:cs="宋体"/>
                <w:color w:val="auto"/>
                <w:sz w:val="28"/>
                <w:highlight w:val="none"/>
              </w:rPr>
            </w:pPr>
          </w:p>
        </w:tc>
        <w:tc>
          <w:tcPr>
            <w:tcW w:w="1365" w:type="dxa"/>
            <w:noWrap w:val="0"/>
            <w:vAlign w:val="top"/>
          </w:tcPr>
          <w:p w14:paraId="198D2A51">
            <w:pPr>
              <w:spacing w:line="360" w:lineRule="auto"/>
              <w:rPr>
                <w:rFonts w:hint="eastAsia" w:ascii="宋体" w:hAnsi="宋体" w:eastAsia="宋体" w:cs="宋体"/>
                <w:color w:val="auto"/>
                <w:sz w:val="28"/>
                <w:highlight w:val="none"/>
              </w:rPr>
            </w:pPr>
          </w:p>
        </w:tc>
        <w:tc>
          <w:tcPr>
            <w:tcW w:w="1365" w:type="dxa"/>
            <w:noWrap w:val="0"/>
            <w:vAlign w:val="top"/>
          </w:tcPr>
          <w:p w14:paraId="712DE438">
            <w:pPr>
              <w:spacing w:line="360" w:lineRule="auto"/>
              <w:rPr>
                <w:rFonts w:hint="eastAsia" w:ascii="宋体" w:hAnsi="宋体" w:eastAsia="宋体" w:cs="宋体"/>
                <w:color w:val="auto"/>
                <w:sz w:val="28"/>
                <w:highlight w:val="none"/>
              </w:rPr>
            </w:pPr>
          </w:p>
        </w:tc>
        <w:tc>
          <w:tcPr>
            <w:tcW w:w="876" w:type="dxa"/>
            <w:noWrap w:val="0"/>
            <w:vAlign w:val="top"/>
          </w:tcPr>
          <w:p w14:paraId="2B777163">
            <w:pPr>
              <w:spacing w:line="360" w:lineRule="auto"/>
              <w:rPr>
                <w:rFonts w:hint="eastAsia" w:ascii="宋体" w:hAnsi="宋体" w:eastAsia="宋体" w:cs="宋体"/>
                <w:color w:val="auto"/>
                <w:sz w:val="28"/>
                <w:highlight w:val="none"/>
              </w:rPr>
            </w:pPr>
          </w:p>
        </w:tc>
      </w:tr>
    </w:tbl>
    <w:p w14:paraId="291E605F">
      <w:pPr>
        <w:spacing w:line="440" w:lineRule="exact"/>
        <w:rPr>
          <w:rFonts w:ascii="宋体" w:hAnsi="宋体"/>
          <w:color w:val="000000" w:themeColor="text1"/>
          <w:szCs w:val="24"/>
          <w14:textFill>
            <w14:solidFill>
              <w14:schemeClr w14:val="tx1"/>
            </w14:solidFill>
          </w14:textFill>
        </w:rPr>
      </w:pPr>
      <w:r>
        <w:rPr>
          <w:rFonts w:hint="eastAsia" w:ascii="宋体" w:hAnsi="宋体" w:eastAsia="宋体" w:cs="宋体"/>
          <w:b/>
          <w:color w:val="auto"/>
          <w:szCs w:val="21"/>
          <w:highlight w:val="none"/>
        </w:rPr>
        <w:t>注：</w:t>
      </w:r>
      <w:r>
        <w:rPr>
          <w:rFonts w:hint="eastAsia" w:ascii="宋体" w:hAnsi="宋体" w:eastAsia="宋体" w:cs="宋体"/>
          <w:color w:val="auto"/>
          <w:highlight w:val="none"/>
        </w:rPr>
        <w:t>业绩完成时间以竣工验收时间为准。每项业绩按合格投标人条件及评标办法要求附证明材料。</w:t>
      </w:r>
    </w:p>
    <w:p w14:paraId="6C762A83">
      <w:pPr>
        <w:rPr>
          <w:rFonts w:hint="eastAsia" w:ascii="宋体" w:hAnsi="宋体"/>
          <w:b/>
          <w:bCs/>
          <w:color w:val="000000" w:themeColor="text1"/>
          <w:sz w:val="32"/>
          <w:szCs w:val="32"/>
          <w:lang w:eastAsia="zh-CN"/>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br w:type="page"/>
      </w:r>
    </w:p>
    <w:p w14:paraId="2CE30896">
      <w:pPr>
        <w:snapToGrid w:val="0"/>
        <w:spacing w:after="120" w:line="360" w:lineRule="auto"/>
        <w:jc w:val="center"/>
        <w:rPr>
          <w:rFonts w:hint="eastAsia" w:ascii="宋体" w:hAnsi="宋体"/>
          <w:b/>
          <w:bCs/>
          <w:color w:val="000000" w:themeColor="text1"/>
          <w:sz w:val="32"/>
          <w:szCs w:val="32"/>
          <w:lang w:eastAsia="zh-CN"/>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w:t>
      </w:r>
      <w:r>
        <w:rPr>
          <w:rFonts w:hint="eastAsia" w:ascii="宋体" w:hAnsi="宋体"/>
          <w:b/>
          <w:bCs/>
          <w:color w:val="000000" w:themeColor="text1"/>
          <w:sz w:val="32"/>
          <w:szCs w:val="32"/>
          <w:lang w:val="en-US" w:eastAsia="zh-CN"/>
          <w14:textFill>
            <w14:solidFill>
              <w14:schemeClr w14:val="tx1"/>
            </w14:solidFill>
          </w14:textFill>
        </w:rPr>
        <w:t>二</w:t>
      </w:r>
      <w:r>
        <w:rPr>
          <w:rFonts w:hint="eastAsia" w:ascii="宋体" w:hAnsi="宋体"/>
          <w:b/>
          <w:bCs/>
          <w:color w:val="000000" w:themeColor="text1"/>
          <w:sz w:val="32"/>
          <w:szCs w:val="32"/>
          <w:lang w:eastAsia="zh-CN"/>
          <w14:textFill>
            <w14:solidFill>
              <w14:schemeClr w14:val="tx1"/>
            </w14:solidFill>
          </w14:textFill>
        </w:rPr>
        <w:t>）</w:t>
      </w:r>
      <w:r>
        <w:rPr>
          <w:rFonts w:hint="eastAsia" w:ascii="宋体" w:hAnsi="宋体"/>
          <w:b/>
          <w:bCs/>
          <w:color w:val="000000" w:themeColor="text1"/>
          <w:sz w:val="32"/>
          <w:szCs w:val="32"/>
          <w:lang w:val="en-US" w:eastAsia="zh-CN"/>
          <w14:textFill>
            <w14:solidFill>
              <w14:schemeClr w14:val="tx1"/>
            </w14:solidFill>
          </w14:textFill>
        </w:rPr>
        <w:t>-（2）</w:t>
      </w:r>
      <w:r>
        <w:rPr>
          <w:rFonts w:hint="eastAsia" w:ascii="宋体" w:hAnsi="宋体"/>
          <w:b/>
          <w:bCs/>
          <w:color w:val="000000" w:themeColor="text1"/>
          <w:sz w:val="32"/>
          <w:szCs w:val="32"/>
          <w:lang w:eastAsia="zh-CN"/>
          <w14:textFill>
            <w14:solidFill>
              <w14:schemeClr w14:val="tx1"/>
            </w14:solidFill>
          </w14:textFill>
        </w:rPr>
        <w:t>2020年1月1日至投标截止日</w:t>
      </w:r>
    </w:p>
    <w:p w14:paraId="010BA529">
      <w:pPr>
        <w:snapToGrid w:val="0"/>
        <w:spacing w:after="120" w:line="360" w:lineRule="auto"/>
        <w:jc w:val="center"/>
        <w:rPr>
          <w:rFonts w:hint="eastAsia" w:ascii="宋体" w:hAnsi="宋体" w:eastAsia="宋体" w:cs="宋体"/>
          <w:b/>
          <w:color w:val="auto"/>
          <w:sz w:val="32"/>
          <w:szCs w:val="32"/>
          <w:highlight w:val="none"/>
        </w:rPr>
      </w:pPr>
      <w:r>
        <w:rPr>
          <w:rFonts w:hint="eastAsia" w:ascii="宋体" w:hAnsi="宋体"/>
          <w:b/>
          <w:bCs/>
          <w:color w:val="000000" w:themeColor="text1"/>
          <w:sz w:val="32"/>
          <w:szCs w:val="32"/>
          <w:lang w:eastAsia="zh-CN"/>
          <w14:textFill>
            <w14:solidFill>
              <w14:schemeClr w14:val="tx1"/>
            </w14:solidFill>
          </w14:textFill>
        </w:rPr>
        <w:t>项目总监理工程师业绩一览表</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94"/>
        <w:gridCol w:w="1473"/>
        <w:gridCol w:w="1117"/>
        <w:gridCol w:w="910"/>
        <w:gridCol w:w="967"/>
        <w:gridCol w:w="967"/>
        <w:gridCol w:w="967"/>
        <w:gridCol w:w="620"/>
      </w:tblGrid>
      <w:tr w14:paraId="04CC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center"/>
          </w:tcPr>
          <w:p w14:paraId="67DFEF3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83" w:type="pct"/>
            <w:noWrap w:val="0"/>
            <w:vAlign w:val="center"/>
          </w:tcPr>
          <w:p w14:paraId="01FBD0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w:t>
            </w:r>
          </w:p>
          <w:p w14:paraId="458BC62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64" w:type="pct"/>
            <w:noWrap w:val="0"/>
            <w:vAlign w:val="center"/>
          </w:tcPr>
          <w:p w14:paraId="0B306FA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w:t>
            </w:r>
          </w:p>
          <w:p w14:paraId="39A88F6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655" w:type="pct"/>
            <w:noWrap w:val="0"/>
            <w:vAlign w:val="center"/>
          </w:tcPr>
          <w:p w14:paraId="65D1EC0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建设地点</w:t>
            </w:r>
          </w:p>
        </w:tc>
        <w:tc>
          <w:tcPr>
            <w:tcW w:w="534" w:type="pct"/>
            <w:noWrap w:val="0"/>
            <w:vAlign w:val="center"/>
          </w:tcPr>
          <w:p w14:paraId="635A8821">
            <w:pPr>
              <w:spacing w:line="360" w:lineRule="auto"/>
              <w:jc w:val="center"/>
              <w:rPr>
                <w:rFonts w:hint="eastAsia" w:ascii="宋体" w:hAnsi="宋体" w:eastAsia="宋体" w:cs="宋体"/>
                <w:color w:val="auto"/>
                <w:sz w:val="24"/>
                <w:highlight w:val="none"/>
              </w:rPr>
            </w:pPr>
          </w:p>
          <w:p w14:paraId="490509E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项目投资额(万元)</w:t>
            </w:r>
          </w:p>
          <w:p w14:paraId="1AE4C9CF">
            <w:pPr>
              <w:spacing w:line="360" w:lineRule="auto"/>
              <w:jc w:val="center"/>
              <w:rPr>
                <w:rFonts w:hint="eastAsia" w:ascii="宋体" w:hAnsi="宋体" w:eastAsia="宋体" w:cs="宋体"/>
                <w:color w:val="auto"/>
                <w:sz w:val="24"/>
                <w:highlight w:val="none"/>
              </w:rPr>
            </w:pPr>
          </w:p>
        </w:tc>
        <w:tc>
          <w:tcPr>
            <w:tcW w:w="567" w:type="pct"/>
            <w:noWrap w:val="0"/>
            <w:vAlign w:val="center"/>
          </w:tcPr>
          <w:p w14:paraId="134B45A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监理合同金额(万元)</w:t>
            </w:r>
          </w:p>
        </w:tc>
        <w:tc>
          <w:tcPr>
            <w:tcW w:w="567" w:type="pct"/>
            <w:noWrap w:val="0"/>
            <w:vAlign w:val="center"/>
          </w:tcPr>
          <w:p w14:paraId="61C73BFE">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在项目中所担任的职务</w:t>
            </w:r>
          </w:p>
        </w:tc>
        <w:tc>
          <w:tcPr>
            <w:tcW w:w="567" w:type="pct"/>
            <w:noWrap w:val="0"/>
            <w:vAlign w:val="center"/>
          </w:tcPr>
          <w:p w14:paraId="7294E4D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w:t>
            </w:r>
          </w:p>
          <w:p w14:paraId="2E1C31B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tc>
        <w:tc>
          <w:tcPr>
            <w:tcW w:w="364" w:type="pct"/>
            <w:noWrap w:val="0"/>
            <w:vAlign w:val="center"/>
          </w:tcPr>
          <w:p w14:paraId="73412B8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72D8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3AD95B8F">
            <w:pPr>
              <w:spacing w:line="360" w:lineRule="auto"/>
              <w:rPr>
                <w:rFonts w:hint="eastAsia" w:ascii="宋体" w:hAnsi="宋体" w:eastAsia="宋体" w:cs="宋体"/>
                <w:color w:val="auto"/>
                <w:sz w:val="28"/>
                <w:highlight w:val="none"/>
              </w:rPr>
            </w:pPr>
          </w:p>
        </w:tc>
        <w:tc>
          <w:tcPr>
            <w:tcW w:w="583" w:type="pct"/>
            <w:noWrap w:val="0"/>
            <w:vAlign w:val="top"/>
          </w:tcPr>
          <w:p w14:paraId="4A1633AC">
            <w:pPr>
              <w:spacing w:line="360" w:lineRule="auto"/>
              <w:rPr>
                <w:rFonts w:hint="eastAsia" w:ascii="宋体" w:hAnsi="宋体" w:eastAsia="宋体" w:cs="宋体"/>
                <w:color w:val="auto"/>
                <w:sz w:val="28"/>
                <w:highlight w:val="none"/>
              </w:rPr>
            </w:pPr>
          </w:p>
        </w:tc>
        <w:tc>
          <w:tcPr>
            <w:tcW w:w="864" w:type="pct"/>
            <w:noWrap w:val="0"/>
            <w:vAlign w:val="top"/>
          </w:tcPr>
          <w:p w14:paraId="2A253A0D">
            <w:pPr>
              <w:spacing w:line="360" w:lineRule="auto"/>
              <w:rPr>
                <w:rFonts w:hint="eastAsia" w:ascii="宋体" w:hAnsi="宋体" w:eastAsia="宋体" w:cs="宋体"/>
                <w:color w:val="auto"/>
                <w:sz w:val="28"/>
                <w:highlight w:val="none"/>
              </w:rPr>
            </w:pPr>
          </w:p>
        </w:tc>
        <w:tc>
          <w:tcPr>
            <w:tcW w:w="655" w:type="pct"/>
            <w:noWrap w:val="0"/>
            <w:vAlign w:val="top"/>
          </w:tcPr>
          <w:p w14:paraId="2D7457E8">
            <w:pPr>
              <w:spacing w:line="360" w:lineRule="auto"/>
              <w:rPr>
                <w:rFonts w:hint="eastAsia" w:ascii="宋体" w:hAnsi="宋体" w:eastAsia="宋体" w:cs="宋体"/>
                <w:color w:val="auto"/>
                <w:sz w:val="28"/>
                <w:highlight w:val="none"/>
              </w:rPr>
            </w:pPr>
          </w:p>
        </w:tc>
        <w:tc>
          <w:tcPr>
            <w:tcW w:w="534" w:type="pct"/>
            <w:noWrap w:val="0"/>
            <w:vAlign w:val="top"/>
          </w:tcPr>
          <w:p w14:paraId="2AE481C8">
            <w:pPr>
              <w:spacing w:line="360" w:lineRule="auto"/>
              <w:rPr>
                <w:rFonts w:hint="eastAsia" w:ascii="宋体" w:hAnsi="宋体" w:eastAsia="宋体" w:cs="宋体"/>
                <w:color w:val="auto"/>
                <w:sz w:val="28"/>
                <w:highlight w:val="none"/>
              </w:rPr>
            </w:pPr>
          </w:p>
        </w:tc>
        <w:tc>
          <w:tcPr>
            <w:tcW w:w="567" w:type="pct"/>
            <w:noWrap w:val="0"/>
            <w:vAlign w:val="top"/>
          </w:tcPr>
          <w:p w14:paraId="577F125C">
            <w:pPr>
              <w:spacing w:line="360" w:lineRule="auto"/>
              <w:rPr>
                <w:rFonts w:hint="eastAsia" w:ascii="宋体" w:hAnsi="宋体" w:eastAsia="宋体" w:cs="宋体"/>
                <w:color w:val="auto"/>
                <w:sz w:val="28"/>
                <w:highlight w:val="none"/>
              </w:rPr>
            </w:pPr>
          </w:p>
        </w:tc>
        <w:tc>
          <w:tcPr>
            <w:tcW w:w="567" w:type="pct"/>
            <w:noWrap w:val="0"/>
            <w:vAlign w:val="top"/>
          </w:tcPr>
          <w:p w14:paraId="2A11A74A">
            <w:pPr>
              <w:spacing w:line="360" w:lineRule="auto"/>
              <w:rPr>
                <w:rFonts w:hint="eastAsia" w:ascii="宋体" w:hAnsi="宋体" w:eastAsia="宋体" w:cs="宋体"/>
                <w:color w:val="auto"/>
                <w:sz w:val="28"/>
                <w:highlight w:val="none"/>
              </w:rPr>
            </w:pPr>
          </w:p>
        </w:tc>
        <w:tc>
          <w:tcPr>
            <w:tcW w:w="567" w:type="pct"/>
            <w:noWrap w:val="0"/>
            <w:vAlign w:val="top"/>
          </w:tcPr>
          <w:p w14:paraId="731C32E7">
            <w:pPr>
              <w:spacing w:line="360" w:lineRule="auto"/>
              <w:rPr>
                <w:rFonts w:hint="eastAsia" w:ascii="宋体" w:hAnsi="宋体" w:eastAsia="宋体" w:cs="宋体"/>
                <w:color w:val="auto"/>
                <w:sz w:val="28"/>
                <w:highlight w:val="none"/>
              </w:rPr>
            </w:pPr>
          </w:p>
        </w:tc>
        <w:tc>
          <w:tcPr>
            <w:tcW w:w="364" w:type="pct"/>
            <w:noWrap w:val="0"/>
            <w:vAlign w:val="top"/>
          </w:tcPr>
          <w:p w14:paraId="5516D5D3">
            <w:pPr>
              <w:spacing w:line="360" w:lineRule="auto"/>
              <w:rPr>
                <w:rFonts w:hint="eastAsia" w:ascii="宋体" w:hAnsi="宋体" w:eastAsia="宋体" w:cs="宋体"/>
                <w:color w:val="auto"/>
                <w:sz w:val="28"/>
                <w:highlight w:val="none"/>
              </w:rPr>
            </w:pPr>
          </w:p>
        </w:tc>
      </w:tr>
      <w:tr w14:paraId="2A69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6DEC7B03">
            <w:pPr>
              <w:spacing w:line="360" w:lineRule="auto"/>
              <w:rPr>
                <w:rFonts w:hint="eastAsia" w:ascii="宋体" w:hAnsi="宋体" w:eastAsia="宋体" w:cs="宋体"/>
                <w:color w:val="auto"/>
                <w:sz w:val="28"/>
                <w:highlight w:val="none"/>
              </w:rPr>
            </w:pPr>
          </w:p>
        </w:tc>
        <w:tc>
          <w:tcPr>
            <w:tcW w:w="583" w:type="pct"/>
            <w:noWrap w:val="0"/>
            <w:vAlign w:val="top"/>
          </w:tcPr>
          <w:p w14:paraId="60A3C194">
            <w:pPr>
              <w:spacing w:line="360" w:lineRule="auto"/>
              <w:rPr>
                <w:rFonts w:hint="eastAsia" w:ascii="宋体" w:hAnsi="宋体" w:eastAsia="宋体" w:cs="宋体"/>
                <w:color w:val="auto"/>
                <w:sz w:val="28"/>
                <w:highlight w:val="none"/>
              </w:rPr>
            </w:pPr>
          </w:p>
        </w:tc>
        <w:tc>
          <w:tcPr>
            <w:tcW w:w="864" w:type="pct"/>
            <w:noWrap w:val="0"/>
            <w:vAlign w:val="top"/>
          </w:tcPr>
          <w:p w14:paraId="685981C4">
            <w:pPr>
              <w:spacing w:line="360" w:lineRule="auto"/>
              <w:rPr>
                <w:rFonts w:hint="eastAsia" w:ascii="宋体" w:hAnsi="宋体" w:eastAsia="宋体" w:cs="宋体"/>
                <w:color w:val="auto"/>
                <w:sz w:val="28"/>
                <w:highlight w:val="none"/>
              </w:rPr>
            </w:pPr>
          </w:p>
        </w:tc>
        <w:tc>
          <w:tcPr>
            <w:tcW w:w="655" w:type="pct"/>
            <w:noWrap w:val="0"/>
            <w:vAlign w:val="top"/>
          </w:tcPr>
          <w:p w14:paraId="1D7591E0">
            <w:pPr>
              <w:spacing w:line="360" w:lineRule="auto"/>
              <w:rPr>
                <w:rFonts w:hint="eastAsia" w:ascii="宋体" w:hAnsi="宋体" w:eastAsia="宋体" w:cs="宋体"/>
                <w:color w:val="auto"/>
                <w:sz w:val="28"/>
                <w:highlight w:val="none"/>
              </w:rPr>
            </w:pPr>
          </w:p>
        </w:tc>
        <w:tc>
          <w:tcPr>
            <w:tcW w:w="534" w:type="pct"/>
            <w:noWrap w:val="0"/>
            <w:vAlign w:val="top"/>
          </w:tcPr>
          <w:p w14:paraId="24C360A4">
            <w:pPr>
              <w:spacing w:line="360" w:lineRule="auto"/>
              <w:rPr>
                <w:rFonts w:hint="eastAsia" w:ascii="宋体" w:hAnsi="宋体" w:eastAsia="宋体" w:cs="宋体"/>
                <w:color w:val="auto"/>
                <w:sz w:val="28"/>
                <w:highlight w:val="none"/>
              </w:rPr>
            </w:pPr>
          </w:p>
        </w:tc>
        <w:tc>
          <w:tcPr>
            <w:tcW w:w="567" w:type="pct"/>
            <w:noWrap w:val="0"/>
            <w:vAlign w:val="top"/>
          </w:tcPr>
          <w:p w14:paraId="47071863">
            <w:pPr>
              <w:spacing w:line="360" w:lineRule="auto"/>
              <w:rPr>
                <w:rFonts w:hint="eastAsia" w:ascii="宋体" w:hAnsi="宋体" w:eastAsia="宋体" w:cs="宋体"/>
                <w:color w:val="auto"/>
                <w:sz w:val="28"/>
                <w:highlight w:val="none"/>
              </w:rPr>
            </w:pPr>
          </w:p>
        </w:tc>
        <w:tc>
          <w:tcPr>
            <w:tcW w:w="567" w:type="pct"/>
            <w:noWrap w:val="0"/>
            <w:vAlign w:val="top"/>
          </w:tcPr>
          <w:p w14:paraId="54B2BFE1">
            <w:pPr>
              <w:spacing w:line="360" w:lineRule="auto"/>
              <w:rPr>
                <w:rFonts w:hint="eastAsia" w:ascii="宋体" w:hAnsi="宋体" w:eastAsia="宋体" w:cs="宋体"/>
                <w:color w:val="auto"/>
                <w:sz w:val="28"/>
                <w:highlight w:val="none"/>
              </w:rPr>
            </w:pPr>
          </w:p>
        </w:tc>
        <w:tc>
          <w:tcPr>
            <w:tcW w:w="567" w:type="pct"/>
            <w:noWrap w:val="0"/>
            <w:vAlign w:val="top"/>
          </w:tcPr>
          <w:p w14:paraId="1F62F0E8">
            <w:pPr>
              <w:spacing w:line="360" w:lineRule="auto"/>
              <w:rPr>
                <w:rFonts w:hint="eastAsia" w:ascii="宋体" w:hAnsi="宋体" w:eastAsia="宋体" w:cs="宋体"/>
                <w:color w:val="auto"/>
                <w:sz w:val="28"/>
                <w:highlight w:val="none"/>
              </w:rPr>
            </w:pPr>
          </w:p>
        </w:tc>
        <w:tc>
          <w:tcPr>
            <w:tcW w:w="364" w:type="pct"/>
            <w:noWrap w:val="0"/>
            <w:vAlign w:val="top"/>
          </w:tcPr>
          <w:p w14:paraId="5B50DBB5">
            <w:pPr>
              <w:spacing w:line="360" w:lineRule="auto"/>
              <w:rPr>
                <w:rFonts w:hint="eastAsia" w:ascii="宋体" w:hAnsi="宋体" w:eastAsia="宋体" w:cs="宋体"/>
                <w:color w:val="auto"/>
                <w:sz w:val="28"/>
                <w:highlight w:val="none"/>
              </w:rPr>
            </w:pPr>
          </w:p>
        </w:tc>
      </w:tr>
      <w:tr w14:paraId="5E43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3F547874">
            <w:pPr>
              <w:spacing w:line="360" w:lineRule="auto"/>
              <w:rPr>
                <w:rFonts w:hint="eastAsia" w:ascii="宋体" w:hAnsi="宋体" w:eastAsia="宋体" w:cs="宋体"/>
                <w:color w:val="auto"/>
                <w:sz w:val="28"/>
                <w:highlight w:val="none"/>
              </w:rPr>
            </w:pPr>
          </w:p>
        </w:tc>
        <w:tc>
          <w:tcPr>
            <w:tcW w:w="583" w:type="pct"/>
            <w:noWrap w:val="0"/>
            <w:vAlign w:val="top"/>
          </w:tcPr>
          <w:p w14:paraId="6B8B42DB">
            <w:pPr>
              <w:spacing w:line="360" w:lineRule="auto"/>
              <w:rPr>
                <w:rFonts w:hint="eastAsia" w:ascii="宋体" w:hAnsi="宋体" w:eastAsia="宋体" w:cs="宋体"/>
                <w:color w:val="auto"/>
                <w:sz w:val="28"/>
                <w:highlight w:val="none"/>
              </w:rPr>
            </w:pPr>
          </w:p>
        </w:tc>
        <w:tc>
          <w:tcPr>
            <w:tcW w:w="864" w:type="pct"/>
            <w:noWrap w:val="0"/>
            <w:vAlign w:val="top"/>
          </w:tcPr>
          <w:p w14:paraId="001F13D7">
            <w:pPr>
              <w:spacing w:line="360" w:lineRule="auto"/>
              <w:rPr>
                <w:rFonts w:hint="eastAsia" w:ascii="宋体" w:hAnsi="宋体" w:eastAsia="宋体" w:cs="宋体"/>
                <w:color w:val="auto"/>
                <w:sz w:val="28"/>
                <w:highlight w:val="none"/>
              </w:rPr>
            </w:pPr>
          </w:p>
        </w:tc>
        <w:tc>
          <w:tcPr>
            <w:tcW w:w="655" w:type="pct"/>
            <w:noWrap w:val="0"/>
            <w:vAlign w:val="top"/>
          </w:tcPr>
          <w:p w14:paraId="0BD5F8ED">
            <w:pPr>
              <w:spacing w:line="360" w:lineRule="auto"/>
              <w:rPr>
                <w:rFonts w:hint="eastAsia" w:ascii="宋体" w:hAnsi="宋体" w:eastAsia="宋体" w:cs="宋体"/>
                <w:color w:val="auto"/>
                <w:sz w:val="28"/>
                <w:highlight w:val="none"/>
              </w:rPr>
            </w:pPr>
          </w:p>
        </w:tc>
        <w:tc>
          <w:tcPr>
            <w:tcW w:w="534" w:type="pct"/>
            <w:noWrap w:val="0"/>
            <w:vAlign w:val="top"/>
          </w:tcPr>
          <w:p w14:paraId="2D6B1773">
            <w:pPr>
              <w:spacing w:line="360" w:lineRule="auto"/>
              <w:rPr>
                <w:rFonts w:hint="eastAsia" w:ascii="宋体" w:hAnsi="宋体" w:eastAsia="宋体" w:cs="宋体"/>
                <w:color w:val="auto"/>
                <w:sz w:val="28"/>
                <w:highlight w:val="none"/>
              </w:rPr>
            </w:pPr>
          </w:p>
        </w:tc>
        <w:tc>
          <w:tcPr>
            <w:tcW w:w="567" w:type="pct"/>
            <w:noWrap w:val="0"/>
            <w:vAlign w:val="top"/>
          </w:tcPr>
          <w:p w14:paraId="5EEC2338">
            <w:pPr>
              <w:spacing w:line="360" w:lineRule="auto"/>
              <w:rPr>
                <w:rFonts w:hint="eastAsia" w:ascii="宋体" w:hAnsi="宋体" w:eastAsia="宋体" w:cs="宋体"/>
                <w:color w:val="auto"/>
                <w:sz w:val="28"/>
                <w:highlight w:val="none"/>
              </w:rPr>
            </w:pPr>
          </w:p>
        </w:tc>
        <w:tc>
          <w:tcPr>
            <w:tcW w:w="567" w:type="pct"/>
            <w:noWrap w:val="0"/>
            <w:vAlign w:val="top"/>
          </w:tcPr>
          <w:p w14:paraId="52BC3A8C">
            <w:pPr>
              <w:spacing w:line="360" w:lineRule="auto"/>
              <w:rPr>
                <w:rFonts w:hint="eastAsia" w:ascii="宋体" w:hAnsi="宋体" w:eastAsia="宋体" w:cs="宋体"/>
                <w:color w:val="auto"/>
                <w:sz w:val="28"/>
                <w:highlight w:val="none"/>
              </w:rPr>
            </w:pPr>
          </w:p>
        </w:tc>
        <w:tc>
          <w:tcPr>
            <w:tcW w:w="567" w:type="pct"/>
            <w:noWrap w:val="0"/>
            <w:vAlign w:val="top"/>
          </w:tcPr>
          <w:p w14:paraId="79603037">
            <w:pPr>
              <w:spacing w:line="360" w:lineRule="auto"/>
              <w:rPr>
                <w:rFonts w:hint="eastAsia" w:ascii="宋体" w:hAnsi="宋体" w:eastAsia="宋体" w:cs="宋体"/>
                <w:color w:val="auto"/>
                <w:sz w:val="28"/>
                <w:highlight w:val="none"/>
              </w:rPr>
            </w:pPr>
          </w:p>
        </w:tc>
        <w:tc>
          <w:tcPr>
            <w:tcW w:w="364" w:type="pct"/>
            <w:noWrap w:val="0"/>
            <w:vAlign w:val="top"/>
          </w:tcPr>
          <w:p w14:paraId="7EA0B663">
            <w:pPr>
              <w:spacing w:line="360" w:lineRule="auto"/>
              <w:rPr>
                <w:rFonts w:hint="eastAsia" w:ascii="宋体" w:hAnsi="宋体" w:eastAsia="宋体" w:cs="宋体"/>
                <w:color w:val="auto"/>
                <w:sz w:val="28"/>
                <w:highlight w:val="none"/>
              </w:rPr>
            </w:pPr>
          </w:p>
        </w:tc>
      </w:tr>
      <w:tr w14:paraId="585E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54C5B2FF">
            <w:pPr>
              <w:spacing w:line="360" w:lineRule="auto"/>
              <w:rPr>
                <w:rFonts w:hint="eastAsia" w:ascii="宋体" w:hAnsi="宋体" w:eastAsia="宋体" w:cs="宋体"/>
                <w:color w:val="auto"/>
                <w:sz w:val="28"/>
                <w:highlight w:val="none"/>
              </w:rPr>
            </w:pPr>
          </w:p>
        </w:tc>
        <w:tc>
          <w:tcPr>
            <w:tcW w:w="583" w:type="pct"/>
            <w:noWrap w:val="0"/>
            <w:vAlign w:val="top"/>
          </w:tcPr>
          <w:p w14:paraId="6D202FAA">
            <w:pPr>
              <w:spacing w:line="360" w:lineRule="auto"/>
              <w:rPr>
                <w:rFonts w:hint="eastAsia" w:ascii="宋体" w:hAnsi="宋体" w:eastAsia="宋体" w:cs="宋体"/>
                <w:color w:val="auto"/>
                <w:sz w:val="28"/>
                <w:highlight w:val="none"/>
              </w:rPr>
            </w:pPr>
          </w:p>
        </w:tc>
        <w:tc>
          <w:tcPr>
            <w:tcW w:w="864" w:type="pct"/>
            <w:noWrap w:val="0"/>
            <w:vAlign w:val="top"/>
          </w:tcPr>
          <w:p w14:paraId="7A86F734">
            <w:pPr>
              <w:spacing w:line="360" w:lineRule="auto"/>
              <w:rPr>
                <w:rFonts w:hint="eastAsia" w:ascii="宋体" w:hAnsi="宋体" w:eastAsia="宋体" w:cs="宋体"/>
                <w:color w:val="auto"/>
                <w:sz w:val="28"/>
                <w:highlight w:val="none"/>
              </w:rPr>
            </w:pPr>
          </w:p>
        </w:tc>
        <w:tc>
          <w:tcPr>
            <w:tcW w:w="655" w:type="pct"/>
            <w:noWrap w:val="0"/>
            <w:vAlign w:val="top"/>
          </w:tcPr>
          <w:p w14:paraId="63105C80">
            <w:pPr>
              <w:spacing w:line="360" w:lineRule="auto"/>
              <w:rPr>
                <w:rFonts w:hint="eastAsia" w:ascii="宋体" w:hAnsi="宋体" w:eastAsia="宋体" w:cs="宋体"/>
                <w:color w:val="auto"/>
                <w:sz w:val="28"/>
                <w:highlight w:val="none"/>
              </w:rPr>
            </w:pPr>
          </w:p>
        </w:tc>
        <w:tc>
          <w:tcPr>
            <w:tcW w:w="534" w:type="pct"/>
            <w:noWrap w:val="0"/>
            <w:vAlign w:val="top"/>
          </w:tcPr>
          <w:p w14:paraId="76D81DB0">
            <w:pPr>
              <w:spacing w:line="360" w:lineRule="auto"/>
              <w:rPr>
                <w:rFonts w:hint="eastAsia" w:ascii="宋体" w:hAnsi="宋体" w:eastAsia="宋体" w:cs="宋体"/>
                <w:color w:val="auto"/>
                <w:sz w:val="28"/>
                <w:highlight w:val="none"/>
              </w:rPr>
            </w:pPr>
          </w:p>
        </w:tc>
        <w:tc>
          <w:tcPr>
            <w:tcW w:w="567" w:type="pct"/>
            <w:noWrap w:val="0"/>
            <w:vAlign w:val="top"/>
          </w:tcPr>
          <w:p w14:paraId="26D89A94">
            <w:pPr>
              <w:spacing w:line="360" w:lineRule="auto"/>
              <w:rPr>
                <w:rFonts w:hint="eastAsia" w:ascii="宋体" w:hAnsi="宋体" w:eastAsia="宋体" w:cs="宋体"/>
                <w:color w:val="auto"/>
                <w:sz w:val="28"/>
                <w:highlight w:val="none"/>
              </w:rPr>
            </w:pPr>
          </w:p>
        </w:tc>
        <w:tc>
          <w:tcPr>
            <w:tcW w:w="567" w:type="pct"/>
            <w:noWrap w:val="0"/>
            <w:vAlign w:val="top"/>
          </w:tcPr>
          <w:p w14:paraId="131111BB">
            <w:pPr>
              <w:spacing w:line="360" w:lineRule="auto"/>
              <w:rPr>
                <w:rFonts w:hint="eastAsia" w:ascii="宋体" w:hAnsi="宋体" w:eastAsia="宋体" w:cs="宋体"/>
                <w:color w:val="auto"/>
                <w:sz w:val="28"/>
                <w:highlight w:val="none"/>
              </w:rPr>
            </w:pPr>
          </w:p>
        </w:tc>
        <w:tc>
          <w:tcPr>
            <w:tcW w:w="567" w:type="pct"/>
            <w:noWrap w:val="0"/>
            <w:vAlign w:val="top"/>
          </w:tcPr>
          <w:p w14:paraId="2B41195F">
            <w:pPr>
              <w:spacing w:line="360" w:lineRule="auto"/>
              <w:rPr>
                <w:rFonts w:hint="eastAsia" w:ascii="宋体" w:hAnsi="宋体" w:eastAsia="宋体" w:cs="宋体"/>
                <w:color w:val="auto"/>
                <w:sz w:val="28"/>
                <w:highlight w:val="none"/>
              </w:rPr>
            </w:pPr>
          </w:p>
        </w:tc>
        <w:tc>
          <w:tcPr>
            <w:tcW w:w="364" w:type="pct"/>
            <w:noWrap w:val="0"/>
            <w:vAlign w:val="top"/>
          </w:tcPr>
          <w:p w14:paraId="080F4C09">
            <w:pPr>
              <w:spacing w:line="360" w:lineRule="auto"/>
              <w:rPr>
                <w:rFonts w:hint="eastAsia" w:ascii="宋体" w:hAnsi="宋体" w:eastAsia="宋体" w:cs="宋体"/>
                <w:color w:val="auto"/>
                <w:sz w:val="28"/>
                <w:highlight w:val="none"/>
              </w:rPr>
            </w:pPr>
          </w:p>
        </w:tc>
      </w:tr>
      <w:tr w14:paraId="240C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76A1713B">
            <w:pPr>
              <w:spacing w:line="360" w:lineRule="auto"/>
              <w:rPr>
                <w:rFonts w:hint="eastAsia" w:ascii="宋体" w:hAnsi="宋体" w:eastAsia="宋体" w:cs="宋体"/>
                <w:color w:val="auto"/>
                <w:sz w:val="28"/>
                <w:highlight w:val="none"/>
              </w:rPr>
            </w:pPr>
          </w:p>
        </w:tc>
        <w:tc>
          <w:tcPr>
            <w:tcW w:w="583" w:type="pct"/>
            <w:noWrap w:val="0"/>
            <w:vAlign w:val="top"/>
          </w:tcPr>
          <w:p w14:paraId="2C69DBD4">
            <w:pPr>
              <w:spacing w:line="360" w:lineRule="auto"/>
              <w:rPr>
                <w:rFonts w:hint="eastAsia" w:ascii="宋体" w:hAnsi="宋体" w:eastAsia="宋体" w:cs="宋体"/>
                <w:color w:val="auto"/>
                <w:sz w:val="28"/>
                <w:highlight w:val="none"/>
              </w:rPr>
            </w:pPr>
          </w:p>
        </w:tc>
        <w:tc>
          <w:tcPr>
            <w:tcW w:w="864" w:type="pct"/>
            <w:noWrap w:val="0"/>
            <w:vAlign w:val="top"/>
          </w:tcPr>
          <w:p w14:paraId="0C58DEA5">
            <w:pPr>
              <w:spacing w:line="360" w:lineRule="auto"/>
              <w:rPr>
                <w:rFonts w:hint="eastAsia" w:ascii="宋体" w:hAnsi="宋体" w:eastAsia="宋体" w:cs="宋体"/>
                <w:color w:val="auto"/>
                <w:sz w:val="28"/>
                <w:highlight w:val="none"/>
              </w:rPr>
            </w:pPr>
          </w:p>
        </w:tc>
        <w:tc>
          <w:tcPr>
            <w:tcW w:w="655" w:type="pct"/>
            <w:noWrap w:val="0"/>
            <w:vAlign w:val="top"/>
          </w:tcPr>
          <w:p w14:paraId="78000D57">
            <w:pPr>
              <w:spacing w:line="360" w:lineRule="auto"/>
              <w:rPr>
                <w:rFonts w:hint="eastAsia" w:ascii="宋体" w:hAnsi="宋体" w:eastAsia="宋体" w:cs="宋体"/>
                <w:color w:val="auto"/>
                <w:sz w:val="28"/>
                <w:highlight w:val="none"/>
              </w:rPr>
            </w:pPr>
          </w:p>
        </w:tc>
        <w:tc>
          <w:tcPr>
            <w:tcW w:w="534" w:type="pct"/>
            <w:noWrap w:val="0"/>
            <w:vAlign w:val="top"/>
          </w:tcPr>
          <w:p w14:paraId="671226EA">
            <w:pPr>
              <w:spacing w:line="360" w:lineRule="auto"/>
              <w:rPr>
                <w:rFonts w:hint="eastAsia" w:ascii="宋体" w:hAnsi="宋体" w:eastAsia="宋体" w:cs="宋体"/>
                <w:color w:val="auto"/>
                <w:sz w:val="28"/>
                <w:highlight w:val="none"/>
              </w:rPr>
            </w:pPr>
          </w:p>
        </w:tc>
        <w:tc>
          <w:tcPr>
            <w:tcW w:w="567" w:type="pct"/>
            <w:noWrap w:val="0"/>
            <w:vAlign w:val="top"/>
          </w:tcPr>
          <w:p w14:paraId="70D9492C">
            <w:pPr>
              <w:spacing w:line="360" w:lineRule="auto"/>
              <w:rPr>
                <w:rFonts w:hint="eastAsia" w:ascii="宋体" w:hAnsi="宋体" w:eastAsia="宋体" w:cs="宋体"/>
                <w:color w:val="auto"/>
                <w:sz w:val="28"/>
                <w:highlight w:val="none"/>
              </w:rPr>
            </w:pPr>
          </w:p>
        </w:tc>
        <w:tc>
          <w:tcPr>
            <w:tcW w:w="567" w:type="pct"/>
            <w:noWrap w:val="0"/>
            <w:vAlign w:val="top"/>
          </w:tcPr>
          <w:p w14:paraId="1539F208">
            <w:pPr>
              <w:spacing w:line="360" w:lineRule="auto"/>
              <w:rPr>
                <w:rFonts w:hint="eastAsia" w:ascii="宋体" w:hAnsi="宋体" w:eastAsia="宋体" w:cs="宋体"/>
                <w:color w:val="auto"/>
                <w:sz w:val="28"/>
                <w:highlight w:val="none"/>
              </w:rPr>
            </w:pPr>
          </w:p>
        </w:tc>
        <w:tc>
          <w:tcPr>
            <w:tcW w:w="567" w:type="pct"/>
            <w:noWrap w:val="0"/>
            <w:vAlign w:val="top"/>
          </w:tcPr>
          <w:p w14:paraId="4DEAE8D2">
            <w:pPr>
              <w:spacing w:line="360" w:lineRule="auto"/>
              <w:rPr>
                <w:rFonts w:hint="eastAsia" w:ascii="宋体" w:hAnsi="宋体" w:eastAsia="宋体" w:cs="宋体"/>
                <w:color w:val="auto"/>
                <w:sz w:val="28"/>
                <w:highlight w:val="none"/>
              </w:rPr>
            </w:pPr>
          </w:p>
        </w:tc>
        <w:tc>
          <w:tcPr>
            <w:tcW w:w="364" w:type="pct"/>
            <w:noWrap w:val="0"/>
            <w:vAlign w:val="top"/>
          </w:tcPr>
          <w:p w14:paraId="29E14EEE">
            <w:pPr>
              <w:spacing w:line="360" w:lineRule="auto"/>
              <w:rPr>
                <w:rFonts w:hint="eastAsia" w:ascii="宋体" w:hAnsi="宋体" w:eastAsia="宋体" w:cs="宋体"/>
                <w:color w:val="auto"/>
                <w:sz w:val="28"/>
                <w:highlight w:val="none"/>
              </w:rPr>
            </w:pPr>
          </w:p>
        </w:tc>
      </w:tr>
      <w:tr w14:paraId="5B4C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7409CF2B">
            <w:pPr>
              <w:spacing w:line="360" w:lineRule="auto"/>
              <w:rPr>
                <w:rFonts w:hint="eastAsia" w:ascii="宋体" w:hAnsi="宋体" w:eastAsia="宋体" w:cs="宋体"/>
                <w:color w:val="auto"/>
                <w:sz w:val="28"/>
                <w:highlight w:val="none"/>
              </w:rPr>
            </w:pPr>
          </w:p>
        </w:tc>
        <w:tc>
          <w:tcPr>
            <w:tcW w:w="583" w:type="pct"/>
            <w:noWrap w:val="0"/>
            <w:vAlign w:val="top"/>
          </w:tcPr>
          <w:p w14:paraId="03E20507">
            <w:pPr>
              <w:spacing w:line="360" w:lineRule="auto"/>
              <w:rPr>
                <w:rFonts w:hint="eastAsia" w:ascii="宋体" w:hAnsi="宋体" w:eastAsia="宋体" w:cs="宋体"/>
                <w:color w:val="auto"/>
                <w:sz w:val="28"/>
                <w:highlight w:val="none"/>
              </w:rPr>
            </w:pPr>
          </w:p>
        </w:tc>
        <w:tc>
          <w:tcPr>
            <w:tcW w:w="864" w:type="pct"/>
            <w:noWrap w:val="0"/>
            <w:vAlign w:val="top"/>
          </w:tcPr>
          <w:p w14:paraId="00C4B564">
            <w:pPr>
              <w:spacing w:line="360" w:lineRule="auto"/>
              <w:rPr>
                <w:rFonts w:hint="eastAsia" w:ascii="宋体" w:hAnsi="宋体" w:eastAsia="宋体" w:cs="宋体"/>
                <w:color w:val="auto"/>
                <w:sz w:val="28"/>
                <w:highlight w:val="none"/>
              </w:rPr>
            </w:pPr>
          </w:p>
        </w:tc>
        <w:tc>
          <w:tcPr>
            <w:tcW w:w="655" w:type="pct"/>
            <w:noWrap w:val="0"/>
            <w:vAlign w:val="top"/>
          </w:tcPr>
          <w:p w14:paraId="168680F4">
            <w:pPr>
              <w:spacing w:line="360" w:lineRule="auto"/>
              <w:rPr>
                <w:rFonts w:hint="eastAsia" w:ascii="宋体" w:hAnsi="宋体" w:eastAsia="宋体" w:cs="宋体"/>
                <w:color w:val="auto"/>
                <w:sz w:val="28"/>
                <w:highlight w:val="none"/>
              </w:rPr>
            </w:pPr>
          </w:p>
        </w:tc>
        <w:tc>
          <w:tcPr>
            <w:tcW w:w="534" w:type="pct"/>
            <w:noWrap w:val="0"/>
            <w:vAlign w:val="top"/>
          </w:tcPr>
          <w:p w14:paraId="0452B2BE">
            <w:pPr>
              <w:spacing w:line="360" w:lineRule="auto"/>
              <w:rPr>
                <w:rFonts w:hint="eastAsia" w:ascii="宋体" w:hAnsi="宋体" w:eastAsia="宋体" w:cs="宋体"/>
                <w:color w:val="auto"/>
                <w:sz w:val="28"/>
                <w:highlight w:val="none"/>
              </w:rPr>
            </w:pPr>
          </w:p>
        </w:tc>
        <w:tc>
          <w:tcPr>
            <w:tcW w:w="567" w:type="pct"/>
            <w:noWrap w:val="0"/>
            <w:vAlign w:val="top"/>
          </w:tcPr>
          <w:p w14:paraId="55EE865D">
            <w:pPr>
              <w:spacing w:line="360" w:lineRule="auto"/>
              <w:rPr>
                <w:rFonts w:hint="eastAsia" w:ascii="宋体" w:hAnsi="宋体" w:eastAsia="宋体" w:cs="宋体"/>
                <w:color w:val="auto"/>
                <w:sz w:val="28"/>
                <w:highlight w:val="none"/>
              </w:rPr>
            </w:pPr>
          </w:p>
        </w:tc>
        <w:tc>
          <w:tcPr>
            <w:tcW w:w="567" w:type="pct"/>
            <w:noWrap w:val="0"/>
            <w:vAlign w:val="top"/>
          </w:tcPr>
          <w:p w14:paraId="72D8CAF7">
            <w:pPr>
              <w:spacing w:line="360" w:lineRule="auto"/>
              <w:rPr>
                <w:rFonts w:hint="eastAsia" w:ascii="宋体" w:hAnsi="宋体" w:eastAsia="宋体" w:cs="宋体"/>
                <w:color w:val="auto"/>
                <w:sz w:val="28"/>
                <w:highlight w:val="none"/>
              </w:rPr>
            </w:pPr>
          </w:p>
        </w:tc>
        <w:tc>
          <w:tcPr>
            <w:tcW w:w="567" w:type="pct"/>
            <w:noWrap w:val="0"/>
            <w:vAlign w:val="top"/>
          </w:tcPr>
          <w:p w14:paraId="0FD2721D">
            <w:pPr>
              <w:spacing w:line="360" w:lineRule="auto"/>
              <w:rPr>
                <w:rFonts w:hint="eastAsia" w:ascii="宋体" w:hAnsi="宋体" w:eastAsia="宋体" w:cs="宋体"/>
                <w:color w:val="auto"/>
                <w:sz w:val="28"/>
                <w:highlight w:val="none"/>
              </w:rPr>
            </w:pPr>
          </w:p>
        </w:tc>
        <w:tc>
          <w:tcPr>
            <w:tcW w:w="364" w:type="pct"/>
            <w:noWrap w:val="0"/>
            <w:vAlign w:val="top"/>
          </w:tcPr>
          <w:p w14:paraId="3BE6FEBD">
            <w:pPr>
              <w:spacing w:line="360" w:lineRule="auto"/>
              <w:rPr>
                <w:rFonts w:hint="eastAsia" w:ascii="宋体" w:hAnsi="宋体" w:eastAsia="宋体" w:cs="宋体"/>
                <w:color w:val="auto"/>
                <w:sz w:val="28"/>
                <w:highlight w:val="none"/>
              </w:rPr>
            </w:pPr>
          </w:p>
        </w:tc>
      </w:tr>
      <w:tr w14:paraId="67B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572FF9C5">
            <w:pPr>
              <w:spacing w:line="360" w:lineRule="auto"/>
              <w:rPr>
                <w:rFonts w:hint="eastAsia" w:ascii="宋体" w:hAnsi="宋体" w:eastAsia="宋体" w:cs="宋体"/>
                <w:color w:val="auto"/>
                <w:sz w:val="28"/>
                <w:highlight w:val="none"/>
              </w:rPr>
            </w:pPr>
          </w:p>
        </w:tc>
        <w:tc>
          <w:tcPr>
            <w:tcW w:w="583" w:type="pct"/>
            <w:noWrap w:val="0"/>
            <w:vAlign w:val="top"/>
          </w:tcPr>
          <w:p w14:paraId="5F618904">
            <w:pPr>
              <w:spacing w:line="360" w:lineRule="auto"/>
              <w:rPr>
                <w:rFonts w:hint="eastAsia" w:ascii="宋体" w:hAnsi="宋体" w:eastAsia="宋体" w:cs="宋体"/>
                <w:color w:val="auto"/>
                <w:sz w:val="28"/>
                <w:highlight w:val="none"/>
              </w:rPr>
            </w:pPr>
          </w:p>
        </w:tc>
        <w:tc>
          <w:tcPr>
            <w:tcW w:w="864" w:type="pct"/>
            <w:noWrap w:val="0"/>
            <w:vAlign w:val="top"/>
          </w:tcPr>
          <w:p w14:paraId="38B1A0B0">
            <w:pPr>
              <w:spacing w:line="360" w:lineRule="auto"/>
              <w:rPr>
                <w:rFonts w:hint="eastAsia" w:ascii="宋体" w:hAnsi="宋体" w:eastAsia="宋体" w:cs="宋体"/>
                <w:color w:val="auto"/>
                <w:sz w:val="28"/>
                <w:highlight w:val="none"/>
              </w:rPr>
            </w:pPr>
          </w:p>
        </w:tc>
        <w:tc>
          <w:tcPr>
            <w:tcW w:w="655" w:type="pct"/>
            <w:noWrap w:val="0"/>
            <w:vAlign w:val="top"/>
          </w:tcPr>
          <w:p w14:paraId="0B1FA98D">
            <w:pPr>
              <w:spacing w:line="360" w:lineRule="auto"/>
              <w:rPr>
                <w:rFonts w:hint="eastAsia" w:ascii="宋体" w:hAnsi="宋体" w:eastAsia="宋体" w:cs="宋体"/>
                <w:color w:val="auto"/>
                <w:sz w:val="28"/>
                <w:highlight w:val="none"/>
              </w:rPr>
            </w:pPr>
          </w:p>
        </w:tc>
        <w:tc>
          <w:tcPr>
            <w:tcW w:w="534" w:type="pct"/>
            <w:noWrap w:val="0"/>
            <w:vAlign w:val="top"/>
          </w:tcPr>
          <w:p w14:paraId="792086C0">
            <w:pPr>
              <w:spacing w:line="360" w:lineRule="auto"/>
              <w:rPr>
                <w:rFonts w:hint="eastAsia" w:ascii="宋体" w:hAnsi="宋体" w:eastAsia="宋体" w:cs="宋体"/>
                <w:color w:val="auto"/>
                <w:sz w:val="28"/>
                <w:highlight w:val="none"/>
              </w:rPr>
            </w:pPr>
          </w:p>
        </w:tc>
        <w:tc>
          <w:tcPr>
            <w:tcW w:w="567" w:type="pct"/>
            <w:noWrap w:val="0"/>
            <w:vAlign w:val="top"/>
          </w:tcPr>
          <w:p w14:paraId="2D69850F">
            <w:pPr>
              <w:spacing w:line="360" w:lineRule="auto"/>
              <w:rPr>
                <w:rFonts w:hint="eastAsia" w:ascii="宋体" w:hAnsi="宋体" w:eastAsia="宋体" w:cs="宋体"/>
                <w:color w:val="auto"/>
                <w:sz w:val="28"/>
                <w:highlight w:val="none"/>
              </w:rPr>
            </w:pPr>
          </w:p>
        </w:tc>
        <w:tc>
          <w:tcPr>
            <w:tcW w:w="567" w:type="pct"/>
            <w:noWrap w:val="0"/>
            <w:vAlign w:val="top"/>
          </w:tcPr>
          <w:p w14:paraId="5695C8E0">
            <w:pPr>
              <w:spacing w:line="360" w:lineRule="auto"/>
              <w:rPr>
                <w:rFonts w:hint="eastAsia" w:ascii="宋体" w:hAnsi="宋体" w:eastAsia="宋体" w:cs="宋体"/>
                <w:color w:val="auto"/>
                <w:sz w:val="28"/>
                <w:highlight w:val="none"/>
              </w:rPr>
            </w:pPr>
          </w:p>
        </w:tc>
        <w:tc>
          <w:tcPr>
            <w:tcW w:w="567" w:type="pct"/>
            <w:noWrap w:val="0"/>
            <w:vAlign w:val="top"/>
          </w:tcPr>
          <w:p w14:paraId="44AE1735">
            <w:pPr>
              <w:spacing w:line="360" w:lineRule="auto"/>
              <w:rPr>
                <w:rFonts w:hint="eastAsia" w:ascii="宋体" w:hAnsi="宋体" w:eastAsia="宋体" w:cs="宋体"/>
                <w:color w:val="auto"/>
                <w:sz w:val="28"/>
                <w:highlight w:val="none"/>
              </w:rPr>
            </w:pPr>
          </w:p>
        </w:tc>
        <w:tc>
          <w:tcPr>
            <w:tcW w:w="364" w:type="pct"/>
            <w:noWrap w:val="0"/>
            <w:vAlign w:val="top"/>
          </w:tcPr>
          <w:p w14:paraId="77792042">
            <w:pPr>
              <w:spacing w:line="360" w:lineRule="auto"/>
              <w:rPr>
                <w:rFonts w:hint="eastAsia" w:ascii="宋体" w:hAnsi="宋体" w:eastAsia="宋体" w:cs="宋体"/>
                <w:color w:val="auto"/>
                <w:sz w:val="28"/>
                <w:highlight w:val="none"/>
              </w:rPr>
            </w:pPr>
          </w:p>
        </w:tc>
      </w:tr>
      <w:tr w14:paraId="77E8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7FB60CE2">
            <w:pPr>
              <w:spacing w:line="360" w:lineRule="auto"/>
              <w:rPr>
                <w:rFonts w:hint="eastAsia" w:ascii="宋体" w:hAnsi="宋体" w:eastAsia="宋体" w:cs="宋体"/>
                <w:color w:val="auto"/>
                <w:sz w:val="28"/>
                <w:highlight w:val="none"/>
              </w:rPr>
            </w:pPr>
          </w:p>
        </w:tc>
        <w:tc>
          <w:tcPr>
            <w:tcW w:w="583" w:type="pct"/>
            <w:noWrap w:val="0"/>
            <w:vAlign w:val="top"/>
          </w:tcPr>
          <w:p w14:paraId="582DF717">
            <w:pPr>
              <w:spacing w:line="360" w:lineRule="auto"/>
              <w:rPr>
                <w:rFonts w:hint="eastAsia" w:ascii="宋体" w:hAnsi="宋体" w:eastAsia="宋体" w:cs="宋体"/>
                <w:color w:val="auto"/>
                <w:sz w:val="28"/>
                <w:highlight w:val="none"/>
              </w:rPr>
            </w:pPr>
          </w:p>
        </w:tc>
        <w:tc>
          <w:tcPr>
            <w:tcW w:w="864" w:type="pct"/>
            <w:noWrap w:val="0"/>
            <w:vAlign w:val="top"/>
          </w:tcPr>
          <w:p w14:paraId="63E71F77">
            <w:pPr>
              <w:spacing w:line="360" w:lineRule="auto"/>
              <w:rPr>
                <w:rFonts w:hint="eastAsia" w:ascii="宋体" w:hAnsi="宋体" w:eastAsia="宋体" w:cs="宋体"/>
                <w:color w:val="auto"/>
                <w:sz w:val="28"/>
                <w:highlight w:val="none"/>
              </w:rPr>
            </w:pPr>
          </w:p>
        </w:tc>
        <w:tc>
          <w:tcPr>
            <w:tcW w:w="655" w:type="pct"/>
            <w:noWrap w:val="0"/>
            <w:vAlign w:val="top"/>
          </w:tcPr>
          <w:p w14:paraId="1355E519">
            <w:pPr>
              <w:spacing w:line="360" w:lineRule="auto"/>
              <w:rPr>
                <w:rFonts w:hint="eastAsia" w:ascii="宋体" w:hAnsi="宋体" w:eastAsia="宋体" w:cs="宋体"/>
                <w:color w:val="auto"/>
                <w:sz w:val="28"/>
                <w:highlight w:val="none"/>
              </w:rPr>
            </w:pPr>
          </w:p>
        </w:tc>
        <w:tc>
          <w:tcPr>
            <w:tcW w:w="534" w:type="pct"/>
            <w:noWrap w:val="0"/>
            <w:vAlign w:val="top"/>
          </w:tcPr>
          <w:p w14:paraId="5086001A">
            <w:pPr>
              <w:spacing w:line="360" w:lineRule="auto"/>
              <w:rPr>
                <w:rFonts w:hint="eastAsia" w:ascii="宋体" w:hAnsi="宋体" w:eastAsia="宋体" w:cs="宋体"/>
                <w:color w:val="auto"/>
                <w:sz w:val="28"/>
                <w:highlight w:val="none"/>
              </w:rPr>
            </w:pPr>
          </w:p>
        </w:tc>
        <w:tc>
          <w:tcPr>
            <w:tcW w:w="567" w:type="pct"/>
            <w:noWrap w:val="0"/>
            <w:vAlign w:val="top"/>
          </w:tcPr>
          <w:p w14:paraId="1D71CACE">
            <w:pPr>
              <w:spacing w:line="360" w:lineRule="auto"/>
              <w:rPr>
                <w:rFonts w:hint="eastAsia" w:ascii="宋体" w:hAnsi="宋体" w:eastAsia="宋体" w:cs="宋体"/>
                <w:color w:val="auto"/>
                <w:sz w:val="28"/>
                <w:highlight w:val="none"/>
              </w:rPr>
            </w:pPr>
          </w:p>
        </w:tc>
        <w:tc>
          <w:tcPr>
            <w:tcW w:w="567" w:type="pct"/>
            <w:noWrap w:val="0"/>
            <w:vAlign w:val="top"/>
          </w:tcPr>
          <w:p w14:paraId="01B8C996">
            <w:pPr>
              <w:spacing w:line="360" w:lineRule="auto"/>
              <w:rPr>
                <w:rFonts w:hint="eastAsia" w:ascii="宋体" w:hAnsi="宋体" w:eastAsia="宋体" w:cs="宋体"/>
                <w:color w:val="auto"/>
                <w:sz w:val="28"/>
                <w:highlight w:val="none"/>
              </w:rPr>
            </w:pPr>
          </w:p>
        </w:tc>
        <w:tc>
          <w:tcPr>
            <w:tcW w:w="567" w:type="pct"/>
            <w:noWrap w:val="0"/>
            <w:vAlign w:val="top"/>
          </w:tcPr>
          <w:p w14:paraId="3FBCF16A">
            <w:pPr>
              <w:spacing w:line="360" w:lineRule="auto"/>
              <w:rPr>
                <w:rFonts w:hint="eastAsia" w:ascii="宋体" w:hAnsi="宋体" w:eastAsia="宋体" w:cs="宋体"/>
                <w:color w:val="auto"/>
                <w:sz w:val="28"/>
                <w:highlight w:val="none"/>
              </w:rPr>
            </w:pPr>
          </w:p>
        </w:tc>
        <w:tc>
          <w:tcPr>
            <w:tcW w:w="364" w:type="pct"/>
            <w:noWrap w:val="0"/>
            <w:vAlign w:val="top"/>
          </w:tcPr>
          <w:p w14:paraId="3DAF08C2">
            <w:pPr>
              <w:spacing w:line="360" w:lineRule="auto"/>
              <w:rPr>
                <w:rFonts w:hint="eastAsia" w:ascii="宋体" w:hAnsi="宋体" w:eastAsia="宋体" w:cs="宋体"/>
                <w:color w:val="auto"/>
                <w:sz w:val="28"/>
                <w:highlight w:val="none"/>
              </w:rPr>
            </w:pPr>
          </w:p>
        </w:tc>
      </w:tr>
      <w:tr w14:paraId="05D1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61FDEFCB">
            <w:pPr>
              <w:spacing w:line="360" w:lineRule="auto"/>
              <w:rPr>
                <w:rFonts w:hint="eastAsia" w:ascii="宋体" w:hAnsi="宋体" w:eastAsia="宋体" w:cs="宋体"/>
                <w:color w:val="auto"/>
                <w:sz w:val="28"/>
                <w:highlight w:val="none"/>
              </w:rPr>
            </w:pPr>
          </w:p>
        </w:tc>
        <w:tc>
          <w:tcPr>
            <w:tcW w:w="583" w:type="pct"/>
            <w:noWrap w:val="0"/>
            <w:vAlign w:val="top"/>
          </w:tcPr>
          <w:p w14:paraId="55A881D3">
            <w:pPr>
              <w:spacing w:line="360" w:lineRule="auto"/>
              <w:rPr>
                <w:rFonts w:hint="eastAsia" w:ascii="宋体" w:hAnsi="宋体" w:eastAsia="宋体" w:cs="宋体"/>
                <w:color w:val="auto"/>
                <w:sz w:val="28"/>
                <w:highlight w:val="none"/>
              </w:rPr>
            </w:pPr>
          </w:p>
        </w:tc>
        <w:tc>
          <w:tcPr>
            <w:tcW w:w="864" w:type="pct"/>
            <w:noWrap w:val="0"/>
            <w:vAlign w:val="top"/>
          </w:tcPr>
          <w:p w14:paraId="11A9AB45">
            <w:pPr>
              <w:spacing w:line="360" w:lineRule="auto"/>
              <w:rPr>
                <w:rFonts w:hint="eastAsia" w:ascii="宋体" w:hAnsi="宋体" w:eastAsia="宋体" w:cs="宋体"/>
                <w:color w:val="auto"/>
                <w:sz w:val="28"/>
                <w:highlight w:val="none"/>
              </w:rPr>
            </w:pPr>
          </w:p>
        </w:tc>
        <w:tc>
          <w:tcPr>
            <w:tcW w:w="655" w:type="pct"/>
            <w:noWrap w:val="0"/>
            <w:vAlign w:val="top"/>
          </w:tcPr>
          <w:p w14:paraId="7786652C">
            <w:pPr>
              <w:spacing w:line="360" w:lineRule="auto"/>
              <w:rPr>
                <w:rFonts w:hint="eastAsia" w:ascii="宋体" w:hAnsi="宋体" w:eastAsia="宋体" w:cs="宋体"/>
                <w:color w:val="auto"/>
                <w:sz w:val="28"/>
                <w:highlight w:val="none"/>
              </w:rPr>
            </w:pPr>
          </w:p>
        </w:tc>
        <w:tc>
          <w:tcPr>
            <w:tcW w:w="534" w:type="pct"/>
            <w:noWrap w:val="0"/>
            <w:vAlign w:val="top"/>
          </w:tcPr>
          <w:p w14:paraId="51A4098B">
            <w:pPr>
              <w:spacing w:line="360" w:lineRule="auto"/>
              <w:rPr>
                <w:rFonts w:hint="eastAsia" w:ascii="宋体" w:hAnsi="宋体" w:eastAsia="宋体" w:cs="宋体"/>
                <w:color w:val="auto"/>
                <w:sz w:val="28"/>
                <w:highlight w:val="none"/>
              </w:rPr>
            </w:pPr>
          </w:p>
        </w:tc>
        <w:tc>
          <w:tcPr>
            <w:tcW w:w="567" w:type="pct"/>
            <w:noWrap w:val="0"/>
            <w:vAlign w:val="top"/>
          </w:tcPr>
          <w:p w14:paraId="0F0EEF12">
            <w:pPr>
              <w:spacing w:line="360" w:lineRule="auto"/>
              <w:rPr>
                <w:rFonts w:hint="eastAsia" w:ascii="宋体" w:hAnsi="宋体" w:eastAsia="宋体" w:cs="宋体"/>
                <w:color w:val="auto"/>
                <w:sz w:val="28"/>
                <w:highlight w:val="none"/>
              </w:rPr>
            </w:pPr>
          </w:p>
        </w:tc>
        <w:tc>
          <w:tcPr>
            <w:tcW w:w="567" w:type="pct"/>
            <w:noWrap w:val="0"/>
            <w:vAlign w:val="top"/>
          </w:tcPr>
          <w:p w14:paraId="4D31C6EC">
            <w:pPr>
              <w:spacing w:line="360" w:lineRule="auto"/>
              <w:rPr>
                <w:rFonts w:hint="eastAsia" w:ascii="宋体" w:hAnsi="宋体" w:eastAsia="宋体" w:cs="宋体"/>
                <w:color w:val="auto"/>
                <w:sz w:val="28"/>
                <w:highlight w:val="none"/>
              </w:rPr>
            </w:pPr>
          </w:p>
        </w:tc>
        <w:tc>
          <w:tcPr>
            <w:tcW w:w="567" w:type="pct"/>
            <w:noWrap w:val="0"/>
            <w:vAlign w:val="top"/>
          </w:tcPr>
          <w:p w14:paraId="595313BD">
            <w:pPr>
              <w:spacing w:line="360" w:lineRule="auto"/>
              <w:rPr>
                <w:rFonts w:hint="eastAsia" w:ascii="宋体" w:hAnsi="宋体" w:eastAsia="宋体" w:cs="宋体"/>
                <w:color w:val="auto"/>
                <w:sz w:val="28"/>
                <w:highlight w:val="none"/>
              </w:rPr>
            </w:pPr>
          </w:p>
        </w:tc>
        <w:tc>
          <w:tcPr>
            <w:tcW w:w="364" w:type="pct"/>
            <w:noWrap w:val="0"/>
            <w:vAlign w:val="top"/>
          </w:tcPr>
          <w:p w14:paraId="2972D469">
            <w:pPr>
              <w:spacing w:line="360" w:lineRule="auto"/>
              <w:rPr>
                <w:rFonts w:hint="eastAsia" w:ascii="宋体" w:hAnsi="宋体" w:eastAsia="宋体" w:cs="宋体"/>
                <w:color w:val="auto"/>
                <w:sz w:val="28"/>
                <w:highlight w:val="none"/>
              </w:rPr>
            </w:pPr>
          </w:p>
        </w:tc>
      </w:tr>
      <w:tr w14:paraId="6C3D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7B0052D1">
            <w:pPr>
              <w:spacing w:line="360" w:lineRule="auto"/>
              <w:rPr>
                <w:rFonts w:hint="eastAsia" w:ascii="宋体" w:hAnsi="宋体" w:eastAsia="宋体" w:cs="宋体"/>
                <w:color w:val="auto"/>
                <w:sz w:val="28"/>
                <w:highlight w:val="none"/>
              </w:rPr>
            </w:pPr>
          </w:p>
        </w:tc>
        <w:tc>
          <w:tcPr>
            <w:tcW w:w="583" w:type="pct"/>
            <w:noWrap w:val="0"/>
            <w:vAlign w:val="top"/>
          </w:tcPr>
          <w:p w14:paraId="58B3C6B8">
            <w:pPr>
              <w:spacing w:line="360" w:lineRule="auto"/>
              <w:rPr>
                <w:rFonts w:hint="eastAsia" w:ascii="宋体" w:hAnsi="宋体" w:eastAsia="宋体" w:cs="宋体"/>
                <w:color w:val="auto"/>
                <w:sz w:val="28"/>
                <w:highlight w:val="none"/>
              </w:rPr>
            </w:pPr>
          </w:p>
        </w:tc>
        <w:tc>
          <w:tcPr>
            <w:tcW w:w="864" w:type="pct"/>
            <w:noWrap w:val="0"/>
            <w:vAlign w:val="top"/>
          </w:tcPr>
          <w:p w14:paraId="6623A0D3">
            <w:pPr>
              <w:spacing w:line="360" w:lineRule="auto"/>
              <w:rPr>
                <w:rFonts w:hint="eastAsia" w:ascii="宋体" w:hAnsi="宋体" w:eastAsia="宋体" w:cs="宋体"/>
                <w:color w:val="auto"/>
                <w:sz w:val="28"/>
                <w:highlight w:val="none"/>
              </w:rPr>
            </w:pPr>
          </w:p>
        </w:tc>
        <w:tc>
          <w:tcPr>
            <w:tcW w:w="655" w:type="pct"/>
            <w:noWrap w:val="0"/>
            <w:vAlign w:val="top"/>
          </w:tcPr>
          <w:p w14:paraId="591087BE">
            <w:pPr>
              <w:spacing w:line="360" w:lineRule="auto"/>
              <w:rPr>
                <w:rFonts w:hint="eastAsia" w:ascii="宋体" w:hAnsi="宋体" w:eastAsia="宋体" w:cs="宋体"/>
                <w:color w:val="auto"/>
                <w:sz w:val="28"/>
                <w:highlight w:val="none"/>
              </w:rPr>
            </w:pPr>
          </w:p>
        </w:tc>
        <w:tc>
          <w:tcPr>
            <w:tcW w:w="534" w:type="pct"/>
            <w:noWrap w:val="0"/>
            <w:vAlign w:val="top"/>
          </w:tcPr>
          <w:p w14:paraId="4D84A070">
            <w:pPr>
              <w:spacing w:line="360" w:lineRule="auto"/>
              <w:rPr>
                <w:rFonts w:hint="eastAsia" w:ascii="宋体" w:hAnsi="宋体" w:eastAsia="宋体" w:cs="宋体"/>
                <w:color w:val="auto"/>
                <w:sz w:val="28"/>
                <w:highlight w:val="none"/>
              </w:rPr>
            </w:pPr>
          </w:p>
        </w:tc>
        <w:tc>
          <w:tcPr>
            <w:tcW w:w="567" w:type="pct"/>
            <w:noWrap w:val="0"/>
            <w:vAlign w:val="top"/>
          </w:tcPr>
          <w:p w14:paraId="72F9D205">
            <w:pPr>
              <w:spacing w:line="360" w:lineRule="auto"/>
              <w:rPr>
                <w:rFonts w:hint="eastAsia" w:ascii="宋体" w:hAnsi="宋体" w:eastAsia="宋体" w:cs="宋体"/>
                <w:color w:val="auto"/>
                <w:sz w:val="28"/>
                <w:highlight w:val="none"/>
              </w:rPr>
            </w:pPr>
          </w:p>
        </w:tc>
        <w:tc>
          <w:tcPr>
            <w:tcW w:w="567" w:type="pct"/>
            <w:noWrap w:val="0"/>
            <w:vAlign w:val="top"/>
          </w:tcPr>
          <w:p w14:paraId="62BAD915">
            <w:pPr>
              <w:spacing w:line="360" w:lineRule="auto"/>
              <w:rPr>
                <w:rFonts w:hint="eastAsia" w:ascii="宋体" w:hAnsi="宋体" w:eastAsia="宋体" w:cs="宋体"/>
                <w:color w:val="auto"/>
                <w:sz w:val="28"/>
                <w:highlight w:val="none"/>
              </w:rPr>
            </w:pPr>
          </w:p>
        </w:tc>
        <w:tc>
          <w:tcPr>
            <w:tcW w:w="567" w:type="pct"/>
            <w:noWrap w:val="0"/>
            <w:vAlign w:val="top"/>
          </w:tcPr>
          <w:p w14:paraId="7282773E">
            <w:pPr>
              <w:spacing w:line="360" w:lineRule="auto"/>
              <w:rPr>
                <w:rFonts w:hint="eastAsia" w:ascii="宋体" w:hAnsi="宋体" w:eastAsia="宋体" w:cs="宋体"/>
                <w:color w:val="auto"/>
                <w:sz w:val="28"/>
                <w:highlight w:val="none"/>
              </w:rPr>
            </w:pPr>
          </w:p>
        </w:tc>
        <w:tc>
          <w:tcPr>
            <w:tcW w:w="364" w:type="pct"/>
            <w:noWrap w:val="0"/>
            <w:vAlign w:val="top"/>
          </w:tcPr>
          <w:p w14:paraId="7CBCB4DF">
            <w:pPr>
              <w:spacing w:line="360" w:lineRule="auto"/>
              <w:rPr>
                <w:rFonts w:hint="eastAsia" w:ascii="宋体" w:hAnsi="宋体" w:eastAsia="宋体" w:cs="宋体"/>
                <w:color w:val="auto"/>
                <w:sz w:val="28"/>
                <w:highlight w:val="none"/>
              </w:rPr>
            </w:pPr>
          </w:p>
        </w:tc>
      </w:tr>
      <w:tr w14:paraId="5455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74F44E4D">
            <w:pPr>
              <w:spacing w:line="360" w:lineRule="auto"/>
              <w:rPr>
                <w:rFonts w:hint="eastAsia" w:ascii="宋体" w:hAnsi="宋体" w:eastAsia="宋体" w:cs="宋体"/>
                <w:color w:val="auto"/>
                <w:sz w:val="28"/>
                <w:highlight w:val="none"/>
              </w:rPr>
            </w:pPr>
          </w:p>
        </w:tc>
        <w:tc>
          <w:tcPr>
            <w:tcW w:w="583" w:type="pct"/>
            <w:noWrap w:val="0"/>
            <w:vAlign w:val="top"/>
          </w:tcPr>
          <w:p w14:paraId="49CDC82D">
            <w:pPr>
              <w:spacing w:line="360" w:lineRule="auto"/>
              <w:rPr>
                <w:rFonts w:hint="eastAsia" w:ascii="宋体" w:hAnsi="宋体" w:eastAsia="宋体" w:cs="宋体"/>
                <w:color w:val="auto"/>
                <w:sz w:val="28"/>
                <w:highlight w:val="none"/>
              </w:rPr>
            </w:pPr>
          </w:p>
        </w:tc>
        <w:tc>
          <w:tcPr>
            <w:tcW w:w="864" w:type="pct"/>
            <w:noWrap w:val="0"/>
            <w:vAlign w:val="top"/>
          </w:tcPr>
          <w:p w14:paraId="211B9E7D">
            <w:pPr>
              <w:spacing w:line="360" w:lineRule="auto"/>
              <w:rPr>
                <w:rFonts w:hint="eastAsia" w:ascii="宋体" w:hAnsi="宋体" w:eastAsia="宋体" w:cs="宋体"/>
                <w:color w:val="auto"/>
                <w:sz w:val="28"/>
                <w:highlight w:val="none"/>
              </w:rPr>
            </w:pPr>
          </w:p>
        </w:tc>
        <w:tc>
          <w:tcPr>
            <w:tcW w:w="655" w:type="pct"/>
            <w:noWrap w:val="0"/>
            <w:vAlign w:val="top"/>
          </w:tcPr>
          <w:p w14:paraId="3990EFFD">
            <w:pPr>
              <w:spacing w:line="360" w:lineRule="auto"/>
              <w:rPr>
                <w:rFonts w:hint="eastAsia" w:ascii="宋体" w:hAnsi="宋体" w:eastAsia="宋体" w:cs="宋体"/>
                <w:color w:val="auto"/>
                <w:sz w:val="28"/>
                <w:highlight w:val="none"/>
              </w:rPr>
            </w:pPr>
          </w:p>
        </w:tc>
        <w:tc>
          <w:tcPr>
            <w:tcW w:w="534" w:type="pct"/>
            <w:noWrap w:val="0"/>
            <w:vAlign w:val="top"/>
          </w:tcPr>
          <w:p w14:paraId="1F851B57">
            <w:pPr>
              <w:spacing w:line="360" w:lineRule="auto"/>
              <w:rPr>
                <w:rFonts w:hint="eastAsia" w:ascii="宋体" w:hAnsi="宋体" w:eastAsia="宋体" w:cs="宋体"/>
                <w:color w:val="auto"/>
                <w:sz w:val="28"/>
                <w:highlight w:val="none"/>
              </w:rPr>
            </w:pPr>
          </w:p>
        </w:tc>
        <w:tc>
          <w:tcPr>
            <w:tcW w:w="567" w:type="pct"/>
            <w:noWrap w:val="0"/>
            <w:vAlign w:val="top"/>
          </w:tcPr>
          <w:p w14:paraId="26E22CD0">
            <w:pPr>
              <w:spacing w:line="360" w:lineRule="auto"/>
              <w:rPr>
                <w:rFonts w:hint="eastAsia" w:ascii="宋体" w:hAnsi="宋体" w:eastAsia="宋体" w:cs="宋体"/>
                <w:color w:val="auto"/>
                <w:sz w:val="28"/>
                <w:highlight w:val="none"/>
              </w:rPr>
            </w:pPr>
          </w:p>
        </w:tc>
        <w:tc>
          <w:tcPr>
            <w:tcW w:w="567" w:type="pct"/>
            <w:noWrap w:val="0"/>
            <w:vAlign w:val="top"/>
          </w:tcPr>
          <w:p w14:paraId="2F82D26A">
            <w:pPr>
              <w:spacing w:line="360" w:lineRule="auto"/>
              <w:rPr>
                <w:rFonts w:hint="eastAsia" w:ascii="宋体" w:hAnsi="宋体" w:eastAsia="宋体" w:cs="宋体"/>
                <w:color w:val="auto"/>
                <w:sz w:val="28"/>
                <w:highlight w:val="none"/>
              </w:rPr>
            </w:pPr>
          </w:p>
        </w:tc>
        <w:tc>
          <w:tcPr>
            <w:tcW w:w="567" w:type="pct"/>
            <w:noWrap w:val="0"/>
            <w:vAlign w:val="top"/>
          </w:tcPr>
          <w:p w14:paraId="6237CA40">
            <w:pPr>
              <w:spacing w:line="360" w:lineRule="auto"/>
              <w:rPr>
                <w:rFonts w:hint="eastAsia" w:ascii="宋体" w:hAnsi="宋体" w:eastAsia="宋体" w:cs="宋体"/>
                <w:color w:val="auto"/>
                <w:sz w:val="28"/>
                <w:highlight w:val="none"/>
              </w:rPr>
            </w:pPr>
          </w:p>
        </w:tc>
        <w:tc>
          <w:tcPr>
            <w:tcW w:w="364" w:type="pct"/>
            <w:noWrap w:val="0"/>
            <w:vAlign w:val="top"/>
          </w:tcPr>
          <w:p w14:paraId="29887159">
            <w:pPr>
              <w:spacing w:line="360" w:lineRule="auto"/>
              <w:rPr>
                <w:rFonts w:hint="eastAsia" w:ascii="宋体" w:hAnsi="宋体" w:eastAsia="宋体" w:cs="宋体"/>
                <w:color w:val="auto"/>
                <w:sz w:val="28"/>
                <w:highlight w:val="none"/>
              </w:rPr>
            </w:pPr>
          </w:p>
        </w:tc>
      </w:tr>
      <w:tr w14:paraId="5E1E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42E7CA43">
            <w:pPr>
              <w:spacing w:line="360" w:lineRule="auto"/>
              <w:rPr>
                <w:rFonts w:hint="eastAsia" w:ascii="宋体" w:hAnsi="宋体" w:eastAsia="宋体" w:cs="宋体"/>
                <w:color w:val="auto"/>
                <w:sz w:val="28"/>
                <w:highlight w:val="none"/>
              </w:rPr>
            </w:pPr>
          </w:p>
        </w:tc>
        <w:tc>
          <w:tcPr>
            <w:tcW w:w="583" w:type="pct"/>
            <w:noWrap w:val="0"/>
            <w:vAlign w:val="top"/>
          </w:tcPr>
          <w:p w14:paraId="6C5D00A8">
            <w:pPr>
              <w:spacing w:line="360" w:lineRule="auto"/>
              <w:rPr>
                <w:rFonts w:hint="eastAsia" w:ascii="宋体" w:hAnsi="宋体" w:eastAsia="宋体" w:cs="宋体"/>
                <w:color w:val="auto"/>
                <w:sz w:val="28"/>
                <w:highlight w:val="none"/>
              </w:rPr>
            </w:pPr>
          </w:p>
        </w:tc>
        <w:tc>
          <w:tcPr>
            <w:tcW w:w="864" w:type="pct"/>
            <w:noWrap w:val="0"/>
            <w:vAlign w:val="top"/>
          </w:tcPr>
          <w:p w14:paraId="65380D9F">
            <w:pPr>
              <w:spacing w:line="360" w:lineRule="auto"/>
              <w:rPr>
                <w:rFonts w:hint="eastAsia" w:ascii="宋体" w:hAnsi="宋体" w:eastAsia="宋体" w:cs="宋体"/>
                <w:color w:val="auto"/>
                <w:sz w:val="28"/>
                <w:highlight w:val="none"/>
              </w:rPr>
            </w:pPr>
          </w:p>
        </w:tc>
        <w:tc>
          <w:tcPr>
            <w:tcW w:w="655" w:type="pct"/>
            <w:noWrap w:val="0"/>
            <w:vAlign w:val="top"/>
          </w:tcPr>
          <w:p w14:paraId="53529D80">
            <w:pPr>
              <w:spacing w:line="360" w:lineRule="auto"/>
              <w:rPr>
                <w:rFonts w:hint="eastAsia" w:ascii="宋体" w:hAnsi="宋体" w:eastAsia="宋体" w:cs="宋体"/>
                <w:color w:val="auto"/>
                <w:sz w:val="28"/>
                <w:highlight w:val="none"/>
              </w:rPr>
            </w:pPr>
          </w:p>
        </w:tc>
        <w:tc>
          <w:tcPr>
            <w:tcW w:w="534" w:type="pct"/>
            <w:noWrap w:val="0"/>
            <w:vAlign w:val="top"/>
          </w:tcPr>
          <w:p w14:paraId="06EB99E0">
            <w:pPr>
              <w:spacing w:line="360" w:lineRule="auto"/>
              <w:rPr>
                <w:rFonts w:hint="eastAsia" w:ascii="宋体" w:hAnsi="宋体" w:eastAsia="宋体" w:cs="宋体"/>
                <w:color w:val="auto"/>
                <w:sz w:val="28"/>
                <w:highlight w:val="none"/>
              </w:rPr>
            </w:pPr>
          </w:p>
        </w:tc>
        <w:tc>
          <w:tcPr>
            <w:tcW w:w="567" w:type="pct"/>
            <w:noWrap w:val="0"/>
            <w:vAlign w:val="top"/>
          </w:tcPr>
          <w:p w14:paraId="7B97432F">
            <w:pPr>
              <w:spacing w:line="360" w:lineRule="auto"/>
              <w:rPr>
                <w:rFonts w:hint="eastAsia" w:ascii="宋体" w:hAnsi="宋体" w:eastAsia="宋体" w:cs="宋体"/>
                <w:color w:val="auto"/>
                <w:sz w:val="28"/>
                <w:highlight w:val="none"/>
              </w:rPr>
            </w:pPr>
          </w:p>
        </w:tc>
        <w:tc>
          <w:tcPr>
            <w:tcW w:w="567" w:type="pct"/>
            <w:noWrap w:val="0"/>
            <w:vAlign w:val="top"/>
          </w:tcPr>
          <w:p w14:paraId="4E277C3B">
            <w:pPr>
              <w:spacing w:line="360" w:lineRule="auto"/>
              <w:rPr>
                <w:rFonts w:hint="eastAsia" w:ascii="宋体" w:hAnsi="宋体" w:eastAsia="宋体" w:cs="宋体"/>
                <w:color w:val="auto"/>
                <w:sz w:val="28"/>
                <w:highlight w:val="none"/>
              </w:rPr>
            </w:pPr>
          </w:p>
        </w:tc>
        <w:tc>
          <w:tcPr>
            <w:tcW w:w="567" w:type="pct"/>
            <w:noWrap w:val="0"/>
            <w:vAlign w:val="top"/>
          </w:tcPr>
          <w:p w14:paraId="12EC8405">
            <w:pPr>
              <w:spacing w:line="360" w:lineRule="auto"/>
              <w:rPr>
                <w:rFonts w:hint="eastAsia" w:ascii="宋体" w:hAnsi="宋体" w:eastAsia="宋体" w:cs="宋体"/>
                <w:color w:val="auto"/>
                <w:sz w:val="28"/>
                <w:highlight w:val="none"/>
              </w:rPr>
            </w:pPr>
          </w:p>
        </w:tc>
        <w:tc>
          <w:tcPr>
            <w:tcW w:w="364" w:type="pct"/>
            <w:noWrap w:val="0"/>
            <w:vAlign w:val="top"/>
          </w:tcPr>
          <w:p w14:paraId="26E3658F">
            <w:pPr>
              <w:spacing w:line="360" w:lineRule="auto"/>
              <w:rPr>
                <w:rFonts w:hint="eastAsia" w:ascii="宋体" w:hAnsi="宋体" w:eastAsia="宋体" w:cs="宋体"/>
                <w:color w:val="auto"/>
                <w:sz w:val="28"/>
                <w:highlight w:val="none"/>
              </w:rPr>
            </w:pPr>
          </w:p>
        </w:tc>
      </w:tr>
      <w:tr w14:paraId="211F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top"/>
          </w:tcPr>
          <w:p w14:paraId="2CEFA5D6">
            <w:pPr>
              <w:spacing w:line="360" w:lineRule="auto"/>
              <w:rPr>
                <w:rFonts w:hint="eastAsia" w:ascii="宋体" w:hAnsi="宋体" w:eastAsia="宋体" w:cs="宋体"/>
                <w:color w:val="auto"/>
                <w:sz w:val="28"/>
                <w:highlight w:val="none"/>
              </w:rPr>
            </w:pPr>
          </w:p>
        </w:tc>
        <w:tc>
          <w:tcPr>
            <w:tcW w:w="583" w:type="pct"/>
            <w:noWrap w:val="0"/>
            <w:vAlign w:val="top"/>
          </w:tcPr>
          <w:p w14:paraId="1B2C89DF">
            <w:pPr>
              <w:spacing w:line="360" w:lineRule="auto"/>
              <w:rPr>
                <w:rFonts w:hint="eastAsia" w:ascii="宋体" w:hAnsi="宋体" w:eastAsia="宋体" w:cs="宋体"/>
                <w:color w:val="auto"/>
                <w:sz w:val="28"/>
                <w:highlight w:val="none"/>
              </w:rPr>
            </w:pPr>
          </w:p>
        </w:tc>
        <w:tc>
          <w:tcPr>
            <w:tcW w:w="864" w:type="pct"/>
            <w:noWrap w:val="0"/>
            <w:vAlign w:val="top"/>
          </w:tcPr>
          <w:p w14:paraId="577CC145">
            <w:pPr>
              <w:spacing w:line="360" w:lineRule="auto"/>
              <w:rPr>
                <w:rFonts w:hint="eastAsia" w:ascii="宋体" w:hAnsi="宋体" w:eastAsia="宋体" w:cs="宋体"/>
                <w:color w:val="auto"/>
                <w:sz w:val="28"/>
                <w:highlight w:val="none"/>
              </w:rPr>
            </w:pPr>
          </w:p>
        </w:tc>
        <w:tc>
          <w:tcPr>
            <w:tcW w:w="655" w:type="pct"/>
            <w:noWrap w:val="0"/>
            <w:vAlign w:val="top"/>
          </w:tcPr>
          <w:p w14:paraId="4F71A120">
            <w:pPr>
              <w:spacing w:line="360" w:lineRule="auto"/>
              <w:rPr>
                <w:rFonts w:hint="eastAsia" w:ascii="宋体" w:hAnsi="宋体" w:eastAsia="宋体" w:cs="宋体"/>
                <w:color w:val="auto"/>
                <w:sz w:val="28"/>
                <w:highlight w:val="none"/>
              </w:rPr>
            </w:pPr>
          </w:p>
        </w:tc>
        <w:tc>
          <w:tcPr>
            <w:tcW w:w="534" w:type="pct"/>
            <w:noWrap w:val="0"/>
            <w:vAlign w:val="top"/>
          </w:tcPr>
          <w:p w14:paraId="6EA29F49">
            <w:pPr>
              <w:spacing w:line="360" w:lineRule="auto"/>
              <w:rPr>
                <w:rFonts w:hint="eastAsia" w:ascii="宋体" w:hAnsi="宋体" w:eastAsia="宋体" w:cs="宋体"/>
                <w:color w:val="auto"/>
                <w:sz w:val="28"/>
                <w:highlight w:val="none"/>
              </w:rPr>
            </w:pPr>
          </w:p>
        </w:tc>
        <w:tc>
          <w:tcPr>
            <w:tcW w:w="567" w:type="pct"/>
            <w:noWrap w:val="0"/>
            <w:vAlign w:val="top"/>
          </w:tcPr>
          <w:p w14:paraId="6337F0D4">
            <w:pPr>
              <w:spacing w:line="360" w:lineRule="auto"/>
              <w:rPr>
                <w:rFonts w:hint="eastAsia" w:ascii="宋体" w:hAnsi="宋体" w:eastAsia="宋体" w:cs="宋体"/>
                <w:color w:val="auto"/>
                <w:sz w:val="28"/>
                <w:highlight w:val="none"/>
              </w:rPr>
            </w:pPr>
          </w:p>
        </w:tc>
        <w:tc>
          <w:tcPr>
            <w:tcW w:w="567" w:type="pct"/>
            <w:noWrap w:val="0"/>
            <w:vAlign w:val="top"/>
          </w:tcPr>
          <w:p w14:paraId="7AF92E8A">
            <w:pPr>
              <w:spacing w:line="360" w:lineRule="auto"/>
              <w:rPr>
                <w:rFonts w:hint="eastAsia" w:ascii="宋体" w:hAnsi="宋体" w:eastAsia="宋体" w:cs="宋体"/>
                <w:color w:val="auto"/>
                <w:sz w:val="28"/>
                <w:highlight w:val="none"/>
              </w:rPr>
            </w:pPr>
          </w:p>
        </w:tc>
        <w:tc>
          <w:tcPr>
            <w:tcW w:w="567" w:type="pct"/>
            <w:noWrap w:val="0"/>
            <w:vAlign w:val="top"/>
          </w:tcPr>
          <w:p w14:paraId="5AFF7B17">
            <w:pPr>
              <w:spacing w:line="360" w:lineRule="auto"/>
              <w:rPr>
                <w:rFonts w:hint="eastAsia" w:ascii="宋体" w:hAnsi="宋体" w:eastAsia="宋体" w:cs="宋体"/>
                <w:color w:val="auto"/>
                <w:sz w:val="28"/>
                <w:highlight w:val="none"/>
              </w:rPr>
            </w:pPr>
          </w:p>
        </w:tc>
        <w:tc>
          <w:tcPr>
            <w:tcW w:w="364" w:type="pct"/>
            <w:noWrap w:val="0"/>
            <w:vAlign w:val="top"/>
          </w:tcPr>
          <w:p w14:paraId="1FB5C0FA">
            <w:pPr>
              <w:spacing w:line="360" w:lineRule="auto"/>
              <w:rPr>
                <w:rFonts w:hint="eastAsia" w:ascii="宋体" w:hAnsi="宋体" w:eastAsia="宋体" w:cs="宋体"/>
                <w:color w:val="auto"/>
                <w:sz w:val="28"/>
                <w:highlight w:val="none"/>
              </w:rPr>
            </w:pPr>
          </w:p>
        </w:tc>
      </w:tr>
    </w:tbl>
    <w:p w14:paraId="5192CA7A">
      <w:pPr>
        <w:spacing w:line="440" w:lineRule="exact"/>
        <w:rPr>
          <w:rFonts w:ascii="宋体" w:hAnsi="宋体"/>
          <w:color w:val="000000" w:themeColor="text1"/>
          <w:szCs w:val="24"/>
          <w14:textFill>
            <w14:solidFill>
              <w14:schemeClr w14:val="tx1"/>
            </w14:solidFill>
          </w14:textFill>
        </w:rPr>
      </w:pPr>
      <w:r>
        <w:rPr>
          <w:rFonts w:hint="eastAsia" w:ascii="宋体" w:hAnsi="宋体" w:eastAsia="宋体" w:cs="宋体"/>
          <w:b/>
          <w:color w:val="auto"/>
          <w:szCs w:val="21"/>
          <w:highlight w:val="none"/>
        </w:rPr>
        <w:t>注：</w:t>
      </w:r>
      <w:r>
        <w:rPr>
          <w:rFonts w:hint="eastAsia" w:ascii="宋体" w:hAnsi="宋体" w:eastAsia="宋体" w:cs="宋体"/>
          <w:color w:val="auto"/>
          <w:highlight w:val="none"/>
        </w:rPr>
        <w:t>业绩完成时间以竣工验收时间为准。每项业绩按合格投标人条件及评标办法要求附证明材料。</w:t>
      </w:r>
    </w:p>
    <w:p w14:paraId="013980F1">
      <w:pP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14:paraId="27153423">
      <w:pPr>
        <w:pStyle w:val="2"/>
      </w:pPr>
    </w:p>
    <w:p w14:paraId="308DE18C">
      <w:pPr>
        <w:snapToGrid w:val="0"/>
        <w:spacing w:after="120" w:line="360" w:lineRule="auto"/>
        <w:jc w:val="center"/>
        <w:rPr>
          <w:rFonts w:hint="eastAsia" w:ascii="宋体" w:hAnsi="宋体" w:eastAsia="宋体" w:cs="宋体"/>
          <w:b/>
          <w:color w:val="auto"/>
          <w:sz w:val="32"/>
          <w:szCs w:val="32"/>
          <w:highlight w:val="none"/>
        </w:rPr>
      </w:pPr>
      <w:r>
        <w:rPr>
          <w:rFonts w:hint="eastAsia" w:ascii="宋体" w:hAnsi="宋体"/>
          <w:b/>
          <w:bCs/>
          <w:color w:val="000000" w:themeColor="text1"/>
          <w:sz w:val="28"/>
          <w:szCs w:val="32"/>
          <w14:textFill>
            <w14:solidFill>
              <w14:schemeClr w14:val="tx1"/>
            </w14:solidFill>
          </w14:textFill>
        </w:rPr>
        <w:t>（三）</w:t>
      </w:r>
      <w:r>
        <w:rPr>
          <w:rFonts w:hint="eastAsia" w:ascii="宋体" w:hAnsi="宋体" w:eastAsia="宋体" w:cs="宋体"/>
          <w:b/>
          <w:color w:val="auto"/>
          <w:sz w:val="32"/>
          <w:szCs w:val="32"/>
          <w:highlight w:val="none"/>
        </w:rPr>
        <w:t>拟委派本项目驻场监理机构人员一览表</w:t>
      </w:r>
    </w:p>
    <w:tbl>
      <w:tblPr>
        <w:tblStyle w:val="23"/>
        <w:tblW w:w="9566"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05"/>
        <w:gridCol w:w="1260"/>
        <w:gridCol w:w="1356"/>
        <w:gridCol w:w="819"/>
        <w:gridCol w:w="1620"/>
        <w:gridCol w:w="2936"/>
      </w:tblGrid>
      <w:tr w14:paraId="687A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70" w:type="dxa"/>
            <w:noWrap w:val="0"/>
            <w:vAlign w:val="center"/>
          </w:tcPr>
          <w:p w14:paraId="3892339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005" w:type="dxa"/>
            <w:noWrap w:val="0"/>
            <w:vAlign w:val="center"/>
          </w:tcPr>
          <w:p w14:paraId="6EE92E3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60" w:type="dxa"/>
            <w:noWrap w:val="0"/>
            <w:vAlign w:val="center"/>
          </w:tcPr>
          <w:p w14:paraId="046C6D7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356" w:type="dxa"/>
            <w:noWrap w:val="0"/>
            <w:vAlign w:val="center"/>
          </w:tcPr>
          <w:p w14:paraId="302415F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拟担任的</w:t>
            </w:r>
          </w:p>
          <w:p w14:paraId="007271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监理职务</w:t>
            </w:r>
          </w:p>
        </w:tc>
        <w:tc>
          <w:tcPr>
            <w:tcW w:w="819" w:type="dxa"/>
            <w:noWrap w:val="0"/>
            <w:vAlign w:val="center"/>
          </w:tcPr>
          <w:p w14:paraId="43A975B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620" w:type="dxa"/>
            <w:noWrap w:val="0"/>
            <w:vAlign w:val="center"/>
          </w:tcPr>
          <w:p w14:paraId="5DEBF1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注册监理工程师或造价师、建造师、结构师、建筑师的注册证号</w:t>
            </w:r>
          </w:p>
        </w:tc>
        <w:tc>
          <w:tcPr>
            <w:tcW w:w="2936" w:type="dxa"/>
            <w:noWrap w:val="0"/>
            <w:vAlign w:val="center"/>
          </w:tcPr>
          <w:p w14:paraId="4F6A7D2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1037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70" w:type="dxa"/>
            <w:noWrap w:val="0"/>
            <w:vAlign w:val="center"/>
          </w:tcPr>
          <w:p w14:paraId="750FFEAB">
            <w:pPr>
              <w:spacing w:line="360" w:lineRule="auto"/>
              <w:jc w:val="center"/>
              <w:rPr>
                <w:rFonts w:hint="eastAsia" w:ascii="宋体" w:hAnsi="宋体" w:eastAsia="宋体" w:cs="宋体"/>
                <w:color w:val="auto"/>
                <w:sz w:val="28"/>
                <w:highlight w:val="none"/>
              </w:rPr>
            </w:pPr>
          </w:p>
        </w:tc>
        <w:tc>
          <w:tcPr>
            <w:tcW w:w="1005" w:type="dxa"/>
            <w:noWrap w:val="0"/>
            <w:vAlign w:val="center"/>
          </w:tcPr>
          <w:p w14:paraId="43AC7B12">
            <w:pPr>
              <w:spacing w:line="360" w:lineRule="auto"/>
              <w:jc w:val="center"/>
              <w:rPr>
                <w:rFonts w:hint="eastAsia" w:ascii="宋体" w:hAnsi="宋体" w:eastAsia="宋体" w:cs="宋体"/>
                <w:color w:val="auto"/>
                <w:sz w:val="28"/>
                <w:highlight w:val="none"/>
              </w:rPr>
            </w:pPr>
          </w:p>
        </w:tc>
        <w:tc>
          <w:tcPr>
            <w:tcW w:w="1260" w:type="dxa"/>
            <w:noWrap w:val="0"/>
            <w:vAlign w:val="center"/>
          </w:tcPr>
          <w:p w14:paraId="28CE0AA1">
            <w:pPr>
              <w:spacing w:line="360" w:lineRule="auto"/>
              <w:jc w:val="center"/>
              <w:rPr>
                <w:rFonts w:hint="eastAsia" w:ascii="宋体" w:hAnsi="宋体" w:eastAsia="宋体" w:cs="宋体"/>
                <w:color w:val="auto"/>
                <w:sz w:val="28"/>
                <w:highlight w:val="none"/>
              </w:rPr>
            </w:pPr>
          </w:p>
        </w:tc>
        <w:tc>
          <w:tcPr>
            <w:tcW w:w="1356" w:type="dxa"/>
            <w:noWrap w:val="0"/>
            <w:vAlign w:val="center"/>
          </w:tcPr>
          <w:p w14:paraId="34FFB2EE">
            <w:pPr>
              <w:spacing w:line="360" w:lineRule="auto"/>
              <w:jc w:val="center"/>
              <w:rPr>
                <w:rFonts w:hint="eastAsia" w:ascii="宋体" w:hAnsi="宋体" w:eastAsia="宋体" w:cs="宋体"/>
                <w:color w:val="auto"/>
                <w:sz w:val="28"/>
                <w:highlight w:val="none"/>
              </w:rPr>
            </w:pPr>
          </w:p>
        </w:tc>
        <w:tc>
          <w:tcPr>
            <w:tcW w:w="819" w:type="dxa"/>
            <w:noWrap w:val="0"/>
            <w:vAlign w:val="top"/>
          </w:tcPr>
          <w:p w14:paraId="492C88B6">
            <w:pPr>
              <w:spacing w:line="360" w:lineRule="auto"/>
              <w:jc w:val="center"/>
              <w:rPr>
                <w:rFonts w:hint="eastAsia" w:ascii="宋体" w:hAnsi="宋体" w:eastAsia="宋体" w:cs="宋体"/>
                <w:color w:val="auto"/>
                <w:sz w:val="28"/>
                <w:highlight w:val="none"/>
              </w:rPr>
            </w:pPr>
          </w:p>
        </w:tc>
        <w:tc>
          <w:tcPr>
            <w:tcW w:w="1620" w:type="dxa"/>
            <w:noWrap w:val="0"/>
            <w:vAlign w:val="center"/>
          </w:tcPr>
          <w:p w14:paraId="33A2E3C0">
            <w:pPr>
              <w:spacing w:line="360" w:lineRule="auto"/>
              <w:jc w:val="center"/>
              <w:rPr>
                <w:rFonts w:hint="eastAsia" w:ascii="宋体" w:hAnsi="宋体" w:eastAsia="宋体" w:cs="宋体"/>
                <w:color w:val="auto"/>
                <w:sz w:val="28"/>
                <w:highlight w:val="none"/>
              </w:rPr>
            </w:pPr>
          </w:p>
        </w:tc>
        <w:tc>
          <w:tcPr>
            <w:tcW w:w="2936" w:type="dxa"/>
            <w:noWrap w:val="0"/>
            <w:vAlign w:val="center"/>
          </w:tcPr>
          <w:p w14:paraId="781AF85A">
            <w:pPr>
              <w:spacing w:line="360" w:lineRule="auto"/>
              <w:jc w:val="center"/>
              <w:rPr>
                <w:rFonts w:hint="eastAsia" w:ascii="宋体" w:hAnsi="宋体" w:eastAsia="宋体" w:cs="宋体"/>
                <w:color w:val="auto"/>
                <w:sz w:val="28"/>
                <w:highlight w:val="none"/>
              </w:rPr>
            </w:pPr>
          </w:p>
        </w:tc>
      </w:tr>
      <w:tr w14:paraId="7F5E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70" w:type="dxa"/>
            <w:noWrap w:val="0"/>
            <w:vAlign w:val="center"/>
          </w:tcPr>
          <w:p w14:paraId="2540AEB9">
            <w:pPr>
              <w:spacing w:line="360" w:lineRule="auto"/>
              <w:jc w:val="center"/>
              <w:rPr>
                <w:rFonts w:hint="eastAsia" w:ascii="宋体" w:hAnsi="宋体" w:eastAsia="宋体" w:cs="宋体"/>
                <w:color w:val="auto"/>
                <w:sz w:val="28"/>
                <w:highlight w:val="none"/>
              </w:rPr>
            </w:pPr>
          </w:p>
        </w:tc>
        <w:tc>
          <w:tcPr>
            <w:tcW w:w="1005" w:type="dxa"/>
            <w:noWrap w:val="0"/>
            <w:vAlign w:val="center"/>
          </w:tcPr>
          <w:p w14:paraId="17A99E01">
            <w:pPr>
              <w:spacing w:line="360" w:lineRule="auto"/>
              <w:jc w:val="center"/>
              <w:rPr>
                <w:rFonts w:hint="eastAsia" w:ascii="宋体" w:hAnsi="宋体" w:eastAsia="宋体" w:cs="宋体"/>
                <w:color w:val="auto"/>
                <w:sz w:val="28"/>
                <w:highlight w:val="none"/>
              </w:rPr>
            </w:pPr>
          </w:p>
        </w:tc>
        <w:tc>
          <w:tcPr>
            <w:tcW w:w="1260" w:type="dxa"/>
            <w:noWrap w:val="0"/>
            <w:vAlign w:val="center"/>
          </w:tcPr>
          <w:p w14:paraId="408B3840">
            <w:pPr>
              <w:spacing w:line="360" w:lineRule="auto"/>
              <w:jc w:val="center"/>
              <w:rPr>
                <w:rFonts w:hint="eastAsia" w:ascii="宋体" w:hAnsi="宋体" w:eastAsia="宋体" w:cs="宋体"/>
                <w:color w:val="auto"/>
                <w:sz w:val="28"/>
                <w:highlight w:val="none"/>
              </w:rPr>
            </w:pPr>
          </w:p>
        </w:tc>
        <w:tc>
          <w:tcPr>
            <w:tcW w:w="1356" w:type="dxa"/>
            <w:noWrap w:val="0"/>
            <w:vAlign w:val="center"/>
          </w:tcPr>
          <w:p w14:paraId="2999F75F">
            <w:pPr>
              <w:spacing w:line="360" w:lineRule="auto"/>
              <w:jc w:val="center"/>
              <w:rPr>
                <w:rFonts w:hint="eastAsia" w:ascii="宋体" w:hAnsi="宋体" w:eastAsia="宋体" w:cs="宋体"/>
                <w:color w:val="auto"/>
                <w:sz w:val="28"/>
                <w:highlight w:val="none"/>
              </w:rPr>
            </w:pPr>
          </w:p>
        </w:tc>
        <w:tc>
          <w:tcPr>
            <w:tcW w:w="819" w:type="dxa"/>
            <w:noWrap w:val="0"/>
            <w:vAlign w:val="top"/>
          </w:tcPr>
          <w:p w14:paraId="56CA0A63">
            <w:pPr>
              <w:spacing w:line="360" w:lineRule="auto"/>
              <w:jc w:val="center"/>
              <w:rPr>
                <w:rFonts w:hint="eastAsia" w:ascii="宋体" w:hAnsi="宋体" w:eastAsia="宋体" w:cs="宋体"/>
                <w:color w:val="auto"/>
                <w:sz w:val="28"/>
                <w:highlight w:val="none"/>
              </w:rPr>
            </w:pPr>
          </w:p>
        </w:tc>
        <w:tc>
          <w:tcPr>
            <w:tcW w:w="1620" w:type="dxa"/>
            <w:noWrap w:val="0"/>
            <w:vAlign w:val="center"/>
          </w:tcPr>
          <w:p w14:paraId="04F3F5CD">
            <w:pPr>
              <w:spacing w:line="360" w:lineRule="auto"/>
              <w:jc w:val="center"/>
              <w:rPr>
                <w:rFonts w:hint="eastAsia" w:ascii="宋体" w:hAnsi="宋体" w:eastAsia="宋体" w:cs="宋体"/>
                <w:color w:val="auto"/>
                <w:sz w:val="28"/>
                <w:highlight w:val="none"/>
              </w:rPr>
            </w:pPr>
          </w:p>
        </w:tc>
        <w:tc>
          <w:tcPr>
            <w:tcW w:w="2936" w:type="dxa"/>
            <w:noWrap w:val="0"/>
            <w:vAlign w:val="center"/>
          </w:tcPr>
          <w:p w14:paraId="6A38CF09">
            <w:pPr>
              <w:spacing w:line="360" w:lineRule="auto"/>
              <w:jc w:val="center"/>
              <w:rPr>
                <w:rFonts w:hint="eastAsia" w:ascii="宋体" w:hAnsi="宋体" w:eastAsia="宋体" w:cs="宋体"/>
                <w:color w:val="auto"/>
                <w:sz w:val="28"/>
                <w:highlight w:val="none"/>
              </w:rPr>
            </w:pPr>
          </w:p>
        </w:tc>
      </w:tr>
      <w:tr w14:paraId="7517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70" w:type="dxa"/>
            <w:noWrap w:val="0"/>
            <w:vAlign w:val="center"/>
          </w:tcPr>
          <w:p w14:paraId="70F7EAD6">
            <w:pPr>
              <w:spacing w:line="360" w:lineRule="auto"/>
              <w:jc w:val="center"/>
              <w:rPr>
                <w:rFonts w:hint="eastAsia" w:ascii="宋体" w:hAnsi="宋体" w:eastAsia="宋体" w:cs="宋体"/>
                <w:color w:val="auto"/>
                <w:sz w:val="28"/>
                <w:highlight w:val="none"/>
              </w:rPr>
            </w:pPr>
          </w:p>
        </w:tc>
        <w:tc>
          <w:tcPr>
            <w:tcW w:w="1005" w:type="dxa"/>
            <w:noWrap w:val="0"/>
            <w:vAlign w:val="center"/>
          </w:tcPr>
          <w:p w14:paraId="388E0980">
            <w:pPr>
              <w:spacing w:line="360" w:lineRule="auto"/>
              <w:jc w:val="center"/>
              <w:rPr>
                <w:rFonts w:hint="eastAsia" w:ascii="宋体" w:hAnsi="宋体" w:eastAsia="宋体" w:cs="宋体"/>
                <w:color w:val="auto"/>
                <w:sz w:val="28"/>
                <w:highlight w:val="none"/>
              </w:rPr>
            </w:pPr>
          </w:p>
        </w:tc>
        <w:tc>
          <w:tcPr>
            <w:tcW w:w="1260" w:type="dxa"/>
            <w:noWrap w:val="0"/>
            <w:vAlign w:val="center"/>
          </w:tcPr>
          <w:p w14:paraId="620D1DFD">
            <w:pPr>
              <w:spacing w:line="360" w:lineRule="auto"/>
              <w:jc w:val="center"/>
              <w:rPr>
                <w:rFonts w:hint="eastAsia" w:ascii="宋体" w:hAnsi="宋体" w:eastAsia="宋体" w:cs="宋体"/>
                <w:color w:val="auto"/>
                <w:sz w:val="28"/>
                <w:highlight w:val="none"/>
              </w:rPr>
            </w:pPr>
          </w:p>
        </w:tc>
        <w:tc>
          <w:tcPr>
            <w:tcW w:w="1356" w:type="dxa"/>
            <w:noWrap w:val="0"/>
            <w:vAlign w:val="center"/>
          </w:tcPr>
          <w:p w14:paraId="043E6BC6">
            <w:pPr>
              <w:spacing w:line="360" w:lineRule="auto"/>
              <w:jc w:val="center"/>
              <w:rPr>
                <w:rFonts w:hint="eastAsia" w:ascii="宋体" w:hAnsi="宋体" w:eastAsia="宋体" w:cs="宋体"/>
                <w:color w:val="auto"/>
                <w:sz w:val="28"/>
                <w:highlight w:val="none"/>
              </w:rPr>
            </w:pPr>
          </w:p>
        </w:tc>
        <w:tc>
          <w:tcPr>
            <w:tcW w:w="819" w:type="dxa"/>
            <w:noWrap w:val="0"/>
            <w:vAlign w:val="top"/>
          </w:tcPr>
          <w:p w14:paraId="097EE7F3">
            <w:pPr>
              <w:spacing w:line="360" w:lineRule="auto"/>
              <w:jc w:val="center"/>
              <w:rPr>
                <w:rFonts w:hint="eastAsia" w:ascii="宋体" w:hAnsi="宋体" w:eastAsia="宋体" w:cs="宋体"/>
                <w:color w:val="auto"/>
                <w:sz w:val="28"/>
                <w:highlight w:val="none"/>
              </w:rPr>
            </w:pPr>
          </w:p>
        </w:tc>
        <w:tc>
          <w:tcPr>
            <w:tcW w:w="1620" w:type="dxa"/>
            <w:noWrap w:val="0"/>
            <w:vAlign w:val="center"/>
          </w:tcPr>
          <w:p w14:paraId="2BD5CD38">
            <w:pPr>
              <w:spacing w:line="360" w:lineRule="auto"/>
              <w:jc w:val="center"/>
              <w:rPr>
                <w:rFonts w:hint="eastAsia" w:ascii="宋体" w:hAnsi="宋体" w:eastAsia="宋体" w:cs="宋体"/>
                <w:color w:val="auto"/>
                <w:sz w:val="28"/>
                <w:highlight w:val="none"/>
              </w:rPr>
            </w:pPr>
          </w:p>
        </w:tc>
        <w:tc>
          <w:tcPr>
            <w:tcW w:w="2936" w:type="dxa"/>
            <w:noWrap w:val="0"/>
            <w:vAlign w:val="center"/>
          </w:tcPr>
          <w:p w14:paraId="58BB3E45">
            <w:pPr>
              <w:spacing w:line="360" w:lineRule="auto"/>
              <w:jc w:val="center"/>
              <w:rPr>
                <w:rFonts w:hint="eastAsia" w:ascii="宋体" w:hAnsi="宋体" w:eastAsia="宋体" w:cs="宋体"/>
                <w:color w:val="auto"/>
                <w:sz w:val="28"/>
                <w:highlight w:val="none"/>
              </w:rPr>
            </w:pPr>
          </w:p>
        </w:tc>
      </w:tr>
      <w:tr w14:paraId="6A0B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70" w:type="dxa"/>
            <w:noWrap w:val="0"/>
            <w:vAlign w:val="center"/>
          </w:tcPr>
          <w:p w14:paraId="107B676E">
            <w:pPr>
              <w:spacing w:line="360" w:lineRule="auto"/>
              <w:jc w:val="center"/>
              <w:rPr>
                <w:rFonts w:hint="eastAsia" w:ascii="宋体" w:hAnsi="宋体" w:eastAsia="宋体" w:cs="宋体"/>
                <w:color w:val="auto"/>
                <w:sz w:val="28"/>
                <w:highlight w:val="none"/>
              </w:rPr>
            </w:pPr>
          </w:p>
        </w:tc>
        <w:tc>
          <w:tcPr>
            <w:tcW w:w="1005" w:type="dxa"/>
            <w:noWrap w:val="0"/>
            <w:vAlign w:val="center"/>
          </w:tcPr>
          <w:p w14:paraId="3433B19D">
            <w:pPr>
              <w:spacing w:line="360" w:lineRule="auto"/>
              <w:jc w:val="center"/>
              <w:rPr>
                <w:rFonts w:hint="eastAsia" w:ascii="宋体" w:hAnsi="宋体" w:eastAsia="宋体" w:cs="宋体"/>
                <w:color w:val="auto"/>
                <w:sz w:val="28"/>
                <w:highlight w:val="none"/>
              </w:rPr>
            </w:pPr>
          </w:p>
        </w:tc>
        <w:tc>
          <w:tcPr>
            <w:tcW w:w="1260" w:type="dxa"/>
            <w:noWrap w:val="0"/>
            <w:vAlign w:val="center"/>
          </w:tcPr>
          <w:p w14:paraId="649B9F02">
            <w:pPr>
              <w:spacing w:line="360" w:lineRule="auto"/>
              <w:jc w:val="center"/>
              <w:rPr>
                <w:rFonts w:hint="eastAsia" w:ascii="宋体" w:hAnsi="宋体" w:eastAsia="宋体" w:cs="宋体"/>
                <w:color w:val="auto"/>
                <w:sz w:val="28"/>
                <w:highlight w:val="none"/>
              </w:rPr>
            </w:pPr>
          </w:p>
        </w:tc>
        <w:tc>
          <w:tcPr>
            <w:tcW w:w="1356" w:type="dxa"/>
            <w:noWrap w:val="0"/>
            <w:vAlign w:val="center"/>
          </w:tcPr>
          <w:p w14:paraId="52DDF85A">
            <w:pPr>
              <w:spacing w:line="360" w:lineRule="auto"/>
              <w:jc w:val="center"/>
              <w:rPr>
                <w:rFonts w:hint="eastAsia" w:ascii="宋体" w:hAnsi="宋体" w:eastAsia="宋体" w:cs="宋体"/>
                <w:color w:val="auto"/>
                <w:sz w:val="28"/>
                <w:highlight w:val="none"/>
              </w:rPr>
            </w:pPr>
          </w:p>
        </w:tc>
        <w:tc>
          <w:tcPr>
            <w:tcW w:w="819" w:type="dxa"/>
            <w:noWrap w:val="0"/>
            <w:vAlign w:val="top"/>
          </w:tcPr>
          <w:p w14:paraId="28D73F53">
            <w:pPr>
              <w:spacing w:line="360" w:lineRule="auto"/>
              <w:jc w:val="center"/>
              <w:rPr>
                <w:rFonts w:hint="eastAsia" w:ascii="宋体" w:hAnsi="宋体" w:eastAsia="宋体" w:cs="宋体"/>
                <w:color w:val="auto"/>
                <w:sz w:val="28"/>
                <w:highlight w:val="none"/>
              </w:rPr>
            </w:pPr>
          </w:p>
        </w:tc>
        <w:tc>
          <w:tcPr>
            <w:tcW w:w="1620" w:type="dxa"/>
            <w:noWrap w:val="0"/>
            <w:vAlign w:val="center"/>
          </w:tcPr>
          <w:p w14:paraId="7BEF7C3D">
            <w:pPr>
              <w:spacing w:line="360" w:lineRule="auto"/>
              <w:jc w:val="center"/>
              <w:rPr>
                <w:rFonts w:hint="eastAsia" w:ascii="宋体" w:hAnsi="宋体" w:eastAsia="宋体" w:cs="宋体"/>
                <w:color w:val="auto"/>
                <w:sz w:val="28"/>
                <w:highlight w:val="none"/>
              </w:rPr>
            </w:pPr>
          </w:p>
        </w:tc>
        <w:tc>
          <w:tcPr>
            <w:tcW w:w="2936" w:type="dxa"/>
            <w:noWrap w:val="0"/>
            <w:vAlign w:val="center"/>
          </w:tcPr>
          <w:p w14:paraId="130EF6CA">
            <w:pPr>
              <w:spacing w:line="360" w:lineRule="auto"/>
              <w:jc w:val="center"/>
              <w:rPr>
                <w:rFonts w:hint="eastAsia" w:ascii="宋体" w:hAnsi="宋体" w:eastAsia="宋体" w:cs="宋体"/>
                <w:color w:val="auto"/>
                <w:sz w:val="28"/>
                <w:highlight w:val="none"/>
              </w:rPr>
            </w:pPr>
          </w:p>
        </w:tc>
      </w:tr>
      <w:tr w14:paraId="1791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70" w:type="dxa"/>
            <w:noWrap w:val="0"/>
            <w:vAlign w:val="center"/>
          </w:tcPr>
          <w:p w14:paraId="26F57B10">
            <w:pPr>
              <w:spacing w:line="360" w:lineRule="auto"/>
              <w:jc w:val="center"/>
              <w:rPr>
                <w:rFonts w:hint="eastAsia" w:ascii="宋体" w:hAnsi="宋体" w:eastAsia="宋体" w:cs="宋体"/>
                <w:color w:val="auto"/>
                <w:sz w:val="28"/>
                <w:highlight w:val="none"/>
              </w:rPr>
            </w:pPr>
          </w:p>
        </w:tc>
        <w:tc>
          <w:tcPr>
            <w:tcW w:w="1005" w:type="dxa"/>
            <w:noWrap w:val="0"/>
            <w:vAlign w:val="center"/>
          </w:tcPr>
          <w:p w14:paraId="0DDAEFB7">
            <w:pPr>
              <w:spacing w:line="360" w:lineRule="auto"/>
              <w:jc w:val="center"/>
              <w:rPr>
                <w:rFonts w:hint="eastAsia" w:ascii="宋体" w:hAnsi="宋体" w:eastAsia="宋体" w:cs="宋体"/>
                <w:color w:val="auto"/>
                <w:sz w:val="28"/>
                <w:highlight w:val="none"/>
              </w:rPr>
            </w:pPr>
          </w:p>
        </w:tc>
        <w:tc>
          <w:tcPr>
            <w:tcW w:w="1260" w:type="dxa"/>
            <w:noWrap w:val="0"/>
            <w:vAlign w:val="center"/>
          </w:tcPr>
          <w:p w14:paraId="5A098E51">
            <w:pPr>
              <w:spacing w:line="360" w:lineRule="auto"/>
              <w:jc w:val="center"/>
              <w:rPr>
                <w:rFonts w:hint="eastAsia" w:ascii="宋体" w:hAnsi="宋体" w:eastAsia="宋体" w:cs="宋体"/>
                <w:color w:val="auto"/>
                <w:sz w:val="28"/>
                <w:highlight w:val="none"/>
              </w:rPr>
            </w:pPr>
          </w:p>
        </w:tc>
        <w:tc>
          <w:tcPr>
            <w:tcW w:w="1356" w:type="dxa"/>
            <w:noWrap w:val="0"/>
            <w:vAlign w:val="center"/>
          </w:tcPr>
          <w:p w14:paraId="3DE8E2C7">
            <w:pPr>
              <w:spacing w:line="360" w:lineRule="auto"/>
              <w:jc w:val="center"/>
              <w:rPr>
                <w:rFonts w:hint="eastAsia" w:ascii="宋体" w:hAnsi="宋体" w:eastAsia="宋体" w:cs="宋体"/>
                <w:color w:val="auto"/>
                <w:sz w:val="28"/>
                <w:highlight w:val="none"/>
              </w:rPr>
            </w:pPr>
          </w:p>
        </w:tc>
        <w:tc>
          <w:tcPr>
            <w:tcW w:w="819" w:type="dxa"/>
            <w:noWrap w:val="0"/>
            <w:vAlign w:val="top"/>
          </w:tcPr>
          <w:p w14:paraId="1CF8515E">
            <w:pPr>
              <w:spacing w:line="360" w:lineRule="auto"/>
              <w:jc w:val="center"/>
              <w:rPr>
                <w:rFonts w:hint="eastAsia" w:ascii="宋体" w:hAnsi="宋体" w:eastAsia="宋体" w:cs="宋体"/>
                <w:color w:val="auto"/>
                <w:sz w:val="28"/>
                <w:highlight w:val="none"/>
              </w:rPr>
            </w:pPr>
          </w:p>
        </w:tc>
        <w:tc>
          <w:tcPr>
            <w:tcW w:w="1620" w:type="dxa"/>
            <w:noWrap w:val="0"/>
            <w:vAlign w:val="center"/>
          </w:tcPr>
          <w:p w14:paraId="0374F64D">
            <w:pPr>
              <w:spacing w:line="360" w:lineRule="auto"/>
              <w:jc w:val="center"/>
              <w:rPr>
                <w:rFonts w:hint="eastAsia" w:ascii="宋体" w:hAnsi="宋体" w:eastAsia="宋体" w:cs="宋体"/>
                <w:color w:val="auto"/>
                <w:sz w:val="28"/>
                <w:highlight w:val="none"/>
              </w:rPr>
            </w:pPr>
          </w:p>
        </w:tc>
        <w:tc>
          <w:tcPr>
            <w:tcW w:w="2936" w:type="dxa"/>
            <w:noWrap w:val="0"/>
            <w:vAlign w:val="center"/>
          </w:tcPr>
          <w:p w14:paraId="4234E1F9">
            <w:pPr>
              <w:spacing w:line="360" w:lineRule="auto"/>
              <w:jc w:val="center"/>
              <w:rPr>
                <w:rFonts w:hint="eastAsia" w:ascii="宋体" w:hAnsi="宋体" w:eastAsia="宋体" w:cs="宋体"/>
                <w:color w:val="auto"/>
                <w:sz w:val="28"/>
                <w:highlight w:val="none"/>
              </w:rPr>
            </w:pPr>
          </w:p>
        </w:tc>
      </w:tr>
      <w:tr w14:paraId="1EDA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70" w:type="dxa"/>
            <w:noWrap w:val="0"/>
            <w:vAlign w:val="center"/>
          </w:tcPr>
          <w:p w14:paraId="112B5F8B">
            <w:pPr>
              <w:spacing w:line="360" w:lineRule="auto"/>
              <w:jc w:val="center"/>
              <w:rPr>
                <w:rFonts w:hint="eastAsia" w:ascii="宋体" w:hAnsi="宋体" w:eastAsia="宋体" w:cs="宋体"/>
                <w:color w:val="auto"/>
                <w:sz w:val="28"/>
                <w:highlight w:val="none"/>
              </w:rPr>
            </w:pPr>
          </w:p>
        </w:tc>
        <w:tc>
          <w:tcPr>
            <w:tcW w:w="1005" w:type="dxa"/>
            <w:noWrap w:val="0"/>
            <w:vAlign w:val="center"/>
          </w:tcPr>
          <w:p w14:paraId="16C49CE2">
            <w:pPr>
              <w:spacing w:line="360" w:lineRule="auto"/>
              <w:jc w:val="center"/>
              <w:rPr>
                <w:rFonts w:hint="eastAsia" w:ascii="宋体" w:hAnsi="宋体" w:eastAsia="宋体" w:cs="宋体"/>
                <w:color w:val="auto"/>
                <w:sz w:val="28"/>
                <w:highlight w:val="none"/>
              </w:rPr>
            </w:pPr>
          </w:p>
        </w:tc>
        <w:tc>
          <w:tcPr>
            <w:tcW w:w="1260" w:type="dxa"/>
            <w:noWrap w:val="0"/>
            <w:vAlign w:val="center"/>
          </w:tcPr>
          <w:p w14:paraId="5B4040CA">
            <w:pPr>
              <w:spacing w:line="360" w:lineRule="auto"/>
              <w:jc w:val="center"/>
              <w:rPr>
                <w:rFonts w:hint="eastAsia" w:ascii="宋体" w:hAnsi="宋体" w:eastAsia="宋体" w:cs="宋体"/>
                <w:color w:val="auto"/>
                <w:sz w:val="28"/>
                <w:highlight w:val="none"/>
              </w:rPr>
            </w:pPr>
          </w:p>
        </w:tc>
        <w:tc>
          <w:tcPr>
            <w:tcW w:w="1356" w:type="dxa"/>
            <w:noWrap w:val="0"/>
            <w:vAlign w:val="center"/>
          </w:tcPr>
          <w:p w14:paraId="50CE8374">
            <w:pPr>
              <w:spacing w:line="360" w:lineRule="auto"/>
              <w:jc w:val="center"/>
              <w:rPr>
                <w:rFonts w:hint="eastAsia" w:ascii="宋体" w:hAnsi="宋体" w:eastAsia="宋体" w:cs="宋体"/>
                <w:color w:val="auto"/>
                <w:sz w:val="28"/>
                <w:highlight w:val="none"/>
              </w:rPr>
            </w:pPr>
          </w:p>
        </w:tc>
        <w:tc>
          <w:tcPr>
            <w:tcW w:w="819" w:type="dxa"/>
            <w:noWrap w:val="0"/>
            <w:vAlign w:val="top"/>
          </w:tcPr>
          <w:p w14:paraId="01899075">
            <w:pPr>
              <w:spacing w:line="360" w:lineRule="auto"/>
              <w:jc w:val="center"/>
              <w:rPr>
                <w:rFonts w:hint="eastAsia" w:ascii="宋体" w:hAnsi="宋体" w:eastAsia="宋体" w:cs="宋体"/>
                <w:color w:val="auto"/>
                <w:sz w:val="28"/>
                <w:highlight w:val="none"/>
              </w:rPr>
            </w:pPr>
          </w:p>
        </w:tc>
        <w:tc>
          <w:tcPr>
            <w:tcW w:w="1620" w:type="dxa"/>
            <w:noWrap w:val="0"/>
            <w:vAlign w:val="center"/>
          </w:tcPr>
          <w:p w14:paraId="26109CA6">
            <w:pPr>
              <w:spacing w:line="360" w:lineRule="auto"/>
              <w:jc w:val="center"/>
              <w:rPr>
                <w:rFonts w:hint="eastAsia" w:ascii="宋体" w:hAnsi="宋体" w:eastAsia="宋体" w:cs="宋体"/>
                <w:color w:val="auto"/>
                <w:sz w:val="28"/>
                <w:highlight w:val="none"/>
              </w:rPr>
            </w:pPr>
          </w:p>
        </w:tc>
        <w:tc>
          <w:tcPr>
            <w:tcW w:w="2936" w:type="dxa"/>
            <w:noWrap w:val="0"/>
            <w:vAlign w:val="center"/>
          </w:tcPr>
          <w:p w14:paraId="1043AD98">
            <w:pPr>
              <w:spacing w:line="360" w:lineRule="auto"/>
              <w:jc w:val="center"/>
              <w:rPr>
                <w:rFonts w:hint="eastAsia" w:ascii="宋体" w:hAnsi="宋体" w:eastAsia="宋体" w:cs="宋体"/>
                <w:color w:val="auto"/>
                <w:sz w:val="28"/>
                <w:highlight w:val="none"/>
              </w:rPr>
            </w:pPr>
          </w:p>
        </w:tc>
      </w:tr>
      <w:tr w14:paraId="57D9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570" w:type="dxa"/>
            <w:noWrap w:val="0"/>
            <w:vAlign w:val="center"/>
          </w:tcPr>
          <w:p w14:paraId="4B092C18">
            <w:pPr>
              <w:spacing w:line="360" w:lineRule="auto"/>
              <w:jc w:val="center"/>
              <w:rPr>
                <w:rFonts w:hint="eastAsia" w:ascii="宋体" w:hAnsi="宋体" w:eastAsia="宋体" w:cs="宋体"/>
                <w:color w:val="auto"/>
                <w:sz w:val="28"/>
                <w:highlight w:val="none"/>
              </w:rPr>
            </w:pPr>
          </w:p>
        </w:tc>
        <w:tc>
          <w:tcPr>
            <w:tcW w:w="1005" w:type="dxa"/>
            <w:noWrap w:val="0"/>
            <w:vAlign w:val="center"/>
          </w:tcPr>
          <w:p w14:paraId="151AEF0A">
            <w:pPr>
              <w:spacing w:line="360" w:lineRule="auto"/>
              <w:jc w:val="center"/>
              <w:rPr>
                <w:rFonts w:hint="eastAsia" w:ascii="宋体" w:hAnsi="宋体" w:eastAsia="宋体" w:cs="宋体"/>
                <w:color w:val="auto"/>
                <w:sz w:val="28"/>
                <w:highlight w:val="none"/>
              </w:rPr>
            </w:pPr>
          </w:p>
        </w:tc>
        <w:tc>
          <w:tcPr>
            <w:tcW w:w="1260" w:type="dxa"/>
            <w:noWrap w:val="0"/>
            <w:vAlign w:val="center"/>
          </w:tcPr>
          <w:p w14:paraId="3BDA32F3">
            <w:pPr>
              <w:spacing w:line="360" w:lineRule="auto"/>
              <w:jc w:val="center"/>
              <w:rPr>
                <w:rFonts w:hint="eastAsia" w:ascii="宋体" w:hAnsi="宋体" w:eastAsia="宋体" w:cs="宋体"/>
                <w:color w:val="auto"/>
                <w:sz w:val="28"/>
                <w:highlight w:val="none"/>
              </w:rPr>
            </w:pPr>
          </w:p>
        </w:tc>
        <w:tc>
          <w:tcPr>
            <w:tcW w:w="1356" w:type="dxa"/>
            <w:noWrap w:val="0"/>
            <w:vAlign w:val="center"/>
          </w:tcPr>
          <w:p w14:paraId="1B148276">
            <w:pPr>
              <w:spacing w:line="360" w:lineRule="auto"/>
              <w:jc w:val="center"/>
              <w:rPr>
                <w:rFonts w:hint="eastAsia" w:ascii="宋体" w:hAnsi="宋体" w:eastAsia="宋体" w:cs="宋体"/>
                <w:color w:val="auto"/>
                <w:sz w:val="28"/>
                <w:highlight w:val="none"/>
              </w:rPr>
            </w:pPr>
          </w:p>
        </w:tc>
        <w:tc>
          <w:tcPr>
            <w:tcW w:w="819" w:type="dxa"/>
            <w:noWrap w:val="0"/>
            <w:vAlign w:val="top"/>
          </w:tcPr>
          <w:p w14:paraId="370FD2B0">
            <w:pPr>
              <w:spacing w:line="360" w:lineRule="auto"/>
              <w:jc w:val="center"/>
              <w:rPr>
                <w:rFonts w:hint="eastAsia" w:ascii="宋体" w:hAnsi="宋体" w:eastAsia="宋体" w:cs="宋体"/>
                <w:color w:val="auto"/>
                <w:sz w:val="28"/>
                <w:highlight w:val="none"/>
              </w:rPr>
            </w:pPr>
          </w:p>
        </w:tc>
        <w:tc>
          <w:tcPr>
            <w:tcW w:w="1620" w:type="dxa"/>
            <w:noWrap w:val="0"/>
            <w:vAlign w:val="center"/>
          </w:tcPr>
          <w:p w14:paraId="64193722">
            <w:pPr>
              <w:spacing w:line="360" w:lineRule="auto"/>
              <w:jc w:val="center"/>
              <w:rPr>
                <w:rFonts w:hint="eastAsia" w:ascii="宋体" w:hAnsi="宋体" w:eastAsia="宋体" w:cs="宋体"/>
                <w:color w:val="auto"/>
                <w:sz w:val="28"/>
                <w:highlight w:val="none"/>
              </w:rPr>
            </w:pPr>
          </w:p>
        </w:tc>
        <w:tc>
          <w:tcPr>
            <w:tcW w:w="2936" w:type="dxa"/>
            <w:noWrap w:val="0"/>
            <w:vAlign w:val="center"/>
          </w:tcPr>
          <w:p w14:paraId="56E22F45">
            <w:pPr>
              <w:spacing w:line="360" w:lineRule="auto"/>
              <w:jc w:val="center"/>
              <w:rPr>
                <w:rFonts w:hint="eastAsia" w:ascii="宋体" w:hAnsi="宋体" w:eastAsia="宋体" w:cs="宋体"/>
                <w:color w:val="auto"/>
                <w:sz w:val="28"/>
                <w:highlight w:val="none"/>
              </w:rPr>
            </w:pPr>
          </w:p>
        </w:tc>
      </w:tr>
      <w:tr w14:paraId="3B06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70" w:type="dxa"/>
            <w:noWrap w:val="0"/>
            <w:vAlign w:val="center"/>
          </w:tcPr>
          <w:p w14:paraId="34D7B59A">
            <w:pPr>
              <w:spacing w:line="360" w:lineRule="auto"/>
              <w:jc w:val="center"/>
              <w:rPr>
                <w:rFonts w:hint="eastAsia" w:ascii="宋体" w:hAnsi="宋体" w:eastAsia="宋体" w:cs="宋体"/>
                <w:color w:val="auto"/>
                <w:sz w:val="28"/>
                <w:highlight w:val="none"/>
              </w:rPr>
            </w:pPr>
          </w:p>
        </w:tc>
        <w:tc>
          <w:tcPr>
            <w:tcW w:w="1005" w:type="dxa"/>
            <w:noWrap w:val="0"/>
            <w:vAlign w:val="center"/>
          </w:tcPr>
          <w:p w14:paraId="262CCB35">
            <w:pPr>
              <w:spacing w:line="360" w:lineRule="auto"/>
              <w:jc w:val="center"/>
              <w:rPr>
                <w:rFonts w:hint="eastAsia" w:ascii="宋体" w:hAnsi="宋体" w:eastAsia="宋体" w:cs="宋体"/>
                <w:color w:val="auto"/>
                <w:sz w:val="28"/>
                <w:highlight w:val="none"/>
              </w:rPr>
            </w:pPr>
          </w:p>
        </w:tc>
        <w:tc>
          <w:tcPr>
            <w:tcW w:w="1260" w:type="dxa"/>
            <w:noWrap w:val="0"/>
            <w:vAlign w:val="center"/>
          </w:tcPr>
          <w:p w14:paraId="6B7E3F26">
            <w:pPr>
              <w:spacing w:line="360" w:lineRule="auto"/>
              <w:jc w:val="center"/>
              <w:rPr>
                <w:rFonts w:hint="eastAsia" w:ascii="宋体" w:hAnsi="宋体" w:eastAsia="宋体" w:cs="宋体"/>
                <w:color w:val="auto"/>
                <w:sz w:val="28"/>
                <w:highlight w:val="none"/>
              </w:rPr>
            </w:pPr>
          </w:p>
        </w:tc>
        <w:tc>
          <w:tcPr>
            <w:tcW w:w="1356" w:type="dxa"/>
            <w:noWrap w:val="0"/>
            <w:vAlign w:val="center"/>
          </w:tcPr>
          <w:p w14:paraId="681DB7E9">
            <w:pPr>
              <w:spacing w:line="360" w:lineRule="auto"/>
              <w:jc w:val="center"/>
              <w:rPr>
                <w:rFonts w:hint="eastAsia" w:ascii="宋体" w:hAnsi="宋体" w:eastAsia="宋体" w:cs="宋体"/>
                <w:color w:val="auto"/>
                <w:sz w:val="28"/>
                <w:highlight w:val="none"/>
              </w:rPr>
            </w:pPr>
          </w:p>
        </w:tc>
        <w:tc>
          <w:tcPr>
            <w:tcW w:w="819" w:type="dxa"/>
            <w:noWrap w:val="0"/>
            <w:vAlign w:val="top"/>
          </w:tcPr>
          <w:p w14:paraId="30494EA0">
            <w:pPr>
              <w:spacing w:line="360" w:lineRule="auto"/>
              <w:jc w:val="center"/>
              <w:rPr>
                <w:rFonts w:hint="eastAsia" w:ascii="宋体" w:hAnsi="宋体" w:eastAsia="宋体" w:cs="宋体"/>
                <w:color w:val="auto"/>
                <w:sz w:val="28"/>
                <w:highlight w:val="none"/>
              </w:rPr>
            </w:pPr>
          </w:p>
        </w:tc>
        <w:tc>
          <w:tcPr>
            <w:tcW w:w="1620" w:type="dxa"/>
            <w:noWrap w:val="0"/>
            <w:vAlign w:val="center"/>
          </w:tcPr>
          <w:p w14:paraId="68184CAF">
            <w:pPr>
              <w:spacing w:line="360" w:lineRule="auto"/>
              <w:jc w:val="center"/>
              <w:rPr>
                <w:rFonts w:hint="eastAsia" w:ascii="宋体" w:hAnsi="宋体" w:eastAsia="宋体" w:cs="宋体"/>
                <w:color w:val="auto"/>
                <w:sz w:val="28"/>
                <w:highlight w:val="none"/>
              </w:rPr>
            </w:pPr>
          </w:p>
        </w:tc>
        <w:tc>
          <w:tcPr>
            <w:tcW w:w="2936" w:type="dxa"/>
            <w:noWrap w:val="0"/>
            <w:vAlign w:val="center"/>
          </w:tcPr>
          <w:p w14:paraId="619E22F2">
            <w:pPr>
              <w:spacing w:line="360" w:lineRule="auto"/>
              <w:jc w:val="center"/>
              <w:rPr>
                <w:rFonts w:hint="eastAsia" w:ascii="宋体" w:hAnsi="宋体" w:eastAsia="宋体" w:cs="宋体"/>
                <w:color w:val="auto"/>
                <w:sz w:val="28"/>
                <w:highlight w:val="none"/>
              </w:rPr>
            </w:pPr>
          </w:p>
        </w:tc>
      </w:tr>
      <w:tr w14:paraId="7AD0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70" w:type="dxa"/>
            <w:noWrap w:val="0"/>
            <w:vAlign w:val="center"/>
          </w:tcPr>
          <w:p w14:paraId="68661C4D">
            <w:pPr>
              <w:spacing w:line="360" w:lineRule="auto"/>
              <w:jc w:val="center"/>
              <w:rPr>
                <w:rFonts w:hint="eastAsia" w:ascii="宋体" w:hAnsi="宋体" w:eastAsia="宋体" w:cs="宋体"/>
                <w:color w:val="auto"/>
                <w:sz w:val="28"/>
                <w:highlight w:val="none"/>
              </w:rPr>
            </w:pPr>
          </w:p>
        </w:tc>
        <w:tc>
          <w:tcPr>
            <w:tcW w:w="1005" w:type="dxa"/>
            <w:noWrap w:val="0"/>
            <w:vAlign w:val="center"/>
          </w:tcPr>
          <w:p w14:paraId="449945F0">
            <w:pPr>
              <w:spacing w:line="360" w:lineRule="auto"/>
              <w:jc w:val="center"/>
              <w:rPr>
                <w:rFonts w:hint="eastAsia" w:ascii="宋体" w:hAnsi="宋体" w:eastAsia="宋体" w:cs="宋体"/>
                <w:color w:val="auto"/>
                <w:sz w:val="28"/>
                <w:highlight w:val="none"/>
              </w:rPr>
            </w:pPr>
          </w:p>
        </w:tc>
        <w:tc>
          <w:tcPr>
            <w:tcW w:w="1260" w:type="dxa"/>
            <w:noWrap w:val="0"/>
            <w:vAlign w:val="center"/>
          </w:tcPr>
          <w:p w14:paraId="151DD0E2">
            <w:pPr>
              <w:spacing w:line="360" w:lineRule="auto"/>
              <w:jc w:val="center"/>
              <w:rPr>
                <w:rFonts w:hint="eastAsia" w:ascii="宋体" w:hAnsi="宋体" w:eastAsia="宋体" w:cs="宋体"/>
                <w:color w:val="auto"/>
                <w:sz w:val="28"/>
                <w:highlight w:val="none"/>
              </w:rPr>
            </w:pPr>
          </w:p>
        </w:tc>
        <w:tc>
          <w:tcPr>
            <w:tcW w:w="1356" w:type="dxa"/>
            <w:noWrap w:val="0"/>
            <w:vAlign w:val="center"/>
          </w:tcPr>
          <w:p w14:paraId="11BA634A">
            <w:pPr>
              <w:spacing w:line="360" w:lineRule="auto"/>
              <w:jc w:val="center"/>
              <w:rPr>
                <w:rFonts w:hint="eastAsia" w:ascii="宋体" w:hAnsi="宋体" w:eastAsia="宋体" w:cs="宋体"/>
                <w:color w:val="auto"/>
                <w:sz w:val="28"/>
                <w:highlight w:val="none"/>
              </w:rPr>
            </w:pPr>
          </w:p>
        </w:tc>
        <w:tc>
          <w:tcPr>
            <w:tcW w:w="819" w:type="dxa"/>
            <w:noWrap w:val="0"/>
            <w:vAlign w:val="top"/>
          </w:tcPr>
          <w:p w14:paraId="751C2512">
            <w:pPr>
              <w:spacing w:line="360" w:lineRule="auto"/>
              <w:jc w:val="center"/>
              <w:rPr>
                <w:rFonts w:hint="eastAsia" w:ascii="宋体" w:hAnsi="宋体" w:eastAsia="宋体" w:cs="宋体"/>
                <w:color w:val="auto"/>
                <w:sz w:val="28"/>
                <w:highlight w:val="none"/>
              </w:rPr>
            </w:pPr>
          </w:p>
        </w:tc>
        <w:tc>
          <w:tcPr>
            <w:tcW w:w="1620" w:type="dxa"/>
            <w:noWrap w:val="0"/>
            <w:vAlign w:val="center"/>
          </w:tcPr>
          <w:p w14:paraId="65AD341B">
            <w:pPr>
              <w:spacing w:line="360" w:lineRule="auto"/>
              <w:jc w:val="center"/>
              <w:rPr>
                <w:rFonts w:hint="eastAsia" w:ascii="宋体" w:hAnsi="宋体" w:eastAsia="宋体" w:cs="宋体"/>
                <w:color w:val="auto"/>
                <w:sz w:val="28"/>
                <w:highlight w:val="none"/>
              </w:rPr>
            </w:pPr>
          </w:p>
        </w:tc>
        <w:tc>
          <w:tcPr>
            <w:tcW w:w="2936" w:type="dxa"/>
            <w:noWrap w:val="0"/>
            <w:vAlign w:val="center"/>
          </w:tcPr>
          <w:p w14:paraId="7D991362">
            <w:pPr>
              <w:spacing w:line="360" w:lineRule="auto"/>
              <w:jc w:val="center"/>
              <w:rPr>
                <w:rFonts w:hint="eastAsia" w:ascii="宋体" w:hAnsi="宋体" w:eastAsia="宋体" w:cs="宋体"/>
                <w:color w:val="auto"/>
                <w:sz w:val="28"/>
                <w:highlight w:val="none"/>
              </w:rPr>
            </w:pPr>
          </w:p>
        </w:tc>
      </w:tr>
      <w:tr w14:paraId="5596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70" w:type="dxa"/>
            <w:noWrap w:val="0"/>
            <w:vAlign w:val="center"/>
          </w:tcPr>
          <w:p w14:paraId="56A997CF">
            <w:pPr>
              <w:spacing w:line="360" w:lineRule="auto"/>
              <w:jc w:val="center"/>
              <w:rPr>
                <w:rFonts w:hint="eastAsia" w:ascii="宋体" w:hAnsi="宋体" w:eastAsia="宋体" w:cs="宋体"/>
                <w:color w:val="auto"/>
                <w:sz w:val="28"/>
                <w:highlight w:val="none"/>
              </w:rPr>
            </w:pPr>
          </w:p>
        </w:tc>
        <w:tc>
          <w:tcPr>
            <w:tcW w:w="1005" w:type="dxa"/>
            <w:noWrap w:val="0"/>
            <w:vAlign w:val="center"/>
          </w:tcPr>
          <w:p w14:paraId="44595EFB">
            <w:pPr>
              <w:spacing w:line="360" w:lineRule="auto"/>
              <w:jc w:val="center"/>
              <w:rPr>
                <w:rFonts w:hint="eastAsia" w:ascii="宋体" w:hAnsi="宋体" w:eastAsia="宋体" w:cs="宋体"/>
                <w:color w:val="auto"/>
                <w:sz w:val="28"/>
                <w:highlight w:val="none"/>
              </w:rPr>
            </w:pPr>
          </w:p>
        </w:tc>
        <w:tc>
          <w:tcPr>
            <w:tcW w:w="1260" w:type="dxa"/>
            <w:noWrap w:val="0"/>
            <w:vAlign w:val="center"/>
          </w:tcPr>
          <w:p w14:paraId="1C0A0D0B">
            <w:pPr>
              <w:spacing w:line="360" w:lineRule="auto"/>
              <w:jc w:val="center"/>
              <w:rPr>
                <w:rFonts w:hint="eastAsia" w:ascii="宋体" w:hAnsi="宋体" w:eastAsia="宋体" w:cs="宋体"/>
                <w:color w:val="auto"/>
                <w:sz w:val="28"/>
                <w:highlight w:val="none"/>
              </w:rPr>
            </w:pPr>
          </w:p>
        </w:tc>
        <w:tc>
          <w:tcPr>
            <w:tcW w:w="1356" w:type="dxa"/>
            <w:noWrap w:val="0"/>
            <w:vAlign w:val="center"/>
          </w:tcPr>
          <w:p w14:paraId="1493ADD6">
            <w:pPr>
              <w:spacing w:line="360" w:lineRule="auto"/>
              <w:jc w:val="center"/>
              <w:rPr>
                <w:rFonts w:hint="eastAsia" w:ascii="宋体" w:hAnsi="宋体" w:eastAsia="宋体" w:cs="宋体"/>
                <w:color w:val="auto"/>
                <w:sz w:val="28"/>
                <w:highlight w:val="none"/>
              </w:rPr>
            </w:pPr>
          </w:p>
        </w:tc>
        <w:tc>
          <w:tcPr>
            <w:tcW w:w="819" w:type="dxa"/>
            <w:noWrap w:val="0"/>
            <w:vAlign w:val="top"/>
          </w:tcPr>
          <w:p w14:paraId="447F8A9A">
            <w:pPr>
              <w:spacing w:line="360" w:lineRule="auto"/>
              <w:jc w:val="center"/>
              <w:rPr>
                <w:rFonts w:hint="eastAsia" w:ascii="宋体" w:hAnsi="宋体" w:eastAsia="宋体" w:cs="宋体"/>
                <w:color w:val="auto"/>
                <w:sz w:val="28"/>
                <w:highlight w:val="none"/>
              </w:rPr>
            </w:pPr>
          </w:p>
        </w:tc>
        <w:tc>
          <w:tcPr>
            <w:tcW w:w="1620" w:type="dxa"/>
            <w:noWrap w:val="0"/>
            <w:vAlign w:val="center"/>
          </w:tcPr>
          <w:p w14:paraId="667E7C94">
            <w:pPr>
              <w:spacing w:line="360" w:lineRule="auto"/>
              <w:jc w:val="center"/>
              <w:rPr>
                <w:rFonts w:hint="eastAsia" w:ascii="宋体" w:hAnsi="宋体" w:eastAsia="宋体" w:cs="宋体"/>
                <w:color w:val="auto"/>
                <w:sz w:val="28"/>
                <w:highlight w:val="none"/>
              </w:rPr>
            </w:pPr>
          </w:p>
        </w:tc>
        <w:tc>
          <w:tcPr>
            <w:tcW w:w="2936" w:type="dxa"/>
            <w:noWrap w:val="0"/>
            <w:vAlign w:val="center"/>
          </w:tcPr>
          <w:p w14:paraId="37AEEA21">
            <w:pPr>
              <w:spacing w:line="360" w:lineRule="auto"/>
              <w:jc w:val="center"/>
              <w:rPr>
                <w:rFonts w:hint="eastAsia" w:ascii="宋体" w:hAnsi="宋体" w:eastAsia="宋体" w:cs="宋体"/>
                <w:color w:val="auto"/>
                <w:sz w:val="28"/>
                <w:highlight w:val="none"/>
              </w:rPr>
            </w:pPr>
          </w:p>
        </w:tc>
      </w:tr>
      <w:tr w14:paraId="5C79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70" w:type="dxa"/>
            <w:noWrap w:val="0"/>
            <w:vAlign w:val="center"/>
          </w:tcPr>
          <w:p w14:paraId="4CFC52A0">
            <w:pPr>
              <w:spacing w:line="360" w:lineRule="auto"/>
              <w:jc w:val="center"/>
              <w:rPr>
                <w:rFonts w:hint="eastAsia" w:ascii="宋体" w:hAnsi="宋体" w:eastAsia="宋体" w:cs="宋体"/>
                <w:color w:val="auto"/>
                <w:sz w:val="28"/>
                <w:highlight w:val="none"/>
              </w:rPr>
            </w:pPr>
          </w:p>
        </w:tc>
        <w:tc>
          <w:tcPr>
            <w:tcW w:w="1005" w:type="dxa"/>
            <w:noWrap w:val="0"/>
            <w:vAlign w:val="center"/>
          </w:tcPr>
          <w:p w14:paraId="24970342">
            <w:pPr>
              <w:spacing w:line="360" w:lineRule="auto"/>
              <w:jc w:val="center"/>
              <w:rPr>
                <w:rFonts w:hint="eastAsia" w:ascii="宋体" w:hAnsi="宋体" w:eastAsia="宋体" w:cs="宋体"/>
                <w:color w:val="auto"/>
                <w:sz w:val="28"/>
                <w:highlight w:val="none"/>
              </w:rPr>
            </w:pPr>
          </w:p>
        </w:tc>
        <w:tc>
          <w:tcPr>
            <w:tcW w:w="1260" w:type="dxa"/>
            <w:noWrap w:val="0"/>
            <w:vAlign w:val="center"/>
          </w:tcPr>
          <w:p w14:paraId="00C6DB99">
            <w:pPr>
              <w:spacing w:line="360" w:lineRule="auto"/>
              <w:jc w:val="center"/>
              <w:rPr>
                <w:rFonts w:hint="eastAsia" w:ascii="宋体" w:hAnsi="宋体" w:eastAsia="宋体" w:cs="宋体"/>
                <w:color w:val="auto"/>
                <w:sz w:val="28"/>
                <w:highlight w:val="none"/>
              </w:rPr>
            </w:pPr>
          </w:p>
        </w:tc>
        <w:tc>
          <w:tcPr>
            <w:tcW w:w="1356" w:type="dxa"/>
            <w:noWrap w:val="0"/>
            <w:vAlign w:val="center"/>
          </w:tcPr>
          <w:p w14:paraId="3994F8D4">
            <w:pPr>
              <w:spacing w:line="360" w:lineRule="auto"/>
              <w:jc w:val="center"/>
              <w:rPr>
                <w:rFonts w:hint="eastAsia" w:ascii="宋体" w:hAnsi="宋体" w:eastAsia="宋体" w:cs="宋体"/>
                <w:color w:val="auto"/>
                <w:sz w:val="28"/>
                <w:highlight w:val="none"/>
              </w:rPr>
            </w:pPr>
          </w:p>
        </w:tc>
        <w:tc>
          <w:tcPr>
            <w:tcW w:w="819" w:type="dxa"/>
            <w:noWrap w:val="0"/>
            <w:vAlign w:val="top"/>
          </w:tcPr>
          <w:p w14:paraId="5A95278C">
            <w:pPr>
              <w:spacing w:line="360" w:lineRule="auto"/>
              <w:jc w:val="center"/>
              <w:rPr>
                <w:rFonts w:hint="eastAsia" w:ascii="宋体" w:hAnsi="宋体" w:eastAsia="宋体" w:cs="宋体"/>
                <w:color w:val="auto"/>
                <w:sz w:val="28"/>
                <w:highlight w:val="none"/>
              </w:rPr>
            </w:pPr>
          </w:p>
        </w:tc>
        <w:tc>
          <w:tcPr>
            <w:tcW w:w="1620" w:type="dxa"/>
            <w:noWrap w:val="0"/>
            <w:vAlign w:val="center"/>
          </w:tcPr>
          <w:p w14:paraId="19CC1143">
            <w:pPr>
              <w:spacing w:line="360" w:lineRule="auto"/>
              <w:jc w:val="center"/>
              <w:rPr>
                <w:rFonts w:hint="eastAsia" w:ascii="宋体" w:hAnsi="宋体" w:eastAsia="宋体" w:cs="宋体"/>
                <w:color w:val="auto"/>
                <w:sz w:val="28"/>
                <w:highlight w:val="none"/>
              </w:rPr>
            </w:pPr>
          </w:p>
        </w:tc>
        <w:tc>
          <w:tcPr>
            <w:tcW w:w="2936" w:type="dxa"/>
            <w:noWrap w:val="0"/>
            <w:vAlign w:val="center"/>
          </w:tcPr>
          <w:p w14:paraId="687849B3">
            <w:pPr>
              <w:spacing w:line="360" w:lineRule="auto"/>
              <w:jc w:val="center"/>
              <w:rPr>
                <w:rFonts w:hint="eastAsia" w:ascii="宋体" w:hAnsi="宋体" w:eastAsia="宋体" w:cs="宋体"/>
                <w:color w:val="auto"/>
                <w:sz w:val="28"/>
                <w:highlight w:val="none"/>
              </w:rPr>
            </w:pPr>
          </w:p>
        </w:tc>
      </w:tr>
    </w:tbl>
    <w:p w14:paraId="612ED5A4">
      <w:pPr>
        <w:widowControl/>
        <w:jc w:val="left"/>
        <w:rPr>
          <w:rFonts w:ascii="宋体" w:hAnsi="宋体"/>
          <w:b/>
          <w:bCs/>
          <w:color w:val="000000" w:themeColor="text1"/>
          <w:sz w:val="28"/>
          <w:szCs w:val="32"/>
          <w14:textFill>
            <w14:solidFill>
              <w14:schemeClr w14:val="tx1"/>
            </w14:solidFill>
          </w14:textFill>
        </w:rPr>
      </w:pPr>
      <w:r>
        <w:rPr>
          <w:rFonts w:hint="eastAsia" w:ascii="宋体" w:hAnsi="宋体" w:eastAsia="宋体" w:cs="宋体"/>
          <w:b/>
          <w:color w:val="auto"/>
          <w:szCs w:val="21"/>
          <w:highlight w:val="none"/>
        </w:rPr>
        <w:t>注：所有人员必须持证上岗，且进场前必须经甲方代表面试，合格后方可担任相关岗位；监理期间如出现监理人员无法满足要求的，甲方有权要求更换，新的人员必须在一周内到位，并经面试合格后方可担任相关岗位。</w:t>
      </w:r>
    </w:p>
    <w:p w14:paraId="63E09F03">
      <w:pPr>
        <w:rPr>
          <w:rFonts w:hint="eastAsia"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br w:type="page"/>
      </w:r>
    </w:p>
    <w:p w14:paraId="30770195">
      <w:pPr>
        <w:snapToGrid w:val="0"/>
        <w:spacing w:after="120" w:line="360" w:lineRule="auto"/>
        <w:jc w:val="center"/>
        <w:rPr>
          <w:rFonts w:hint="eastAsia" w:ascii="宋体" w:hAnsi="宋体" w:eastAsia="宋体" w:cs="宋体"/>
          <w:b/>
          <w:color w:val="auto"/>
          <w:sz w:val="32"/>
          <w:szCs w:val="32"/>
          <w:highlight w:val="none"/>
        </w:rPr>
      </w:pPr>
      <w:r>
        <w:rPr>
          <w:rFonts w:hint="eastAsia" w:ascii="宋体" w:hAnsi="宋体"/>
          <w:b/>
          <w:bCs/>
          <w:color w:val="000000" w:themeColor="text1"/>
          <w:sz w:val="28"/>
          <w:szCs w:val="32"/>
          <w14:textFill>
            <w14:solidFill>
              <w14:schemeClr w14:val="tx1"/>
            </w14:solidFill>
          </w14:textFill>
        </w:rPr>
        <w:t>（四）</w:t>
      </w:r>
      <w:r>
        <w:rPr>
          <w:rFonts w:hint="eastAsia" w:ascii="宋体" w:hAnsi="宋体" w:eastAsia="宋体" w:cs="宋体"/>
          <w:b/>
          <w:color w:val="auto"/>
          <w:sz w:val="32"/>
          <w:szCs w:val="32"/>
          <w:highlight w:val="none"/>
        </w:rPr>
        <w:t>驻场监理人员简历表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485"/>
        <w:gridCol w:w="1698"/>
        <w:gridCol w:w="1909"/>
        <w:gridCol w:w="1378"/>
        <w:gridCol w:w="1028"/>
      </w:tblGrid>
      <w:tr w14:paraId="5D8D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78" w:type="dxa"/>
            <w:noWrap w:val="0"/>
            <w:vAlign w:val="center"/>
          </w:tcPr>
          <w:p w14:paraId="2CF5110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485" w:type="dxa"/>
            <w:noWrap w:val="0"/>
            <w:vAlign w:val="center"/>
          </w:tcPr>
          <w:p w14:paraId="11C40D6C">
            <w:pPr>
              <w:spacing w:line="360" w:lineRule="auto"/>
              <w:jc w:val="center"/>
              <w:rPr>
                <w:rFonts w:hint="eastAsia" w:ascii="宋体" w:hAnsi="宋体" w:eastAsia="宋体" w:cs="宋体"/>
                <w:color w:val="auto"/>
                <w:sz w:val="24"/>
                <w:highlight w:val="none"/>
              </w:rPr>
            </w:pPr>
          </w:p>
        </w:tc>
        <w:tc>
          <w:tcPr>
            <w:tcW w:w="1698" w:type="dxa"/>
            <w:noWrap w:val="0"/>
            <w:vAlign w:val="center"/>
          </w:tcPr>
          <w:p w14:paraId="7B7C144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拟任职务</w:t>
            </w:r>
          </w:p>
        </w:tc>
        <w:tc>
          <w:tcPr>
            <w:tcW w:w="1909" w:type="dxa"/>
            <w:noWrap w:val="0"/>
            <w:vAlign w:val="center"/>
          </w:tcPr>
          <w:p w14:paraId="4039E918">
            <w:pPr>
              <w:spacing w:line="360" w:lineRule="auto"/>
              <w:jc w:val="center"/>
              <w:rPr>
                <w:rFonts w:hint="eastAsia" w:ascii="宋体" w:hAnsi="宋体" w:eastAsia="宋体" w:cs="宋体"/>
                <w:color w:val="auto"/>
                <w:sz w:val="24"/>
                <w:highlight w:val="none"/>
              </w:rPr>
            </w:pPr>
          </w:p>
        </w:tc>
        <w:tc>
          <w:tcPr>
            <w:tcW w:w="1378" w:type="dxa"/>
            <w:noWrap w:val="0"/>
            <w:vAlign w:val="center"/>
          </w:tcPr>
          <w:p w14:paraId="0BD148D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出生年月</w:t>
            </w:r>
          </w:p>
        </w:tc>
        <w:tc>
          <w:tcPr>
            <w:tcW w:w="1028" w:type="dxa"/>
            <w:noWrap w:val="0"/>
            <w:vAlign w:val="center"/>
          </w:tcPr>
          <w:p w14:paraId="693441FF">
            <w:pPr>
              <w:spacing w:line="360" w:lineRule="auto"/>
              <w:jc w:val="center"/>
              <w:rPr>
                <w:rFonts w:hint="eastAsia" w:ascii="宋体" w:hAnsi="宋体" w:eastAsia="宋体" w:cs="宋体"/>
                <w:color w:val="auto"/>
                <w:sz w:val="24"/>
                <w:highlight w:val="none"/>
              </w:rPr>
            </w:pPr>
          </w:p>
        </w:tc>
      </w:tr>
      <w:tr w14:paraId="490F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378" w:type="dxa"/>
            <w:noWrap w:val="0"/>
            <w:vAlign w:val="center"/>
          </w:tcPr>
          <w:p w14:paraId="75D896F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毕业院校专业及时间</w:t>
            </w:r>
          </w:p>
        </w:tc>
        <w:tc>
          <w:tcPr>
            <w:tcW w:w="3183" w:type="dxa"/>
            <w:gridSpan w:val="2"/>
            <w:noWrap w:val="0"/>
            <w:vAlign w:val="center"/>
          </w:tcPr>
          <w:p w14:paraId="65761FA4">
            <w:pPr>
              <w:spacing w:line="360" w:lineRule="auto"/>
              <w:jc w:val="center"/>
              <w:rPr>
                <w:rFonts w:hint="eastAsia" w:ascii="宋体" w:hAnsi="宋体" w:eastAsia="宋体" w:cs="宋体"/>
                <w:color w:val="auto"/>
                <w:sz w:val="24"/>
                <w:highlight w:val="none"/>
              </w:rPr>
            </w:pPr>
          </w:p>
        </w:tc>
        <w:tc>
          <w:tcPr>
            <w:tcW w:w="1909" w:type="dxa"/>
            <w:noWrap w:val="0"/>
            <w:vAlign w:val="center"/>
          </w:tcPr>
          <w:p w14:paraId="26311EA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职称及专业</w:t>
            </w:r>
          </w:p>
        </w:tc>
        <w:tc>
          <w:tcPr>
            <w:tcW w:w="2406" w:type="dxa"/>
            <w:gridSpan w:val="2"/>
            <w:noWrap w:val="0"/>
            <w:vAlign w:val="center"/>
          </w:tcPr>
          <w:p w14:paraId="4B8F21F1">
            <w:pPr>
              <w:spacing w:line="360" w:lineRule="auto"/>
              <w:jc w:val="center"/>
              <w:rPr>
                <w:rFonts w:hint="eastAsia" w:ascii="宋体" w:hAnsi="宋体" w:eastAsia="宋体" w:cs="宋体"/>
                <w:color w:val="auto"/>
                <w:sz w:val="24"/>
                <w:highlight w:val="none"/>
              </w:rPr>
            </w:pPr>
          </w:p>
        </w:tc>
      </w:tr>
      <w:tr w14:paraId="6DE6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jc w:val="center"/>
        </w:trPr>
        <w:tc>
          <w:tcPr>
            <w:tcW w:w="1378" w:type="dxa"/>
            <w:noWrap w:val="0"/>
            <w:vAlign w:val="top"/>
          </w:tcPr>
          <w:p w14:paraId="1B193BF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监理培训证书号</w:t>
            </w:r>
          </w:p>
        </w:tc>
        <w:tc>
          <w:tcPr>
            <w:tcW w:w="3183" w:type="dxa"/>
            <w:gridSpan w:val="2"/>
            <w:noWrap w:val="0"/>
            <w:vAlign w:val="top"/>
          </w:tcPr>
          <w:p w14:paraId="6195170A">
            <w:pPr>
              <w:spacing w:line="360" w:lineRule="auto"/>
              <w:jc w:val="center"/>
              <w:rPr>
                <w:rFonts w:hint="eastAsia" w:ascii="宋体" w:hAnsi="宋体" w:eastAsia="宋体" w:cs="宋体"/>
                <w:color w:val="auto"/>
                <w:sz w:val="24"/>
                <w:highlight w:val="none"/>
              </w:rPr>
            </w:pPr>
          </w:p>
        </w:tc>
        <w:tc>
          <w:tcPr>
            <w:tcW w:w="1909" w:type="dxa"/>
            <w:noWrap w:val="0"/>
            <w:vAlign w:val="top"/>
          </w:tcPr>
          <w:p w14:paraId="5A3A01A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w:t>
            </w:r>
          </w:p>
          <w:p w14:paraId="6BDDC18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2406" w:type="dxa"/>
            <w:gridSpan w:val="2"/>
            <w:noWrap w:val="0"/>
            <w:vAlign w:val="top"/>
          </w:tcPr>
          <w:p w14:paraId="1CA9EEC4">
            <w:pPr>
              <w:spacing w:line="360" w:lineRule="auto"/>
              <w:jc w:val="center"/>
              <w:rPr>
                <w:rFonts w:hint="eastAsia" w:ascii="宋体" w:hAnsi="宋体" w:eastAsia="宋体" w:cs="宋体"/>
                <w:color w:val="auto"/>
                <w:sz w:val="24"/>
                <w:highlight w:val="none"/>
              </w:rPr>
            </w:pPr>
          </w:p>
        </w:tc>
      </w:tr>
      <w:tr w14:paraId="0592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4561" w:type="dxa"/>
            <w:gridSpan w:val="3"/>
            <w:noWrap w:val="0"/>
            <w:vAlign w:val="center"/>
          </w:tcPr>
          <w:p w14:paraId="496C09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满足评分的其他证书名称及编号(如有)</w:t>
            </w:r>
          </w:p>
        </w:tc>
        <w:tc>
          <w:tcPr>
            <w:tcW w:w="4315" w:type="dxa"/>
            <w:gridSpan w:val="3"/>
            <w:noWrap w:val="0"/>
            <w:vAlign w:val="top"/>
          </w:tcPr>
          <w:p w14:paraId="259387A4">
            <w:pPr>
              <w:spacing w:line="360" w:lineRule="auto"/>
              <w:rPr>
                <w:rFonts w:hint="eastAsia" w:ascii="宋体" w:hAnsi="宋体" w:eastAsia="宋体" w:cs="宋体"/>
                <w:color w:val="auto"/>
                <w:szCs w:val="21"/>
                <w:highlight w:val="none"/>
              </w:rPr>
            </w:pPr>
          </w:p>
        </w:tc>
      </w:tr>
      <w:tr w14:paraId="275B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4" w:hRule="atLeast"/>
          <w:jc w:val="center"/>
        </w:trPr>
        <w:tc>
          <w:tcPr>
            <w:tcW w:w="1378" w:type="dxa"/>
            <w:noWrap w:val="0"/>
            <w:vAlign w:val="top"/>
          </w:tcPr>
          <w:p w14:paraId="116E6570">
            <w:pPr>
              <w:pStyle w:val="1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个人简历及业绩。</w:t>
            </w:r>
          </w:p>
          <w:p w14:paraId="635F20F0">
            <w:pPr>
              <w:pStyle w:val="1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其中人员业绩可简要说明业绩名称、投资额、竣工时间、规模（平方米或吨或立方米等）、担任职务、获奖情况(如有)等。</w:t>
            </w:r>
          </w:p>
          <w:p w14:paraId="371C1B20">
            <w:pPr>
              <w:spacing w:line="360" w:lineRule="auto"/>
              <w:jc w:val="center"/>
              <w:rPr>
                <w:rFonts w:hint="eastAsia" w:ascii="宋体" w:hAnsi="宋体" w:eastAsia="宋体" w:cs="宋体"/>
                <w:color w:val="auto"/>
                <w:sz w:val="28"/>
                <w:highlight w:val="none"/>
              </w:rPr>
            </w:pPr>
          </w:p>
        </w:tc>
        <w:tc>
          <w:tcPr>
            <w:tcW w:w="7498" w:type="dxa"/>
            <w:gridSpan w:val="5"/>
            <w:noWrap w:val="0"/>
            <w:vAlign w:val="top"/>
          </w:tcPr>
          <w:p w14:paraId="24862D3D">
            <w:pPr>
              <w:spacing w:line="360" w:lineRule="auto"/>
              <w:jc w:val="center"/>
              <w:rPr>
                <w:rFonts w:hint="eastAsia" w:ascii="宋体" w:hAnsi="宋体" w:eastAsia="宋体" w:cs="宋体"/>
                <w:color w:val="auto"/>
                <w:sz w:val="28"/>
                <w:highlight w:val="none"/>
              </w:rPr>
            </w:pPr>
          </w:p>
        </w:tc>
      </w:tr>
    </w:tbl>
    <w:p w14:paraId="41BA7C22">
      <w:pPr>
        <w:spacing w:line="440" w:lineRule="exact"/>
        <w:rPr>
          <w:rFonts w:ascii="宋体" w:hAnsi="宋体"/>
          <w:color w:val="000000" w:themeColor="text1"/>
          <w:sz w:val="24"/>
          <w:szCs w:val="24"/>
          <w14:textFill>
            <w14:solidFill>
              <w14:schemeClr w14:val="tx1"/>
            </w14:solidFill>
          </w14:textFill>
        </w:rPr>
      </w:pPr>
      <w:r>
        <w:rPr>
          <w:rFonts w:hint="eastAsia" w:ascii="宋体" w:hAnsi="宋体" w:eastAsia="宋体" w:cs="宋体"/>
          <w:b/>
          <w:color w:val="auto"/>
          <w:sz w:val="24"/>
          <w:highlight w:val="none"/>
        </w:rPr>
        <w:t>注：</w:t>
      </w:r>
      <w:r>
        <w:rPr>
          <w:rFonts w:hint="eastAsia" w:ascii="宋体" w:hAnsi="宋体" w:eastAsia="宋体" w:cs="宋体"/>
          <w:b/>
          <w:color w:val="auto"/>
          <w:szCs w:val="21"/>
          <w:highlight w:val="none"/>
        </w:rPr>
        <w:t>1、业绩情况简介可按评标办法对应要求填写。</w:t>
      </w:r>
      <w:r>
        <w:rPr>
          <w:rFonts w:hint="eastAsia" w:ascii="宋体" w:hAnsi="宋体" w:eastAsia="宋体" w:cs="宋体"/>
          <w:b/>
          <w:color w:val="auto"/>
          <w:sz w:val="24"/>
          <w:highlight w:val="none"/>
        </w:rPr>
        <w:t>2、</w:t>
      </w:r>
      <w:r>
        <w:rPr>
          <w:rFonts w:hint="eastAsia" w:ascii="宋体" w:hAnsi="宋体" w:eastAsia="宋体" w:cs="宋体"/>
          <w:b/>
          <w:color w:val="auto"/>
          <w:szCs w:val="21"/>
          <w:highlight w:val="none"/>
        </w:rPr>
        <w:t>每张此表后可附上对应的学历证书、注册监理工程师或造价师、建造师等注册证书或上岗证、身份证及职称证书、其他证书等证明材料的复印件；以及根据评标办法中对人员业绩的要求附每项业绩证明材料及获奖证明材料等复印件（若有）。3、并需提供近3个月（</w:t>
      </w:r>
      <w:r>
        <w:rPr>
          <w:rFonts w:hint="eastAsia" w:ascii="宋体" w:hAnsi="宋体" w:cs="宋体"/>
          <w:b/>
          <w:color w:val="auto"/>
          <w:szCs w:val="21"/>
          <w:highlight w:val="none"/>
          <w:lang w:eastAsia="zh-CN"/>
        </w:rPr>
        <w:t>2025年7月-9月</w:t>
      </w:r>
      <w:r>
        <w:rPr>
          <w:rFonts w:hint="eastAsia" w:ascii="宋体" w:hAnsi="宋体" w:eastAsia="宋体" w:cs="宋体"/>
          <w:b/>
          <w:color w:val="auto"/>
          <w:szCs w:val="21"/>
          <w:highlight w:val="none"/>
        </w:rPr>
        <w:t>）在本单位（不含子公司）购买的社保证明，社保证明需能反映参保人在相应单位（不含子公司）缴纳。若发现弄虚作假的，则将其行为纳入不诚信名单，招标人保留上报给行政主管部门的权力。</w:t>
      </w:r>
    </w:p>
    <w:p w14:paraId="11F86989">
      <w:pPr>
        <w:spacing w:before="20" w:line="412" w:lineRule="auto"/>
        <w:outlineLvl w:val="2"/>
        <w:rPr>
          <w:rFonts w:ascii="宋体" w:hAnsi="宋体"/>
          <w:b/>
          <w:bCs/>
          <w:color w:val="000000" w:themeColor="text1"/>
          <w:sz w:val="28"/>
          <w:szCs w:val="28"/>
          <w14:textFill>
            <w14:solidFill>
              <w14:schemeClr w14:val="tx1"/>
            </w14:solidFill>
          </w14:textFill>
        </w:rPr>
      </w:pPr>
      <w:r>
        <w:rPr>
          <w:rFonts w:ascii="宋体" w:hAnsi="宋体"/>
          <w:b/>
          <w:bCs/>
          <w:color w:val="000000" w:themeColor="text1"/>
          <w:szCs w:val="24"/>
          <w14:textFill>
            <w14:solidFill>
              <w14:schemeClr w14:val="tx1"/>
            </w14:solidFill>
          </w14:textFill>
        </w:rPr>
        <w:br w:type="page"/>
      </w:r>
    </w:p>
    <w:bookmarkEnd w:id="452"/>
    <w:p w14:paraId="4CCF4464">
      <w:pPr>
        <w:pStyle w:val="6"/>
        <w:numPr>
          <w:ilvl w:val="0"/>
          <w:numId w:val="0"/>
        </w:numPr>
        <w:spacing w:line="600" w:lineRule="auto"/>
        <w:rPr>
          <w:rFonts w:hint="eastAsia" w:ascii="宋体" w:hAnsi="宋体" w:eastAsia="宋体"/>
          <w:color w:val="000000" w:themeColor="text1"/>
          <w:sz w:val="30"/>
          <w:szCs w:val="30"/>
          <w:lang w:val="en-US" w:eastAsia="zh-CN"/>
          <w14:textFill>
            <w14:solidFill>
              <w14:schemeClr w14:val="tx1"/>
            </w14:solidFill>
          </w14:textFill>
        </w:rPr>
      </w:pPr>
      <w:bookmarkStart w:id="454" w:name="_Toc11780"/>
      <w:bookmarkStart w:id="455" w:name="_Toc530470651"/>
      <w:bookmarkStart w:id="456" w:name="_Toc529196610"/>
      <w:bookmarkStart w:id="457" w:name="_Toc535938758"/>
      <w:r>
        <w:rPr>
          <w:rFonts w:hint="eastAsia" w:ascii="宋体" w:hAnsi="宋体" w:eastAsia="宋体" w:cs="Times New Roman"/>
          <w:b/>
          <w:bCs/>
          <w:color w:val="000000" w:themeColor="text1"/>
          <w:kern w:val="0"/>
          <w:sz w:val="30"/>
          <w:szCs w:val="30"/>
          <w:lang w:val="en-US" w:eastAsia="zh-CN" w:bidi="ar-SA"/>
          <w14:textFill>
            <w14:solidFill>
              <w14:schemeClr w14:val="tx1"/>
            </w14:solidFill>
          </w14:textFill>
        </w:rPr>
        <w:t>五、</w:t>
      </w:r>
      <w:r>
        <w:rPr>
          <w:rFonts w:hint="eastAsia" w:ascii="宋体" w:hAnsi="宋体" w:eastAsia="宋体"/>
          <w:color w:val="000000" w:themeColor="text1"/>
          <w:sz w:val="30"/>
          <w:szCs w:val="30"/>
          <w:lang w:val="en-US" w:eastAsia="zh-CN"/>
          <w14:textFill>
            <w14:solidFill>
              <w14:schemeClr w14:val="tx1"/>
            </w14:solidFill>
          </w14:textFill>
        </w:rPr>
        <w:t>缴纳交易服务费、中标服务费承诺书</w:t>
      </w:r>
      <w:bookmarkEnd w:id="454"/>
    </w:p>
    <w:p w14:paraId="202C881E">
      <w:pPr>
        <w:jc w:val="center"/>
        <w:rPr>
          <w:rFonts w:hint="eastAsia" w:ascii="宋体" w:hAnsi="宋体" w:eastAsia="宋体"/>
          <w:b/>
          <w:bCs/>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缴纳交易服务费、中标服务费承诺书</w:t>
      </w:r>
    </w:p>
    <w:p w14:paraId="7DDDD458">
      <w:pPr>
        <w:jc w:val="center"/>
        <w:rPr>
          <w:rFonts w:hint="eastAsia" w:ascii="宋体" w:hAnsi="宋体" w:eastAsia="宋体"/>
          <w:b/>
          <w:bCs/>
          <w:color w:val="000000" w:themeColor="text1"/>
          <w:sz w:val="30"/>
          <w:szCs w:val="30"/>
          <w:lang w:val="en-US" w:eastAsia="zh-CN"/>
          <w14:textFill>
            <w14:solidFill>
              <w14:schemeClr w14:val="tx1"/>
            </w14:solidFill>
          </w14:textFill>
        </w:rPr>
      </w:pPr>
    </w:p>
    <w:p w14:paraId="0B06B383">
      <w:pPr>
        <w:spacing w:line="360" w:lineRule="auto"/>
        <w:rPr>
          <w:rFonts w:hint="eastAsia" w:ascii="宋体" w:hAnsi="宋体" w:eastAsia="宋体" w:cs="宋体"/>
          <w:b/>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致：</w:t>
      </w:r>
      <w:r>
        <w:rPr>
          <w:rFonts w:hint="eastAsia" w:ascii="宋体" w:hAnsi="宋体" w:cs="宋体"/>
          <w:b/>
          <w:snapToGrid w:val="0"/>
          <w:color w:val="auto"/>
          <w:kern w:val="0"/>
          <w:sz w:val="24"/>
          <w:szCs w:val="24"/>
          <w:highlight w:val="none"/>
          <w:lang w:eastAsia="zh-CN"/>
        </w:rPr>
        <w:t>广东华南粮食交易中心有限公司</w:t>
      </w:r>
    </w:p>
    <w:p w14:paraId="4A64FCCA">
      <w:pPr>
        <w:spacing w:line="360" w:lineRule="auto"/>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如果我方在贵单位组织的“</w:t>
      </w:r>
      <w:r>
        <w:rPr>
          <w:rFonts w:hint="eastAsia" w:ascii="宋体" w:hAnsi="宋体" w:cs="宋体"/>
          <w:bCs/>
          <w:color w:val="auto"/>
          <w:sz w:val="24"/>
          <w:szCs w:val="24"/>
          <w:highlight w:val="none"/>
          <w:lang w:eastAsia="zh-CN"/>
        </w:rPr>
        <w:t>广东华南粮食交易中心有限公司常平粮库三期工程</w:t>
      </w:r>
      <w:r>
        <w:rPr>
          <w:rFonts w:hint="eastAsia" w:ascii="宋体" w:hAnsi="宋体" w:eastAsia="宋体" w:cs="宋体"/>
          <w:bCs/>
          <w:color w:val="auto"/>
          <w:sz w:val="24"/>
          <w:szCs w:val="24"/>
          <w:highlight w:val="none"/>
        </w:rPr>
        <w:t>监理”</w:t>
      </w:r>
      <w:r>
        <w:rPr>
          <w:rFonts w:hint="eastAsia" w:ascii="宋体" w:hAnsi="宋体" w:eastAsia="宋体" w:cs="宋体"/>
          <w:snapToGrid w:val="0"/>
          <w:color w:val="auto"/>
          <w:kern w:val="0"/>
          <w:sz w:val="24"/>
          <w:szCs w:val="24"/>
          <w:highlight w:val="none"/>
        </w:rPr>
        <w:t>招标中获中标，我方保证在收到《中标通知书》后，承诺：</w:t>
      </w:r>
    </w:p>
    <w:p w14:paraId="0419DB94">
      <w:pPr>
        <w:spacing w:line="360" w:lineRule="auto"/>
        <w:ind w:firstLine="420"/>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1.</w:t>
      </w:r>
      <w:r>
        <w:rPr>
          <w:rFonts w:hint="eastAsia" w:ascii="宋体" w:hAnsi="宋体" w:eastAsia="宋体" w:cs="宋体"/>
          <w:snapToGrid w:val="0"/>
          <w:color w:val="auto"/>
          <w:kern w:val="0"/>
          <w:sz w:val="24"/>
          <w:szCs w:val="24"/>
          <w:highlight w:val="none"/>
        </w:rPr>
        <w:t>中标人应根据有关规定，向</w:t>
      </w:r>
      <w:r>
        <w:rPr>
          <w:rFonts w:hint="eastAsia" w:ascii="宋体" w:hAnsi="宋体" w:cs="宋体"/>
          <w:snapToGrid w:val="0"/>
          <w:color w:val="auto"/>
          <w:kern w:val="0"/>
          <w:sz w:val="24"/>
          <w:szCs w:val="24"/>
          <w:highlight w:val="none"/>
          <w:lang w:eastAsia="zh-CN"/>
        </w:rPr>
        <w:t>广州交易集团有限公司（广州公共资源交易中心）</w:t>
      </w:r>
      <w:r>
        <w:rPr>
          <w:rFonts w:hint="eastAsia" w:ascii="宋体" w:hAnsi="宋体" w:eastAsia="宋体" w:cs="宋体"/>
          <w:snapToGrid w:val="0"/>
          <w:color w:val="auto"/>
          <w:kern w:val="0"/>
          <w:sz w:val="24"/>
          <w:szCs w:val="24"/>
          <w:highlight w:val="none"/>
        </w:rPr>
        <w:t>工程建设项目招投标中心交纳交易服务费。（具体收费标准详见《</w:t>
      </w:r>
      <w:r>
        <w:rPr>
          <w:rFonts w:hint="eastAsia" w:ascii="宋体" w:hAnsi="宋体" w:cs="宋体"/>
          <w:snapToGrid w:val="0"/>
          <w:color w:val="auto"/>
          <w:kern w:val="0"/>
          <w:sz w:val="24"/>
          <w:szCs w:val="24"/>
          <w:highlight w:val="none"/>
          <w:lang w:eastAsia="zh-CN"/>
        </w:rPr>
        <w:t>广州交易集团有限公司（广州公共资源交易中心）</w:t>
      </w:r>
      <w:r>
        <w:rPr>
          <w:rFonts w:hint="eastAsia" w:ascii="宋体" w:hAnsi="宋体" w:eastAsia="宋体" w:cs="宋体"/>
          <w:snapToGrid w:val="0"/>
          <w:color w:val="auto"/>
          <w:kern w:val="0"/>
          <w:sz w:val="24"/>
          <w:szCs w:val="24"/>
          <w:highlight w:val="none"/>
        </w:rPr>
        <w:t>工程建设项目招标投标交易服务收费标准》），费用均包含在投标总价中但不在投标报价中单列。中标人必须在中标通知书发出前支付该笔费用，否则无法出具中标通知书，由于中标人原因导致的延误，由此带来的后果将由中标人自行承担。</w:t>
      </w:r>
    </w:p>
    <w:p w14:paraId="2458D8EE">
      <w:pPr>
        <w:snapToGrid w:val="0"/>
        <w:spacing w:line="324" w:lineRule="auto"/>
        <w:ind w:left="525" w:leftChars="250"/>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2.</w:t>
      </w:r>
      <w:r>
        <w:rPr>
          <w:rFonts w:hint="eastAsia" w:ascii="宋体" w:hAnsi="宋体" w:eastAsia="宋体" w:cs="宋体"/>
          <w:snapToGrid w:val="0"/>
          <w:color w:val="auto"/>
          <w:kern w:val="0"/>
          <w:sz w:val="24"/>
          <w:szCs w:val="24"/>
          <w:highlight w:val="none"/>
        </w:rPr>
        <w:t>按下列方法计算的结果向</w:t>
      </w:r>
      <w:r>
        <w:rPr>
          <w:rFonts w:hint="eastAsia" w:ascii="宋体" w:hAnsi="宋体" w:cs="宋体"/>
          <w:snapToGrid w:val="0"/>
          <w:color w:val="auto"/>
          <w:kern w:val="0"/>
          <w:sz w:val="24"/>
          <w:szCs w:val="24"/>
          <w:highlight w:val="none"/>
          <w:lang w:eastAsia="zh-CN"/>
        </w:rPr>
        <w:t>广东省国际工程咨询有限公司</w:t>
      </w:r>
      <w:r>
        <w:rPr>
          <w:rFonts w:hint="eastAsia" w:ascii="宋体" w:hAnsi="宋体" w:eastAsia="宋体" w:cs="宋体"/>
          <w:snapToGrid w:val="0"/>
          <w:color w:val="auto"/>
          <w:kern w:val="0"/>
          <w:sz w:val="24"/>
          <w:szCs w:val="24"/>
          <w:highlight w:val="none"/>
        </w:rPr>
        <w:t>缴纳中标服务费</w:t>
      </w:r>
      <w:r>
        <w:rPr>
          <w:rFonts w:hint="eastAsia" w:ascii="宋体" w:hAnsi="宋体" w:eastAsia="宋体" w:cs="宋体"/>
          <w:snapToGrid w:val="0"/>
          <w:color w:val="auto"/>
          <w:kern w:val="0"/>
          <w:sz w:val="24"/>
          <w:szCs w:val="24"/>
          <w:highlight w:val="none"/>
          <w:lang w:eastAsia="zh-CN"/>
        </w:rPr>
        <w:t>，本次采购代理服务费参照国家计委《招标代理服务收费管理暂行办法》（计价格</w:t>
      </w:r>
      <w:r>
        <w:rPr>
          <w:rFonts w:hint="eastAsia" w:ascii="宋体" w:hAnsi="宋体" w:cs="宋体"/>
          <w:snapToGrid w:val="0"/>
          <w:color w:val="auto"/>
          <w:kern w:val="0"/>
          <w:sz w:val="24"/>
          <w:szCs w:val="24"/>
          <w:highlight w:val="none"/>
          <w:lang w:eastAsia="zh-CN"/>
        </w:rPr>
        <w:t>〔2002〕1980号</w:t>
      </w:r>
      <w:r>
        <w:rPr>
          <w:rFonts w:hint="eastAsia" w:ascii="宋体" w:hAnsi="宋体" w:eastAsia="宋体" w:cs="宋体"/>
          <w:snapToGrid w:val="0"/>
          <w:color w:val="auto"/>
          <w:kern w:val="0"/>
          <w:sz w:val="24"/>
          <w:szCs w:val="24"/>
          <w:highlight w:val="none"/>
          <w:lang w:eastAsia="zh-CN"/>
        </w:rPr>
        <w:t>）的收费标准的80%计取后收费，</w:t>
      </w:r>
      <w:r>
        <w:rPr>
          <w:rFonts w:hint="eastAsia" w:ascii="宋体" w:hAnsi="宋体" w:eastAsia="宋体" w:cs="宋体"/>
          <w:snapToGrid w:val="0"/>
          <w:color w:val="auto"/>
          <w:kern w:val="0"/>
          <w:sz w:val="24"/>
          <w:szCs w:val="24"/>
          <w:highlight w:val="none"/>
        </w:rPr>
        <w:t>（详见国家计委</w:t>
      </w:r>
      <w:r>
        <w:rPr>
          <w:rFonts w:hint="eastAsia" w:ascii="宋体" w:hAnsi="宋体" w:cs="宋体"/>
          <w:snapToGrid w:val="0"/>
          <w:color w:val="auto"/>
          <w:kern w:val="0"/>
          <w:sz w:val="24"/>
          <w:szCs w:val="24"/>
          <w:highlight w:val="none"/>
          <w:lang w:eastAsia="zh-CN"/>
        </w:rPr>
        <w:t>〔2002〕1980号</w:t>
      </w:r>
      <w:r>
        <w:rPr>
          <w:rFonts w:hint="eastAsia" w:ascii="宋体" w:hAnsi="宋体" w:eastAsia="宋体" w:cs="宋体"/>
          <w:snapToGrid w:val="0"/>
          <w:color w:val="auto"/>
          <w:kern w:val="0"/>
          <w:sz w:val="24"/>
          <w:szCs w:val="24"/>
          <w:highlight w:val="none"/>
        </w:rPr>
        <w:t>文《招标代理服务收费管理暂行办法》）（服务类）</w:t>
      </w:r>
    </w:p>
    <w:p w14:paraId="70C7F304">
      <w:pPr>
        <w:spacing w:line="360" w:lineRule="auto"/>
        <w:ind w:firstLine="528" w:firstLineChars="2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我方如违约，愿凭贵单位开出的违约通知，按上述承诺金额的200％在投标保证金中扣付，并在此同意办理支付手续。</w:t>
      </w:r>
    </w:p>
    <w:p w14:paraId="7D09ADDA">
      <w:pPr>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特此承诺！</w:t>
      </w:r>
    </w:p>
    <w:p w14:paraId="21DEF789">
      <w:pPr>
        <w:spacing w:line="360" w:lineRule="auto"/>
        <w:ind w:left="472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投标人法定名称（盖法人公章）；</w:t>
      </w:r>
    </w:p>
    <w:p w14:paraId="3F85EBED">
      <w:pPr>
        <w:spacing w:line="360" w:lineRule="auto"/>
        <w:ind w:left="4725"/>
        <w:rPr>
          <w:rFonts w:hint="eastAsia" w:ascii="宋体" w:hAnsi="宋体" w:eastAsia="宋体" w:cs="宋体"/>
          <w:snapToGrid w:val="0"/>
          <w:color w:val="auto"/>
          <w:kern w:val="0"/>
          <w:sz w:val="24"/>
          <w:szCs w:val="24"/>
          <w:highlight w:val="none"/>
        </w:rPr>
      </w:pPr>
    </w:p>
    <w:p w14:paraId="711E83F7">
      <w:pPr>
        <w:spacing w:line="360" w:lineRule="auto"/>
        <w:ind w:left="472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投标人法定地址：</w:t>
      </w:r>
    </w:p>
    <w:p w14:paraId="599EA219">
      <w:pPr>
        <w:spacing w:line="360" w:lineRule="auto"/>
        <w:ind w:left="4725"/>
        <w:rPr>
          <w:rFonts w:hint="eastAsia" w:ascii="宋体" w:hAnsi="宋体" w:eastAsia="宋体" w:cs="宋体"/>
          <w:snapToGrid w:val="0"/>
          <w:color w:val="auto"/>
          <w:kern w:val="0"/>
          <w:sz w:val="24"/>
          <w:szCs w:val="24"/>
          <w:highlight w:val="none"/>
        </w:rPr>
      </w:pPr>
    </w:p>
    <w:p w14:paraId="22AE6F27">
      <w:pPr>
        <w:spacing w:line="360" w:lineRule="auto"/>
        <w:ind w:left="472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投标人授权代表（签字或盖章）：</w:t>
      </w:r>
    </w:p>
    <w:p w14:paraId="69C2FE20">
      <w:pPr>
        <w:spacing w:line="360" w:lineRule="auto"/>
        <w:ind w:left="4725"/>
        <w:rPr>
          <w:rFonts w:hint="eastAsia" w:ascii="宋体" w:hAnsi="宋体" w:eastAsia="宋体" w:cs="宋体"/>
          <w:snapToGrid w:val="0"/>
          <w:color w:val="auto"/>
          <w:kern w:val="0"/>
          <w:sz w:val="24"/>
          <w:szCs w:val="24"/>
          <w:highlight w:val="none"/>
        </w:rPr>
      </w:pPr>
    </w:p>
    <w:p w14:paraId="15E6AB75">
      <w:pPr>
        <w:spacing w:line="360" w:lineRule="auto"/>
        <w:ind w:left="472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承诺日期：</w:t>
      </w:r>
    </w:p>
    <w:p w14:paraId="736BF52D">
      <w:pPr>
        <w:numPr>
          <w:ilvl w:val="0"/>
          <w:numId w:val="0"/>
        </w:numPr>
        <w:bidi w:val="0"/>
        <w:rPr>
          <w:rFonts w:hint="default"/>
          <w:lang w:val="en-US" w:eastAsia="zh-CN"/>
        </w:rPr>
      </w:pPr>
    </w:p>
    <w:p w14:paraId="6BECAF66">
      <w:pPr>
        <w:numPr>
          <w:ilvl w:val="0"/>
          <w:numId w:val="0"/>
        </w:numPr>
        <w:ind w:left="0" w:leftChars="0" w:firstLine="0" w:firstLineChars="0"/>
        <w:rPr>
          <w:rFonts w:hint="eastAsia" w:ascii="宋体" w:hAnsi="宋体" w:eastAsia="宋体" w:cs="Times New Roman"/>
          <w:b/>
          <w:bCs/>
          <w:color w:val="000000" w:themeColor="text1"/>
          <w:kern w:val="2"/>
          <w:sz w:val="30"/>
          <w:szCs w:val="30"/>
          <w:lang w:val="en-US" w:eastAsia="zh-CN" w:bidi="ar-SA"/>
          <w14:textFill>
            <w14:solidFill>
              <w14:schemeClr w14:val="tx1"/>
            </w14:solidFill>
          </w14:textFill>
        </w:rPr>
      </w:pPr>
      <w:r>
        <w:rPr>
          <w:rFonts w:hint="eastAsia" w:ascii="宋体" w:hAnsi="宋体" w:eastAsia="宋体" w:cs="Times New Roman"/>
          <w:b/>
          <w:bCs/>
          <w:color w:val="000000" w:themeColor="text1"/>
          <w:kern w:val="2"/>
          <w:sz w:val="30"/>
          <w:szCs w:val="30"/>
          <w:lang w:val="en-US" w:eastAsia="zh-CN" w:bidi="ar-SA"/>
          <w14:textFill>
            <w14:solidFill>
              <w14:schemeClr w14:val="tx1"/>
            </w14:solidFill>
          </w14:textFill>
        </w:rPr>
        <w:br w:type="page"/>
      </w:r>
    </w:p>
    <w:p w14:paraId="62697E1A">
      <w:pPr>
        <w:numPr>
          <w:ilvl w:val="0"/>
          <w:numId w:val="0"/>
        </w:numPr>
        <w:ind w:left="0" w:leftChars="0" w:firstLine="0" w:firstLineChars="0"/>
        <w:rPr>
          <w:rFonts w:hint="eastAsia" w:ascii="宋体" w:hAnsi="宋体"/>
          <w:b/>
          <w:bCs/>
          <w:color w:val="000000" w:themeColor="text1"/>
          <w:sz w:val="30"/>
          <w:szCs w:val="30"/>
          <w:lang w:val="en-US" w:eastAsia="zh-CN"/>
          <w14:textFill>
            <w14:solidFill>
              <w14:schemeClr w14:val="tx1"/>
            </w14:solidFill>
          </w14:textFill>
        </w:rPr>
      </w:pPr>
      <w:r>
        <w:rPr>
          <w:rFonts w:hint="eastAsia" w:ascii="宋体" w:hAnsi="宋体" w:eastAsia="宋体" w:cs="Times New Roman"/>
          <w:b/>
          <w:bCs/>
          <w:color w:val="000000" w:themeColor="text1"/>
          <w:kern w:val="2"/>
          <w:sz w:val="30"/>
          <w:szCs w:val="30"/>
          <w:lang w:val="en-US" w:eastAsia="zh-CN" w:bidi="ar-SA"/>
          <w14:textFill>
            <w14:solidFill>
              <w14:schemeClr w14:val="tx1"/>
            </w14:solidFill>
          </w14:textFill>
        </w:rPr>
        <w:t>六、</w:t>
      </w:r>
      <w:r>
        <w:rPr>
          <w:rFonts w:hint="eastAsia" w:ascii="宋体" w:hAnsi="宋体"/>
          <w:b/>
          <w:bCs/>
          <w:color w:val="000000" w:themeColor="text1"/>
          <w:sz w:val="30"/>
          <w:szCs w:val="30"/>
          <w:lang w:val="en-US" w:eastAsia="zh-CN"/>
          <w14:textFill>
            <w14:solidFill>
              <w14:schemeClr w14:val="tx1"/>
            </w14:solidFill>
          </w14:textFill>
        </w:rPr>
        <w:t>评标打分索引</w:t>
      </w:r>
    </w:p>
    <w:p w14:paraId="3B2E56D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评标打分索引</w:t>
      </w:r>
    </w:p>
    <w:tbl>
      <w:tblPr>
        <w:tblStyle w:val="23"/>
        <w:tblW w:w="10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418"/>
        <w:gridCol w:w="4381"/>
        <w:gridCol w:w="2835"/>
        <w:gridCol w:w="567"/>
        <w:gridCol w:w="735"/>
      </w:tblGrid>
      <w:tr w14:paraId="5D67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39" w:type="dxa"/>
            <w:noWrap w:val="0"/>
            <w:vAlign w:val="center"/>
          </w:tcPr>
          <w:p w14:paraId="3AD9C09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418" w:type="dxa"/>
            <w:noWrap w:val="0"/>
            <w:vAlign w:val="center"/>
          </w:tcPr>
          <w:p w14:paraId="702EF2F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评标办法</w:t>
            </w:r>
          </w:p>
          <w:p w14:paraId="2F397DB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4381" w:type="dxa"/>
            <w:noWrap w:val="0"/>
            <w:vAlign w:val="center"/>
          </w:tcPr>
          <w:p w14:paraId="7651B8C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评标办法要求</w:t>
            </w:r>
          </w:p>
        </w:tc>
        <w:tc>
          <w:tcPr>
            <w:tcW w:w="2835" w:type="dxa"/>
            <w:noWrap w:val="0"/>
            <w:vAlign w:val="center"/>
          </w:tcPr>
          <w:p w14:paraId="598B559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投标文件响应情况</w:t>
            </w:r>
          </w:p>
        </w:tc>
        <w:tc>
          <w:tcPr>
            <w:tcW w:w="567" w:type="dxa"/>
            <w:noWrap w:val="0"/>
            <w:vAlign w:val="center"/>
          </w:tcPr>
          <w:p w14:paraId="31B8A22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自评分数</w:t>
            </w:r>
          </w:p>
        </w:tc>
        <w:tc>
          <w:tcPr>
            <w:tcW w:w="735" w:type="dxa"/>
            <w:noWrap w:val="0"/>
            <w:vAlign w:val="center"/>
          </w:tcPr>
          <w:p w14:paraId="68D2672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投标文件对应</w:t>
            </w:r>
          </w:p>
          <w:p w14:paraId="3429C15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页码</w:t>
            </w:r>
          </w:p>
        </w:tc>
      </w:tr>
      <w:tr w14:paraId="1B2E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70FCEE36">
            <w:pPr>
              <w:jc w:val="center"/>
              <w:rPr>
                <w:rFonts w:hint="eastAsia" w:ascii="宋体" w:hAnsi="宋体" w:eastAsia="宋体" w:cs="宋体"/>
                <w:color w:val="auto"/>
                <w:szCs w:val="21"/>
                <w:highlight w:val="none"/>
              </w:rPr>
            </w:pPr>
          </w:p>
        </w:tc>
        <w:tc>
          <w:tcPr>
            <w:tcW w:w="1418" w:type="dxa"/>
            <w:noWrap w:val="0"/>
            <w:vAlign w:val="center"/>
          </w:tcPr>
          <w:p w14:paraId="0FC6276E">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 w:val="18"/>
                <w:szCs w:val="18"/>
                <w:highlight w:val="none"/>
              </w:rPr>
              <w:t>企业监理业绩</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1）</w:t>
            </w:r>
          </w:p>
        </w:tc>
        <w:tc>
          <w:tcPr>
            <w:tcW w:w="4381" w:type="dxa"/>
            <w:noWrap w:val="0"/>
            <w:vAlign w:val="center"/>
          </w:tcPr>
          <w:p w14:paraId="7358B1B9">
            <w:pPr>
              <w:jc w:val="center"/>
              <w:rPr>
                <w:rFonts w:hint="eastAsia" w:ascii="宋体" w:hAnsi="宋体" w:eastAsia="宋体" w:cs="宋体"/>
                <w:color w:val="auto"/>
                <w:szCs w:val="21"/>
                <w:highlight w:val="none"/>
              </w:rPr>
            </w:pPr>
          </w:p>
        </w:tc>
        <w:tc>
          <w:tcPr>
            <w:tcW w:w="2835" w:type="dxa"/>
            <w:noWrap w:val="0"/>
            <w:vAlign w:val="top"/>
          </w:tcPr>
          <w:p w14:paraId="76BBD8AB">
            <w:pPr>
              <w:jc w:val="center"/>
              <w:rPr>
                <w:rFonts w:hint="eastAsia" w:ascii="宋体" w:hAnsi="宋体" w:eastAsia="宋体" w:cs="宋体"/>
                <w:color w:val="auto"/>
                <w:szCs w:val="21"/>
                <w:highlight w:val="none"/>
              </w:rPr>
            </w:pPr>
          </w:p>
        </w:tc>
        <w:tc>
          <w:tcPr>
            <w:tcW w:w="567" w:type="dxa"/>
            <w:noWrap w:val="0"/>
            <w:vAlign w:val="center"/>
          </w:tcPr>
          <w:p w14:paraId="6FAE79B4">
            <w:pPr>
              <w:jc w:val="center"/>
              <w:rPr>
                <w:rFonts w:hint="eastAsia" w:ascii="宋体" w:hAnsi="宋体" w:eastAsia="宋体" w:cs="宋体"/>
                <w:color w:val="auto"/>
                <w:szCs w:val="21"/>
                <w:highlight w:val="none"/>
              </w:rPr>
            </w:pPr>
          </w:p>
        </w:tc>
        <w:tc>
          <w:tcPr>
            <w:tcW w:w="735" w:type="dxa"/>
            <w:noWrap w:val="0"/>
            <w:vAlign w:val="center"/>
          </w:tcPr>
          <w:p w14:paraId="1B72FC78">
            <w:pPr>
              <w:jc w:val="center"/>
              <w:rPr>
                <w:rFonts w:hint="eastAsia" w:ascii="宋体" w:hAnsi="宋体" w:eastAsia="宋体" w:cs="宋体"/>
                <w:color w:val="auto"/>
                <w:szCs w:val="21"/>
                <w:highlight w:val="none"/>
              </w:rPr>
            </w:pPr>
          </w:p>
        </w:tc>
      </w:tr>
      <w:tr w14:paraId="681C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2F36E165">
            <w:pPr>
              <w:jc w:val="center"/>
              <w:rPr>
                <w:rFonts w:hint="eastAsia" w:ascii="宋体" w:hAnsi="宋体" w:eastAsia="宋体" w:cs="宋体"/>
                <w:color w:val="auto"/>
                <w:szCs w:val="21"/>
                <w:highlight w:val="none"/>
              </w:rPr>
            </w:pPr>
          </w:p>
        </w:tc>
        <w:tc>
          <w:tcPr>
            <w:tcW w:w="1418" w:type="dxa"/>
            <w:noWrap w:val="0"/>
            <w:vAlign w:val="center"/>
          </w:tcPr>
          <w:p w14:paraId="5F9F621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企业监理业绩</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2）</w:t>
            </w:r>
          </w:p>
        </w:tc>
        <w:tc>
          <w:tcPr>
            <w:tcW w:w="4381" w:type="dxa"/>
            <w:noWrap w:val="0"/>
            <w:vAlign w:val="center"/>
          </w:tcPr>
          <w:p w14:paraId="28975015">
            <w:pPr>
              <w:jc w:val="center"/>
              <w:rPr>
                <w:rFonts w:hint="eastAsia" w:ascii="宋体" w:hAnsi="宋体" w:eastAsia="宋体" w:cs="宋体"/>
                <w:color w:val="auto"/>
                <w:szCs w:val="21"/>
                <w:highlight w:val="none"/>
              </w:rPr>
            </w:pPr>
          </w:p>
        </w:tc>
        <w:tc>
          <w:tcPr>
            <w:tcW w:w="2835" w:type="dxa"/>
            <w:noWrap w:val="0"/>
            <w:vAlign w:val="top"/>
          </w:tcPr>
          <w:p w14:paraId="459B5BB3">
            <w:pPr>
              <w:jc w:val="center"/>
              <w:rPr>
                <w:rFonts w:hint="eastAsia" w:ascii="宋体" w:hAnsi="宋体" w:eastAsia="宋体" w:cs="宋体"/>
                <w:color w:val="auto"/>
                <w:szCs w:val="21"/>
                <w:highlight w:val="none"/>
              </w:rPr>
            </w:pPr>
          </w:p>
        </w:tc>
        <w:tc>
          <w:tcPr>
            <w:tcW w:w="567" w:type="dxa"/>
            <w:noWrap w:val="0"/>
            <w:vAlign w:val="center"/>
          </w:tcPr>
          <w:p w14:paraId="03CD012A">
            <w:pPr>
              <w:jc w:val="center"/>
              <w:rPr>
                <w:rFonts w:hint="eastAsia" w:ascii="宋体" w:hAnsi="宋体" w:eastAsia="宋体" w:cs="宋体"/>
                <w:color w:val="auto"/>
                <w:szCs w:val="21"/>
                <w:highlight w:val="none"/>
              </w:rPr>
            </w:pPr>
          </w:p>
        </w:tc>
        <w:tc>
          <w:tcPr>
            <w:tcW w:w="735" w:type="dxa"/>
            <w:noWrap w:val="0"/>
            <w:vAlign w:val="center"/>
          </w:tcPr>
          <w:p w14:paraId="101068BC">
            <w:pPr>
              <w:jc w:val="center"/>
              <w:rPr>
                <w:rFonts w:hint="eastAsia" w:ascii="宋体" w:hAnsi="宋体" w:eastAsia="宋体" w:cs="宋体"/>
                <w:color w:val="auto"/>
                <w:szCs w:val="21"/>
                <w:highlight w:val="none"/>
              </w:rPr>
            </w:pPr>
          </w:p>
        </w:tc>
      </w:tr>
      <w:tr w14:paraId="7300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0687B246">
            <w:pPr>
              <w:jc w:val="center"/>
              <w:rPr>
                <w:rFonts w:hint="eastAsia" w:ascii="宋体" w:hAnsi="宋体" w:eastAsia="宋体" w:cs="宋体"/>
                <w:color w:val="auto"/>
                <w:szCs w:val="21"/>
                <w:highlight w:val="none"/>
              </w:rPr>
            </w:pPr>
          </w:p>
        </w:tc>
        <w:tc>
          <w:tcPr>
            <w:tcW w:w="1418" w:type="dxa"/>
            <w:noWrap w:val="0"/>
            <w:vAlign w:val="center"/>
          </w:tcPr>
          <w:p w14:paraId="4B6BBC7B">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项目总监(1)</w:t>
            </w:r>
          </w:p>
        </w:tc>
        <w:tc>
          <w:tcPr>
            <w:tcW w:w="4381" w:type="dxa"/>
            <w:noWrap w:val="0"/>
            <w:vAlign w:val="center"/>
          </w:tcPr>
          <w:p w14:paraId="2B6CEDE5">
            <w:pPr>
              <w:jc w:val="center"/>
              <w:rPr>
                <w:rFonts w:hint="eastAsia" w:ascii="宋体" w:hAnsi="宋体" w:eastAsia="宋体" w:cs="宋体"/>
                <w:color w:val="auto"/>
                <w:szCs w:val="21"/>
                <w:highlight w:val="none"/>
              </w:rPr>
            </w:pPr>
          </w:p>
        </w:tc>
        <w:tc>
          <w:tcPr>
            <w:tcW w:w="2835" w:type="dxa"/>
            <w:noWrap w:val="0"/>
            <w:vAlign w:val="top"/>
          </w:tcPr>
          <w:p w14:paraId="6FBB028D">
            <w:pPr>
              <w:jc w:val="center"/>
              <w:rPr>
                <w:rFonts w:hint="eastAsia" w:ascii="宋体" w:hAnsi="宋体" w:eastAsia="宋体" w:cs="宋体"/>
                <w:color w:val="auto"/>
                <w:szCs w:val="21"/>
                <w:highlight w:val="none"/>
              </w:rPr>
            </w:pPr>
          </w:p>
        </w:tc>
        <w:tc>
          <w:tcPr>
            <w:tcW w:w="567" w:type="dxa"/>
            <w:noWrap w:val="0"/>
            <w:vAlign w:val="center"/>
          </w:tcPr>
          <w:p w14:paraId="1FE03FC6">
            <w:pPr>
              <w:jc w:val="center"/>
              <w:rPr>
                <w:rFonts w:hint="eastAsia" w:ascii="宋体" w:hAnsi="宋体" w:eastAsia="宋体" w:cs="宋体"/>
                <w:color w:val="auto"/>
                <w:szCs w:val="21"/>
                <w:highlight w:val="none"/>
              </w:rPr>
            </w:pPr>
          </w:p>
        </w:tc>
        <w:tc>
          <w:tcPr>
            <w:tcW w:w="735" w:type="dxa"/>
            <w:noWrap w:val="0"/>
            <w:vAlign w:val="center"/>
          </w:tcPr>
          <w:p w14:paraId="12D5A4D3">
            <w:pPr>
              <w:jc w:val="center"/>
              <w:rPr>
                <w:rFonts w:hint="eastAsia" w:ascii="宋体" w:hAnsi="宋体" w:eastAsia="宋体" w:cs="宋体"/>
                <w:color w:val="auto"/>
                <w:szCs w:val="21"/>
                <w:highlight w:val="none"/>
              </w:rPr>
            </w:pPr>
          </w:p>
        </w:tc>
      </w:tr>
      <w:tr w14:paraId="3A1D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3F0D6AA5">
            <w:pPr>
              <w:jc w:val="center"/>
              <w:rPr>
                <w:rFonts w:hint="eastAsia" w:ascii="宋体" w:hAnsi="宋体" w:eastAsia="宋体" w:cs="宋体"/>
                <w:color w:val="auto"/>
                <w:szCs w:val="21"/>
                <w:highlight w:val="none"/>
              </w:rPr>
            </w:pPr>
          </w:p>
        </w:tc>
        <w:tc>
          <w:tcPr>
            <w:tcW w:w="1418" w:type="dxa"/>
            <w:noWrap w:val="0"/>
            <w:vAlign w:val="center"/>
          </w:tcPr>
          <w:p w14:paraId="05203E55">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项目总监(2)</w:t>
            </w:r>
          </w:p>
        </w:tc>
        <w:tc>
          <w:tcPr>
            <w:tcW w:w="4381" w:type="dxa"/>
            <w:noWrap w:val="0"/>
            <w:vAlign w:val="center"/>
          </w:tcPr>
          <w:p w14:paraId="59C2B3E2">
            <w:pPr>
              <w:jc w:val="center"/>
              <w:rPr>
                <w:rFonts w:hint="eastAsia" w:ascii="宋体" w:hAnsi="宋体" w:eastAsia="宋体" w:cs="宋体"/>
                <w:color w:val="auto"/>
                <w:szCs w:val="21"/>
                <w:highlight w:val="none"/>
              </w:rPr>
            </w:pPr>
          </w:p>
        </w:tc>
        <w:tc>
          <w:tcPr>
            <w:tcW w:w="2835" w:type="dxa"/>
            <w:noWrap w:val="0"/>
            <w:vAlign w:val="top"/>
          </w:tcPr>
          <w:p w14:paraId="4E300F78">
            <w:pPr>
              <w:jc w:val="center"/>
              <w:rPr>
                <w:rFonts w:hint="eastAsia" w:ascii="宋体" w:hAnsi="宋体" w:eastAsia="宋体" w:cs="宋体"/>
                <w:color w:val="auto"/>
                <w:szCs w:val="21"/>
                <w:highlight w:val="none"/>
              </w:rPr>
            </w:pPr>
          </w:p>
        </w:tc>
        <w:tc>
          <w:tcPr>
            <w:tcW w:w="567" w:type="dxa"/>
            <w:noWrap w:val="0"/>
            <w:vAlign w:val="center"/>
          </w:tcPr>
          <w:p w14:paraId="5BE296ED">
            <w:pPr>
              <w:jc w:val="center"/>
              <w:rPr>
                <w:rFonts w:hint="eastAsia" w:ascii="宋体" w:hAnsi="宋体" w:eastAsia="宋体" w:cs="宋体"/>
                <w:color w:val="auto"/>
                <w:szCs w:val="21"/>
                <w:highlight w:val="none"/>
              </w:rPr>
            </w:pPr>
          </w:p>
        </w:tc>
        <w:tc>
          <w:tcPr>
            <w:tcW w:w="735" w:type="dxa"/>
            <w:noWrap w:val="0"/>
            <w:vAlign w:val="center"/>
          </w:tcPr>
          <w:p w14:paraId="64582674">
            <w:pPr>
              <w:jc w:val="center"/>
              <w:rPr>
                <w:rFonts w:hint="eastAsia" w:ascii="宋体" w:hAnsi="宋体" w:eastAsia="宋体" w:cs="宋体"/>
                <w:color w:val="auto"/>
                <w:szCs w:val="21"/>
                <w:highlight w:val="none"/>
              </w:rPr>
            </w:pPr>
          </w:p>
        </w:tc>
      </w:tr>
      <w:tr w14:paraId="5F14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74575055">
            <w:pPr>
              <w:jc w:val="center"/>
              <w:rPr>
                <w:rFonts w:hint="eastAsia" w:ascii="宋体" w:hAnsi="宋体" w:eastAsia="宋体" w:cs="宋体"/>
                <w:color w:val="auto"/>
                <w:szCs w:val="21"/>
                <w:highlight w:val="none"/>
              </w:rPr>
            </w:pPr>
          </w:p>
        </w:tc>
        <w:tc>
          <w:tcPr>
            <w:tcW w:w="1418" w:type="dxa"/>
            <w:noWrap w:val="0"/>
            <w:vAlign w:val="center"/>
          </w:tcPr>
          <w:p w14:paraId="6992B743">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项目总监(3)</w:t>
            </w:r>
          </w:p>
        </w:tc>
        <w:tc>
          <w:tcPr>
            <w:tcW w:w="4381" w:type="dxa"/>
            <w:noWrap w:val="0"/>
            <w:vAlign w:val="center"/>
          </w:tcPr>
          <w:p w14:paraId="5A4EADAC">
            <w:pPr>
              <w:jc w:val="center"/>
              <w:rPr>
                <w:rFonts w:hint="eastAsia" w:ascii="宋体" w:hAnsi="宋体" w:eastAsia="宋体" w:cs="宋体"/>
                <w:color w:val="auto"/>
                <w:szCs w:val="21"/>
                <w:highlight w:val="none"/>
              </w:rPr>
            </w:pPr>
          </w:p>
        </w:tc>
        <w:tc>
          <w:tcPr>
            <w:tcW w:w="2835" w:type="dxa"/>
            <w:noWrap w:val="0"/>
            <w:vAlign w:val="top"/>
          </w:tcPr>
          <w:p w14:paraId="7961EA6B">
            <w:pPr>
              <w:jc w:val="center"/>
              <w:rPr>
                <w:rFonts w:hint="eastAsia" w:ascii="宋体" w:hAnsi="宋体" w:eastAsia="宋体" w:cs="宋体"/>
                <w:color w:val="auto"/>
                <w:szCs w:val="21"/>
                <w:highlight w:val="none"/>
              </w:rPr>
            </w:pPr>
          </w:p>
        </w:tc>
        <w:tc>
          <w:tcPr>
            <w:tcW w:w="567" w:type="dxa"/>
            <w:noWrap w:val="0"/>
            <w:vAlign w:val="center"/>
          </w:tcPr>
          <w:p w14:paraId="36A18DD4">
            <w:pPr>
              <w:jc w:val="center"/>
              <w:rPr>
                <w:rFonts w:hint="eastAsia" w:ascii="宋体" w:hAnsi="宋体" w:eastAsia="宋体" w:cs="宋体"/>
                <w:color w:val="auto"/>
                <w:szCs w:val="21"/>
                <w:highlight w:val="none"/>
              </w:rPr>
            </w:pPr>
          </w:p>
        </w:tc>
        <w:tc>
          <w:tcPr>
            <w:tcW w:w="735" w:type="dxa"/>
            <w:noWrap w:val="0"/>
            <w:vAlign w:val="center"/>
          </w:tcPr>
          <w:p w14:paraId="6BD7B082">
            <w:pPr>
              <w:jc w:val="center"/>
              <w:rPr>
                <w:rFonts w:hint="eastAsia" w:ascii="宋体" w:hAnsi="宋体" w:eastAsia="宋体" w:cs="宋体"/>
                <w:color w:val="auto"/>
                <w:szCs w:val="21"/>
                <w:highlight w:val="none"/>
              </w:rPr>
            </w:pPr>
          </w:p>
        </w:tc>
      </w:tr>
      <w:tr w14:paraId="0371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1D3632AD">
            <w:pPr>
              <w:jc w:val="center"/>
              <w:rPr>
                <w:rFonts w:hint="eastAsia" w:ascii="宋体" w:hAnsi="宋体" w:eastAsia="宋体" w:cs="宋体"/>
                <w:color w:val="auto"/>
                <w:szCs w:val="21"/>
                <w:highlight w:val="none"/>
              </w:rPr>
            </w:pPr>
          </w:p>
        </w:tc>
        <w:tc>
          <w:tcPr>
            <w:tcW w:w="1418" w:type="dxa"/>
            <w:noWrap w:val="0"/>
            <w:vAlign w:val="center"/>
          </w:tcPr>
          <w:p w14:paraId="6622E44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监理人员综合素质(1)</w:t>
            </w:r>
          </w:p>
        </w:tc>
        <w:tc>
          <w:tcPr>
            <w:tcW w:w="4381" w:type="dxa"/>
            <w:noWrap w:val="0"/>
            <w:vAlign w:val="center"/>
          </w:tcPr>
          <w:p w14:paraId="59029E93">
            <w:pPr>
              <w:jc w:val="center"/>
              <w:rPr>
                <w:rFonts w:hint="eastAsia" w:ascii="宋体" w:hAnsi="宋体" w:eastAsia="宋体" w:cs="宋体"/>
                <w:color w:val="auto"/>
                <w:szCs w:val="21"/>
                <w:highlight w:val="none"/>
              </w:rPr>
            </w:pPr>
          </w:p>
        </w:tc>
        <w:tc>
          <w:tcPr>
            <w:tcW w:w="2835" w:type="dxa"/>
            <w:noWrap w:val="0"/>
            <w:vAlign w:val="top"/>
          </w:tcPr>
          <w:p w14:paraId="6C6C0406">
            <w:pPr>
              <w:jc w:val="center"/>
              <w:rPr>
                <w:rFonts w:hint="eastAsia" w:ascii="宋体" w:hAnsi="宋体" w:eastAsia="宋体" w:cs="宋体"/>
                <w:color w:val="auto"/>
                <w:szCs w:val="21"/>
                <w:highlight w:val="none"/>
              </w:rPr>
            </w:pPr>
          </w:p>
        </w:tc>
        <w:tc>
          <w:tcPr>
            <w:tcW w:w="567" w:type="dxa"/>
            <w:noWrap w:val="0"/>
            <w:vAlign w:val="center"/>
          </w:tcPr>
          <w:p w14:paraId="200D3C37">
            <w:pPr>
              <w:jc w:val="center"/>
              <w:rPr>
                <w:rFonts w:hint="eastAsia" w:ascii="宋体" w:hAnsi="宋体" w:eastAsia="宋体" w:cs="宋体"/>
                <w:color w:val="auto"/>
                <w:szCs w:val="21"/>
                <w:highlight w:val="none"/>
              </w:rPr>
            </w:pPr>
          </w:p>
        </w:tc>
        <w:tc>
          <w:tcPr>
            <w:tcW w:w="735" w:type="dxa"/>
            <w:noWrap w:val="0"/>
            <w:vAlign w:val="center"/>
          </w:tcPr>
          <w:p w14:paraId="45D75DB6">
            <w:pPr>
              <w:jc w:val="center"/>
              <w:rPr>
                <w:rFonts w:hint="eastAsia" w:ascii="宋体" w:hAnsi="宋体" w:eastAsia="宋体" w:cs="宋体"/>
                <w:color w:val="auto"/>
                <w:szCs w:val="21"/>
                <w:highlight w:val="none"/>
              </w:rPr>
            </w:pPr>
          </w:p>
        </w:tc>
      </w:tr>
      <w:tr w14:paraId="2878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1648DDA7">
            <w:pPr>
              <w:jc w:val="center"/>
              <w:rPr>
                <w:rFonts w:hint="eastAsia" w:ascii="宋体" w:hAnsi="宋体" w:eastAsia="宋体" w:cs="宋体"/>
                <w:color w:val="auto"/>
                <w:szCs w:val="21"/>
                <w:highlight w:val="none"/>
              </w:rPr>
            </w:pPr>
          </w:p>
        </w:tc>
        <w:tc>
          <w:tcPr>
            <w:tcW w:w="1418" w:type="dxa"/>
            <w:noWrap w:val="0"/>
            <w:vAlign w:val="center"/>
          </w:tcPr>
          <w:p w14:paraId="2A4780E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监理人员综合素质(2)</w:t>
            </w:r>
          </w:p>
        </w:tc>
        <w:tc>
          <w:tcPr>
            <w:tcW w:w="4381" w:type="dxa"/>
            <w:noWrap w:val="0"/>
            <w:vAlign w:val="center"/>
          </w:tcPr>
          <w:p w14:paraId="6C7DEA55">
            <w:pPr>
              <w:jc w:val="center"/>
              <w:rPr>
                <w:rFonts w:hint="eastAsia" w:ascii="宋体" w:hAnsi="宋体" w:eastAsia="宋体" w:cs="宋体"/>
                <w:color w:val="auto"/>
                <w:szCs w:val="21"/>
                <w:highlight w:val="none"/>
              </w:rPr>
            </w:pPr>
          </w:p>
        </w:tc>
        <w:tc>
          <w:tcPr>
            <w:tcW w:w="2835" w:type="dxa"/>
            <w:noWrap w:val="0"/>
            <w:vAlign w:val="top"/>
          </w:tcPr>
          <w:p w14:paraId="563E7F5B">
            <w:pPr>
              <w:jc w:val="center"/>
              <w:rPr>
                <w:rFonts w:hint="eastAsia" w:ascii="宋体" w:hAnsi="宋体" w:eastAsia="宋体" w:cs="宋体"/>
                <w:color w:val="auto"/>
                <w:szCs w:val="21"/>
                <w:highlight w:val="none"/>
              </w:rPr>
            </w:pPr>
          </w:p>
        </w:tc>
        <w:tc>
          <w:tcPr>
            <w:tcW w:w="567" w:type="dxa"/>
            <w:noWrap w:val="0"/>
            <w:vAlign w:val="center"/>
          </w:tcPr>
          <w:p w14:paraId="0704348E">
            <w:pPr>
              <w:jc w:val="center"/>
              <w:rPr>
                <w:rFonts w:hint="eastAsia" w:ascii="宋体" w:hAnsi="宋体" w:eastAsia="宋体" w:cs="宋体"/>
                <w:color w:val="auto"/>
                <w:szCs w:val="21"/>
                <w:highlight w:val="none"/>
              </w:rPr>
            </w:pPr>
          </w:p>
        </w:tc>
        <w:tc>
          <w:tcPr>
            <w:tcW w:w="735" w:type="dxa"/>
            <w:noWrap w:val="0"/>
            <w:vAlign w:val="center"/>
          </w:tcPr>
          <w:p w14:paraId="20021334">
            <w:pPr>
              <w:jc w:val="center"/>
              <w:rPr>
                <w:rFonts w:hint="eastAsia" w:ascii="宋体" w:hAnsi="宋体" w:eastAsia="宋体" w:cs="宋体"/>
                <w:color w:val="auto"/>
                <w:szCs w:val="21"/>
                <w:highlight w:val="none"/>
              </w:rPr>
            </w:pPr>
          </w:p>
        </w:tc>
      </w:tr>
      <w:tr w14:paraId="57C9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43411DD5">
            <w:pPr>
              <w:jc w:val="center"/>
              <w:rPr>
                <w:rFonts w:hint="eastAsia" w:ascii="宋体" w:hAnsi="宋体" w:eastAsia="宋体" w:cs="宋体"/>
                <w:color w:val="auto"/>
                <w:szCs w:val="21"/>
                <w:highlight w:val="none"/>
              </w:rPr>
            </w:pPr>
          </w:p>
        </w:tc>
        <w:tc>
          <w:tcPr>
            <w:tcW w:w="1418" w:type="dxa"/>
            <w:noWrap w:val="0"/>
            <w:vAlign w:val="center"/>
          </w:tcPr>
          <w:p w14:paraId="32FCE011">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投资控制措施</w:t>
            </w:r>
          </w:p>
        </w:tc>
        <w:tc>
          <w:tcPr>
            <w:tcW w:w="4381" w:type="dxa"/>
            <w:noWrap w:val="0"/>
            <w:vAlign w:val="center"/>
          </w:tcPr>
          <w:p w14:paraId="579B29AB">
            <w:pPr>
              <w:jc w:val="center"/>
              <w:rPr>
                <w:rFonts w:hint="eastAsia" w:ascii="宋体" w:hAnsi="宋体" w:eastAsia="宋体" w:cs="宋体"/>
                <w:color w:val="auto"/>
                <w:szCs w:val="21"/>
                <w:highlight w:val="none"/>
              </w:rPr>
            </w:pPr>
          </w:p>
        </w:tc>
        <w:tc>
          <w:tcPr>
            <w:tcW w:w="2835" w:type="dxa"/>
            <w:noWrap w:val="0"/>
            <w:vAlign w:val="top"/>
          </w:tcPr>
          <w:p w14:paraId="0F5E9A6E">
            <w:pPr>
              <w:jc w:val="center"/>
              <w:rPr>
                <w:rFonts w:hint="eastAsia" w:ascii="宋体" w:hAnsi="宋体" w:eastAsia="宋体" w:cs="宋体"/>
                <w:color w:val="auto"/>
                <w:szCs w:val="21"/>
                <w:highlight w:val="none"/>
              </w:rPr>
            </w:pPr>
          </w:p>
        </w:tc>
        <w:tc>
          <w:tcPr>
            <w:tcW w:w="567" w:type="dxa"/>
            <w:noWrap w:val="0"/>
            <w:vAlign w:val="center"/>
          </w:tcPr>
          <w:p w14:paraId="64BAD77A">
            <w:pPr>
              <w:jc w:val="center"/>
              <w:rPr>
                <w:rFonts w:hint="eastAsia" w:ascii="宋体" w:hAnsi="宋体" w:eastAsia="宋体" w:cs="宋体"/>
                <w:color w:val="auto"/>
                <w:szCs w:val="21"/>
                <w:highlight w:val="none"/>
              </w:rPr>
            </w:pPr>
          </w:p>
        </w:tc>
        <w:tc>
          <w:tcPr>
            <w:tcW w:w="735" w:type="dxa"/>
            <w:noWrap w:val="0"/>
            <w:vAlign w:val="center"/>
          </w:tcPr>
          <w:p w14:paraId="5BCC0F24">
            <w:pPr>
              <w:jc w:val="center"/>
              <w:rPr>
                <w:rFonts w:hint="eastAsia" w:ascii="宋体" w:hAnsi="宋体" w:eastAsia="宋体" w:cs="宋体"/>
                <w:color w:val="auto"/>
                <w:szCs w:val="21"/>
                <w:highlight w:val="none"/>
              </w:rPr>
            </w:pPr>
          </w:p>
        </w:tc>
      </w:tr>
      <w:tr w14:paraId="059B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2F8C1E6C">
            <w:pPr>
              <w:jc w:val="center"/>
              <w:rPr>
                <w:rFonts w:hint="eastAsia" w:ascii="宋体" w:hAnsi="宋体" w:eastAsia="宋体" w:cs="宋体"/>
                <w:color w:val="auto"/>
                <w:szCs w:val="21"/>
                <w:highlight w:val="none"/>
              </w:rPr>
            </w:pPr>
          </w:p>
        </w:tc>
        <w:tc>
          <w:tcPr>
            <w:tcW w:w="1418" w:type="dxa"/>
            <w:noWrap w:val="0"/>
            <w:vAlign w:val="center"/>
          </w:tcPr>
          <w:p w14:paraId="4F6E844B">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进度控制措施</w:t>
            </w:r>
          </w:p>
        </w:tc>
        <w:tc>
          <w:tcPr>
            <w:tcW w:w="4381" w:type="dxa"/>
            <w:noWrap w:val="0"/>
            <w:vAlign w:val="center"/>
          </w:tcPr>
          <w:p w14:paraId="7F1C71DC">
            <w:pPr>
              <w:jc w:val="center"/>
              <w:rPr>
                <w:rFonts w:hint="eastAsia" w:ascii="宋体" w:hAnsi="宋体" w:eastAsia="宋体" w:cs="宋体"/>
                <w:color w:val="auto"/>
                <w:szCs w:val="21"/>
                <w:highlight w:val="none"/>
              </w:rPr>
            </w:pPr>
          </w:p>
        </w:tc>
        <w:tc>
          <w:tcPr>
            <w:tcW w:w="2835" w:type="dxa"/>
            <w:noWrap w:val="0"/>
            <w:vAlign w:val="top"/>
          </w:tcPr>
          <w:p w14:paraId="72520C4B">
            <w:pPr>
              <w:jc w:val="center"/>
              <w:rPr>
                <w:rFonts w:hint="eastAsia" w:ascii="宋体" w:hAnsi="宋体" w:eastAsia="宋体" w:cs="宋体"/>
                <w:color w:val="auto"/>
                <w:szCs w:val="21"/>
                <w:highlight w:val="none"/>
              </w:rPr>
            </w:pPr>
          </w:p>
        </w:tc>
        <w:tc>
          <w:tcPr>
            <w:tcW w:w="567" w:type="dxa"/>
            <w:noWrap w:val="0"/>
            <w:vAlign w:val="center"/>
          </w:tcPr>
          <w:p w14:paraId="53F27B13">
            <w:pPr>
              <w:jc w:val="center"/>
              <w:rPr>
                <w:rFonts w:hint="eastAsia" w:ascii="宋体" w:hAnsi="宋体" w:eastAsia="宋体" w:cs="宋体"/>
                <w:color w:val="auto"/>
                <w:szCs w:val="21"/>
                <w:highlight w:val="none"/>
              </w:rPr>
            </w:pPr>
          </w:p>
        </w:tc>
        <w:tc>
          <w:tcPr>
            <w:tcW w:w="735" w:type="dxa"/>
            <w:noWrap w:val="0"/>
            <w:vAlign w:val="center"/>
          </w:tcPr>
          <w:p w14:paraId="1446A7D3">
            <w:pPr>
              <w:jc w:val="center"/>
              <w:rPr>
                <w:rFonts w:hint="eastAsia" w:ascii="宋体" w:hAnsi="宋体" w:eastAsia="宋体" w:cs="宋体"/>
                <w:color w:val="auto"/>
                <w:szCs w:val="21"/>
                <w:highlight w:val="none"/>
              </w:rPr>
            </w:pPr>
          </w:p>
        </w:tc>
      </w:tr>
      <w:tr w14:paraId="5BB6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067A1559">
            <w:pPr>
              <w:jc w:val="center"/>
              <w:rPr>
                <w:rFonts w:hint="eastAsia" w:ascii="宋体" w:hAnsi="宋体" w:eastAsia="宋体" w:cs="宋体"/>
                <w:color w:val="auto"/>
                <w:szCs w:val="21"/>
                <w:highlight w:val="none"/>
              </w:rPr>
            </w:pPr>
          </w:p>
        </w:tc>
        <w:tc>
          <w:tcPr>
            <w:tcW w:w="1418" w:type="dxa"/>
            <w:noWrap w:val="0"/>
            <w:vAlign w:val="center"/>
          </w:tcPr>
          <w:p w14:paraId="05FFD4E7">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质量控制措施</w:t>
            </w:r>
          </w:p>
        </w:tc>
        <w:tc>
          <w:tcPr>
            <w:tcW w:w="4381" w:type="dxa"/>
            <w:noWrap w:val="0"/>
            <w:vAlign w:val="center"/>
          </w:tcPr>
          <w:p w14:paraId="4929C30C">
            <w:pPr>
              <w:jc w:val="center"/>
              <w:rPr>
                <w:rFonts w:hint="eastAsia" w:ascii="宋体" w:hAnsi="宋体" w:eastAsia="宋体" w:cs="宋体"/>
                <w:color w:val="auto"/>
                <w:szCs w:val="21"/>
                <w:highlight w:val="none"/>
              </w:rPr>
            </w:pPr>
          </w:p>
        </w:tc>
        <w:tc>
          <w:tcPr>
            <w:tcW w:w="2835" w:type="dxa"/>
            <w:noWrap w:val="0"/>
            <w:vAlign w:val="top"/>
          </w:tcPr>
          <w:p w14:paraId="56090EB6">
            <w:pPr>
              <w:jc w:val="center"/>
              <w:rPr>
                <w:rFonts w:hint="eastAsia" w:ascii="宋体" w:hAnsi="宋体" w:eastAsia="宋体" w:cs="宋体"/>
                <w:color w:val="auto"/>
                <w:szCs w:val="21"/>
                <w:highlight w:val="none"/>
              </w:rPr>
            </w:pPr>
          </w:p>
        </w:tc>
        <w:tc>
          <w:tcPr>
            <w:tcW w:w="567" w:type="dxa"/>
            <w:noWrap w:val="0"/>
            <w:vAlign w:val="center"/>
          </w:tcPr>
          <w:p w14:paraId="39037B96">
            <w:pPr>
              <w:jc w:val="center"/>
              <w:rPr>
                <w:rFonts w:hint="eastAsia" w:ascii="宋体" w:hAnsi="宋体" w:eastAsia="宋体" w:cs="宋体"/>
                <w:color w:val="auto"/>
                <w:szCs w:val="21"/>
                <w:highlight w:val="none"/>
              </w:rPr>
            </w:pPr>
          </w:p>
        </w:tc>
        <w:tc>
          <w:tcPr>
            <w:tcW w:w="735" w:type="dxa"/>
            <w:noWrap w:val="0"/>
            <w:vAlign w:val="center"/>
          </w:tcPr>
          <w:p w14:paraId="40D4799B">
            <w:pPr>
              <w:jc w:val="center"/>
              <w:rPr>
                <w:rFonts w:hint="eastAsia" w:ascii="宋体" w:hAnsi="宋体" w:eastAsia="宋体" w:cs="宋体"/>
                <w:color w:val="auto"/>
                <w:szCs w:val="21"/>
                <w:highlight w:val="none"/>
              </w:rPr>
            </w:pPr>
          </w:p>
        </w:tc>
      </w:tr>
      <w:tr w14:paraId="00D7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0AD801A0">
            <w:pPr>
              <w:jc w:val="center"/>
              <w:rPr>
                <w:rFonts w:hint="eastAsia" w:ascii="宋体" w:hAnsi="宋体" w:eastAsia="宋体" w:cs="宋体"/>
                <w:color w:val="auto"/>
                <w:szCs w:val="21"/>
                <w:highlight w:val="none"/>
              </w:rPr>
            </w:pPr>
          </w:p>
        </w:tc>
        <w:tc>
          <w:tcPr>
            <w:tcW w:w="1418" w:type="dxa"/>
            <w:noWrap w:val="0"/>
            <w:vAlign w:val="center"/>
          </w:tcPr>
          <w:p w14:paraId="71E8AC39">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合同管理、信息管理</w:t>
            </w:r>
          </w:p>
        </w:tc>
        <w:tc>
          <w:tcPr>
            <w:tcW w:w="4381" w:type="dxa"/>
            <w:noWrap w:val="0"/>
            <w:vAlign w:val="center"/>
          </w:tcPr>
          <w:p w14:paraId="0947A18C">
            <w:pPr>
              <w:jc w:val="center"/>
              <w:rPr>
                <w:rFonts w:hint="eastAsia" w:ascii="宋体" w:hAnsi="宋体" w:eastAsia="宋体" w:cs="宋体"/>
                <w:color w:val="auto"/>
                <w:szCs w:val="21"/>
                <w:highlight w:val="none"/>
              </w:rPr>
            </w:pPr>
          </w:p>
        </w:tc>
        <w:tc>
          <w:tcPr>
            <w:tcW w:w="2835" w:type="dxa"/>
            <w:noWrap w:val="0"/>
            <w:vAlign w:val="top"/>
          </w:tcPr>
          <w:p w14:paraId="1EE5FEB9">
            <w:pPr>
              <w:jc w:val="center"/>
              <w:rPr>
                <w:rFonts w:hint="eastAsia" w:ascii="宋体" w:hAnsi="宋体" w:eastAsia="宋体" w:cs="宋体"/>
                <w:color w:val="auto"/>
                <w:szCs w:val="21"/>
                <w:highlight w:val="none"/>
              </w:rPr>
            </w:pPr>
          </w:p>
        </w:tc>
        <w:tc>
          <w:tcPr>
            <w:tcW w:w="567" w:type="dxa"/>
            <w:noWrap w:val="0"/>
            <w:vAlign w:val="center"/>
          </w:tcPr>
          <w:p w14:paraId="095EFD1E">
            <w:pPr>
              <w:jc w:val="center"/>
              <w:rPr>
                <w:rFonts w:hint="eastAsia" w:ascii="宋体" w:hAnsi="宋体" w:eastAsia="宋体" w:cs="宋体"/>
                <w:color w:val="auto"/>
                <w:szCs w:val="21"/>
                <w:highlight w:val="none"/>
              </w:rPr>
            </w:pPr>
          </w:p>
        </w:tc>
        <w:tc>
          <w:tcPr>
            <w:tcW w:w="735" w:type="dxa"/>
            <w:noWrap w:val="0"/>
            <w:vAlign w:val="center"/>
          </w:tcPr>
          <w:p w14:paraId="394A9400">
            <w:pPr>
              <w:jc w:val="center"/>
              <w:rPr>
                <w:rFonts w:hint="eastAsia" w:ascii="宋体" w:hAnsi="宋体" w:eastAsia="宋体" w:cs="宋体"/>
                <w:color w:val="auto"/>
                <w:szCs w:val="21"/>
                <w:highlight w:val="none"/>
              </w:rPr>
            </w:pPr>
          </w:p>
        </w:tc>
      </w:tr>
      <w:tr w14:paraId="3CE7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36F2EC39">
            <w:pPr>
              <w:jc w:val="center"/>
              <w:rPr>
                <w:rFonts w:hint="eastAsia" w:ascii="宋体" w:hAnsi="宋体" w:eastAsia="宋体" w:cs="宋体"/>
                <w:color w:val="auto"/>
                <w:szCs w:val="21"/>
                <w:highlight w:val="none"/>
              </w:rPr>
            </w:pPr>
          </w:p>
        </w:tc>
        <w:tc>
          <w:tcPr>
            <w:tcW w:w="1418" w:type="dxa"/>
            <w:noWrap w:val="0"/>
            <w:vAlign w:val="center"/>
          </w:tcPr>
          <w:p w14:paraId="5FADF785">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组织协调</w:t>
            </w:r>
          </w:p>
        </w:tc>
        <w:tc>
          <w:tcPr>
            <w:tcW w:w="4381" w:type="dxa"/>
            <w:noWrap w:val="0"/>
            <w:vAlign w:val="center"/>
          </w:tcPr>
          <w:p w14:paraId="52D4FCA2">
            <w:pPr>
              <w:jc w:val="center"/>
              <w:rPr>
                <w:rFonts w:hint="eastAsia" w:ascii="宋体" w:hAnsi="宋体" w:eastAsia="宋体" w:cs="宋体"/>
                <w:color w:val="auto"/>
                <w:szCs w:val="21"/>
                <w:highlight w:val="none"/>
              </w:rPr>
            </w:pPr>
          </w:p>
        </w:tc>
        <w:tc>
          <w:tcPr>
            <w:tcW w:w="2835" w:type="dxa"/>
            <w:noWrap w:val="0"/>
            <w:vAlign w:val="top"/>
          </w:tcPr>
          <w:p w14:paraId="4D76F98E">
            <w:pPr>
              <w:jc w:val="center"/>
              <w:rPr>
                <w:rFonts w:hint="eastAsia" w:ascii="宋体" w:hAnsi="宋体" w:eastAsia="宋体" w:cs="宋体"/>
                <w:color w:val="auto"/>
                <w:szCs w:val="21"/>
                <w:highlight w:val="none"/>
              </w:rPr>
            </w:pPr>
          </w:p>
        </w:tc>
        <w:tc>
          <w:tcPr>
            <w:tcW w:w="567" w:type="dxa"/>
            <w:noWrap w:val="0"/>
            <w:vAlign w:val="center"/>
          </w:tcPr>
          <w:p w14:paraId="12580784">
            <w:pPr>
              <w:jc w:val="center"/>
              <w:rPr>
                <w:rFonts w:hint="eastAsia" w:ascii="宋体" w:hAnsi="宋体" w:eastAsia="宋体" w:cs="宋体"/>
                <w:color w:val="auto"/>
                <w:szCs w:val="21"/>
                <w:highlight w:val="none"/>
              </w:rPr>
            </w:pPr>
          </w:p>
        </w:tc>
        <w:tc>
          <w:tcPr>
            <w:tcW w:w="735" w:type="dxa"/>
            <w:noWrap w:val="0"/>
            <w:vAlign w:val="center"/>
          </w:tcPr>
          <w:p w14:paraId="6847F701">
            <w:pPr>
              <w:jc w:val="center"/>
              <w:rPr>
                <w:rFonts w:hint="eastAsia" w:ascii="宋体" w:hAnsi="宋体" w:eastAsia="宋体" w:cs="宋体"/>
                <w:color w:val="auto"/>
                <w:szCs w:val="21"/>
                <w:highlight w:val="none"/>
              </w:rPr>
            </w:pPr>
          </w:p>
        </w:tc>
      </w:tr>
      <w:tr w14:paraId="0A78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6538F04A">
            <w:pPr>
              <w:jc w:val="center"/>
              <w:rPr>
                <w:rFonts w:hint="eastAsia" w:ascii="宋体" w:hAnsi="宋体" w:eastAsia="宋体" w:cs="宋体"/>
                <w:color w:val="auto"/>
                <w:szCs w:val="21"/>
                <w:highlight w:val="none"/>
              </w:rPr>
            </w:pPr>
          </w:p>
        </w:tc>
        <w:tc>
          <w:tcPr>
            <w:tcW w:w="1418" w:type="dxa"/>
            <w:noWrap w:val="0"/>
            <w:vAlign w:val="center"/>
          </w:tcPr>
          <w:p w14:paraId="073E6DC8">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安全、文明施工管理</w:t>
            </w:r>
          </w:p>
        </w:tc>
        <w:tc>
          <w:tcPr>
            <w:tcW w:w="4381" w:type="dxa"/>
            <w:noWrap w:val="0"/>
            <w:vAlign w:val="center"/>
          </w:tcPr>
          <w:p w14:paraId="11A269C8">
            <w:pPr>
              <w:jc w:val="center"/>
              <w:rPr>
                <w:rFonts w:hint="eastAsia" w:ascii="宋体" w:hAnsi="宋体" w:eastAsia="宋体" w:cs="宋体"/>
                <w:color w:val="auto"/>
                <w:szCs w:val="21"/>
                <w:highlight w:val="none"/>
              </w:rPr>
            </w:pPr>
          </w:p>
        </w:tc>
        <w:tc>
          <w:tcPr>
            <w:tcW w:w="2835" w:type="dxa"/>
            <w:noWrap w:val="0"/>
            <w:vAlign w:val="top"/>
          </w:tcPr>
          <w:p w14:paraId="50EF0CC3">
            <w:pPr>
              <w:jc w:val="center"/>
              <w:rPr>
                <w:rFonts w:hint="eastAsia" w:ascii="宋体" w:hAnsi="宋体" w:eastAsia="宋体" w:cs="宋体"/>
                <w:color w:val="auto"/>
                <w:szCs w:val="21"/>
                <w:highlight w:val="none"/>
              </w:rPr>
            </w:pPr>
          </w:p>
        </w:tc>
        <w:tc>
          <w:tcPr>
            <w:tcW w:w="567" w:type="dxa"/>
            <w:noWrap w:val="0"/>
            <w:vAlign w:val="center"/>
          </w:tcPr>
          <w:p w14:paraId="35551580">
            <w:pPr>
              <w:jc w:val="center"/>
              <w:rPr>
                <w:rFonts w:hint="eastAsia" w:ascii="宋体" w:hAnsi="宋体" w:eastAsia="宋体" w:cs="宋体"/>
                <w:color w:val="auto"/>
                <w:szCs w:val="21"/>
                <w:highlight w:val="none"/>
              </w:rPr>
            </w:pPr>
          </w:p>
        </w:tc>
        <w:tc>
          <w:tcPr>
            <w:tcW w:w="735" w:type="dxa"/>
            <w:noWrap w:val="0"/>
            <w:vAlign w:val="center"/>
          </w:tcPr>
          <w:p w14:paraId="662BDF7E">
            <w:pPr>
              <w:jc w:val="center"/>
              <w:rPr>
                <w:rFonts w:hint="eastAsia" w:ascii="宋体" w:hAnsi="宋体" w:eastAsia="宋体" w:cs="宋体"/>
                <w:color w:val="auto"/>
                <w:szCs w:val="21"/>
                <w:highlight w:val="none"/>
              </w:rPr>
            </w:pPr>
          </w:p>
        </w:tc>
      </w:tr>
      <w:tr w14:paraId="500A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2AC8F26D">
            <w:pPr>
              <w:jc w:val="center"/>
              <w:rPr>
                <w:rFonts w:hint="eastAsia" w:ascii="宋体" w:hAnsi="宋体" w:eastAsia="宋体" w:cs="宋体"/>
                <w:color w:val="auto"/>
                <w:szCs w:val="21"/>
                <w:highlight w:val="none"/>
              </w:rPr>
            </w:pPr>
          </w:p>
        </w:tc>
        <w:tc>
          <w:tcPr>
            <w:tcW w:w="1418" w:type="dxa"/>
            <w:noWrap w:val="0"/>
            <w:vAlign w:val="center"/>
          </w:tcPr>
          <w:p w14:paraId="4AD8DBC9">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筒仓施工重点难点监控措施</w:t>
            </w:r>
          </w:p>
        </w:tc>
        <w:tc>
          <w:tcPr>
            <w:tcW w:w="4381" w:type="dxa"/>
            <w:noWrap w:val="0"/>
            <w:vAlign w:val="center"/>
          </w:tcPr>
          <w:p w14:paraId="7A8D9FBB">
            <w:pPr>
              <w:jc w:val="center"/>
              <w:rPr>
                <w:rFonts w:hint="eastAsia" w:ascii="宋体" w:hAnsi="宋体" w:eastAsia="宋体" w:cs="宋体"/>
                <w:color w:val="auto"/>
                <w:szCs w:val="21"/>
                <w:highlight w:val="none"/>
              </w:rPr>
            </w:pPr>
          </w:p>
        </w:tc>
        <w:tc>
          <w:tcPr>
            <w:tcW w:w="2835" w:type="dxa"/>
            <w:noWrap w:val="0"/>
            <w:vAlign w:val="top"/>
          </w:tcPr>
          <w:p w14:paraId="66C1326D">
            <w:pPr>
              <w:jc w:val="center"/>
              <w:rPr>
                <w:rFonts w:hint="eastAsia" w:ascii="宋体" w:hAnsi="宋体" w:eastAsia="宋体" w:cs="宋体"/>
                <w:color w:val="auto"/>
                <w:szCs w:val="21"/>
                <w:highlight w:val="none"/>
              </w:rPr>
            </w:pPr>
          </w:p>
        </w:tc>
        <w:tc>
          <w:tcPr>
            <w:tcW w:w="567" w:type="dxa"/>
            <w:noWrap w:val="0"/>
            <w:vAlign w:val="center"/>
          </w:tcPr>
          <w:p w14:paraId="5557A49E">
            <w:pPr>
              <w:jc w:val="center"/>
              <w:rPr>
                <w:rFonts w:hint="eastAsia" w:ascii="宋体" w:hAnsi="宋体" w:eastAsia="宋体" w:cs="宋体"/>
                <w:color w:val="auto"/>
                <w:szCs w:val="21"/>
                <w:highlight w:val="none"/>
              </w:rPr>
            </w:pPr>
          </w:p>
        </w:tc>
        <w:tc>
          <w:tcPr>
            <w:tcW w:w="735" w:type="dxa"/>
            <w:noWrap w:val="0"/>
            <w:vAlign w:val="center"/>
          </w:tcPr>
          <w:p w14:paraId="6F5B1881">
            <w:pPr>
              <w:jc w:val="center"/>
              <w:rPr>
                <w:rFonts w:hint="eastAsia" w:ascii="宋体" w:hAnsi="宋体" w:eastAsia="宋体" w:cs="宋体"/>
                <w:color w:val="auto"/>
                <w:szCs w:val="21"/>
                <w:highlight w:val="none"/>
              </w:rPr>
            </w:pPr>
          </w:p>
        </w:tc>
      </w:tr>
      <w:tr w14:paraId="3896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5EB14A55">
            <w:pPr>
              <w:jc w:val="center"/>
              <w:rPr>
                <w:rFonts w:hint="eastAsia" w:ascii="宋体" w:hAnsi="宋体" w:eastAsia="宋体" w:cs="宋体"/>
                <w:color w:val="auto"/>
                <w:szCs w:val="21"/>
                <w:highlight w:val="none"/>
              </w:rPr>
            </w:pPr>
          </w:p>
        </w:tc>
        <w:tc>
          <w:tcPr>
            <w:tcW w:w="1418" w:type="dxa"/>
            <w:noWrap w:val="0"/>
            <w:vAlign w:val="center"/>
          </w:tcPr>
          <w:p w14:paraId="7C9861A5">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筒仓滑模及降模安全重点难点和措施</w:t>
            </w:r>
          </w:p>
        </w:tc>
        <w:tc>
          <w:tcPr>
            <w:tcW w:w="4381" w:type="dxa"/>
            <w:noWrap w:val="0"/>
            <w:vAlign w:val="center"/>
          </w:tcPr>
          <w:p w14:paraId="682F4791">
            <w:pPr>
              <w:jc w:val="center"/>
              <w:rPr>
                <w:rFonts w:hint="eastAsia" w:ascii="宋体" w:hAnsi="宋体" w:eastAsia="宋体" w:cs="宋体"/>
                <w:color w:val="auto"/>
                <w:szCs w:val="21"/>
                <w:highlight w:val="none"/>
              </w:rPr>
            </w:pPr>
          </w:p>
        </w:tc>
        <w:tc>
          <w:tcPr>
            <w:tcW w:w="2835" w:type="dxa"/>
            <w:noWrap w:val="0"/>
            <w:vAlign w:val="top"/>
          </w:tcPr>
          <w:p w14:paraId="4D073DD7">
            <w:pPr>
              <w:jc w:val="center"/>
              <w:rPr>
                <w:rFonts w:hint="eastAsia" w:ascii="宋体" w:hAnsi="宋体" w:eastAsia="宋体" w:cs="宋体"/>
                <w:color w:val="auto"/>
                <w:szCs w:val="21"/>
                <w:highlight w:val="none"/>
              </w:rPr>
            </w:pPr>
          </w:p>
        </w:tc>
        <w:tc>
          <w:tcPr>
            <w:tcW w:w="567" w:type="dxa"/>
            <w:noWrap w:val="0"/>
            <w:vAlign w:val="center"/>
          </w:tcPr>
          <w:p w14:paraId="467458A2">
            <w:pPr>
              <w:jc w:val="center"/>
              <w:rPr>
                <w:rFonts w:hint="eastAsia" w:ascii="宋体" w:hAnsi="宋体" w:eastAsia="宋体" w:cs="宋体"/>
                <w:color w:val="auto"/>
                <w:szCs w:val="21"/>
                <w:highlight w:val="none"/>
              </w:rPr>
            </w:pPr>
          </w:p>
        </w:tc>
        <w:tc>
          <w:tcPr>
            <w:tcW w:w="735" w:type="dxa"/>
            <w:noWrap w:val="0"/>
            <w:vAlign w:val="center"/>
          </w:tcPr>
          <w:p w14:paraId="7C9CAA5C">
            <w:pPr>
              <w:jc w:val="center"/>
              <w:rPr>
                <w:rFonts w:hint="eastAsia" w:ascii="宋体" w:hAnsi="宋体" w:eastAsia="宋体" w:cs="宋体"/>
                <w:color w:val="auto"/>
                <w:szCs w:val="21"/>
                <w:highlight w:val="none"/>
              </w:rPr>
            </w:pPr>
          </w:p>
        </w:tc>
      </w:tr>
      <w:tr w14:paraId="682F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0C1B6646">
            <w:pPr>
              <w:jc w:val="center"/>
              <w:rPr>
                <w:rFonts w:hint="eastAsia" w:ascii="宋体" w:hAnsi="宋体" w:eastAsia="宋体" w:cs="宋体"/>
                <w:color w:val="auto"/>
                <w:szCs w:val="21"/>
                <w:highlight w:val="none"/>
              </w:rPr>
            </w:pPr>
          </w:p>
        </w:tc>
        <w:tc>
          <w:tcPr>
            <w:tcW w:w="1418" w:type="dxa"/>
            <w:noWrap w:val="0"/>
            <w:vAlign w:val="center"/>
          </w:tcPr>
          <w:p w14:paraId="6747ED14">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工程进度款、工程变更、工程结算的管理</w:t>
            </w:r>
          </w:p>
        </w:tc>
        <w:tc>
          <w:tcPr>
            <w:tcW w:w="4381" w:type="dxa"/>
            <w:noWrap w:val="0"/>
            <w:vAlign w:val="center"/>
          </w:tcPr>
          <w:p w14:paraId="28493E38">
            <w:pPr>
              <w:jc w:val="center"/>
              <w:rPr>
                <w:rFonts w:hint="eastAsia" w:ascii="宋体" w:hAnsi="宋体" w:eastAsia="宋体" w:cs="宋体"/>
                <w:color w:val="auto"/>
                <w:szCs w:val="21"/>
                <w:highlight w:val="none"/>
              </w:rPr>
            </w:pPr>
          </w:p>
        </w:tc>
        <w:tc>
          <w:tcPr>
            <w:tcW w:w="2835" w:type="dxa"/>
            <w:noWrap w:val="0"/>
            <w:vAlign w:val="top"/>
          </w:tcPr>
          <w:p w14:paraId="0B99F2F9">
            <w:pPr>
              <w:jc w:val="center"/>
              <w:rPr>
                <w:rFonts w:hint="eastAsia" w:ascii="宋体" w:hAnsi="宋体" w:eastAsia="宋体" w:cs="宋体"/>
                <w:color w:val="auto"/>
                <w:szCs w:val="21"/>
                <w:highlight w:val="none"/>
              </w:rPr>
            </w:pPr>
          </w:p>
        </w:tc>
        <w:tc>
          <w:tcPr>
            <w:tcW w:w="567" w:type="dxa"/>
            <w:noWrap w:val="0"/>
            <w:vAlign w:val="center"/>
          </w:tcPr>
          <w:p w14:paraId="5646BBE1">
            <w:pPr>
              <w:jc w:val="center"/>
              <w:rPr>
                <w:rFonts w:hint="eastAsia" w:ascii="宋体" w:hAnsi="宋体" w:eastAsia="宋体" w:cs="宋体"/>
                <w:color w:val="auto"/>
                <w:szCs w:val="21"/>
                <w:highlight w:val="none"/>
              </w:rPr>
            </w:pPr>
          </w:p>
        </w:tc>
        <w:tc>
          <w:tcPr>
            <w:tcW w:w="735" w:type="dxa"/>
            <w:noWrap w:val="0"/>
            <w:vAlign w:val="center"/>
          </w:tcPr>
          <w:p w14:paraId="56F110D6">
            <w:pPr>
              <w:jc w:val="center"/>
              <w:rPr>
                <w:rFonts w:hint="eastAsia" w:ascii="宋体" w:hAnsi="宋体" w:eastAsia="宋体" w:cs="宋体"/>
                <w:color w:val="auto"/>
                <w:szCs w:val="21"/>
                <w:highlight w:val="none"/>
              </w:rPr>
            </w:pPr>
          </w:p>
        </w:tc>
      </w:tr>
      <w:tr w14:paraId="009B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34857330">
            <w:pPr>
              <w:jc w:val="center"/>
              <w:rPr>
                <w:rFonts w:hint="eastAsia" w:ascii="宋体" w:hAnsi="宋体" w:eastAsia="宋体" w:cs="宋体"/>
                <w:color w:val="auto"/>
                <w:szCs w:val="21"/>
                <w:highlight w:val="none"/>
              </w:rPr>
            </w:pPr>
          </w:p>
        </w:tc>
        <w:tc>
          <w:tcPr>
            <w:tcW w:w="1418" w:type="dxa"/>
            <w:noWrap w:val="0"/>
            <w:vAlign w:val="center"/>
          </w:tcPr>
          <w:p w14:paraId="10878238">
            <w:pPr>
              <w:jc w:val="center"/>
              <w:rPr>
                <w:rFonts w:hint="eastAsia" w:ascii="宋体" w:hAnsi="宋体" w:eastAsia="宋体" w:cs="宋体"/>
                <w:color w:val="auto"/>
                <w:szCs w:val="21"/>
                <w:highlight w:val="none"/>
              </w:rPr>
            </w:pPr>
          </w:p>
        </w:tc>
        <w:tc>
          <w:tcPr>
            <w:tcW w:w="4381" w:type="dxa"/>
            <w:noWrap w:val="0"/>
            <w:vAlign w:val="center"/>
          </w:tcPr>
          <w:p w14:paraId="638B022A">
            <w:pPr>
              <w:jc w:val="center"/>
              <w:rPr>
                <w:rFonts w:hint="eastAsia" w:ascii="宋体" w:hAnsi="宋体" w:eastAsia="宋体" w:cs="宋体"/>
                <w:color w:val="auto"/>
                <w:szCs w:val="21"/>
                <w:highlight w:val="none"/>
              </w:rPr>
            </w:pPr>
          </w:p>
        </w:tc>
        <w:tc>
          <w:tcPr>
            <w:tcW w:w="2835" w:type="dxa"/>
            <w:noWrap w:val="0"/>
            <w:vAlign w:val="top"/>
          </w:tcPr>
          <w:p w14:paraId="602DFAD1">
            <w:pPr>
              <w:jc w:val="center"/>
              <w:rPr>
                <w:rFonts w:hint="eastAsia" w:ascii="宋体" w:hAnsi="宋体" w:eastAsia="宋体" w:cs="宋体"/>
                <w:color w:val="auto"/>
                <w:szCs w:val="21"/>
                <w:highlight w:val="none"/>
              </w:rPr>
            </w:pPr>
          </w:p>
        </w:tc>
        <w:tc>
          <w:tcPr>
            <w:tcW w:w="567" w:type="dxa"/>
            <w:noWrap w:val="0"/>
            <w:vAlign w:val="center"/>
          </w:tcPr>
          <w:p w14:paraId="7E7284A9">
            <w:pPr>
              <w:jc w:val="center"/>
              <w:rPr>
                <w:rFonts w:hint="eastAsia" w:ascii="宋体" w:hAnsi="宋体" w:eastAsia="宋体" w:cs="宋体"/>
                <w:color w:val="auto"/>
                <w:szCs w:val="21"/>
                <w:highlight w:val="none"/>
              </w:rPr>
            </w:pPr>
          </w:p>
        </w:tc>
        <w:tc>
          <w:tcPr>
            <w:tcW w:w="735" w:type="dxa"/>
            <w:noWrap w:val="0"/>
            <w:vAlign w:val="center"/>
          </w:tcPr>
          <w:p w14:paraId="138EF6BA">
            <w:pPr>
              <w:jc w:val="center"/>
              <w:rPr>
                <w:rFonts w:hint="eastAsia" w:ascii="宋体" w:hAnsi="宋体" w:eastAsia="宋体" w:cs="宋体"/>
                <w:color w:val="auto"/>
                <w:szCs w:val="21"/>
                <w:highlight w:val="none"/>
              </w:rPr>
            </w:pPr>
          </w:p>
        </w:tc>
      </w:tr>
      <w:tr w14:paraId="400D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2D0F7684">
            <w:pPr>
              <w:jc w:val="center"/>
              <w:rPr>
                <w:rFonts w:hint="eastAsia" w:ascii="宋体" w:hAnsi="宋体" w:eastAsia="宋体" w:cs="宋体"/>
                <w:color w:val="auto"/>
                <w:szCs w:val="21"/>
                <w:highlight w:val="none"/>
              </w:rPr>
            </w:pPr>
          </w:p>
        </w:tc>
        <w:tc>
          <w:tcPr>
            <w:tcW w:w="1418" w:type="dxa"/>
            <w:noWrap w:val="0"/>
            <w:vAlign w:val="center"/>
          </w:tcPr>
          <w:p w14:paraId="40571FB3">
            <w:pPr>
              <w:jc w:val="center"/>
              <w:rPr>
                <w:rFonts w:hint="eastAsia" w:ascii="宋体" w:hAnsi="宋体" w:eastAsia="宋体" w:cs="宋体"/>
                <w:color w:val="auto"/>
                <w:szCs w:val="21"/>
                <w:highlight w:val="none"/>
              </w:rPr>
            </w:pPr>
          </w:p>
        </w:tc>
        <w:tc>
          <w:tcPr>
            <w:tcW w:w="4381" w:type="dxa"/>
            <w:noWrap w:val="0"/>
            <w:vAlign w:val="center"/>
          </w:tcPr>
          <w:p w14:paraId="19A7824A">
            <w:pPr>
              <w:jc w:val="center"/>
              <w:rPr>
                <w:rFonts w:hint="eastAsia" w:ascii="宋体" w:hAnsi="宋体" w:eastAsia="宋体" w:cs="宋体"/>
                <w:color w:val="auto"/>
                <w:szCs w:val="21"/>
                <w:highlight w:val="none"/>
              </w:rPr>
            </w:pPr>
          </w:p>
        </w:tc>
        <w:tc>
          <w:tcPr>
            <w:tcW w:w="2835" w:type="dxa"/>
            <w:noWrap w:val="0"/>
            <w:vAlign w:val="top"/>
          </w:tcPr>
          <w:p w14:paraId="418D4D07">
            <w:pPr>
              <w:jc w:val="center"/>
              <w:rPr>
                <w:rFonts w:hint="eastAsia" w:ascii="宋体" w:hAnsi="宋体" w:eastAsia="宋体" w:cs="宋体"/>
                <w:color w:val="auto"/>
                <w:szCs w:val="21"/>
                <w:highlight w:val="none"/>
              </w:rPr>
            </w:pPr>
          </w:p>
        </w:tc>
        <w:tc>
          <w:tcPr>
            <w:tcW w:w="567" w:type="dxa"/>
            <w:noWrap w:val="0"/>
            <w:vAlign w:val="center"/>
          </w:tcPr>
          <w:p w14:paraId="37A01056">
            <w:pPr>
              <w:jc w:val="center"/>
              <w:rPr>
                <w:rFonts w:hint="eastAsia" w:ascii="宋体" w:hAnsi="宋体" w:eastAsia="宋体" w:cs="宋体"/>
                <w:color w:val="auto"/>
                <w:szCs w:val="21"/>
                <w:highlight w:val="none"/>
              </w:rPr>
            </w:pPr>
          </w:p>
        </w:tc>
        <w:tc>
          <w:tcPr>
            <w:tcW w:w="735" w:type="dxa"/>
            <w:noWrap w:val="0"/>
            <w:vAlign w:val="center"/>
          </w:tcPr>
          <w:p w14:paraId="487745B1">
            <w:pPr>
              <w:jc w:val="center"/>
              <w:rPr>
                <w:rFonts w:hint="eastAsia" w:ascii="宋体" w:hAnsi="宋体" w:eastAsia="宋体" w:cs="宋体"/>
                <w:color w:val="auto"/>
                <w:szCs w:val="21"/>
                <w:highlight w:val="none"/>
              </w:rPr>
            </w:pPr>
          </w:p>
        </w:tc>
      </w:tr>
      <w:tr w14:paraId="7FB6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dxa"/>
            <w:noWrap w:val="0"/>
            <w:vAlign w:val="center"/>
          </w:tcPr>
          <w:p w14:paraId="4798E4B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18" w:type="dxa"/>
            <w:noWrap w:val="0"/>
            <w:vAlign w:val="center"/>
          </w:tcPr>
          <w:p w14:paraId="7A51CE62">
            <w:pPr>
              <w:jc w:val="center"/>
              <w:rPr>
                <w:rFonts w:hint="eastAsia" w:ascii="宋体" w:hAnsi="宋体" w:eastAsia="宋体" w:cs="宋体"/>
                <w:color w:val="auto"/>
                <w:szCs w:val="21"/>
                <w:highlight w:val="none"/>
              </w:rPr>
            </w:pPr>
          </w:p>
        </w:tc>
        <w:tc>
          <w:tcPr>
            <w:tcW w:w="4381" w:type="dxa"/>
            <w:noWrap w:val="0"/>
            <w:vAlign w:val="center"/>
          </w:tcPr>
          <w:p w14:paraId="5E052179">
            <w:pPr>
              <w:jc w:val="center"/>
              <w:rPr>
                <w:rFonts w:hint="eastAsia" w:ascii="宋体" w:hAnsi="宋体" w:eastAsia="宋体" w:cs="宋体"/>
                <w:color w:val="auto"/>
                <w:szCs w:val="21"/>
                <w:highlight w:val="none"/>
              </w:rPr>
            </w:pPr>
          </w:p>
        </w:tc>
        <w:tc>
          <w:tcPr>
            <w:tcW w:w="2835" w:type="dxa"/>
            <w:noWrap w:val="0"/>
            <w:vAlign w:val="top"/>
          </w:tcPr>
          <w:p w14:paraId="46E8D5D4">
            <w:pPr>
              <w:jc w:val="center"/>
              <w:rPr>
                <w:rFonts w:hint="eastAsia" w:ascii="宋体" w:hAnsi="宋体" w:eastAsia="宋体" w:cs="宋体"/>
                <w:color w:val="auto"/>
                <w:szCs w:val="21"/>
                <w:highlight w:val="none"/>
              </w:rPr>
            </w:pPr>
          </w:p>
        </w:tc>
        <w:tc>
          <w:tcPr>
            <w:tcW w:w="567" w:type="dxa"/>
            <w:noWrap w:val="0"/>
            <w:vAlign w:val="center"/>
          </w:tcPr>
          <w:p w14:paraId="51DDD684">
            <w:pPr>
              <w:jc w:val="center"/>
              <w:rPr>
                <w:rFonts w:hint="eastAsia" w:ascii="宋体" w:hAnsi="宋体" w:eastAsia="宋体" w:cs="宋体"/>
                <w:color w:val="auto"/>
                <w:szCs w:val="21"/>
                <w:highlight w:val="none"/>
              </w:rPr>
            </w:pPr>
          </w:p>
        </w:tc>
        <w:tc>
          <w:tcPr>
            <w:tcW w:w="735" w:type="dxa"/>
            <w:noWrap w:val="0"/>
            <w:vAlign w:val="center"/>
          </w:tcPr>
          <w:p w14:paraId="1B061809">
            <w:pPr>
              <w:jc w:val="center"/>
              <w:rPr>
                <w:rFonts w:hint="eastAsia" w:ascii="宋体" w:hAnsi="宋体" w:eastAsia="宋体" w:cs="宋体"/>
                <w:color w:val="auto"/>
                <w:szCs w:val="21"/>
                <w:highlight w:val="none"/>
              </w:rPr>
            </w:pPr>
          </w:p>
        </w:tc>
      </w:tr>
    </w:tbl>
    <w:p w14:paraId="76CCEAE2">
      <w:pPr>
        <w:pStyle w:val="12"/>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C374B7">
      <w:pPr>
        <w:pStyle w:val="12"/>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自评分数合计：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01F55AA1">
      <w:pPr>
        <w:rPr>
          <w:rFonts w:ascii="宋体" w:hAnsi="宋体" w:eastAsia="宋体"/>
          <w:b/>
          <w:bCs/>
          <w:color w:val="000000" w:themeColor="text1"/>
          <w:sz w:val="30"/>
          <w:szCs w:val="30"/>
          <w14:textFill>
            <w14:solidFill>
              <w14:schemeClr w14:val="tx1"/>
            </w14:solidFill>
          </w14:textFill>
        </w:rPr>
      </w:pPr>
      <w:r>
        <w:rPr>
          <w:rFonts w:hint="eastAsia" w:ascii="宋体" w:hAnsi="宋体" w:eastAsia="宋体" w:cs="Times New Roman"/>
          <w:b/>
          <w:bCs/>
          <w:color w:val="000000" w:themeColor="text1"/>
          <w:kern w:val="2"/>
          <w:sz w:val="30"/>
          <w:szCs w:val="30"/>
          <w:lang w:val="en-US" w:eastAsia="zh-CN" w:bidi="ar-SA"/>
          <w14:textFill>
            <w14:solidFill>
              <w14:schemeClr w14:val="tx1"/>
            </w14:solidFill>
          </w14:textFill>
        </w:rPr>
        <w:br w:type="page"/>
      </w:r>
      <w:r>
        <w:rPr>
          <w:rFonts w:hint="eastAsia" w:ascii="宋体" w:hAnsi="宋体"/>
          <w:b/>
          <w:bCs/>
          <w:color w:val="000000" w:themeColor="text1"/>
          <w:sz w:val="30"/>
          <w:szCs w:val="30"/>
          <w:lang w:val="en-US" w:eastAsia="zh-CN"/>
          <w14:textFill>
            <w14:solidFill>
              <w14:schemeClr w14:val="tx1"/>
            </w14:solidFill>
          </w14:textFill>
        </w:rPr>
        <w:t>七</w:t>
      </w:r>
      <w:r>
        <w:rPr>
          <w:rFonts w:hint="eastAsia" w:ascii="宋体" w:hAnsi="宋体" w:eastAsia="宋体"/>
          <w:b/>
          <w:bCs/>
          <w:color w:val="000000" w:themeColor="text1"/>
          <w:sz w:val="30"/>
          <w:szCs w:val="30"/>
          <w14:textFill>
            <w14:solidFill>
              <w14:schemeClr w14:val="tx1"/>
            </w14:solidFill>
          </w14:textFill>
        </w:rPr>
        <w:t>、</w:t>
      </w:r>
      <w:bookmarkEnd w:id="455"/>
      <w:bookmarkEnd w:id="456"/>
      <w:bookmarkEnd w:id="457"/>
      <w:r>
        <w:rPr>
          <w:rFonts w:hint="eastAsia" w:ascii="宋体" w:hAnsi="宋体" w:eastAsia="宋体"/>
          <w:b/>
          <w:bCs/>
          <w:color w:val="000000" w:themeColor="text1"/>
          <w:sz w:val="30"/>
          <w:szCs w:val="30"/>
          <w14:textFill>
            <w14:solidFill>
              <w14:schemeClr w14:val="tx1"/>
            </w14:solidFill>
          </w14:textFill>
        </w:rPr>
        <w:t>技术方案</w:t>
      </w:r>
    </w:p>
    <w:p w14:paraId="3CA28C42">
      <w:pPr>
        <w:spacing w:line="360" w:lineRule="auto"/>
        <w:jc w:val="center"/>
        <w:rPr>
          <w:rFonts w:ascii="宋体" w:hAnsi="宋体"/>
          <w:b/>
          <w:color w:val="000000" w:themeColor="text1"/>
          <w:sz w:val="28"/>
          <w:szCs w:val="32"/>
          <w14:textFill>
            <w14:solidFill>
              <w14:schemeClr w14:val="tx1"/>
            </w14:solidFill>
          </w14:textFill>
        </w:rPr>
      </w:pPr>
      <w:r>
        <w:rPr>
          <w:rFonts w:hint="eastAsia" w:ascii="宋体" w:hAnsi="宋体"/>
          <w:b/>
          <w:color w:val="000000" w:themeColor="text1"/>
          <w:sz w:val="28"/>
          <w:szCs w:val="32"/>
          <w14:textFill>
            <w14:solidFill>
              <w14:schemeClr w14:val="tx1"/>
            </w14:solidFill>
          </w14:textFill>
        </w:rPr>
        <w:t>技术方案</w:t>
      </w:r>
    </w:p>
    <w:p w14:paraId="42EB9B8B">
      <w:pPr>
        <w:spacing w:line="360" w:lineRule="auto"/>
        <w:ind w:firstLine="542" w:firstLineChars="2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技术方案应包括（但不限于）下列内容：</w:t>
      </w:r>
    </w:p>
    <w:p w14:paraId="63BAECA0">
      <w:pPr>
        <w:spacing w:line="360" w:lineRule="auto"/>
        <w:ind w:firstLine="542" w:firstLineChars="2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一、监理工程概况；</w:t>
      </w:r>
    </w:p>
    <w:p w14:paraId="15149AC2">
      <w:pPr>
        <w:spacing w:line="360" w:lineRule="auto"/>
        <w:ind w:firstLine="542" w:firstLineChars="2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二、监理范围、监理内容；</w:t>
      </w:r>
    </w:p>
    <w:p w14:paraId="5281B5C7">
      <w:pPr>
        <w:spacing w:line="360" w:lineRule="auto"/>
        <w:ind w:firstLine="542" w:firstLineChars="2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三、监理依据、监理工作目标；</w:t>
      </w:r>
    </w:p>
    <w:p w14:paraId="55278110">
      <w:pPr>
        <w:spacing w:line="360" w:lineRule="auto"/>
        <w:ind w:firstLine="542" w:firstLineChars="2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四、监理机构设置（监理组织架构框图）、岗位职责；</w:t>
      </w:r>
    </w:p>
    <w:p w14:paraId="678F209F">
      <w:pPr>
        <w:spacing w:line="360" w:lineRule="auto"/>
        <w:ind w:firstLine="542" w:firstLineChars="2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五、监理工作程序、方法和制度；</w:t>
      </w:r>
    </w:p>
    <w:p w14:paraId="78E35D7B">
      <w:pPr>
        <w:spacing w:line="360" w:lineRule="auto"/>
        <w:ind w:firstLine="542" w:firstLineChars="2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六、拟投入的监理人员；</w:t>
      </w:r>
    </w:p>
    <w:p w14:paraId="45864333">
      <w:pPr>
        <w:spacing w:line="360" w:lineRule="auto"/>
        <w:ind w:firstLine="542" w:firstLineChars="2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七、投资</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质量、进度、</w:t>
      </w:r>
      <w:r>
        <w:rPr>
          <w:rFonts w:hint="eastAsia" w:ascii="宋体" w:hAnsi="宋体"/>
          <w:color w:val="000000" w:themeColor="text1"/>
          <w:sz w:val="24"/>
          <w:szCs w:val="24"/>
          <w:lang w:val="en-US" w:eastAsia="zh-CN"/>
          <w14:textFill>
            <w14:solidFill>
              <w14:schemeClr w14:val="tx1"/>
            </w14:solidFill>
          </w14:textFill>
        </w:rPr>
        <w:t>安全、</w:t>
      </w:r>
      <w:r>
        <w:rPr>
          <w:rFonts w:hint="eastAsia" w:ascii="宋体" w:hAnsi="宋体"/>
          <w:color w:val="000000" w:themeColor="text1"/>
          <w:sz w:val="24"/>
          <w:szCs w:val="24"/>
          <w14:textFill>
            <w14:solidFill>
              <w14:schemeClr w14:val="tx1"/>
            </w14:solidFill>
          </w14:textFill>
        </w:rPr>
        <w:t>文明施工</w:t>
      </w:r>
      <w:r>
        <w:rPr>
          <w:rFonts w:hint="eastAsia" w:ascii="宋体" w:hAnsi="宋体"/>
          <w:color w:val="000000" w:themeColor="text1"/>
          <w:sz w:val="24"/>
          <w:szCs w:val="24"/>
          <w:lang w:val="en-US" w:eastAsia="zh-CN"/>
          <w14:textFill>
            <w14:solidFill>
              <w14:schemeClr w14:val="tx1"/>
            </w14:solidFill>
          </w14:textFill>
        </w:rPr>
        <w:t>的管理</w:t>
      </w:r>
      <w:r>
        <w:rPr>
          <w:rFonts w:hint="eastAsia" w:ascii="宋体" w:hAnsi="宋体"/>
          <w:color w:val="000000" w:themeColor="text1"/>
          <w:sz w:val="24"/>
          <w:szCs w:val="24"/>
          <w14:textFill>
            <w14:solidFill>
              <w14:schemeClr w14:val="tx1"/>
            </w14:solidFill>
          </w14:textFill>
        </w:rPr>
        <w:t>措施；</w:t>
      </w:r>
    </w:p>
    <w:p w14:paraId="4ACCDDC2">
      <w:pPr>
        <w:spacing w:line="360" w:lineRule="auto"/>
        <w:ind w:firstLine="542" w:firstLineChars="2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八、合同、信息管理方案；</w:t>
      </w:r>
    </w:p>
    <w:p w14:paraId="30643A56">
      <w:pPr>
        <w:spacing w:line="360" w:lineRule="auto"/>
        <w:ind w:firstLine="542" w:firstLineChars="2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九、组织协调内容及措施；</w:t>
      </w:r>
    </w:p>
    <w:p w14:paraId="06800F3E">
      <w:pPr>
        <w:spacing w:line="360" w:lineRule="auto"/>
        <w:ind w:firstLine="542" w:firstLineChars="22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十、监理工作重点、难点分析；</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包括</w:t>
      </w:r>
      <w:r>
        <w:rPr>
          <w:rFonts w:hint="eastAsia" w:ascii="宋体" w:hAnsi="宋体"/>
          <w:color w:val="000000" w:themeColor="text1"/>
          <w:sz w:val="24"/>
          <w:szCs w:val="24"/>
          <w:lang w:eastAsia="zh-CN"/>
          <w14:textFill>
            <w14:solidFill>
              <w14:schemeClr w14:val="tx1"/>
            </w14:solidFill>
          </w14:textFill>
        </w:rPr>
        <w:t>筒仓施工重点难点监控措施、筒仓滑模及降模安全重点难点和措施）</w:t>
      </w:r>
    </w:p>
    <w:p w14:paraId="1722202F">
      <w:pPr>
        <w:spacing w:line="360" w:lineRule="auto"/>
        <w:ind w:firstLine="542" w:firstLineChars="22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十一、工程进度款、工程变更、工程结算的管理措施；</w:t>
      </w:r>
    </w:p>
    <w:p w14:paraId="6E388061">
      <w:pPr>
        <w:spacing w:line="360" w:lineRule="auto"/>
        <w:ind w:firstLine="542" w:firstLineChars="2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十</w:t>
      </w:r>
      <w:r>
        <w:rPr>
          <w:rFonts w:hint="eastAsia" w:ascii="宋体" w:hAnsi="宋体"/>
          <w:color w:val="000000" w:themeColor="text1"/>
          <w:sz w:val="24"/>
          <w:szCs w:val="24"/>
          <w:lang w:val="en-US" w:eastAsia="zh-CN"/>
          <w14:textFill>
            <w14:solidFill>
              <w14:schemeClr w14:val="tx1"/>
            </w14:solidFill>
          </w14:textFill>
        </w:rPr>
        <w:t>二</w:t>
      </w:r>
      <w:r>
        <w:rPr>
          <w:rFonts w:hint="eastAsia" w:ascii="宋体" w:hAnsi="宋体"/>
          <w:color w:val="000000" w:themeColor="text1"/>
          <w:sz w:val="24"/>
          <w:szCs w:val="24"/>
          <w14:textFill>
            <w14:solidFill>
              <w14:schemeClr w14:val="tx1"/>
            </w14:solidFill>
          </w14:textFill>
        </w:rPr>
        <w:t>、对本工程监理的合理化建议。</w:t>
      </w:r>
    </w:p>
    <w:p w14:paraId="2C858BC5">
      <w:pP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14:paraId="1A4FCA8D">
      <w:pPr>
        <w:pStyle w:val="6"/>
        <w:spacing w:line="480" w:lineRule="auto"/>
        <w:rPr>
          <w:rFonts w:ascii="宋体" w:hAnsi="宋体"/>
          <w:b w:val="0"/>
          <w:color w:val="000000" w:themeColor="text1"/>
          <w:sz w:val="28"/>
          <w:szCs w:val="28"/>
          <w14:textFill>
            <w14:solidFill>
              <w14:schemeClr w14:val="tx1"/>
            </w14:solidFill>
          </w14:textFill>
        </w:rPr>
      </w:pPr>
      <w:bookmarkStart w:id="458" w:name="_Toc529196611"/>
      <w:bookmarkStart w:id="459" w:name="_Toc535938759"/>
      <w:bookmarkStart w:id="460" w:name="_Toc530470652"/>
      <w:r>
        <w:rPr>
          <w:rFonts w:hint="eastAsia" w:ascii="宋体" w:hAnsi="宋体" w:eastAsia="宋体"/>
          <w:color w:val="000000" w:themeColor="text1"/>
          <w:sz w:val="30"/>
          <w:szCs w:val="30"/>
          <w:lang w:val="en-US" w:eastAsia="zh-CN"/>
          <w14:textFill>
            <w14:solidFill>
              <w14:schemeClr w14:val="tx1"/>
            </w14:solidFill>
          </w14:textFill>
        </w:rPr>
        <w:t>九</w:t>
      </w:r>
      <w:r>
        <w:rPr>
          <w:rFonts w:hint="eastAsia" w:ascii="宋体" w:hAnsi="宋体" w:eastAsia="宋体"/>
          <w:color w:val="000000" w:themeColor="text1"/>
          <w:sz w:val="30"/>
          <w:szCs w:val="30"/>
          <w14:textFill>
            <w14:solidFill>
              <w14:schemeClr w14:val="tx1"/>
            </w14:solidFill>
          </w14:textFill>
        </w:rPr>
        <w:t>、</w:t>
      </w:r>
      <w:bookmarkEnd w:id="458"/>
      <w:bookmarkEnd w:id="459"/>
      <w:bookmarkEnd w:id="460"/>
      <w:r>
        <w:rPr>
          <w:rFonts w:hint="eastAsia" w:ascii="宋体" w:hAnsi="宋体"/>
          <w:b w:val="0"/>
          <w:color w:val="000000" w:themeColor="text1"/>
          <w:sz w:val="28"/>
          <w:szCs w:val="28"/>
          <w14:textFill>
            <w14:solidFill>
              <w14:schemeClr w14:val="tx1"/>
            </w14:solidFill>
          </w14:textFill>
        </w:rPr>
        <w:t>投标人认为需要提供的资料（如有）</w:t>
      </w:r>
    </w:p>
    <w:p w14:paraId="0F83B526">
      <w:pPr>
        <w:rPr>
          <w:rFonts w:hint="eastAsia"/>
        </w:rPr>
      </w:pPr>
      <w:r>
        <w:rPr>
          <w:rFonts w:hint="eastAsia"/>
          <w:color w:val="000000" w:themeColor="text1"/>
          <w14:textFill>
            <w14:solidFill>
              <w14:schemeClr w14:val="tx1"/>
            </w14:solidFill>
          </w14:textFill>
        </w:rPr>
        <w:t>投标人可根据招标公告及评标办法要求提供相关证明材</w:t>
      </w:r>
      <w:r>
        <w:rPr>
          <w:rFonts w:hint="eastAsia"/>
        </w:rPr>
        <w:t>料</w:t>
      </w:r>
    </w:p>
    <w:p w14:paraId="60E9887A"/>
    <w:sectPr>
      <w:pgSz w:w="11906" w:h="16838"/>
      <w:pgMar w:top="1440" w:right="1800" w:bottom="1440" w:left="1800"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79CB8">
    <w:pPr>
      <w:pStyle w:val="14"/>
      <w:jc w:val="center"/>
    </w:pPr>
  </w:p>
  <w:p w14:paraId="69F41CB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6150173"/>
    </w:sdtPr>
    <w:sdtContent>
      <w:p w14:paraId="079962A2">
        <w:pPr>
          <w:pStyle w:val="14"/>
          <w:jc w:val="center"/>
        </w:pPr>
        <w:r>
          <w:fldChar w:fldCharType="begin"/>
        </w:r>
        <w:r>
          <w:instrText xml:space="preserve">PAGE   \* MERGEFORMAT</w:instrText>
        </w:r>
        <w:r>
          <w:fldChar w:fldCharType="separate"/>
        </w:r>
        <w:r>
          <w:rPr>
            <w:lang w:val="zh-CN"/>
          </w:rPr>
          <w:t>33</w:t>
        </w:r>
        <w:r>
          <w:fldChar w:fldCharType="end"/>
        </w:r>
      </w:p>
    </w:sdtContent>
  </w:sdt>
  <w:p w14:paraId="2269905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0D258">
    <w:pPr>
      <w:pStyle w:val="14"/>
      <w:ind w:firstLine="2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99CF2">
                          <w:pPr>
                            <w:pStyle w:val="14"/>
                            <w:ind w:firstLine="210"/>
                            <w:jc w:val="center"/>
                          </w:pPr>
                          <w:r>
                            <w:fldChar w:fldCharType="begin"/>
                          </w:r>
                          <w:r>
                            <w:instrText xml:space="preserve">PAGE   \* MERGEFORMAT</w:instrText>
                          </w:r>
                          <w:r>
                            <w:fldChar w:fldCharType="separate"/>
                          </w:r>
                          <w:r>
                            <w:rPr>
                              <w:lang w:val="zh-CN"/>
                            </w:rPr>
                            <w:t>23</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099CF2">
                    <w:pPr>
                      <w:pStyle w:val="14"/>
                      <w:ind w:firstLine="210"/>
                      <w:jc w:val="center"/>
                    </w:pPr>
                    <w:r>
                      <w:fldChar w:fldCharType="begin"/>
                    </w:r>
                    <w:r>
                      <w:instrText xml:space="preserve">PAGE   \* MERGEFORMAT</w:instrText>
                    </w:r>
                    <w:r>
                      <w:fldChar w:fldCharType="separate"/>
                    </w:r>
                    <w:r>
                      <w:rPr>
                        <w:lang w:val="zh-CN"/>
                      </w:rPr>
                      <w:t>23</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6A49">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818"/>
                          </w:sdtPr>
                          <w:sdtContent>
                            <w:p w14:paraId="4FD8E640">
                              <w:pPr>
                                <w:pStyle w:val="14"/>
                                <w:jc w:val="center"/>
                              </w:pPr>
                              <w:r>
                                <w:fldChar w:fldCharType="begin"/>
                              </w:r>
                              <w:r>
                                <w:instrText xml:space="preserve">PAGE   \* MERGEFORMAT</w:instrText>
                              </w:r>
                              <w:r>
                                <w:fldChar w:fldCharType="separate"/>
                              </w:r>
                              <w:r>
                                <w:rPr>
                                  <w:lang w:val="zh-CN"/>
                                </w:rPr>
                                <w:t>6</w:t>
                              </w:r>
                              <w:r>
                                <w:fldChar w:fldCharType="end"/>
                              </w:r>
                            </w:p>
                          </w:sdtContent>
                        </w:sdt>
                        <w:p w14:paraId="56F85606">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1818"/>
                    </w:sdtPr>
                    <w:sdtContent>
                      <w:p w14:paraId="4FD8E640">
                        <w:pPr>
                          <w:pStyle w:val="14"/>
                          <w:jc w:val="center"/>
                        </w:pPr>
                        <w:r>
                          <w:fldChar w:fldCharType="begin"/>
                        </w:r>
                        <w:r>
                          <w:instrText xml:space="preserve">PAGE   \* MERGEFORMAT</w:instrText>
                        </w:r>
                        <w:r>
                          <w:fldChar w:fldCharType="separate"/>
                        </w:r>
                        <w:r>
                          <w:rPr>
                            <w:lang w:val="zh-CN"/>
                          </w:rPr>
                          <w:t>6</w:t>
                        </w:r>
                        <w:r>
                          <w:fldChar w:fldCharType="end"/>
                        </w:r>
                      </w:p>
                    </w:sdtContent>
                  </w:sdt>
                  <w:p w14:paraId="56F85606">
                    <w:pPr>
                      <w:pStyle w:val="2"/>
                    </w:pPr>
                  </w:p>
                </w:txbxContent>
              </v:textbox>
            </v:shape>
          </w:pict>
        </mc:Fallback>
      </mc:AlternateContent>
    </w:r>
  </w:p>
  <w:p w14:paraId="743A464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41A9F">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72359">
    <w:pPr>
      <w:pStyle w:val="17"/>
      <w:ind w:left="420"/>
      <w:jc w:val="right"/>
      <w:rPr>
        <w:b/>
        <w:bCs/>
        <w:sz w:val="24"/>
        <w:szCs w:val="24"/>
      </w:rPr>
    </w:pPr>
  </w:p>
  <w:p w14:paraId="06FBD9FA">
    <w:pPr>
      <w:pStyle w:val="17"/>
      <w:ind w:left="420"/>
      <w:jc w:val="right"/>
      <w:rPr>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2F1D1">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62C0E"/>
    <w:multiLevelType w:val="singleLevel"/>
    <w:tmpl w:val="47062C0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MTY3NjAzYTkxODFkZWM4ZmE3MzA1ZGE2NTkyN2QifQ=="/>
  </w:docVars>
  <w:rsids>
    <w:rsidRoot w:val="44DA36D8"/>
    <w:rsid w:val="000C2558"/>
    <w:rsid w:val="00120AD3"/>
    <w:rsid w:val="001815ED"/>
    <w:rsid w:val="001A3AF9"/>
    <w:rsid w:val="001B03DD"/>
    <w:rsid w:val="001B50C8"/>
    <w:rsid w:val="001F0443"/>
    <w:rsid w:val="00296FFB"/>
    <w:rsid w:val="002F0D19"/>
    <w:rsid w:val="00300A50"/>
    <w:rsid w:val="003F2449"/>
    <w:rsid w:val="003F4138"/>
    <w:rsid w:val="004A4955"/>
    <w:rsid w:val="005543DE"/>
    <w:rsid w:val="00583638"/>
    <w:rsid w:val="005C4261"/>
    <w:rsid w:val="005F42AC"/>
    <w:rsid w:val="00605A48"/>
    <w:rsid w:val="00607B89"/>
    <w:rsid w:val="006228A3"/>
    <w:rsid w:val="006427D6"/>
    <w:rsid w:val="00694813"/>
    <w:rsid w:val="006B5E36"/>
    <w:rsid w:val="00700536"/>
    <w:rsid w:val="00726A97"/>
    <w:rsid w:val="007C6363"/>
    <w:rsid w:val="00873D03"/>
    <w:rsid w:val="008A1AF6"/>
    <w:rsid w:val="008E7529"/>
    <w:rsid w:val="009A1E00"/>
    <w:rsid w:val="009B27DF"/>
    <w:rsid w:val="009D094B"/>
    <w:rsid w:val="00A005BC"/>
    <w:rsid w:val="00A14301"/>
    <w:rsid w:val="00A365DD"/>
    <w:rsid w:val="00A56F1F"/>
    <w:rsid w:val="00A64E6B"/>
    <w:rsid w:val="00AA728A"/>
    <w:rsid w:val="00AE4977"/>
    <w:rsid w:val="00AF7107"/>
    <w:rsid w:val="00B50F34"/>
    <w:rsid w:val="00BA692C"/>
    <w:rsid w:val="00C669C1"/>
    <w:rsid w:val="00CA0643"/>
    <w:rsid w:val="00D3718B"/>
    <w:rsid w:val="00D72A2B"/>
    <w:rsid w:val="00DA4389"/>
    <w:rsid w:val="00DE7C1A"/>
    <w:rsid w:val="00EA0E6F"/>
    <w:rsid w:val="00EB261C"/>
    <w:rsid w:val="00EE51B9"/>
    <w:rsid w:val="00F57050"/>
    <w:rsid w:val="00F91C53"/>
    <w:rsid w:val="00FC4701"/>
    <w:rsid w:val="00FD0939"/>
    <w:rsid w:val="00FD5D2C"/>
    <w:rsid w:val="02594E16"/>
    <w:rsid w:val="04245C4F"/>
    <w:rsid w:val="04D06F2F"/>
    <w:rsid w:val="051F051D"/>
    <w:rsid w:val="05F16EFD"/>
    <w:rsid w:val="068B1F8B"/>
    <w:rsid w:val="069F7D52"/>
    <w:rsid w:val="077016E1"/>
    <w:rsid w:val="09181A0E"/>
    <w:rsid w:val="09396EEA"/>
    <w:rsid w:val="0A53008A"/>
    <w:rsid w:val="0A566E1D"/>
    <w:rsid w:val="0B310B66"/>
    <w:rsid w:val="0C0A1AE2"/>
    <w:rsid w:val="0D9B051A"/>
    <w:rsid w:val="0E4806A0"/>
    <w:rsid w:val="0E784EDF"/>
    <w:rsid w:val="0FC35F97"/>
    <w:rsid w:val="10C70A5D"/>
    <w:rsid w:val="122C76B0"/>
    <w:rsid w:val="12E52E35"/>
    <w:rsid w:val="13593A0B"/>
    <w:rsid w:val="137750E9"/>
    <w:rsid w:val="14FA4E85"/>
    <w:rsid w:val="155B33AF"/>
    <w:rsid w:val="165628AC"/>
    <w:rsid w:val="192E0C57"/>
    <w:rsid w:val="1A367F46"/>
    <w:rsid w:val="1A9C424D"/>
    <w:rsid w:val="1D9C4722"/>
    <w:rsid w:val="1DE7318F"/>
    <w:rsid w:val="1EF11B1D"/>
    <w:rsid w:val="1FDE70B6"/>
    <w:rsid w:val="210B3EDB"/>
    <w:rsid w:val="2178119C"/>
    <w:rsid w:val="21A9077E"/>
    <w:rsid w:val="21D21888"/>
    <w:rsid w:val="24EC414F"/>
    <w:rsid w:val="24F52CDF"/>
    <w:rsid w:val="25617062"/>
    <w:rsid w:val="265907AA"/>
    <w:rsid w:val="26EC0666"/>
    <w:rsid w:val="27141135"/>
    <w:rsid w:val="271D04C4"/>
    <w:rsid w:val="277D6E29"/>
    <w:rsid w:val="27A97F94"/>
    <w:rsid w:val="27E45486"/>
    <w:rsid w:val="27ED3CF7"/>
    <w:rsid w:val="28426EC0"/>
    <w:rsid w:val="29073E69"/>
    <w:rsid w:val="29B93907"/>
    <w:rsid w:val="2A587A65"/>
    <w:rsid w:val="2A645A37"/>
    <w:rsid w:val="2A790107"/>
    <w:rsid w:val="2B593A95"/>
    <w:rsid w:val="2BFC0EBE"/>
    <w:rsid w:val="2C5F367E"/>
    <w:rsid w:val="2DB34D0A"/>
    <w:rsid w:val="2EFA6B07"/>
    <w:rsid w:val="2F624D3F"/>
    <w:rsid w:val="2F963509"/>
    <w:rsid w:val="30664DDE"/>
    <w:rsid w:val="315D72FC"/>
    <w:rsid w:val="31982B1D"/>
    <w:rsid w:val="32221084"/>
    <w:rsid w:val="32250B75"/>
    <w:rsid w:val="3434297A"/>
    <w:rsid w:val="34AA0C52"/>
    <w:rsid w:val="34F1758B"/>
    <w:rsid w:val="36CB04FE"/>
    <w:rsid w:val="36DB2392"/>
    <w:rsid w:val="39D52E80"/>
    <w:rsid w:val="3AE0388B"/>
    <w:rsid w:val="3CB1693F"/>
    <w:rsid w:val="3CBE0765"/>
    <w:rsid w:val="3CC60243"/>
    <w:rsid w:val="3D7EF273"/>
    <w:rsid w:val="3E1A6389"/>
    <w:rsid w:val="3E830AC0"/>
    <w:rsid w:val="3EC74766"/>
    <w:rsid w:val="3EDFBB9E"/>
    <w:rsid w:val="3F323F02"/>
    <w:rsid w:val="3F9C068D"/>
    <w:rsid w:val="3FF7377A"/>
    <w:rsid w:val="40026051"/>
    <w:rsid w:val="400E2C48"/>
    <w:rsid w:val="40A47108"/>
    <w:rsid w:val="4162149D"/>
    <w:rsid w:val="41955E5B"/>
    <w:rsid w:val="41E33C60"/>
    <w:rsid w:val="424732BC"/>
    <w:rsid w:val="42894808"/>
    <w:rsid w:val="42A45DCF"/>
    <w:rsid w:val="43BF2BD7"/>
    <w:rsid w:val="43E703E3"/>
    <w:rsid w:val="43F72ABF"/>
    <w:rsid w:val="44DA36D8"/>
    <w:rsid w:val="45060392"/>
    <w:rsid w:val="462F56C6"/>
    <w:rsid w:val="478D08F6"/>
    <w:rsid w:val="47FDA03E"/>
    <w:rsid w:val="480A2D1E"/>
    <w:rsid w:val="4A2719F3"/>
    <w:rsid w:val="4A425BC0"/>
    <w:rsid w:val="4B2A405F"/>
    <w:rsid w:val="4BB72D28"/>
    <w:rsid w:val="4C384D47"/>
    <w:rsid w:val="4C8E75EA"/>
    <w:rsid w:val="4CFD6319"/>
    <w:rsid w:val="4D9D294B"/>
    <w:rsid w:val="4E012751"/>
    <w:rsid w:val="4EEE173A"/>
    <w:rsid w:val="4F337FD5"/>
    <w:rsid w:val="4FD712A8"/>
    <w:rsid w:val="51B8242C"/>
    <w:rsid w:val="52831274"/>
    <w:rsid w:val="54B43966"/>
    <w:rsid w:val="5567386D"/>
    <w:rsid w:val="56A3676F"/>
    <w:rsid w:val="57830880"/>
    <w:rsid w:val="57A9177C"/>
    <w:rsid w:val="58AE134B"/>
    <w:rsid w:val="594B23BF"/>
    <w:rsid w:val="59EB54D8"/>
    <w:rsid w:val="5A2570B4"/>
    <w:rsid w:val="5AB31756"/>
    <w:rsid w:val="5B1748F4"/>
    <w:rsid w:val="5BF58073"/>
    <w:rsid w:val="5BFF9581"/>
    <w:rsid w:val="5C3C1757"/>
    <w:rsid w:val="5C3E1118"/>
    <w:rsid w:val="5C6C2797"/>
    <w:rsid w:val="5C8005D2"/>
    <w:rsid w:val="5D7F827B"/>
    <w:rsid w:val="5DF7AC41"/>
    <w:rsid w:val="5DFF3BFE"/>
    <w:rsid w:val="5E0424E7"/>
    <w:rsid w:val="5E7D70F6"/>
    <w:rsid w:val="5F9F70AD"/>
    <w:rsid w:val="5FFFA655"/>
    <w:rsid w:val="5FFFFBB8"/>
    <w:rsid w:val="60FE11F1"/>
    <w:rsid w:val="62BF068F"/>
    <w:rsid w:val="637F0B66"/>
    <w:rsid w:val="65EF5054"/>
    <w:rsid w:val="677F5C59"/>
    <w:rsid w:val="67FC2D33"/>
    <w:rsid w:val="68F9FC87"/>
    <w:rsid w:val="696372B1"/>
    <w:rsid w:val="69916223"/>
    <w:rsid w:val="69A71894"/>
    <w:rsid w:val="69F35C4D"/>
    <w:rsid w:val="6ACB7804"/>
    <w:rsid w:val="6B073DA5"/>
    <w:rsid w:val="6B382482"/>
    <w:rsid w:val="6BA918F3"/>
    <w:rsid w:val="6CE7C25E"/>
    <w:rsid w:val="6D5C7B4F"/>
    <w:rsid w:val="6D712A26"/>
    <w:rsid w:val="6D9A775D"/>
    <w:rsid w:val="6DCEB3B2"/>
    <w:rsid w:val="6E842ED0"/>
    <w:rsid w:val="6E9568D9"/>
    <w:rsid w:val="6EAB7B9B"/>
    <w:rsid w:val="6EFE1F56"/>
    <w:rsid w:val="6F346AEB"/>
    <w:rsid w:val="6F460A9E"/>
    <w:rsid w:val="6F7F20BB"/>
    <w:rsid w:val="6F9F2B2B"/>
    <w:rsid w:val="6FB10D76"/>
    <w:rsid w:val="6FD9651F"/>
    <w:rsid w:val="6FF5473E"/>
    <w:rsid w:val="6FFC4D49"/>
    <w:rsid w:val="71ED1E0E"/>
    <w:rsid w:val="72611B13"/>
    <w:rsid w:val="735E1215"/>
    <w:rsid w:val="738E5084"/>
    <w:rsid w:val="73A0182E"/>
    <w:rsid w:val="74C67DB8"/>
    <w:rsid w:val="75114B80"/>
    <w:rsid w:val="763B6070"/>
    <w:rsid w:val="76510DDE"/>
    <w:rsid w:val="765161BC"/>
    <w:rsid w:val="769D02A6"/>
    <w:rsid w:val="76D323C2"/>
    <w:rsid w:val="77066138"/>
    <w:rsid w:val="775D7A36"/>
    <w:rsid w:val="77FFE903"/>
    <w:rsid w:val="78CA10FB"/>
    <w:rsid w:val="792A0940"/>
    <w:rsid w:val="794E50E2"/>
    <w:rsid w:val="7AB12572"/>
    <w:rsid w:val="7AB7A94F"/>
    <w:rsid w:val="7C217284"/>
    <w:rsid w:val="7D1C1DDE"/>
    <w:rsid w:val="7DFD4130"/>
    <w:rsid w:val="7F7C674E"/>
    <w:rsid w:val="7F983D01"/>
    <w:rsid w:val="7FBC3B5E"/>
    <w:rsid w:val="8DFF73B0"/>
    <w:rsid w:val="9E56EB02"/>
    <w:rsid w:val="AF77FAB1"/>
    <w:rsid w:val="B19C4B87"/>
    <w:rsid w:val="B7FB0B83"/>
    <w:rsid w:val="BDF7E6B4"/>
    <w:rsid w:val="BF7FB995"/>
    <w:rsid w:val="CCFEEA7B"/>
    <w:rsid w:val="CF572821"/>
    <w:rsid w:val="CFFF6187"/>
    <w:rsid w:val="D6EA11F3"/>
    <w:rsid w:val="DB6CCB67"/>
    <w:rsid w:val="DBDB5012"/>
    <w:rsid w:val="DF3EC887"/>
    <w:rsid w:val="DFB446B6"/>
    <w:rsid w:val="DFE34D34"/>
    <w:rsid w:val="EF9D3091"/>
    <w:rsid w:val="F37ED585"/>
    <w:rsid w:val="FB6A53F3"/>
    <w:rsid w:val="FBED5BCF"/>
    <w:rsid w:val="FCEDBBDA"/>
    <w:rsid w:val="FDBFF26B"/>
    <w:rsid w:val="FEBF1FBB"/>
    <w:rsid w:val="FF756698"/>
    <w:rsid w:val="FFBEE032"/>
    <w:rsid w:val="FFCF98D2"/>
    <w:rsid w:val="FFD55C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jc w:val="left"/>
      <w:outlineLvl w:val="1"/>
    </w:pPr>
    <w:rPr>
      <w:rFonts w:ascii="Arial" w:hAnsi="Arial" w:eastAsia="黑体"/>
      <w:b/>
      <w:bCs/>
      <w:color w:val="000000"/>
      <w:kern w:val="0"/>
      <w:sz w:val="36"/>
      <w:szCs w:val="32"/>
    </w:rPr>
  </w:style>
  <w:style w:type="paragraph" w:styleId="7">
    <w:name w:val="heading 3"/>
    <w:basedOn w:val="1"/>
    <w:next w:val="1"/>
    <w:qFormat/>
    <w:uiPriority w:val="0"/>
    <w:pPr>
      <w:spacing w:line="360" w:lineRule="auto"/>
      <w:ind w:left="118"/>
      <w:jc w:val="center"/>
      <w:outlineLvl w:val="2"/>
    </w:pPr>
    <w:rPr>
      <w:rFonts w:ascii="Times New Roman" w:hAnsi="Times New Roman" w:eastAsia="黑体"/>
      <w:b/>
      <w:bCs/>
      <w:color w:val="800000"/>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firstLine="200"/>
    </w:pPr>
    <w:rPr>
      <w:rFonts w:ascii="Calibri" w:hAnsi="Calibri"/>
      <w:color w:val="0D0D0D"/>
      <w:lang w:eastAsia="en-US"/>
    </w:rPr>
  </w:style>
  <w:style w:type="paragraph" w:styleId="3">
    <w:name w:val="Body Text Indent"/>
    <w:basedOn w:val="1"/>
    <w:next w:val="4"/>
    <w:qFormat/>
    <w:uiPriority w:val="0"/>
    <w:pPr>
      <w:spacing w:after="120"/>
      <w:ind w:left="420" w:leftChars="200"/>
    </w:pPr>
    <w:rPr>
      <w:szCs w:val="24"/>
    </w:rPr>
  </w:style>
  <w:style w:type="paragraph" w:styleId="4">
    <w:name w:val="envelope return"/>
    <w:basedOn w:val="1"/>
    <w:qFormat/>
    <w:uiPriority w:val="0"/>
    <w:rPr>
      <w:rFonts w:ascii="Arial" w:hAnsi="Arial"/>
      <w:szCs w:val="24"/>
    </w:rPr>
  </w:style>
  <w:style w:type="paragraph" w:styleId="8">
    <w:name w:val="Normal Indent"/>
    <w:basedOn w:val="1"/>
    <w:unhideWhenUsed/>
    <w:qFormat/>
    <w:uiPriority w:val="0"/>
    <w:pPr>
      <w:ind w:firstLine="420" w:firstLineChars="200"/>
    </w:pPr>
    <w:rPr>
      <w:rFonts w:cs="Calibri"/>
      <w:sz w:val="24"/>
      <w:szCs w:val="20"/>
      <w:lang w:bidi="he-IL"/>
    </w:rPr>
  </w:style>
  <w:style w:type="paragraph" w:styleId="9">
    <w:name w:val="annotation text"/>
    <w:basedOn w:val="1"/>
    <w:link w:val="41"/>
    <w:qFormat/>
    <w:uiPriority w:val="0"/>
    <w:pPr>
      <w:jc w:val="left"/>
    </w:pPr>
  </w:style>
  <w:style w:type="paragraph" w:styleId="10">
    <w:name w:val="Body Text 3"/>
    <w:basedOn w:val="1"/>
    <w:unhideWhenUsed/>
    <w:qFormat/>
    <w:uiPriority w:val="0"/>
    <w:pPr>
      <w:spacing w:after="120"/>
    </w:pPr>
    <w:rPr>
      <w:sz w:val="16"/>
      <w:szCs w:val="16"/>
    </w:rPr>
  </w:style>
  <w:style w:type="paragraph" w:styleId="11">
    <w:name w:val="Body Text"/>
    <w:basedOn w:val="1"/>
    <w:qFormat/>
    <w:uiPriority w:val="99"/>
    <w:pPr>
      <w:spacing w:after="120"/>
    </w:pPr>
  </w:style>
  <w:style w:type="paragraph" w:styleId="12">
    <w:name w:val="Plain Text"/>
    <w:basedOn w:val="1"/>
    <w:next w:val="1"/>
    <w:qFormat/>
    <w:uiPriority w:val="0"/>
    <w:rPr>
      <w:rFonts w:ascii="宋体" w:hAnsi="Courier New"/>
      <w:szCs w:val="20"/>
    </w:rPr>
  </w:style>
  <w:style w:type="paragraph" w:styleId="13">
    <w:name w:val="Balloon Text"/>
    <w:basedOn w:val="1"/>
    <w:link w:val="40"/>
    <w:qFormat/>
    <w:uiPriority w:val="0"/>
    <w:rPr>
      <w:sz w:val="18"/>
      <w:szCs w:val="18"/>
    </w:rPr>
  </w:style>
  <w:style w:type="paragraph" w:styleId="14">
    <w:name w:val="footer"/>
    <w:basedOn w:val="1"/>
    <w:link w:val="38"/>
    <w:unhideWhenUsed/>
    <w:qFormat/>
    <w:uiPriority w:val="99"/>
    <w:pPr>
      <w:tabs>
        <w:tab w:val="center" w:pos="4153"/>
        <w:tab w:val="right" w:pos="8306"/>
      </w:tabs>
      <w:snapToGrid w:val="0"/>
      <w:jc w:val="left"/>
    </w:pPr>
    <w:rPr>
      <w:kern w:val="0"/>
      <w:sz w:val="18"/>
      <w:szCs w:val="18"/>
    </w:rPr>
  </w:style>
  <w:style w:type="paragraph" w:styleId="15">
    <w:name w:val="header"/>
    <w:basedOn w:val="1"/>
    <w:link w:val="3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rPr>
      <w:rFonts w:ascii="Times New Roman" w:hAnsi="Times New Roman" w:cs="Calibri"/>
    </w:rPr>
  </w:style>
  <w:style w:type="paragraph" w:styleId="17">
    <w:name w:val="Body Text Indent 3"/>
    <w:basedOn w:val="1"/>
    <w:qFormat/>
    <w:uiPriority w:val="0"/>
    <w:pPr>
      <w:spacing w:after="120"/>
      <w:ind w:left="200" w:leftChars="200"/>
    </w:pPr>
    <w:rPr>
      <w:kern w:val="0"/>
      <w:sz w:val="16"/>
      <w:szCs w:val="16"/>
    </w:rPr>
  </w:style>
  <w:style w:type="paragraph" w:styleId="18">
    <w:name w:val="Body Text 2"/>
    <w:basedOn w:val="1"/>
    <w:qFormat/>
    <w:uiPriority w:val="0"/>
    <w:rPr>
      <w:rFonts w:ascii="宋体" w:hAnsi="宋体"/>
      <w:kern w:val="0"/>
      <w:sz w:val="20"/>
      <w:szCs w:val="24"/>
      <w:u w:val="single"/>
    </w:rPr>
  </w:style>
  <w:style w:type="paragraph" w:styleId="19">
    <w:name w:val="Normal (Web)"/>
    <w:basedOn w:val="1"/>
    <w:qFormat/>
    <w:uiPriority w:val="0"/>
    <w:pPr>
      <w:jc w:val="left"/>
    </w:pPr>
    <w:rPr>
      <w:rFonts w:ascii="微软雅黑" w:hAnsi="微软雅黑" w:eastAsia="微软雅黑"/>
      <w:kern w:val="0"/>
      <w:sz w:val="20"/>
      <w:szCs w:val="20"/>
    </w:rPr>
  </w:style>
  <w:style w:type="paragraph" w:styleId="20">
    <w:name w:val="Title"/>
    <w:basedOn w:val="1"/>
    <w:qFormat/>
    <w:uiPriority w:val="0"/>
    <w:pPr>
      <w:spacing w:before="240" w:after="60"/>
      <w:jc w:val="center"/>
      <w:outlineLvl w:val="0"/>
    </w:pPr>
    <w:rPr>
      <w:rFonts w:ascii="Arial" w:hAnsi="Arial" w:cs="Arial"/>
      <w:b/>
      <w:bCs/>
      <w:sz w:val="32"/>
      <w:szCs w:val="32"/>
    </w:rPr>
  </w:style>
  <w:style w:type="paragraph" w:styleId="21">
    <w:name w:val="annotation subject"/>
    <w:basedOn w:val="9"/>
    <w:next w:val="9"/>
    <w:link w:val="42"/>
    <w:qFormat/>
    <w:uiPriority w:val="0"/>
    <w:rPr>
      <w:b/>
      <w:bCs/>
    </w:rPr>
  </w:style>
  <w:style w:type="paragraph" w:styleId="22">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character" w:styleId="25">
    <w:name w:val="page number"/>
    <w:unhideWhenUsed/>
    <w:qFormat/>
    <w:uiPriority w:val="0"/>
    <w:rPr>
      <w:rFonts w:hint="default" w:ascii="Calibri" w:hAnsi="Calibri" w:eastAsia="宋体" w:cs="Calibri"/>
    </w:rPr>
  </w:style>
  <w:style w:type="character" w:styleId="26">
    <w:name w:val="Hyperlink"/>
    <w:unhideWhenUsed/>
    <w:qFormat/>
    <w:uiPriority w:val="99"/>
    <w:rPr>
      <w:rFonts w:hint="default" w:ascii="Calibri" w:hAnsi="Calibri" w:eastAsia="宋体" w:cs="Calibri"/>
      <w:color w:val="0000FF"/>
      <w:u w:val="single"/>
    </w:rPr>
  </w:style>
  <w:style w:type="character" w:styleId="27">
    <w:name w:val="annotation reference"/>
    <w:basedOn w:val="24"/>
    <w:qFormat/>
    <w:uiPriority w:val="0"/>
    <w:rPr>
      <w:sz w:val="21"/>
      <w:szCs w:val="21"/>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29">
    <w:name w:val="List Paragraph"/>
    <w:basedOn w:val="1"/>
    <w:qFormat/>
    <w:uiPriority w:val="0"/>
    <w:pPr>
      <w:ind w:firstLine="420" w:firstLineChars="200"/>
    </w:pPr>
    <w:rPr>
      <w:rFonts w:ascii="Times New Roman" w:hAnsi="Times New Roman"/>
    </w:rPr>
  </w:style>
  <w:style w:type="paragraph" w:customStyle="1" w:styleId="30">
    <w:name w:val="TOC 标题1"/>
    <w:basedOn w:val="5"/>
    <w:next w:val="1"/>
    <w:qFormat/>
    <w:uiPriority w:val="0"/>
    <w:pPr>
      <w:widowControl/>
      <w:spacing w:before="480" w:after="0" w:line="276" w:lineRule="auto"/>
      <w:jc w:val="left"/>
      <w:outlineLvl w:val="9"/>
    </w:pPr>
    <w:rPr>
      <w:rFonts w:ascii="Cambria" w:hAnsi="Cambria" w:cs="Calibri"/>
      <w:bCs w:val="0"/>
      <w:color w:val="365F91"/>
      <w:kern w:val="0"/>
      <w:sz w:val="28"/>
      <w:szCs w:val="20"/>
    </w:rPr>
  </w:style>
  <w:style w:type="paragraph" w:customStyle="1" w:styleId="31">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32">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customStyle="1" w:styleId="33">
    <w:name w:val="列出段落1"/>
    <w:basedOn w:val="1"/>
    <w:qFormat/>
    <w:uiPriority w:val="0"/>
    <w:pPr>
      <w:ind w:firstLine="420" w:firstLineChars="200"/>
    </w:pPr>
    <w:rPr>
      <w:rFonts w:cs="Calibri"/>
      <w:szCs w:val="21"/>
    </w:rPr>
  </w:style>
  <w:style w:type="paragraph" w:customStyle="1" w:styleId="34">
    <w:name w:val="表格文字"/>
    <w:basedOn w:val="1"/>
    <w:qFormat/>
    <w:uiPriority w:val="0"/>
    <w:pPr>
      <w:adjustRightInd w:val="0"/>
      <w:spacing w:line="420" w:lineRule="atLeast"/>
      <w:jc w:val="left"/>
    </w:pPr>
    <w:rPr>
      <w:rFonts w:ascii="Times New Roman" w:hAnsi="Times New Roman" w:cs="Calibri"/>
      <w:kern w:val="0"/>
      <w:szCs w:val="20"/>
    </w:rPr>
  </w:style>
  <w:style w:type="paragraph" w:customStyle="1" w:styleId="35">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36">
    <w:name w:val="正题"/>
    <w:basedOn w:val="31"/>
    <w:next w:val="31"/>
    <w:qFormat/>
    <w:uiPriority w:val="0"/>
    <w:pPr>
      <w:ind w:firstLine="0" w:firstLineChars="0"/>
      <w:jc w:val="center"/>
    </w:pPr>
    <w:rPr>
      <w:rFonts w:ascii="Calibri" w:hAnsi="Calibri" w:eastAsia="黑体"/>
      <w:b/>
      <w:snapToGrid w:val="0"/>
      <w:sz w:val="36"/>
      <w:szCs w:val="36"/>
    </w:rPr>
  </w:style>
  <w:style w:type="paragraph" w:customStyle="1" w:styleId="37">
    <w:name w:val="章节三"/>
    <w:basedOn w:val="31"/>
    <w:next w:val="31"/>
    <w:qFormat/>
    <w:uiPriority w:val="0"/>
    <w:pPr>
      <w:spacing w:beforeLines="50" w:afterLines="50" w:line="240" w:lineRule="auto"/>
      <w:ind w:firstLine="0" w:firstLineChars="0"/>
      <w:jc w:val="left"/>
      <w:outlineLvl w:val="2"/>
    </w:pPr>
    <w:rPr>
      <w:rFonts w:ascii="黑体" w:hAnsi="宋体" w:eastAsia="黑体"/>
      <w:b/>
      <w:snapToGrid w:val="0"/>
    </w:rPr>
  </w:style>
  <w:style w:type="character" w:customStyle="1" w:styleId="38">
    <w:name w:val="页脚 Char"/>
    <w:basedOn w:val="24"/>
    <w:link w:val="14"/>
    <w:qFormat/>
    <w:uiPriority w:val="99"/>
    <w:rPr>
      <w:rFonts w:hint="default" w:ascii="Calibri" w:hAnsi="Calibri" w:eastAsia="宋体" w:cs="Times New Roman"/>
      <w:sz w:val="18"/>
      <w:szCs w:val="18"/>
    </w:rPr>
  </w:style>
  <w:style w:type="character" w:customStyle="1" w:styleId="39">
    <w:name w:val="页眉 Char"/>
    <w:basedOn w:val="24"/>
    <w:link w:val="15"/>
    <w:qFormat/>
    <w:uiPriority w:val="0"/>
    <w:rPr>
      <w:rFonts w:hint="default" w:ascii="Calibri" w:hAnsi="Calibri" w:eastAsia="宋体" w:cs="Times New Roman"/>
      <w:sz w:val="18"/>
      <w:szCs w:val="18"/>
    </w:rPr>
  </w:style>
  <w:style w:type="character" w:customStyle="1" w:styleId="40">
    <w:name w:val="批注框文本 Char"/>
    <w:basedOn w:val="24"/>
    <w:link w:val="13"/>
    <w:qFormat/>
    <w:uiPriority w:val="0"/>
    <w:rPr>
      <w:rFonts w:ascii="Calibri" w:hAnsi="Calibri"/>
      <w:kern w:val="2"/>
      <w:sz w:val="18"/>
      <w:szCs w:val="18"/>
    </w:rPr>
  </w:style>
  <w:style w:type="character" w:customStyle="1" w:styleId="41">
    <w:name w:val="批注文字 Char"/>
    <w:basedOn w:val="24"/>
    <w:link w:val="9"/>
    <w:qFormat/>
    <w:uiPriority w:val="0"/>
    <w:rPr>
      <w:rFonts w:ascii="Calibri" w:hAnsi="Calibri"/>
      <w:kern w:val="2"/>
      <w:sz w:val="21"/>
      <w:szCs w:val="22"/>
    </w:rPr>
  </w:style>
  <w:style w:type="character" w:customStyle="1" w:styleId="42">
    <w:name w:val="批注主题 Char"/>
    <w:basedOn w:val="41"/>
    <w:link w:val="21"/>
    <w:qFormat/>
    <w:uiPriority w:val="0"/>
    <w:rPr>
      <w:rFonts w:ascii="Calibri" w:hAnsi="Calibri"/>
      <w:b/>
      <w:bCs/>
      <w:kern w:val="2"/>
      <w:sz w:val="21"/>
      <w:szCs w:val="22"/>
    </w:rPr>
  </w:style>
  <w:style w:type="paragraph" w:customStyle="1" w:styleId="43">
    <w:name w:val="修订1"/>
    <w:hidden/>
    <w:semiHidden/>
    <w:qFormat/>
    <w:uiPriority w:val="99"/>
    <w:rPr>
      <w:rFonts w:ascii="Calibri" w:hAnsi="Calibri" w:eastAsia="宋体" w:cs="Times New Roman"/>
      <w:kern w:val="2"/>
      <w:sz w:val="21"/>
      <w:szCs w:val="22"/>
      <w:lang w:val="en-US" w:eastAsia="zh-CN" w:bidi="ar-SA"/>
    </w:rPr>
  </w:style>
  <w:style w:type="paragraph" w:customStyle="1" w:styleId="44">
    <w:name w:val="正文-表格"/>
    <w:qFormat/>
    <w:uiPriority w:val="0"/>
    <w:pPr>
      <w:widowControl w:val="0"/>
      <w:adjustRightInd w:val="0"/>
      <w:snapToGrid w:val="0"/>
      <w:jc w:val="both"/>
    </w:pPr>
    <w:rPr>
      <w:rFonts w:ascii="宋体" w:hAnsi="宋体" w:eastAsia="宋体" w:cs="Times New Roman"/>
      <w:kern w:val="2"/>
      <w:sz w:val="22"/>
      <w:szCs w:val="22"/>
      <w:lang w:val="en-US" w:eastAsia="zh-CN" w:bidi="ar-SA"/>
    </w:rPr>
  </w:style>
  <w:style w:type="character" w:customStyle="1" w:styleId="45">
    <w:name w:val="fontstyle01"/>
    <w:basedOn w:val="24"/>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F4B42-6632-4BDB-AA4E-F6884FEBCFA2}">
  <ds:schemaRefs/>
</ds:datastoreItem>
</file>

<file path=docProps/app.xml><?xml version="1.0" encoding="utf-8"?>
<Properties xmlns="http://schemas.openxmlformats.org/officeDocument/2006/extended-properties" xmlns:vt="http://schemas.openxmlformats.org/officeDocument/2006/docPropsVTypes">
  <Template>Normal</Template>
  <Pages>95</Pages>
  <Words>25569</Words>
  <Characters>27571</Characters>
  <Lines>207</Lines>
  <Paragraphs>58</Paragraphs>
  <TotalTime>7</TotalTime>
  <ScaleCrop>false</ScaleCrop>
  <LinksUpToDate>false</LinksUpToDate>
  <CharactersWithSpaces>27905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2024-06-10T22:57:00Z</dcterms:created>
  <dc:creator>Y.sisi</dc:creator>
  <cp:lastModifiedBy>NTKO</cp:lastModifiedBy>
  <dcterms:modified xsi:type="dcterms:W3CDTF">2025-10-24T06:06:05Z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4073AE8E274E4BAFA0DE27D0DC634E53_13</vt:lpwstr>
  </property>
  <property fmtid="{D5CDD505-2E9C-101B-9397-08002B2CF9AE}" pid="4" name="KSOTemplateDocerSaveRecord">
    <vt:lpwstr>eyJoZGlkIjoiMDY5NmFjMmM4ZTljMGJiZDAxN2JmYTc0NGI0NmFiNDgiLCJ1c2VySWQiOiIyMjc1NjUwMDcifQ==</vt:lpwstr>
  </property>
</Properties>
</file>