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65894">
      <w:pPr>
        <w:pStyle w:val="9"/>
        <w:ind w:firstLine="880"/>
        <w:rPr>
          <w:rFonts w:hint="eastAsia" w:ascii="宋体" w:hAnsi="宋体" w:eastAsia="宋体" w:cs="宋体"/>
          <w:color w:val="auto"/>
          <w:sz w:val="44"/>
          <w:szCs w:val="44"/>
          <w:highlight w:val="none"/>
        </w:rPr>
      </w:pPr>
    </w:p>
    <w:p w14:paraId="6DF7DEDE">
      <w:pPr>
        <w:ind w:firstLine="880"/>
        <w:jc w:val="center"/>
        <w:rPr>
          <w:rFonts w:hint="eastAsia" w:ascii="宋体" w:hAnsi="宋体" w:eastAsia="宋体" w:cs="宋体"/>
          <w:color w:val="auto"/>
          <w:sz w:val="44"/>
          <w:szCs w:val="44"/>
          <w:highlight w:val="none"/>
        </w:rPr>
      </w:pPr>
    </w:p>
    <w:p w14:paraId="1F5E07B7">
      <w:pPr>
        <w:spacing w:line="276" w:lineRule="auto"/>
        <w:jc w:val="center"/>
        <w:rPr>
          <w:rFonts w:hint="eastAsia" w:ascii="宋体" w:hAnsi="宋体" w:eastAsia="宋体" w:cs="宋体"/>
          <w:color w:val="auto"/>
          <w:sz w:val="48"/>
          <w:szCs w:val="48"/>
          <w:highlight w:val="none"/>
          <w:lang w:eastAsia="zh-CN"/>
        </w:rPr>
      </w:pPr>
      <w:bookmarkStart w:id="0" w:name="OLE_LINK1"/>
      <w:r>
        <w:rPr>
          <w:rFonts w:hint="eastAsia" w:ascii="宋体" w:hAnsi="宋体" w:eastAsia="宋体" w:cs="宋体"/>
          <w:b w:val="0"/>
          <w:bCs w:val="0"/>
          <w:color w:val="auto"/>
          <w:w w:val="100"/>
          <w:sz w:val="48"/>
          <w:szCs w:val="48"/>
          <w:highlight w:val="none"/>
          <w:u w:val="none"/>
        </w:rPr>
        <w:t>中国光大银行股份有限公司广州分行新业务经营用房改造项目</w:t>
      </w:r>
      <w:r>
        <w:rPr>
          <w:rFonts w:hint="eastAsia" w:ascii="宋体" w:hAnsi="宋体" w:cs="宋体"/>
          <w:b w:val="0"/>
          <w:bCs w:val="0"/>
          <w:color w:val="auto"/>
          <w:w w:val="100"/>
          <w:sz w:val="48"/>
          <w:szCs w:val="48"/>
          <w:highlight w:val="none"/>
          <w:u w:val="none"/>
          <w:lang w:eastAsia="zh-CN"/>
        </w:rPr>
        <w:t>咨询服务</w:t>
      </w:r>
    </w:p>
    <w:bookmarkEnd w:id="0"/>
    <w:p w14:paraId="30120436">
      <w:pPr>
        <w:ind w:firstLine="400"/>
        <w:rPr>
          <w:rFonts w:hint="eastAsia" w:ascii="宋体" w:hAnsi="宋体" w:eastAsia="宋体" w:cs="宋体"/>
          <w:bCs/>
          <w:color w:val="auto"/>
          <w:sz w:val="20"/>
          <w:szCs w:val="20"/>
          <w:highlight w:val="none"/>
        </w:rPr>
      </w:pPr>
    </w:p>
    <w:p w14:paraId="302DFC9B">
      <w:pPr>
        <w:ind w:firstLine="400"/>
        <w:rPr>
          <w:rFonts w:hint="eastAsia" w:ascii="宋体" w:hAnsi="宋体" w:eastAsia="宋体" w:cs="宋体"/>
          <w:bCs/>
          <w:color w:val="auto"/>
          <w:sz w:val="20"/>
          <w:szCs w:val="20"/>
          <w:highlight w:val="none"/>
        </w:rPr>
      </w:pPr>
    </w:p>
    <w:p w14:paraId="7FA88534">
      <w:pPr>
        <w:ind w:firstLine="1920"/>
        <w:jc w:val="center"/>
        <w:rPr>
          <w:rFonts w:hint="eastAsia" w:ascii="宋体" w:hAnsi="宋体" w:eastAsia="宋体" w:cs="宋体"/>
          <w:color w:val="auto"/>
          <w:sz w:val="96"/>
          <w:szCs w:val="84"/>
          <w:highlight w:val="none"/>
        </w:rPr>
      </w:pPr>
    </w:p>
    <w:p w14:paraId="05ADF17B">
      <w:pPr>
        <w:jc w:val="center"/>
        <w:rPr>
          <w:rFonts w:hint="eastAsia" w:ascii="宋体" w:hAnsi="宋体" w:eastAsia="宋体" w:cs="宋体"/>
          <w:color w:val="auto"/>
          <w:sz w:val="96"/>
          <w:szCs w:val="84"/>
          <w:highlight w:val="none"/>
        </w:rPr>
      </w:pPr>
      <w:r>
        <w:rPr>
          <w:rFonts w:hint="eastAsia" w:ascii="宋体" w:hAnsi="宋体" w:eastAsia="宋体" w:cs="宋体"/>
          <w:color w:val="auto"/>
          <w:sz w:val="96"/>
          <w:szCs w:val="84"/>
          <w:highlight w:val="none"/>
        </w:rPr>
        <w:t>招标</w:t>
      </w:r>
      <w:r>
        <w:rPr>
          <w:rFonts w:hint="eastAsia" w:ascii="宋体" w:hAnsi="宋体" w:eastAsia="宋体" w:cs="宋体"/>
          <w:color w:val="auto"/>
          <w:sz w:val="96"/>
          <w:szCs w:val="84"/>
          <w:highlight w:val="none"/>
          <w:lang w:val="en-US" w:eastAsia="zh-CN"/>
        </w:rPr>
        <w:t>文件</w:t>
      </w:r>
    </w:p>
    <w:p w14:paraId="35F801E9">
      <w:pPr>
        <w:ind w:firstLine="880"/>
        <w:rPr>
          <w:rFonts w:hint="eastAsia" w:ascii="宋体" w:hAnsi="宋体" w:eastAsia="宋体" w:cs="宋体"/>
          <w:color w:val="auto"/>
          <w:sz w:val="44"/>
          <w:szCs w:val="44"/>
          <w:highlight w:val="none"/>
        </w:rPr>
      </w:pPr>
    </w:p>
    <w:p w14:paraId="2BECEC14">
      <w:pPr>
        <w:ind w:firstLine="880"/>
        <w:rPr>
          <w:rFonts w:hint="eastAsia" w:ascii="宋体" w:hAnsi="宋体" w:eastAsia="宋体" w:cs="宋体"/>
          <w:color w:val="auto"/>
          <w:sz w:val="44"/>
          <w:szCs w:val="44"/>
          <w:highlight w:val="none"/>
        </w:rPr>
      </w:pPr>
    </w:p>
    <w:p w14:paraId="7C795CF4">
      <w:pPr>
        <w:ind w:firstLine="880"/>
        <w:rPr>
          <w:rFonts w:hint="eastAsia" w:ascii="宋体" w:hAnsi="宋体" w:eastAsia="宋体" w:cs="宋体"/>
          <w:color w:val="auto"/>
          <w:sz w:val="44"/>
          <w:szCs w:val="44"/>
          <w:highlight w:val="none"/>
        </w:rPr>
      </w:pPr>
    </w:p>
    <w:p w14:paraId="4F1BC733">
      <w:pPr>
        <w:ind w:firstLine="880"/>
        <w:rPr>
          <w:rFonts w:hint="eastAsia" w:ascii="宋体" w:hAnsi="宋体" w:eastAsia="宋体" w:cs="宋体"/>
          <w:color w:val="auto"/>
          <w:sz w:val="44"/>
          <w:szCs w:val="44"/>
          <w:highlight w:val="none"/>
        </w:rPr>
      </w:pPr>
    </w:p>
    <w:p w14:paraId="0DE4438C">
      <w:pPr>
        <w:spacing w:before="8"/>
        <w:ind w:firstLine="660"/>
        <w:rPr>
          <w:rFonts w:hint="eastAsia" w:ascii="宋体" w:hAnsi="宋体" w:eastAsia="宋体" w:cs="宋体"/>
          <w:color w:val="auto"/>
          <w:sz w:val="33"/>
          <w:szCs w:val="33"/>
          <w:highlight w:val="none"/>
        </w:rPr>
      </w:pPr>
    </w:p>
    <w:p w14:paraId="364CCCC0">
      <w:pPr>
        <w:pStyle w:val="3"/>
        <w:ind w:firstLine="660"/>
        <w:rPr>
          <w:rFonts w:hint="eastAsia" w:ascii="宋体" w:hAnsi="宋体" w:eastAsia="宋体" w:cs="宋体"/>
          <w:color w:val="auto"/>
          <w:sz w:val="33"/>
          <w:szCs w:val="33"/>
          <w:highlight w:val="none"/>
          <w:lang w:eastAsia="zh-CN"/>
        </w:rPr>
      </w:pPr>
    </w:p>
    <w:p w14:paraId="65102390">
      <w:pPr>
        <w:pStyle w:val="3"/>
        <w:ind w:firstLine="660"/>
        <w:rPr>
          <w:rFonts w:hint="eastAsia" w:ascii="宋体" w:hAnsi="宋体" w:eastAsia="宋体" w:cs="宋体"/>
          <w:color w:val="auto"/>
          <w:sz w:val="33"/>
          <w:szCs w:val="33"/>
          <w:highlight w:val="none"/>
          <w:lang w:eastAsia="zh-CN"/>
        </w:rPr>
      </w:pPr>
    </w:p>
    <w:p w14:paraId="2A5513B1">
      <w:pPr>
        <w:spacing w:line="360" w:lineRule="auto"/>
        <w:ind w:firstLine="960" w:firstLineChars="3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   标   人：中国光大银行股份有限公司广州分行</w:t>
      </w:r>
    </w:p>
    <w:p w14:paraId="04A41430">
      <w:pPr>
        <w:spacing w:line="360" w:lineRule="auto"/>
        <w:ind w:firstLine="960" w:firstLineChars="3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招标代理机构：中招国际招标有限公司</w:t>
      </w:r>
    </w:p>
    <w:p w14:paraId="268407E7">
      <w:pPr>
        <w:tabs>
          <w:tab w:val="left" w:pos="561"/>
        </w:tabs>
        <w:spacing w:line="360" w:lineRule="auto"/>
        <w:ind w:firstLine="960" w:firstLineChars="3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期：202</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10</w:t>
      </w:r>
      <w:r>
        <w:rPr>
          <w:rFonts w:hint="eastAsia" w:ascii="宋体" w:hAnsi="宋体" w:eastAsia="宋体" w:cs="宋体"/>
          <w:color w:val="auto"/>
          <w:sz w:val="32"/>
          <w:szCs w:val="32"/>
          <w:highlight w:val="none"/>
        </w:rPr>
        <w:t>月</w:t>
      </w:r>
    </w:p>
    <w:p w14:paraId="1628BEF6">
      <w:pPr>
        <w:spacing w:line="360" w:lineRule="auto"/>
        <w:ind w:firstLine="800"/>
        <w:jc w:val="center"/>
        <w:rPr>
          <w:rFonts w:hint="eastAsia" w:ascii="宋体" w:hAnsi="宋体" w:eastAsia="宋体" w:cs="宋体"/>
          <w:color w:val="auto"/>
          <w:sz w:val="40"/>
          <w:szCs w:val="40"/>
          <w:highlight w:val="none"/>
        </w:rPr>
      </w:pPr>
    </w:p>
    <w:p w14:paraId="4EA6E018">
      <w:pPr>
        <w:rPr>
          <w:rFonts w:hint="eastAsia" w:ascii="宋体" w:hAnsi="宋体" w:cs="宋体"/>
          <w:color w:val="auto"/>
          <w:highlight w:val="none"/>
        </w:rPr>
      </w:pPr>
    </w:p>
    <w:p w14:paraId="76874997">
      <w:pPr>
        <w:pStyle w:val="20"/>
        <w:rPr>
          <w:rFonts w:hint="eastAsia" w:cs="宋体"/>
          <w:color w:val="auto"/>
          <w:highlight w:val="none"/>
        </w:rPr>
      </w:pPr>
    </w:p>
    <w:p w14:paraId="7C0C66FD">
      <w:pPr>
        <w:pStyle w:val="20"/>
        <w:rPr>
          <w:rFonts w:hint="eastAsia" w:ascii="宋体" w:hAnsi="宋体" w:eastAsia="宋体" w:cs="宋体"/>
          <w:color w:val="auto"/>
          <w:highlight w:val="none"/>
        </w:rPr>
        <w:sectPr>
          <w:footerReference r:id="rId3" w:type="default"/>
          <w:pgSz w:w="12240" w:h="15840"/>
          <w:pgMar w:top="1440" w:right="1800" w:bottom="1440" w:left="1800" w:header="720" w:footer="720" w:gutter="0"/>
          <w:pgNumType w:start="0"/>
          <w:cols w:space="720" w:num="1"/>
        </w:sectPr>
      </w:pPr>
    </w:p>
    <w:p w14:paraId="67A139BA">
      <w:pPr>
        <w:pStyle w:val="20"/>
        <w:jc w:val="center"/>
        <w:rPr>
          <w:rFonts w:hint="eastAsia" w:cs="宋体"/>
          <w:color w:val="auto"/>
          <w:sz w:val="24"/>
          <w:szCs w:val="24"/>
          <w:highlight w:val="none"/>
        </w:rPr>
      </w:pPr>
      <w:r>
        <w:rPr>
          <w:rFonts w:hint="eastAsia" w:cs="宋体"/>
          <w:color w:val="auto"/>
          <w:sz w:val="24"/>
          <w:szCs w:val="24"/>
          <w:highlight w:val="none"/>
        </w:rPr>
        <w:t>目  录</w:t>
      </w:r>
    </w:p>
    <w:p w14:paraId="2671A917">
      <w:pPr>
        <w:pStyle w:val="20"/>
        <w:tabs>
          <w:tab w:val="right" w:leader="dot" w:pos="9360"/>
        </w:tabs>
        <w:spacing w:line="320" w:lineRule="exact"/>
        <w:rPr>
          <w:rFonts w:hint="eastAsia" w:cs="宋体"/>
          <w:color w:val="auto"/>
          <w:sz w:val="21"/>
          <w:highlight w:val="none"/>
        </w:rPr>
      </w:pPr>
      <w:r>
        <w:rPr>
          <w:rFonts w:hint="eastAsia" w:cs="宋体"/>
          <w:color w:val="auto"/>
          <w:sz w:val="21"/>
          <w:highlight w:val="none"/>
        </w:rPr>
        <w:fldChar w:fldCharType="begin"/>
      </w:r>
      <w:r>
        <w:rPr>
          <w:rFonts w:hint="eastAsia" w:cs="宋体"/>
          <w:color w:val="auto"/>
          <w:sz w:val="21"/>
          <w:highlight w:val="none"/>
        </w:rPr>
        <w:instrText xml:space="preserve"> TOC \o "1-3" \h \z \u </w:instrText>
      </w:r>
      <w:r>
        <w:rPr>
          <w:rFonts w:hint="eastAsia" w:cs="宋体"/>
          <w:color w:val="auto"/>
          <w:sz w:val="21"/>
          <w:highlight w:val="none"/>
        </w:rPr>
        <w:fldChar w:fldCharType="separate"/>
      </w: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_Toc1454 </w:instrText>
      </w:r>
      <w:r>
        <w:rPr>
          <w:rFonts w:hint="eastAsia" w:ascii="宋体" w:hAnsi="宋体" w:cs="宋体"/>
          <w:color w:val="auto"/>
          <w:kern w:val="0"/>
          <w:sz w:val="21"/>
          <w:highlight w:val="none"/>
        </w:rPr>
        <w:fldChar w:fldCharType="separate"/>
      </w:r>
      <w:r>
        <w:rPr>
          <w:rFonts w:hint="eastAsia" w:ascii="宋体" w:hAnsi="宋体" w:cs="宋体"/>
          <w:color w:val="auto"/>
          <w:sz w:val="21"/>
          <w:highlight w:val="none"/>
        </w:rPr>
        <w:t>第一卷</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_Toc1454 \h </w:instrText>
      </w:r>
      <w:r>
        <w:rPr>
          <w:rFonts w:hint="eastAsia" w:cs="宋体"/>
          <w:color w:val="auto"/>
          <w:sz w:val="21"/>
          <w:highlight w:val="none"/>
        </w:rPr>
        <w:fldChar w:fldCharType="separate"/>
      </w:r>
      <w:r>
        <w:rPr>
          <w:rFonts w:hint="eastAsia" w:cs="宋体"/>
          <w:color w:val="auto"/>
          <w:sz w:val="21"/>
          <w:highlight w:val="none"/>
        </w:rPr>
        <w:t>1</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38A36DE4">
      <w:pPr>
        <w:pStyle w:val="20"/>
        <w:tabs>
          <w:tab w:val="right" w:leader="dot" w:pos="9360"/>
        </w:tabs>
        <w:spacing w:line="320" w:lineRule="exact"/>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_Toc27235 </w:instrText>
      </w:r>
      <w:r>
        <w:rPr>
          <w:rFonts w:hint="eastAsia" w:ascii="宋体" w:hAnsi="宋体" w:cs="宋体"/>
          <w:color w:val="auto"/>
          <w:kern w:val="0"/>
          <w:sz w:val="21"/>
          <w:highlight w:val="none"/>
        </w:rPr>
        <w:fldChar w:fldCharType="separate"/>
      </w:r>
      <w:r>
        <w:rPr>
          <w:rFonts w:hint="eastAsia" w:ascii="宋体" w:hAnsi="宋体" w:cs="宋体"/>
          <w:color w:val="auto"/>
          <w:sz w:val="21"/>
          <w:szCs w:val="21"/>
          <w:highlight w:val="none"/>
        </w:rPr>
        <w:t>第一章  招标公告</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_Toc27235 \h </w:instrText>
      </w:r>
      <w:r>
        <w:rPr>
          <w:rFonts w:hint="eastAsia" w:cs="宋体"/>
          <w:color w:val="auto"/>
          <w:sz w:val="21"/>
          <w:highlight w:val="none"/>
        </w:rPr>
        <w:fldChar w:fldCharType="separate"/>
      </w:r>
      <w:r>
        <w:rPr>
          <w:rFonts w:hint="eastAsia" w:cs="宋体"/>
          <w:color w:val="auto"/>
          <w:sz w:val="21"/>
          <w:highlight w:val="none"/>
        </w:rPr>
        <w:t>2</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20D10332">
      <w:pPr>
        <w:pStyle w:val="20"/>
        <w:tabs>
          <w:tab w:val="right" w:leader="dot" w:pos="9360"/>
        </w:tabs>
        <w:spacing w:line="320" w:lineRule="exact"/>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_Toc4850 </w:instrText>
      </w:r>
      <w:r>
        <w:rPr>
          <w:rFonts w:hint="eastAsia" w:ascii="宋体" w:hAnsi="宋体" w:cs="宋体"/>
          <w:color w:val="auto"/>
          <w:kern w:val="0"/>
          <w:sz w:val="21"/>
          <w:highlight w:val="none"/>
        </w:rPr>
        <w:fldChar w:fldCharType="separate"/>
      </w:r>
      <w:r>
        <w:rPr>
          <w:rFonts w:hint="eastAsia" w:ascii="宋体" w:hAnsi="宋体" w:cs="宋体"/>
          <w:color w:val="auto"/>
          <w:sz w:val="21"/>
          <w:szCs w:val="21"/>
          <w:highlight w:val="none"/>
        </w:rPr>
        <w:t>第二章  投标人须知</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_Toc4850 \h </w:instrText>
      </w:r>
      <w:r>
        <w:rPr>
          <w:rFonts w:hint="eastAsia" w:cs="宋体"/>
          <w:color w:val="auto"/>
          <w:sz w:val="21"/>
          <w:highlight w:val="none"/>
        </w:rPr>
        <w:fldChar w:fldCharType="separate"/>
      </w:r>
      <w:r>
        <w:rPr>
          <w:rFonts w:hint="eastAsia" w:cs="宋体"/>
          <w:color w:val="auto"/>
          <w:sz w:val="21"/>
          <w:highlight w:val="none"/>
        </w:rPr>
        <w:t>3</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607D740B">
      <w:pPr>
        <w:pStyle w:val="14"/>
        <w:tabs>
          <w:tab w:val="right" w:leader="dot" w:pos="9360"/>
        </w:tabs>
        <w:spacing w:line="320" w:lineRule="exact"/>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_Toc27119 </w:instrText>
      </w:r>
      <w:r>
        <w:rPr>
          <w:rFonts w:hint="eastAsia" w:ascii="宋体" w:hAnsi="宋体" w:cs="宋体"/>
          <w:color w:val="auto"/>
          <w:kern w:val="0"/>
          <w:sz w:val="21"/>
          <w:szCs w:val="21"/>
          <w:highlight w:val="none"/>
        </w:rPr>
        <w:fldChar w:fldCharType="separate"/>
      </w:r>
      <w:r>
        <w:rPr>
          <w:rFonts w:hint="eastAsia" w:ascii="宋体" w:hAnsi="宋体" w:cs="宋体"/>
          <w:color w:val="auto"/>
          <w:sz w:val="21"/>
          <w:szCs w:val="21"/>
          <w:highlight w:val="none"/>
        </w:rPr>
        <w:t>投标人须知前附表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_Toc27119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3B4A40C3">
      <w:pPr>
        <w:pStyle w:val="21"/>
        <w:tabs>
          <w:tab w:val="right" w:leader="dot" w:pos="9360"/>
        </w:tabs>
        <w:spacing w:line="320" w:lineRule="exact"/>
        <w:ind w:firstLine="630" w:firstLineChars="3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_Toc24114 </w:instrText>
      </w:r>
      <w:r>
        <w:rPr>
          <w:rFonts w:hint="eastAsia" w:ascii="宋体" w:hAnsi="宋体" w:cs="宋体"/>
          <w:color w:val="auto"/>
          <w:kern w:val="0"/>
          <w:sz w:val="21"/>
          <w:szCs w:val="21"/>
          <w:highlight w:val="none"/>
        </w:rPr>
        <w:fldChar w:fldCharType="separate"/>
      </w:r>
      <w:r>
        <w:rPr>
          <w:rFonts w:hint="eastAsia" w:ascii="宋体" w:hAnsi="宋体" w:eastAsia="宋体" w:cs="宋体"/>
          <w:bCs/>
          <w:color w:val="auto"/>
          <w:sz w:val="21"/>
          <w:szCs w:val="21"/>
          <w:highlight w:val="none"/>
        </w:rPr>
        <w:t>1.  总则</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_Toc24114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12</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6BC175E1">
      <w:pPr>
        <w:pStyle w:val="21"/>
        <w:tabs>
          <w:tab w:val="right" w:leader="dot" w:pos="9360"/>
        </w:tabs>
        <w:spacing w:line="320" w:lineRule="exact"/>
        <w:ind w:firstLine="630" w:firstLineChars="3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_Toc14248 </w:instrText>
      </w:r>
      <w:r>
        <w:rPr>
          <w:rFonts w:hint="eastAsia" w:ascii="宋体" w:hAnsi="宋体" w:cs="宋体"/>
          <w:color w:val="auto"/>
          <w:kern w:val="0"/>
          <w:sz w:val="21"/>
          <w:szCs w:val="21"/>
          <w:highlight w:val="none"/>
        </w:rPr>
        <w:fldChar w:fldCharType="separate"/>
      </w:r>
      <w:r>
        <w:rPr>
          <w:rFonts w:hint="eastAsia" w:ascii="宋体" w:hAnsi="宋体" w:eastAsia="宋体" w:cs="宋体"/>
          <w:bCs/>
          <w:color w:val="auto"/>
          <w:sz w:val="21"/>
          <w:szCs w:val="21"/>
          <w:highlight w:val="none"/>
        </w:rPr>
        <w:t>2.  招标文件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_Toc14248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14</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36C5C794">
      <w:pPr>
        <w:pStyle w:val="21"/>
        <w:tabs>
          <w:tab w:val="right" w:leader="dot" w:pos="9360"/>
        </w:tabs>
        <w:spacing w:line="320" w:lineRule="exact"/>
        <w:ind w:firstLine="630" w:firstLineChars="3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_Toc25342 </w:instrText>
      </w:r>
      <w:r>
        <w:rPr>
          <w:rFonts w:hint="eastAsia" w:ascii="宋体" w:hAnsi="宋体" w:cs="宋体"/>
          <w:color w:val="auto"/>
          <w:kern w:val="0"/>
          <w:sz w:val="21"/>
          <w:szCs w:val="21"/>
          <w:highlight w:val="none"/>
        </w:rPr>
        <w:fldChar w:fldCharType="separate"/>
      </w:r>
      <w:r>
        <w:rPr>
          <w:rFonts w:hint="eastAsia" w:ascii="宋体" w:hAnsi="宋体" w:eastAsia="宋体" w:cs="宋体"/>
          <w:bCs/>
          <w:color w:val="auto"/>
          <w:sz w:val="21"/>
          <w:szCs w:val="21"/>
          <w:highlight w:val="none"/>
        </w:rPr>
        <w:t>3.  投标文件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_Toc25342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15</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65128E78">
      <w:pPr>
        <w:pStyle w:val="21"/>
        <w:tabs>
          <w:tab w:val="right" w:leader="dot" w:pos="9360"/>
        </w:tabs>
        <w:spacing w:line="320" w:lineRule="exact"/>
        <w:ind w:firstLine="630" w:firstLineChars="3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_Toc31677 </w:instrText>
      </w:r>
      <w:r>
        <w:rPr>
          <w:rFonts w:hint="eastAsia" w:ascii="宋体" w:hAnsi="宋体" w:cs="宋体"/>
          <w:color w:val="auto"/>
          <w:kern w:val="0"/>
          <w:sz w:val="21"/>
          <w:szCs w:val="21"/>
          <w:highlight w:val="none"/>
        </w:rPr>
        <w:fldChar w:fldCharType="separate"/>
      </w:r>
      <w:r>
        <w:rPr>
          <w:rFonts w:hint="eastAsia" w:ascii="宋体" w:hAnsi="宋体" w:eastAsia="宋体" w:cs="宋体"/>
          <w:bCs/>
          <w:color w:val="auto"/>
          <w:sz w:val="21"/>
          <w:szCs w:val="21"/>
          <w:highlight w:val="none"/>
        </w:rPr>
        <w:t>4.  投标</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_Toc31677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16</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64EAB65A">
      <w:pPr>
        <w:pStyle w:val="21"/>
        <w:tabs>
          <w:tab w:val="right" w:leader="dot" w:pos="9360"/>
        </w:tabs>
        <w:spacing w:line="320" w:lineRule="exact"/>
        <w:ind w:firstLine="630" w:firstLineChars="3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_Toc28062 </w:instrText>
      </w:r>
      <w:r>
        <w:rPr>
          <w:rFonts w:hint="eastAsia" w:ascii="宋体" w:hAnsi="宋体" w:cs="宋体"/>
          <w:color w:val="auto"/>
          <w:kern w:val="0"/>
          <w:sz w:val="21"/>
          <w:szCs w:val="21"/>
          <w:highlight w:val="none"/>
        </w:rPr>
        <w:fldChar w:fldCharType="separate"/>
      </w:r>
      <w:r>
        <w:rPr>
          <w:rFonts w:hint="eastAsia" w:ascii="宋体" w:hAnsi="宋体" w:eastAsia="宋体" w:cs="宋体"/>
          <w:bCs/>
          <w:color w:val="auto"/>
          <w:sz w:val="21"/>
          <w:szCs w:val="21"/>
          <w:highlight w:val="none"/>
        </w:rPr>
        <w:t>5.  开标</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_Toc28062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16</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4843FD77">
      <w:pPr>
        <w:pStyle w:val="21"/>
        <w:tabs>
          <w:tab w:val="right" w:leader="dot" w:pos="9360"/>
        </w:tabs>
        <w:spacing w:line="320" w:lineRule="exact"/>
        <w:ind w:firstLine="630" w:firstLineChars="3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_Toc12425 </w:instrText>
      </w:r>
      <w:r>
        <w:rPr>
          <w:rFonts w:hint="eastAsia" w:ascii="宋体" w:hAnsi="宋体" w:cs="宋体"/>
          <w:color w:val="auto"/>
          <w:kern w:val="0"/>
          <w:sz w:val="21"/>
          <w:szCs w:val="21"/>
          <w:highlight w:val="none"/>
        </w:rPr>
        <w:fldChar w:fldCharType="separate"/>
      </w:r>
      <w:r>
        <w:rPr>
          <w:rFonts w:hint="eastAsia" w:ascii="宋体" w:hAnsi="宋体" w:eastAsia="宋体" w:cs="宋体"/>
          <w:bCs/>
          <w:color w:val="auto"/>
          <w:sz w:val="21"/>
          <w:szCs w:val="21"/>
          <w:highlight w:val="none"/>
        </w:rPr>
        <w:t>6.  评标</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_Toc12425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17</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6BC89D60">
      <w:pPr>
        <w:pStyle w:val="21"/>
        <w:tabs>
          <w:tab w:val="right" w:leader="dot" w:pos="9360"/>
        </w:tabs>
        <w:spacing w:line="320" w:lineRule="exact"/>
        <w:ind w:firstLine="630" w:firstLineChars="3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_Toc20961 </w:instrText>
      </w:r>
      <w:r>
        <w:rPr>
          <w:rFonts w:hint="eastAsia" w:ascii="宋体" w:hAnsi="宋体" w:cs="宋体"/>
          <w:color w:val="auto"/>
          <w:kern w:val="0"/>
          <w:sz w:val="21"/>
          <w:szCs w:val="21"/>
          <w:highlight w:val="none"/>
        </w:rPr>
        <w:fldChar w:fldCharType="separate"/>
      </w:r>
      <w:r>
        <w:rPr>
          <w:rFonts w:hint="eastAsia" w:ascii="宋体" w:hAnsi="宋体" w:eastAsia="宋体" w:cs="宋体"/>
          <w:bCs/>
          <w:color w:val="auto"/>
          <w:sz w:val="21"/>
          <w:szCs w:val="21"/>
          <w:highlight w:val="none"/>
        </w:rPr>
        <w:t>7.  合同授予</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_Toc20961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17</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5223E570">
      <w:pPr>
        <w:pStyle w:val="21"/>
        <w:tabs>
          <w:tab w:val="right" w:leader="dot" w:pos="9360"/>
        </w:tabs>
        <w:spacing w:line="320" w:lineRule="exact"/>
        <w:ind w:firstLine="630" w:firstLineChars="3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_Toc6003 </w:instrText>
      </w:r>
      <w:r>
        <w:rPr>
          <w:rFonts w:hint="eastAsia" w:ascii="宋体" w:hAnsi="宋体" w:cs="宋体"/>
          <w:color w:val="auto"/>
          <w:kern w:val="0"/>
          <w:sz w:val="21"/>
          <w:szCs w:val="21"/>
          <w:highlight w:val="none"/>
        </w:rPr>
        <w:fldChar w:fldCharType="separate"/>
      </w:r>
      <w:r>
        <w:rPr>
          <w:rFonts w:hint="eastAsia" w:ascii="宋体" w:hAnsi="宋体" w:eastAsia="宋体" w:cs="宋体"/>
          <w:bCs/>
          <w:color w:val="auto"/>
          <w:sz w:val="21"/>
          <w:szCs w:val="21"/>
          <w:highlight w:val="none"/>
        </w:rPr>
        <w:t>8.纪律和监督</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_Toc6003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18</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64F09381">
      <w:pPr>
        <w:pStyle w:val="21"/>
        <w:tabs>
          <w:tab w:val="right" w:leader="dot" w:pos="9360"/>
        </w:tabs>
        <w:spacing w:line="320" w:lineRule="exact"/>
        <w:ind w:firstLine="630" w:firstLineChars="3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_Toc9088 </w:instrText>
      </w:r>
      <w:r>
        <w:rPr>
          <w:rFonts w:hint="eastAsia" w:ascii="宋体" w:hAnsi="宋体" w:cs="宋体"/>
          <w:color w:val="auto"/>
          <w:kern w:val="0"/>
          <w:sz w:val="21"/>
          <w:szCs w:val="21"/>
          <w:highlight w:val="none"/>
        </w:rPr>
        <w:fldChar w:fldCharType="separate"/>
      </w:r>
      <w:r>
        <w:rPr>
          <w:rFonts w:hint="eastAsia" w:ascii="宋体" w:hAnsi="宋体" w:eastAsia="宋体" w:cs="宋体"/>
          <w:bCs/>
          <w:color w:val="auto"/>
          <w:sz w:val="21"/>
          <w:szCs w:val="21"/>
          <w:highlight w:val="none"/>
        </w:rPr>
        <w:t>9.  是否采用电子招标投标</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_Toc9088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19</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0587E5ED">
      <w:pPr>
        <w:pStyle w:val="21"/>
        <w:tabs>
          <w:tab w:val="right" w:leader="dot" w:pos="9360"/>
        </w:tabs>
        <w:spacing w:line="320" w:lineRule="exact"/>
        <w:ind w:firstLine="630" w:firstLineChars="3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_Toc17771 </w:instrText>
      </w:r>
      <w:r>
        <w:rPr>
          <w:rFonts w:hint="eastAsia" w:ascii="宋体" w:hAnsi="宋体" w:cs="宋体"/>
          <w:color w:val="auto"/>
          <w:kern w:val="0"/>
          <w:sz w:val="21"/>
          <w:szCs w:val="21"/>
          <w:highlight w:val="none"/>
        </w:rPr>
        <w:fldChar w:fldCharType="separate"/>
      </w:r>
      <w:r>
        <w:rPr>
          <w:rFonts w:hint="eastAsia" w:ascii="宋体" w:hAnsi="宋体" w:eastAsia="宋体" w:cs="宋体"/>
          <w:bCs/>
          <w:color w:val="auto"/>
          <w:sz w:val="21"/>
          <w:szCs w:val="21"/>
          <w:highlight w:val="none"/>
        </w:rPr>
        <w:t>10.  需要补充的其他内容</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_Toc17771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19</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559E5EEB">
      <w:pPr>
        <w:pStyle w:val="20"/>
        <w:tabs>
          <w:tab w:val="right" w:leader="dot" w:pos="9360"/>
        </w:tabs>
        <w:spacing w:line="320" w:lineRule="exact"/>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_Toc12930 </w:instrText>
      </w:r>
      <w:r>
        <w:rPr>
          <w:rFonts w:hint="eastAsia" w:ascii="宋体" w:hAnsi="宋体" w:cs="宋体"/>
          <w:color w:val="auto"/>
          <w:kern w:val="0"/>
          <w:sz w:val="21"/>
          <w:highlight w:val="none"/>
        </w:rPr>
        <w:fldChar w:fldCharType="separate"/>
      </w:r>
      <w:r>
        <w:rPr>
          <w:rFonts w:hint="eastAsia" w:ascii="宋体" w:hAnsi="宋体" w:cs="宋体"/>
          <w:color w:val="auto"/>
          <w:sz w:val="21"/>
          <w:szCs w:val="21"/>
          <w:highlight w:val="none"/>
        </w:rPr>
        <w:t>第三章 评标办法（综合评估法）</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_Toc12930 \h </w:instrText>
      </w:r>
      <w:r>
        <w:rPr>
          <w:rFonts w:hint="eastAsia" w:cs="宋体"/>
          <w:color w:val="auto"/>
          <w:sz w:val="21"/>
          <w:highlight w:val="none"/>
        </w:rPr>
        <w:fldChar w:fldCharType="separate"/>
      </w:r>
      <w:r>
        <w:rPr>
          <w:rFonts w:hint="eastAsia" w:cs="宋体"/>
          <w:color w:val="auto"/>
          <w:sz w:val="21"/>
          <w:highlight w:val="none"/>
        </w:rPr>
        <w:t>26</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436A4439">
      <w:pPr>
        <w:pStyle w:val="21"/>
        <w:tabs>
          <w:tab w:val="right" w:leader="dot" w:pos="9360"/>
        </w:tabs>
        <w:spacing w:line="320" w:lineRule="exact"/>
        <w:ind w:firstLine="630" w:firstLineChars="3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_Toc3810 </w:instrText>
      </w:r>
      <w:r>
        <w:rPr>
          <w:rFonts w:hint="eastAsia" w:ascii="宋体" w:hAnsi="宋体" w:cs="宋体"/>
          <w:color w:val="auto"/>
          <w:kern w:val="0"/>
          <w:sz w:val="21"/>
          <w:szCs w:val="21"/>
          <w:highlight w:val="none"/>
        </w:rPr>
        <w:fldChar w:fldCharType="separate"/>
      </w:r>
      <w:r>
        <w:rPr>
          <w:rFonts w:hint="eastAsia" w:ascii="宋体" w:hAnsi="宋体" w:cs="宋体"/>
          <w:bCs/>
          <w:color w:val="auto"/>
          <w:sz w:val="21"/>
          <w:szCs w:val="21"/>
          <w:highlight w:val="none"/>
        </w:rPr>
        <w:t>评标办法前附表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_Toc3810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26</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5C973A58">
      <w:pPr>
        <w:pStyle w:val="14"/>
        <w:tabs>
          <w:tab w:val="right" w:leader="dot" w:pos="9360"/>
        </w:tabs>
        <w:spacing w:line="320" w:lineRule="exact"/>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_Toc31304 </w:instrText>
      </w:r>
      <w:r>
        <w:rPr>
          <w:rFonts w:hint="eastAsia" w:ascii="宋体" w:hAnsi="宋体" w:cs="宋体"/>
          <w:color w:val="auto"/>
          <w:kern w:val="0"/>
          <w:sz w:val="21"/>
          <w:szCs w:val="21"/>
          <w:highlight w:val="none"/>
        </w:rPr>
        <w:fldChar w:fldCharType="separate"/>
      </w:r>
      <w:r>
        <w:rPr>
          <w:rFonts w:hint="eastAsia" w:ascii="宋体" w:hAnsi="宋体" w:eastAsia="宋体" w:cs="宋体"/>
          <w:bCs w:val="0"/>
          <w:color w:val="auto"/>
          <w:sz w:val="21"/>
          <w:szCs w:val="21"/>
          <w:highlight w:val="none"/>
          <w:lang w:eastAsia="zh-CN"/>
        </w:rPr>
        <w:t>附件</w:t>
      </w:r>
      <w:r>
        <w:rPr>
          <w:rFonts w:hint="eastAsia" w:ascii="宋体" w:hAnsi="宋体" w:eastAsia="宋体" w:cs="宋体"/>
          <w:bCs w:val="0"/>
          <w:color w:val="auto"/>
          <w:sz w:val="21"/>
          <w:szCs w:val="21"/>
          <w:highlight w:val="none"/>
          <w:lang w:val="en-US" w:eastAsia="zh-CN"/>
        </w:rPr>
        <w:t>一</w:t>
      </w:r>
      <w:r>
        <w:rPr>
          <w:rFonts w:hint="eastAsia" w:ascii="宋体" w:hAnsi="宋体" w:eastAsia="宋体" w:cs="宋体"/>
          <w:bCs w:val="0"/>
          <w:color w:val="auto"/>
          <w:sz w:val="21"/>
          <w:szCs w:val="21"/>
          <w:highlight w:val="none"/>
          <w:lang w:eastAsia="zh-CN"/>
        </w:rPr>
        <w:t>：资格审查表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_Toc31304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28</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6C8CF575">
      <w:pPr>
        <w:pStyle w:val="14"/>
        <w:tabs>
          <w:tab w:val="right" w:leader="dot" w:pos="9360"/>
        </w:tabs>
        <w:spacing w:line="320" w:lineRule="exact"/>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_Toc13370 </w:instrText>
      </w:r>
      <w:r>
        <w:rPr>
          <w:rFonts w:hint="eastAsia" w:ascii="宋体" w:hAnsi="宋体" w:cs="宋体"/>
          <w:color w:val="auto"/>
          <w:kern w:val="0"/>
          <w:sz w:val="21"/>
          <w:szCs w:val="21"/>
          <w:highlight w:val="none"/>
        </w:rPr>
        <w:fldChar w:fldCharType="separate"/>
      </w:r>
      <w:r>
        <w:rPr>
          <w:rFonts w:hint="eastAsia" w:ascii="宋体" w:hAnsi="宋体" w:eastAsia="宋体" w:cs="宋体"/>
          <w:bCs w:val="0"/>
          <w:color w:val="auto"/>
          <w:sz w:val="21"/>
          <w:szCs w:val="21"/>
          <w:highlight w:val="none"/>
          <w:lang w:eastAsia="zh-CN"/>
        </w:rPr>
        <w:t>附件</w:t>
      </w:r>
      <w:r>
        <w:rPr>
          <w:rFonts w:hint="eastAsia" w:ascii="宋体" w:hAnsi="宋体" w:cs="宋体"/>
          <w:bCs w:val="0"/>
          <w:color w:val="auto"/>
          <w:sz w:val="21"/>
          <w:szCs w:val="21"/>
          <w:highlight w:val="none"/>
          <w:lang w:val="en-US" w:eastAsia="zh-CN"/>
        </w:rPr>
        <w:t>二</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综合评分</w:t>
      </w:r>
      <w:r>
        <w:rPr>
          <w:rFonts w:hint="eastAsia" w:ascii="宋体" w:hAnsi="宋体" w:eastAsia="宋体" w:cs="宋体"/>
          <w:bCs w:val="0"/>
          <w:color w:val="auto"/>
          <w:sz w:val="21"/>
          <w:szCs w:val="21"/>
          <w:highlight w:val="none"/>
          <w:lang w:eastAsia="zh-CN"/>
        </w:rPr>
        <w:t>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_Toc13370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29</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0D3DDAEC">
      <w:pPr>
        <w:pStyle w:val="14"/>
        <w:tabs>
          <w:tab w:val="right" w:leader="dot" w:pos="9360"/>
        </w:tabs>
        <w:spacing w:line="320" w:lineRule="exact"/>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_Toc22758 </w:instrText>
      </w:r>
      <w:r>
        <w:rPr>
          <w:rFonts w:hint="eastAsia" w:ascii="宋体" w:hAnsi="宋体" w:cs="宋体"/>
          <w:color w:val="auto"/>
          <w:kern w:val="0"/>
          <w:sz w:val="21"/>
          <w:szCs w:val="21"/>
          <w:highlight w:val="none"/>
        </w:rPr>
        <w:fldChar w:fldCharType="separate"/>
      </w:r>
      <w:r>
        <w:rPr>
          <w:rFonts w:hint="eastAsia" w:ascii="宋体" w:hAnsi="宋体" w:eastAsia="宋体" w:cs="宋体"/>
          <w:color w:val="auto"/>
          <w:sz w:val="21"/>
          <w:szCs w:val="21"/>
          <w:highlight w:val="none"/>
        </w:rPr>
        <w:t>1. 评标方法</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_Toc22758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31</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33301E78">
      <w:pPr>
        <w:pStyle w:val="14"/>
        <w:tabs>
          <w:tab w:val="right" w:leader="dot" w:pos="9360"/>
        </w:tabs>
        <w:spacing w:line="320" w:lineRule="exact"/>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_Toc24207 </w:instrText>
      </w:r>
      <w:r>
        <w:rPr>
          <w:rFonts w:hint="eastAsia" w:ascii="宋体" w:hAnsi="宋体" w:cs="宋体"/>
          <w:color w:val="auto"/>
          <w:kern w:val="0"/>
          <w:sz w:val="21"/>
          <w:szCs w:val="21"/>
          <w:highlight w:val="none"/>
        </w:rPr>
        <w:fldChar w:fldCharType="separate"/>
      </w:r>
      <w:r>
        <w:rPr>
          <w:rFonts w:hint="eastAsia" w:ascii="宋体" w:hAnsi="宋体" w:eastAsia="宋体" w:cs="宋体"/>
          <w:color w:val="auto"/>
          <w:sz w:val="21"/>
          <w:szCs w:val="21"/>
          <w:highlight w:val="none"/>
        </w:rPr>
        <w:t>2. 评审标准</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_Toc24207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31</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7E887667">
      <w:pPr>
        <w:pStyle w:val="14"/>
        <w:tabs>
          <w:tab w:val="right" w:leader="dot" w:pos="9360"/>
        </w:tabs>
        <w:spacing w:line="320" w:lineRule="exact"/>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_Toc28925 </w:instrText>
      </w:r>
      <w:r>
        <w:rPr>
          <w:rFonts w:hint="eastAsia" w:ascii="宋体" w:hAnsi="宋体" w:cs="宋体"/>
          <w:color w:val="auto"/>
          <w:kern w:val="0"/>
          <w:sz w:val="21"/>
          <w:szCs w:val="21"/>
          <w:highlight w:val="none"/>
        </w:rPr>
        <w:fldChar w:fldCharType="separate"/>
      </w:r>
      <w:r>
        <w:rPr>
          <w:rFonts w:hint="eastAsia" w:ascii="宋体" w:hAnsi="宋体" w:eastAsia="宋体" w:cs="宋体"/>
          <w:color w:val="auto"/>
          <w:sz w:val="21"/>
          <w:szCs w:val="21"/>
          <w:highlight w:val="none"/>
        </w:rPr>
        <w:t>3. 评标程序</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_Toc28925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31</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6699692E">
      <w:pPr>
        <w:pStyle w:val="20"/>
        <w:tabs>
          <w:tab w:val="right" w:leader="dot" w:pos="9360"/>
        </w:tabs>
        <w:spacing w:line="320" w:lineRule="exact"/>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_Toc5158 </w:instrText>
      </w:r>
      <w:r>
        <w:rPr>
          <w:rFonts w:hint="eastAsia" w:ascii="宋体" w:hAnsi="宋体" w:cs="宋体"/>
          <w:color w:val="auto"/>
          <w:kern w:val="0"/>
          <w:sz w:val="21"/>
          <w:highlight w:val="none"/>
        </w:rPr>
        <w:fldChar w:fldCharType="separate"/>
      </w:r>
      <w:r>
        <w:rPr>
          <w:rFonts w:hint="eastAsia" w:ascii="宋体" w:hAnsi="宋体" w:cs="宋体"/>
          <w:color w:val="auto"/>
          <w:sz w:val="21"/>
          <w:szCs w:val="21"/>
          <w:highlight w:val="none"/>
          <w:lang w:val="en-US" w:eastAsia="zh-CN"/>
        </w:rPr>
        <w:t xml:space="preserve">第四章 </w:t>
      </w:r>
      <w:r>
        <w:rPr>
          <w:rFonts w:hint="eastAsia" w:ascii="宋体" w:hAnsi="宋体" w:cs="宋体"/>
          <w:color w:val="auto"/>
          <w:sz w:val="21"/>
          <w:szCs w:val="21"/>
          <w:highlight w:val="none"/>
        </w:rPr>
        <w:t>合同条款及格式</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_Toc5158 \h </w:instrText>
      </w:r>
      <w:r>
        <w:rPr>
          <w:rFonts w:hint="eastAsia" w:cs="宋体"/>
          <w:color w:val="auto"/>
          <w:sz w:val="21"/>
          <w:highlight w:val="none"/>
        </w:rPr>
        <w:fldChar w:fldCharType="separate"/>
      </w:r>
      <w:r>
        <w:rPr>
          <w:rFonts w:hint="eastAsia" w:cs="宋体"/>
          <w:color w:val="auto"/>
          <w:sz w:val="21"/>
          <w:highlight w:val="none"/>
        </w:rPr>
        <w:t>33</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52E2639C">
      <w:pPr>
        <w:pStyle w:val="20"/>
        <w:tabs>
          <w:tab w:val="right" w:leader="dot" w:pos="9360"/>
        </w:tabs>
        <w:spacing w:line="320" w:lineRule="exact"/>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_Toc3391 </w:instrText>
      </w:r>
      <w:r>
        <w:rPr>
          <w:rFonts w:hint="eastAsia" w:ascii="宋体" w:hAnsi="宋体" w:cs="宋体"/>
          <w:color w:val="auto"/>
          <w:kern w:val="0"/>
          <w:sz w:val="21"/>
          <w:highlight w:val="none"/>
        </w:rPr>
        <w:fldChar w:fldCharType="separate"/>
      </w:r>
      <w:r>
        <w:rPr>
          <w:rFonts w:hint="eastAsia" w:ascii="宋体" w:hAnsi="宋体" w:cs="宋体"/>
          <w:color w:val="auto"/>
          <w:sz w:val="21"/>
          <w:highlight w:val="none"/>
        </w:rPr>
        <w:t>第二卷</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_Toc3391 \h </w:instrText>
      </w:r>
      <w:r>
        <w:rPr>
          <w:rFonts w:hint="eastAsia" w:cs="宋体"/>
          <w:color w:val="auto"/>
          <w:sz w:val="21"/>
          <w:highlight w:val="none"/>
        </w:rPr>
        <w:fldChar w:fldCharType="separate"/>
      </w:r>
      <w:r>
        <w:rPr>
          <w:rFonts w:hint="eastAsia" w:cs="宋体"/>
          <w:color w:val="auto"/>
          <w:sz w:val="21"/>
          <w:highlight w:val="none"/>
        </w:rPr>
        <w:t>50</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632F54AF">
      <w:pPr>
        <w:pStyle w:val="20"/>
        <w:tabs>
          <w:tab w:val="right" w:leader="dot" w:pos="9360"/>
        </w:tabs>
        <w:spacing w:line="320" w:lineRule="exact"/>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_Toc25701 </w:instrText>
      </w:r>
      <w:r>
        <w:rPr>
          <w:rFonts w:hint="eastAsia" w:ascii="宋体" w:hAnsi="宋体" w:cs="宋体"/>
          <w:color w:val="auto"/>
          <w:kern w:val="0"/>
          <w:sz w:val="21"/>
          <w:highlight w:val="none"/>
        </w:rPr>
        <w:fldChar w:fldCharType="separate"/>
      </w:r>
      <w:r>
        <w:rPr>
          <w:rFonts w:hint="eastAsia" w:ascii="宋体" w:hAnsi="宋体" w:cs="宋体"/>
          <w:color w:val="auto"/>
          <w:sz w:val="21"/>
          <w:szCs w:val="21"/>
          <w:highlight w:val="none"/>
          <w:lang w:val="en-US" w:eastAsia="zh-CN"/>
        </w:rPr>
        <w:t>第五章</w:t>
      </w:r>
      <w:r>
        <w:rPr>
          <w:rFonts w:hint="eastAsia" w:cs="宋体"/>
          <w:color w:val="auto"/>
          <w:sz w:val="21"/>
          <w:szCs w:val="21"/>
          <w:highlight w:val="none"/>
          <w:lang w:val="en-US" w:eastAsia="zh-CN"/>
        </w:rPr>
        <w:t xml:space="preserve">  服务</w:t>
      </w:r>
      <w:r>
        <w:rPr>
          <w:rFonts w:hint="eastAsia" w:ascii="宋体" w:hAnsi="宋体" w:cs="宋体"/>
          <w:color w:val="auto"/>
          <w:sz w:val="21"/>
          <w:szCs w:val="21"/>
          <w:highlight w:val="none"/>
        </w:rPr>
        <w:t>要求</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_Toc25701 \h </w:instrText>
      </w:r>
      <w:r>
        <w:rPr>
          <w:rFonts w:hint="eastAsia" w:cs="宋体"/>
          <w:color w:val="auto"/>
          <w:sz w:val="21"/>
          <w:highlight w:val="none"/>
        </w:rPr>
        <w:fldChar w:fldCharType="separate"/>
      </w:r>
      <w:r>
        <w:rPr>
          <w:rFonts w:hint="eastAsia" w:cs="宋体"/>
          <w:color w:val="auto"/>
          <w:sz w:val="21"/>
          <w:highlight w:val="none"/>
        </w:rPr>
        <w:t>51</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690B66C5">
      <w:pPr>
        <w:pStyle w:val="20"/>
        <w:tabs>
          <w:tab w:val="right" w:leader="dot" w:pos="9360"/>
        </w:tabs>
        <w:spacing w:line="320" w:lineRule="exact"/>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_Toc2159 </w:instrText>
      </w:r>
      <w:r>
        <w:rPr>
          <w:rFonts w:hint="eastAsia" w:ascii="宋体" w:hAnsi="宋体" w:cs="宋体"/>
          <w:color w:val="auto"/>
          <w:kern w:val="0"/>
          <w:sz w:val="21"/>
          <w:highlight w:val="none"/>
        </w:rPr>
        <w:fldChar w:fldCharType="separate"/>
      </w:r>
      <w:r>
        <w:rPr>
          <w:rFonts w:hint="eastAsia" w:ascii="宋体" w:hAnsi="宋体" w:cs="宋体"/>
          <w:color w:val="auto"/>
          <w:sz w:val="21"/>
          <w:highlight w:val="none"/>
        </w:rPr>
        <w:t>第三卷</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_Toc2159 \h </w:instrText>
      </w:r>
      <w:r>
        <w:rPr>
          <w:rFonts w:hint="eastAsia" w:cs="宋体"/>
          <w:color w:val="auto"/>
          <w:sz w:val="21"/>
          <w:highlight w:val="none"/>
        </w:rPr>
        <w:fldChar w:fldCharType="separate"/>
      </w:r>
      <w:r>
        <w:rPr>
          <w:rFonts w:hint="eastAsia" w:cs="宋体"/>
          <w:color w:val="auto"/>
          <w:sz w:val="21"/>
          <w:highlight w:val="none"/>
        </w:rPr>
        <w:t>52</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3F1A732B">
      <w:pPr>
        <w:pStyle w:val="20"/>
        <w:tabs>
          <w:tab w:val="right" w:leader="dot" w:pos="9360"/>
        </w:tabs>
        <w:spacing w:line="320" w:lineRule="exact"/>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_Toc7974 </w:instrText>
      </w:r>
      <w:r>
        <w:rPr>
          <w:rFonts w:hint="eastAsia" w:ascii="宋体" w:hAnsi="宋体" w:cs="宋体"/>
          <w:color w:val="auto"/>
          <w:kern w:val="0"/>
          <w:sz w:val="21"/>
          <w:highlight w:val="none"/>
        </w:rPr>
        <w:fldChar w:fldCharType="separate"/>
      </w:r>
      <w:r>
        <w:rPr>
          <w:rFonts w:hint="eastAsia" w:ascii="宋体" w:hAnsi="宋体" w:cs="宋体"/>
          <w:color w:val="auto"/>
          <w:sz w:val="21"/>
          <w:szCs w:val="21"/>
          <w:highlight w:val="none"/>
        </w:rPr>
        <w:t>第六章  投标文件格式</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_Toc7974 \h </w:instrText>
      </w:r>
      <w:r>
        <w:rPr>
          <w:rFonts w:hint="eastAsia" w:cs="宋体"/>
          <w:color w:val="auto"/>
          <w:sz w:val="21"/>
          <w:highlight w:val="none"/>
        </w:rPr>
        <w:fldChar w:fldCharType="separate"/>
      </w:r>
      <w:r>
        <w:rPr>
          <w:rFonts w:hint="eastAsia" w:cs="宋体"/>
          <w:color w:val="auto"/>
          <w:sz w:val="21"/>
          <w:highlight w:val="none"/>
        </w:rPr>
        <w:t>53</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66C2F53B">
      <w:pPr>
        <w:pStyle w:val="21"/>
        <w:tabs>
          <w:tab w:val="right" w:leader="dot" w:pos="9360"/>
        </w:tabs>
        <w:spacing w:line="320" w:lineRule="exact"/>
        <w:ind w:firstLine="630" w:firstLineChars="300"/>
        <w:rPr>
          <w:rFonts w:hint="eastAsia" w:ascii="宋体" w:hAnsi="宋体" w:cs="宋体"/>
          <w:color w:val="auto"/>
          <w:sz w:val="21"/>
          <w:szCs w:val="21"/>
          <w:highlight w:val="none"/>
        </w:rPr>
      </w:pPr>
      <w:r>
        <w:rPr>
          <w:rFonts w:hint="eastAsia" w:ascii="宋体" w:hAnsi="宋体" w:cs="宋体"/>
          <w:color w:val="auto"/>
          <w:kern w:val="0"/>
          <w:sz w:val="21"/>
          <w:szCs w:val="21"/>
          <w:highlight w:val="none"/>
        </w:rPr>
        <w:fldChar w:fldCharType="begin"/>
      </w:r>
      <w:r>
        <w:rPr>
          <w:rFonts w:hint="eastAsia" w:ascii="宋体" w:hAnsi="宋体" w:cs="宋体"/>
          <w:color w:val="auto"/>
          <w:kern w:val="0"/>
          <w:sz w:val="21"/>
          <w:szCs w:val="21"/>
          <w:highlight w:val="none"/>
        </w:rPr>
        <w:instrText xml:space="preserve"> HYPERLINK \l _Toc17843 </w:instrText>
      </w:r>
      <w:r>
        <w:rPr>
          <w:rFonts w:hint="eastAsia" w:ascii="宋体" w:hAnsi="宋体" w:cs="宋体"/>
          <w:color w:val="auto"/>
          <w:kern w:val="0"/>
          <w:sz w:val="21"/>
          <w:szCs w:val="21"/>
          <w:highlight w:val="none"/>
        </w:rPr>
        <w:fldChar w:fldCharType="separate"/>
      </w:r>
      <w:r>
        <w:rPr>
          <w:rFonts w:hint="eastAsia" w:ascii="宋体" w:hAnsi="宋体" w:cs="宋体"/>
          <w:bCs/>
          <w:color w:val="auto"/>
          <w:spacing w:val="2"/>
          <w:position w:val="-1"/>
          <w:sz w:val="21"/>
          <w:szCs w:val="21"/>
          <w:highlight w:val="none"/>
        </w:rPr>
        <w:t>投标文件编制要求</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_Toc17843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53</w:t>
      </w:r>
      <w:r>
        <w:rPr>
          <w:rFonts w:hint="eastAsia" w:ascii="宋体" w:hAnsi="宋体" w:cs="宋体"/>
          <w:color w:val="auto"/>
          <w:sz w:val="21"/>
          <w:szCs w:val="21"/>
          <w:highlight w:val="none"/>
        </w:rPr>
        <w:fldChar w:fldCharType="end"/>
      </w:r>
      <w:r>
        <w:rPr>
          <w:rFonts w:hint="eastAsia" w:ascii="宋体" w:hAnsi="宋体" w:cs="宋体"/>
          <w:color w:val="auto"/>
          <w:kern w:val="0"/>
          <w:sz w:val="21"/>
          <w:szCs w:val="21"/>
          <w:highlight w:val="none"/>
        </w:rPr>
        <w:fldChar w:fldCharType="end"/>
      </w:r>
    </w:p>
    <w:p w14:paraId="7B80076E">
      <w:pPr>
        <w:pStyle w:val="20"/>
        <w:tabs>
          <w:tab w:val="right" w:leader="dot" w:pos="9360"/>
        </w:tabs>
        <w:spacing w:line="320" w:lineRule="exact"/>
        <w:ind w:firstLine="840" w:firstLineChars="400"/>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_Toc22356 </w:instrText>
      </w:r>
      <w:r>
        <w:rPr>
          <w:rFonts w:hint="eastAsia" w:ascii="宋体" w:hAnsi="宋体" w:cs="宋体"/>
          <w:color w:val="auto"/>
          <w:kern w:val="0"/>
          <w:sz w:val="21"/>
          <w:highlight w:val="none"/>
        </w:rPr>
        <w:fldChar w:fldCharType="separate"/>
      </w:r>
      <w:r>
        <w:rPr>
          <w:rFonts w:hint="eastAsia" w:ascii="宋体" w:hAnsi="宋体" w:cs="宋体"/>
          <w:color w:val="auto"/>
          <w:spacing w:val="2"/>
          <w:position w:val="-1"/>
          <w:sz w:val="21"/>
          <w:szCs w:val="21"/>
          <w:highlight w:val="none"/>
        </w:rPr>
        <w:t>格式一：投标书</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_Toc22356 \h </w:instrText>
      </w:r>
      <w:r>
        <w:rPr>
          <w:rFonts w:hint="eastAsia" w:cs="宋体"/>
          <w:color w:val="auto"/>
          <w:sz w:val="21"/>
          <w:highlight w:val="none"/>
        </w:rPr>
        <w:fldChar w:fldCharType="separate"/>
      </w:r>
      <w:r>
        <w:rPr>
          <w:rFonts w:hint="eastAsia" w:cs="宋体"/>
          <w:color w:val="auto"/>
          <w:sz w:val="21"/>
          <w:highlight w:val="none"/>
        </w:rPr>
        <w:t>55</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13E76087">
      <w:pPr>
        <w:pStyle w:val="20"/>
        <w:tabs>
          <w:tab w:val="right" w:leader="dot" w:pos="9360"/>
        </w:tabs>
        <w:spacing w:line="320" w:lineRule="exact"/>
        <w:ind w:firstLine="840" w:firstLineChars="400"/>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_Toc24384 </w:instrText>
      </w:r>
      <w:r>
        <w:rPr>
          <w:rFonts w:hint="eastAsia" w:ascii="宋体" w:hAnsi="宋体" w:cs="宋体"/>
          <w:color w:val="auto"/>
          <w:kern w:val="0"/>
          <w:sz w:val="21"/>
          <w:highlight w:val="none"/>
        </w:rPr>
        <w:fldChar w:fldCharType="separate"/>
      </w:r>
      <w:r>
        <w:rPr>
          <w:rFonts w:hint="eastAsia" w:ascii="宋体" w:hAnsi="宋体" w:cs="宋体"/>
          <w:color w:val="auto"/>
          <w:spacing w:val="2"/>
          <w:position w:val="-1"/>
          <w:sz w:val="21"/>
          <w:szCs w:val="21"/>
          <w:highlight w:val="none"/>
        </w:rPr>
        <w:t>格式二：法定代表人身份证明书</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_Toc24384 \h </w:instrText>
      </w:r>
      <w:r>
        <w:rPr>
          <w:rFonts w:hint="eastAsia" w:cs="宋体"/>
          <w:color w:val="auto"/>
          <w:sz w:val="21"/>
          <w:highlight w:val="none"/>
        </w:rPr>
        <w:fldChar w:fldCharType="separate"/>
      </w:r>
      <w:r>
        <w:rPr>
          <w:rFonts w:hint="eastAsia" w:cs="宋体"/>
          <w:color w:val="auto"/>
          <w:sz w:val="21"/>
          <w:highlight w:val="none"/>
        </w:rPr>
        <w:t>56</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2B5BC082">
      <w:pPr>
        <w:pStyle w:val="20"/>
        <w:tabs>
          <w:tab w:val="right" w:leader="dot" w:pos="9360"/>
        </w:tabs>
        <w:spacing w:line="320" w:lineRule="exact"/>
        <w:ind w:firstLine="840" w:firstLineChars="400"/>
        <w:rPr>
          <w:rFonts w:hint="eastAsia" w:eastAsia="宋体" w:cs="宋体"/>
          <w:color w:val="auto"/>
          <w:sz w:val="21"/>
          <w:highlight w:val="none"/>
          <w:lang w:val="en-US" w:eastAsia="zh-CN"/>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_Toc2644 </w:instrText>
      </w:r>
      <w:r>
        <w:rPr>
          <w:rFonts w:hint="eastAsia" w:ascii="宋体" w:hAnsi="宋体" w:cs="宋体"/>
          <w:color w:val="auto"/>
          <w:kern w:val="0"/>
          <w:sz w:val="21"/>
          <w:highlight w:val="none"/>
        </w:rPr>
        <w:fldChar w:fldCharType="separate"/>
      </w:r>
      <w:r>
        <w:rPr>
          <w:rFonts w:hint="eastAsia" w:ascii="宋体" w:hAnsi="宋体" w:cs="宋体"/>
          <w:color w:val="auto"/>
          <w:spacing w:val="0"/>
          <w:position w:val="0"/>
          <w:sz w:val="21"/>
          <w:szCs w:val="21"/>
          <w:highlight w:val="none"/>
        </w:rPr>
        <w:t>格式三：</w:t>
      </w:r>
      <w:r>
        <w:rPr>
          <w:rFonts w:hint="eastAsia" w:ascii="宋体" w:hAnsi="宋体"/>
          <w:color w:val="auto"/>
          <w:spacing w:val="2"/>
          <w:position w:val="-1"/>
          <w:sz w:val="21"/>
          <w:szCs w:val="21"/>
          <w:highlight w:val="none"/>
        </w:rPr>
        <w:t>法定代表人授权委托书</w:t>
      </w:r>
      <w:r>
        <w:rPr>
          <w:rFonts w:hint="eastAsia" w:ascii="宋体" w:hAnsi="宋体"/>
          <w:color w:val="auto"/>
          <w:spacing w:val="2"/>
          <w:position w:val="-1"/>
          <w:sz w:val="21"/>
          <w:szCs w:val="21"/>
          <w:highlight w:val="none"/>
          <w:lang w:eastAsia="zh-CN"/>
        </w:rPr>
        <w:t>（</w:t>
      </w:r>
      <w:r>
        <w:rPr>
          <w:rFonts w:hint="eastAsia" w:ascii="宋体" w:hAnsi="宋体"/>
          <w:color w:val="auto"/>
          <w:spacing w:val="2"/>
          <w:position w:val="-1"/>
          <w:sz w:val="21"/>
          <w:szCs w:val="21"/>
          <w:highlight w:val="none"/>
          <w:lang w:val="en-US" w:eastAsia="zh-CN"/>
        </w:rPr>
        <w:t>如有</w:t>
      </w:r>
      <w:r>
        <w:rPr>
          <w:rFonts w:hint="eastAsia" w:ascii="宋体" w:hAnsi="宋体"/>
          <w:color w:val="auto"/>
          <w:spacing w:val="2"/>
          <w:position w:val="-1"/>
          <w:sz w:val="21"/>
          <w:szCs w:val="21"/>
          <w:highlight w:val="none"/>
          <w:lang w:eastAsia="zh-CN"/>
        </w:rPr>
        <w:t>）</w:t>
      </w:r>
      <w:r>
        <w:rPr>
          <w:rFonts w:hint="eastAsia" w:cs="宋体"/>
          <w:color w:val="auto"/>
          <w:sz w:val="21"/>
          <w:highlight w:val="none"/>
        </w:rPr>
        <w:tab/>
      </w:r>
      <w:r>
        <w:rPr>
          <w:rFonts w:hint="eastAsia" w:cs="宋体"/>
          <w:color w:val="auto"/>
          <w:sz w:val="21"/>
          <w:highlight w:val="none"/>
          <w:lang w:val="en-US" w:eastAsia="zh-CN"/>
        </w:rPr>
        <w:t>5</w:t>
      </w:r>
      <w:r>
        <w:rPr>
          <w:rFonts w:hint="eastAsia" w:ascii="宋体" w:hAnsi="宋体" w:cs="宋体"/>
          <w:color w:val="auto"/>
          <w:kern w:val="0"/>
          <w:sz w:val="21"/>
          <w:highlight w:val="none"/>
        </w:rPr>
        <w:fldChar w:fldCharType="end"/>
      </w:r>
      <w:r>
        <w:rPr>
          <w:rFonts w:hint="eastAsia" w:cs="宋体"/>
          <w:color w:val="auto"/>
          <w:kern w:val="0"/>
          <w:sz w:val="21"/>
          <w:highlight w:val="none"/>
          <w:lang w:val="en-US" w:eastAsia="zh-CN"/>
        </w:rPr>
        <w:t>8</w:t>
      </w:r>
    </w:p>
    <w:p w14:paraId="1DAD150D">
      <w:pPr>
        <w:pStyle w:val="20"/>
        <w:tabs>
          <w:tab w:val="right" w:leader="dot" w:pos="9360"/>
        </w:tabs>
        <w:spacing w:line="320" w:lineRule="exact"/>
        <w:ind w:firstLine="840" w:firstLineChars="400"/>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_Toc18367 </w:instrText>
      </w:r>
      <w:r>
        <w:rPr>
          <w:rFonts w:hint="eastAsia" w:ascii="宋体" w:hAnsi="宋体" w:cs="宋体"/>
          <w:color w:val="auto"/>
          <w:kern w:val="0"/>
          <w:sz w:val="21"/>
          <w:highlight w:val="none"/>
        </w:rPr>
        <w:fldChar w:fldCharType="separate"/>
      </w:r>
      <w:r>
        <w:rPr>
          <w:rFonts w:hint="eastAsia" w:ascii="宋体" w:hAnsi="宋体" w:cs="宋体"/>
          <w:color w:val="auto"/>
          <w:spacing w:val="0"/>
          <w:position w:val="0"/>
          <w:sz w:val="21"/>
          <w:szCs w:val="21"/>
          <w:highlight w:val="none"/>
        </w:rPr>
        <w:t>格式四：</w:t>
      </w:r>
      <w:r>
        <w:rPr>
          <w:rFonts w:hint="eastAsia" w:ascii="宋体" w:hAnsi="宋体" w:eastAsia="宋体" w:cs="宋体"/>
          <w:color w:val="auto"/>
          <w:spacing w:val="0"/>
          <w:position w:val="0"/>
          <w:sz w:val="21"/>
          <w:szCs w:val="21"/>
          <w:highlight w:val="none"/>
        </w:rPr>
        <w:t>投标</w:t>
      </w:r>
      <w:r>
        <w:rPr>
          <w:rFonts w:hint="eastAsia" w:ascii="宋体" w:hAnsi="宋体" w:cs="宋体"/>
          <w:color w:val="auto"/>
          <w:spacing w:val="0"/>
          <w:position w:val="0"/>
          <w:sz w:val="21"/>
          <w:szCs w:val="21"/>
          <w:highlight w:val="none"/>
        </w:rPr>
        <w:t>人声明</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_Toc18367 \h </w:instrText>
      </w:r>
      <w:r>
        <w:rPr>
          <w:rFonts w:hint="eastAsia" w:cs="宋体"/>
          <w:color w:val="auto"/>
          <w:sz w:val="21"/>
          <w:highlight w:val="none"/>
        </w:rPr>
        <w:fldChar w:fldCharType="separate"/>
      </w:r>
      <w:r>
        <w:rPr>
          <w:rFonts w:hint="eastAsia" w:cs="宋体"/>
          <w:color w:val="auto"/>
          <w:sz w:val="21"/>
          <w:highlight w:val="none"/>
        </w:rPr>
        <w:t>59</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477D035F">
      <w:pPr>
        <w:pStyle w:val="20"/>
        <w:tabs>
          <w:tab w:val="right" w:leader="dot" w:pos="9360"/>
        </w:tabs>
        <w:spacing w:line="320" w:lineRule="exact"/>
        <w:ind w:firstLine="840" w:firstLineChars="400"/>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_Toc32248 </w:instrText>
      </w:r>
      <w:r>
        <w:rPr>
          <w:rFonts w:hint="eastAsia" w:ascii="宋体" w:hAnsi="宋体" w:cs="宋体"/>
          <w:color w:val="auto"/>
          <w:kern w:val="0"/>
          <w:sz w:val="21"/>
          <w:highlight w:val="none"/>
        </w:rPr>
        <w:fldChar w:fldCharType="separate"/>
      </w:r>
      <w:r>
        <w:rPr>
          <w:rFonts w:hint="eastAsia" w:ascii="宋体" w:hAnsi="宋体" w:eastAsia="宋体" w:cs="宋体"/>
          <w:color w:val="auto"/>
          <w:spacing w:val="0"/>
          <w:position w:val="0"/>
          <w:sz w:val="21"/>
          <w:szCs w:val="21"/>
          <w:highlight w:val="none"/>
        </w:rPr>
        <w:t>格式五：</w:t>
      </w:r>
      <w:r>
        <w:rPr>
          <w:rFonts w:hint="eastAsia" w:cs="宋体"/>
          <w:color w:val="auto"/>
          <w:spacing w:val="0"/>
          <w:position w:val="0"/>
          <w:sz w:val="21"/>
          <w:szCs w:val="21"/>
          <w:highlight w:val="none"/>
          <w:lang w:eastAsia="zh-CN"/>
        </w:rPr>
        <w:t>咨询服务费</w:t>
      </w:r>
      <w:r>
        <w:rPr>
          <w:rFonts w:hint="eastAsia" w:ascii="宋体" w:hAnsi="宋体" w:eastAsia="宋体" w:cs="宋体"/>
          <w:color w:val="auto"/>
          <w:spacing w:val="0"/>
          <w:position w:val="0"/>
          <w:sz w:val="21"/>
          <w:szCs w:val="21"/>
          <w:highlight w:val="none"/>
        </w:rPr>
        <w:t>计算表</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_Toc32248 \h </w:instrText>
      </w:r>
      <w:r>
        <w:rPr>
          <w:rFonts w:hint="eastAsia" w:cs="宋体"/>
          <w:color w:val="auto"/>
          <w:sz w:val="21"/>
          <w:highlight w:val="none"/>
        </w:rPr>
        <w:fldChar w:fldCharType="separate"/>
      </w:r>
      <w:r>
        <w:rPr>
          <w:rFonts w:hint="eastAsia" w:cs="宋体"/>
          <w:color w:val="auto"/>
          <w:sz w:val="21"/>
          <w:highlight w:val="none"/>
        </w:rPr>
        <w:t>60</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414F0190">
      <w:pPr>
        <w:pStyle w:val="20"/>
        <w:tabs>
          <w:tab w:val="right" w:leader="dot" w:pos="9360"/>
        </w:tabs>
        <w:spacing w:line="320" w:lineRule="exact"/>
        <w:ind w:firstLine="840" w:firstLineChars="400"/>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_Toc20628 </w:instrText>
      </w:r>
      <w:r>
        <w:rPr>
          <w:rFonts w:hint="eastAsia" w:ascii="宋体" w:hAnsi="宋体" w:cs="宋体"/>
          <w:color w:val="auto"/>
          <w:kern w:val="0"/>
          <w:sz w:val="21"/>
          <w:highlight w:val="none"/>
        </w:rPr>
        <w:fldChar w:fldCharType="separate"/>
      </w:r>
      <w:r>
        <w:rPr>
          <w:rFonts w:hint="eastAsia" w:ascii="宋体" w:hAnsi="宋体" w:eastAsia="宋体" w:cs="宋体"/>
          <w:color w:val="auto"/>
          <w:spacing w:val="0"/>
          <w:position w:val="0"/>
          <w:sz w:val="21"/>
          <w:szCs w:val="21"/>
          <w:highlight w:val="none"/>
        </w:rPr>
        <w:t>格式六：拟委任的主要人员汇总表及主要人员简历表</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_Toc20628 \h </w:instrText>
      </w:r>
      <w:r>
        <w:rPr>
          <w:rFonts w:hint="eastAsia" w:cs="宋体"/>
          <w:color w:val="auto"/>
          <w:sz w:val="21"/>
          <w:highlight w:val="none"/>
        </w:rPr>
        <w:fldChar w:fldCharType="separate"/>
      </w:r>
      <w:r>
        <w:rPr>
          <w:rFonts w:hint="eastAsia" w:cs="宋体"/>
          <w:color w:val="auto"/>
          <w:sz w:val="21"/>
          <w:highlight w:val="none"/>
        </w:rPr>
        <w:t>61</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4AA9DB2C">
      <w:pPr>
        <w:pStyle w:val="20"/>
        <w:tabs>
          <w:tab w:val="right" w:leader="dot" w:pos="9360"/>
        </w:tabs>
        <w:spacing w:line="320" w:lineRule="exact"/>
        <w:ind w:firstLine="840" w:firstLineChars="400"/>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_Toc30427 </w:instrText>
      </w:r>
      <w:r>
        <w:rPr>
          <w:rFonts w:hint="eastAsia" w:ascii="宋体" w:hAnsi="宋体" w:cs="宋体"/>
          <w:color w:val="auto"/>
          <w:kern w:val="0"/>
          <w:sz w:val="21"/>
          <w:highlight w:val="none"/>
        </w:rPr>
        <w:fldChar w:fldCharType="separate"/>
      </w:r>
      <w:r>
        <w:rPr>
          <w:rFonts w:hint="eastAsia" w:ascii="宋体" w:hAnsi="宋体" w:cs="宋体"/>
          <w:color w:val="auto"/>
          <w:spacing w:val="0"/>
          <w:position w:val="0"/>
          <w:sz w:val="21"/>
          <w:szCs w:val="21"/>
          <w:highlight w:val="none"/>
        </w:rPr>
        <w:t>格式七：</w:t>
      </w:r>
      <w:r>
        <w:rPr>
          <w:rFonts w:hint="eastAsia" w:ascii="宋体" w:hAnsi="宋体" w:cs="宋体"/>
          <w:color w:val="auto"/>
          <w:spacing w:val="0"/>
          <w:position w:val="0"/>
          <w:sz w:val="21"/>
          <w:szCs w:val="21"/>
          <w:highlight w:val="none"/>
          <w:lang w:eastAsia="zh-CN"/>
        </w:rPr>
        <w:t>类似业绩</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_Toc30427 \h </w:instrText>
      </w:r>
      <w:r>
        <w:rPr>
          <w:rFonts w:hint="eastAsia" w:cs="宋体"/>
          <w:color w:val="auto"/>
          <w:sz w:val="21"/>
          <w:highlight w:val="none"/>
        </w:rPr>
        <w:fldChar w:fldCharType="separate"/>
      </w:r>
      <w:r>
        <w:rPr>
          <w:rFonts w:hint="eastAsia" w:cs="宋体"/>
          <w:color w:val="auto"/>
          <w:sz w:val="21"/>
          <w:highlight w:val="none"/>
        </w:rPr>
        <w:t>63</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303F0364">
      <w:pPr>
        <w:pStyle w:val="20"/>
        <w:tabs>
          <w:tab w:val="right" w:leader="dot" w:pos="9360"/>
        </w:tabs>
        <w:spacing w:line="320" w:lineRule="exact"/>
        <w:ind w:firstLine="840" w:firstLineChars="400"/>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_Toc28643 </w:instrText>
      </w:r>
      <w:r>
        <w:rPr>
          <w:rFonts w:hint="eastAsia" w:ascii="宋体" w:hAnsi="宋体" w:cs="宋体"/>
          <w:color w:val="auto"/>
          <w:kern w:val="0"/>
          <w:sz w:val="21"/>
          <w:highlight w:val="none"/>
        </w:rPr>
        <w:fldChar w:fldCharType="separate"/>
      </w:r>
      <w:r>
        <w:rPr>
          <w:rFonts w:hint="eastAsia" w:ascii="宋体" w:hAnsi="宋体" w:eastAsia="宋体" w:cs="宋体"/>
          <w:color w:val="auto"/>
          <w:spacing w:val="0"/>
          <w:position w:val="0"/>
          <w:sz w:val="21"/>
          <w:szCs w:val="21"/>
          <w:highlight w:val="none"/>
          <w:lang w:eastAsia="zh-CN"/>
        </w:rPr>
        <w:t>格式八  企业获奖情况</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_Toc28643 \h </w:instrText>
      </w:r>
      <w:r>
        <w:rPr>
          <w:rFonts w:hint="eastAsia" w:cs="宋体"/>
          <w:color w:val="auto"/>
          <w:sz w:val="21"/>
          <w:highlight w:val="none"/>
        </w:rPr>
        <w:fldChar w:fldCharType="separate"/>
      </w:r>
      <w:r>
        <w:rPr>
          <w:rFonts w:hint="eastAsia" w:cs="宋体"/>
          <w:color w:val="auto"/>
          <w:sz w:val="21"/>
          <w:highlight w:val="none"/>
        </w:rPr>
        <w:t>64</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22A733CA">
      <w:pPr>
        <w:pStyle w:val="20"/>
        <w:tabs>
          <w:tab w:val="right" w:leader="dot" w:pos="9360"/>
        </w:tabs>
        <w:spacing w:line="320" w:lineRule="exact"/>
        <w:ind w:firstLine="840" w:firstLineChars="400"/>
        <w:rPr>
          <w:rFonts w:hint="eastAsia" w:cs="宋体"/>
          <w:color w:val="auto"/>
          <w:sz w:val="21"/>
          <w:highlight w:val="none"/>
        </w:rPr>
      </w:pPr>
      <w:r>
        <w:rPr>
          <w:rFonts w:hint="eastAsia" w:ascii="宋体" w:hAnsi="宋体" w:cs="宋体"/>
          <w:color w:val="auto"/>
          <w:kern w:val="0"/>
          <w:sz w:val="21"/>
          <w:highlight w:val="none"/>
        </w:rPr>
        <w:fldChar w:fldCharType="begin"/>
      </w:r>
      <w:r>
        <w:rPr>
          <w:rFonts w:hint="eastAsia" w:ascii="宋体" w:hAnsi="宋体" w:cs="宋体"/>
          <w:color w:val="auto"/>
          <w:kern w:val="0"/>
          <w:sz w:val="21"/>
          <w:highlight w:val="none"/>
        </w:rPr>
        <w:instrText xml:space="preserve"> HYPERLINK \l _Toc11940 </w:instrText>
      </w:r>
      <w:r>
        <w:rPr>
          <w:rFonts w:hint="eastAsia" w:ascii="宋体" w:hAnsi="宋体" w:cs="宋体"/>
          <w:color w:val="auto"/>
          <w:kern w:val="0"/>
          <w:sz w:val="21"/>
          <w:highlight w:val="none"/>
        </w:rPr>
        <w:fldChar w:fldCharType="separate"/>
      </w:r>
      <w:r>
        <w:rPr>
          <w:rFonts w:hint="eastAsia" w:ascii="宋体" w:hAnsi="宋体" w:cs="宋体"/>
          <w:color w:val="auto"/>
          <w:spacing w:val="0"/>
          <w:position w:val="0"/>
          <w:sz w:val="21"/>
          <w:szCs w:val="21"/>
          <w:highlight w:val="none"/>
        </w:rPr>
        <w:t>格式</w:t>
      </w:r>
      <w:r>
        <w:rPr>
          <w:rFonts w:hint="eastAsia" w:ascii="宋体" w:hAnsi="宋体" w:cs="宋体"/>
          <w:color w:val="auto"/>
          <w:spacing w:val="0"/>
          <w:position w:val="0"/>
          <w:sz w:val="21"/>
          <w:szCs w:val="21"/>
          <w:highlight w:val="none"/>
          <w:lang w:val="en-US" w:eastAsia="zh-CN"/>
        </w:rPr>
        <w:t>九</w:t>
      </w:r>
      <w:r>
        <w:rPr>
          <w:rFonts w:hint="eastAsia" w:ascii="宋体" w:hAnsi="宋体" w:cs="宋体"/>
          <w:color w:val="auto"/>
          <w:spacing w:val="0"/>
          <w:position w:val="0"/>
          <w:sz w:val="21"/>
          <w:szCs w:val="21"/>
          <w:highlight w:val="none"/>
        </w:rPr>
        <w:t>：其他资料</w:t>
      </w:r>
      <w:r>
        <w:rPr>
          <w:rFonts w:hint="eastAsia" w:cs="宋体"/>
          <w:color w:val="auto"/>
          <w:sz w:val="21"/>
          <w:highlight w:val="none"/>
        </w:rPr>
        <w:tab/>
      </w:r>
      <w:r>
        <w:rPr>
          <w:rFonts w:hint="eastAsia" w:cs="宋体"/>
          <w:color w:val="auto"/>
          <w:sz w:val="21"/>
          <w:highlight w:val="none"/>
        </w:rPr>
        <w:fldChar w:fldCharType="begin"/>
      </w:r>
      <w:r>
        <w:rPr>
          <w:rFonts w:hint="eastAsia" w:cs="宋体"/>
          <w:color w:val="auto"/>
          <w:sz w:val="21"/>
          <w:highlight w:val="none"/>
        </w:rPr>
        <w:instrText xml:space="preserve"> PAGEREF _Toc11940 \h </w:instrText>
      </w:r>
      <w:r>
        <w:rPr>
          <w:rFonts w:hint="eastAsia" w:cs="宋体"/>
          <w:color w:val="auto"/>
          <w:sz w:val="21"/>
          <w:highlight w:val="none"/>
        </w:rPr>
        <w:fldChar w:fldCharType="separate"/>
      </w:r>
      <w:r>
        <w:rPr>
          <w:rFonts w:hint="eastAsia" w:cs="宋体"/>
          <w:color w:val="auto"/>
          <w:sz w:val="21"/>
          <w:highlight w:val="none"/>
        </w:rPr>
        <w:t>65</w:t>
      </w:r>
      <w:r>
        <w:rPr>
          <w:rFonts w:hint="eastAsia" w:cs="宋体"/>
          <w:color w:val="auto"/>
          <w:sz w:val="21"/>
          <w:highlight w:val="none"/>
        </w:rPr>
        <w:fldChar w:fldCharType="end"/>
      </w:r>
      <w:r>
        <w:rPr>
          <w:rFonts w:hint="eastAsia" w:ascii="宋体" w:hAnsi="宋体" w:cs="宋体"/>
          <w:color w:val="auto"/>
          <w:kern w:val="0"/>
          <w:sz w:val="21"/>
          <w:highlight w:val="none"/>
        </w:rPr>
        <w:fldChar w:fldCharType="end"/>
      </w:r>
    </w:p>
    <w:p w14:paraId="0C2FEEF4">
      <w:pPr>
        <w:spacing w:line="320" w:lineRule="exact"/>
        <w:rPr>
          <w:rFonts w:hint="eastAsia" w:ascii="宋体" w:hAnsi="宋体" w:cs="宋体"/>
          <w:color w:val="auto"/>
          <w:highlight w:val="none"/>
        </w:rPr>
      </w:pPr>
      <w:r>
        <w:rPr>
          <w:rFonts w:hint="eastAsia" w:ascii="宋体" w:hAnsi="宋体" w:cs="宋体"/>
          <w:color w:val="auto"/>
          <w:kern w:val="0"/>
          <w:sz w:val="21"/>
          <w:szCs w:val="21"/>
          <w:highlight w:val="none"/>
        </w:rPr>
        <w:fldChar w:fldCharType="end"/>
      </w:r>
    </w:p>
    <w:p w14:paraId="4DAFD72B">
      <w:pPr>
        <w:rPr>
          <w:rFonts w:hint="eastAsia" w:ascii="宋体" w:hAnsi="宋体" w:eastAsia="宋体" w:cs="宋体"/>
          <w:color w:val="auto"/>
          <w:highlight w:val="none"/>
        </w:rPr>
        <w:sectPr>
          <w:footerReference r:id="rId4" w:type="default"/>
          <w:pgSz w:w="12240" w:h="15840"/>
          <w:pgMar w:top="1440" w:right="1440" w:bottom="1440" w:left="1440" w:header="720" w:footer="720" w:gutter="0"/>
          <w:pgNumType w:fmt="decimal" w:start="1"/>
          <w:cols w:space="720" w:num="1"/>
        </w:sectPr>
      </w:pPr>
    </w:p>
    <w:p w14:paraId="3E2A394A">
      <w:pPr>
        <w:rPr>
          <w:rFonts w:hint="eastAsia" w:ascii="宋体" w:hAnsi="宋体" w:cs="宋体"/>
          <w:color w:val="auto"/>
          <w:highlight w:val="none"/>
        </w:rPr>
      </w:pPr>
    </w:p>
    <w:p w14:paraId="74476314">
      <w:pPr>
        <w:rPr>
          <w:rFonts w:hint="eastAsia" w:ascii="宋体" w:hAnsi="宋体" w:cs="宋体"/>
          <w:color w:val="auto"/>
          <w:highlight w:val="none"/>
        </w:rPr>
      </w:pPr>
    </w:p>
    <w:p w14:paraId="27C7003F">
      <w:pPr>
        <w:rPr>
          <w:rFonts w:hint="eastAsia" w:ascii="宋体" w:hAnsi="宋体" w:cs="宋体"/>
          <w:color w:val="auto"/>
          <w:highlight w:val="none"/>
        </w:rPr>
      </w:pPr>
    </w:p>
    <w:p w14:paraId="556B8BED">
      <w:pPr>
        <w:rPr>
          <w:rFonts w:hint="eastAsia" w:ascii="宋体" w:hAnsi="宋体" w:cs="宋体"/>
          <w:color w:val="auto"/>
          <w:highlight w:val="none"/>
        </w:rPr>
      </w:pPr>
    </w:p>
    <w:p w14:paraId="5F43646B">
      <w:pPr>
        <w:rPr>
          <w:rFonts w:hint="eastAsia" w:ascii="宋体" w:hAnsi="宋体" w:cs="宋体"/>
          <w:color w:val="auto"/>
          <w:highlight w:val="none"/>
        </w:rPr>
      </w:pPr>
    </w:p>
    <w:p w14:paraId="350F53C3">
      <w:pPr>
        <w:rPr>
          <w:rFonts w:hint="eastAsia" w:ascii="宋体" w:hAnsi="宋体" w:cs="宋体"/>
          <w:color w:val="auto"/>
          <w:highlight w:val="none"/>
        </w:rPr>
      </w:pPr>
    </w:p>
    <w:p w14:paraId="5B46447D">
      <w:pPr>
        <w:pStyle w:val="5"/>
        <w:rPr>
          <w:rFonts w:hint="eastAsia" w:ascii="宋体" w:hAnsi="宋体" w:cs="宋体"/>
          <w:color w:val="auto"/>
          <w:highlight w:val="none"/>
        </w:rPr>
      </w:pPr>
      <w:bookmarkStart w:id="1" w:name="_Toc1454"/>
      <w:bookmarkStart w:id="2" w:name="_Toc186418326"/>
      <w:r>
        <w:rPr>
          <w:rFonts w:hint="eastAsia" w:ascii="宋体" w:hAnsi="宋体" w:cs="宋体"/>
          <w:color w:val="auto"/>
          <w:highlight w:val="none"/>
        </w:rPr>
        <w:t>第一卷</w:t>
      </w:r>
      <w:bookmarkEnd w:id="1"/>
      <w:bookmarkEnd w:id="2"/>
    </w:p>
    <w:p w14:paraId="187E2324">
      <w:pPr>
        <w:pStyle w:val="5"/>
        <w:rPr>
          <w:rFonts w:hint="eastAsia" w:ascii="宋体" w:hAnsi="宋体" w:eastAsia="宋体" w:cs="宋体"/>
          <w:color w:val="auto"/>
          <w:highlight w:val="none"/>
        </w:rPr>
        <w:sectPr>
          <w:footerReference r:id="rId5" w:type="default"/>
          <w:pgSz w:w="12240" w:h="15840"/>
          <w:pgMar w:top="1500" w:right="1720" w:bottom="1120" w:left="1720" w:header="0" w:footer="921" w:gutter="0"/>
          <w:pgNumType w:fmt="decimal" w:start="1"/>
          <w:cols w:space="720" w:num="1"/>
        </w:sectPr>
      </w:pPr>
    </w:p>
    <w:p w14:paraId="366243B2">
      <w:pPr>
        <w:pStyle w:val="5"/>
        <w:rPr>
          <w:rFonts w:hint="eastAsia" w:ascii="宋体" w:hAnsi="宋体" w:cs="宋体"/>
          <w:color w:val="auto"/>
          <w:sz w:val="32"/>
          <w:szCs w:val="32"/>
          <w:highlight w:val="none"/>
        </w:rPr>
      </w:pPr>
      <w:bookmarkStart w:id="3" w:name="_Toc27235"/>
      <w:bookmarkStart w:id="4" w:name="_Toc186418327"/>
      <w:r>
        <w:rPr>
          <w:rFonts w:hint="eastAsia" w:ascii="宋体" w:hAnsi="宋体" w:cs="宋体"/>
          <w:color w:val="auto"/>
          <w:sz w:val="32"/>
          <w:szCs w:val="32"/>
          <w:highlight w:val="none"/>
        </w:rPr>
        <w:t>第一章  招标公告</w:t>
      </w:r>
      <w:bookmarkEnd w:id="3"/>
      <w:bookmarkEnd w:id="4"/>
    </w:p>
    <w:p w14:paraId="310E5440">
      <w:pPr>
        <w:rPr>
          <w:rFonts w:hint="eastAsia" w:ascii="宋体" w:hAnsi="宋体" w:cs="宋体"/>
          <w:color w:val="auto"/>
          <w:highlight w:val="none"/>
        </w:rPr>
      </w:pPr>
    </w:p>
    <w:p w14:paraId="2DCBABE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(另册)</w:t>
      </w:r>
    </w:p>
    <w:p w14:paraId="3320CFB7">
      <w:pPr>
        <w:jc w:val="center"/>
        <w:rPr>
          <w:rFonts w:hint="eastAsia" w:ascii="宋体" w:hAnsi="宋体" w:cs="宋体"/>
          <w:bCs/>
          <w:color w:val="auto"/>
          <w:highlight w:val="none"/>
        </w:rPr>
      </w:pPr>
      <w:r>
        <w:rPr>
          <w:rFonts w:hint="eastAsia" w:ascii="宋体" w:hAnsi="宋体" w:cs="宋体"/>
          <w:color w:val="auto"/>
          <w:highlight w:val="none"/>
        </w:rPr>
        <w:br w:type="page"/>
      </w:r>
    </w:p>
    <w:p w14:paraId="30FC6078">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cs="宋体"/>
          <w:color w:val="auto"/>
          <w:sz w:val="32"/>
          <w:szCs w:val="32"/>
          <w:highlight w:val="none"/>
        </w:rPr>
      </w:pPr>
      <w:bookmarkStart w:id="5" w:name="_Toc186418328"/>
      <w:bookmarkStart w:id="6" w:name="_Toc4850"/>
      <w:r>
        <w:rPr>
          <w:rFonts w:hint="eastAsia" w:ascii="宋体" w:hAnsi="宋体" w:cs="宋体"/>
          <w:color w:val="auto"/>
          <w:sz w:val="32"/>
          <w:szCs w:val="32"/>
          <w:highlight w:val="none"/>
        </w:rPr>
        <w:t>第二章  投标人须知</w:t>
      </w:r>
      <w:bookmarkEnd w:id="5"/>
      <w:bookmarkEnd w:id="6"/>
    </w:p>
    <w:p w14:paraId="01CE7066">
      <w:pPr>
        <w:pStyle w:val="7"/>
        <w:spacing w:before="0" w:after="0" w:line="240" w:lineRule="auto"/>
        <w:rPr>
          <w:rFonts w:hint="eastAsia" w:ascii="宋体" w:hAnsi="宋体" w:cs="宋体"/>
          <w:color w:val="auto"/>
          <w:sz w:val="28"/>
          <w:szCs w:val="28"/>
          <w:highlight w:val="none"/>
        </w:rPr>
      </w:pPr>
      <w:bookmarkStart w:id="7" w:name="_Toc27119"/>
      <w:bookmarkStart w:id="8" w:name="_Toc2993"/>
      <w:bookmarkStart w:id="9" w:name="_Toc186418329"/>
      <w:r>
        <w:rPr>
          <w:rFonts w:hint="eastAsia" w:ascii="宋体" w:hAnsi="宋体" w:cs="宋体"/>
          <w:color w:val="auto"/>
          <w:sz w:val="28"/>
          <w:szCs w:val="28"/>
          <w:highlight w:val="none"/>
        </w:rPr>
        <w:t>投标人须知前附表</w:t>
      </w:r>
      <w:bookmarkEnd w:id="7"/>
      <w:bookmarkEnd w:id="8"/>
      <w:bookmarkEnd w:id="9"/>
    </w:p>
    <w:tbl>
      <w:tblPr>
        <w:tblStyle w:val="26"/>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7"/>
        <w:gridCol w:w="2441"/>
        <w:gridCol w:w="5871"/>
      </w:tblGrid>
      <w:tr w14:paraId="4D2E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3F383EE1">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441" w:type="dxa"/>
            <w:vAlign w:val="center"/>
          </w:tcPr>
          <w:p w14:paraId="48357502">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5871" w:type="dxa"/>
            <w:vAlign w:val="center"/>
          </w:tcPr>
          <w:p w14:paraId="6810F268">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0B3E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trPr>
        <w:tc>
          <w:tcPr>
            <w:tcW w:w="787" w:type="dxa"/>
            <w:vAlign w:val="center"/>
          </w:tcPr>
          <w:p w14:paraId="798DDF3D">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441" w:type="dxa"/>
            <w:vAlign w:val="center"/>
          </w:tcPr>
          <w:p w14:paraId="744C9C84">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5871" w:type="dxa"/>
            <w:vAlign w:val="center"/>
          </w:tcPr>
          <w:p w14:paraId="63A1831C">
            <w:pPr>
              <w:pStyle w:val="37"/>
              <w:keepNext w:val="0"/>
              <w:keepLines w:val="0"/>
              <w:pageBreakBefore w:val="0"/>
              <w:widowControl w:val="0"/>
              <w:kinsoku/>
              <w:wordWrap w:val="0"/>
              <w:overflowPunct/>
              <w:topLinePunct w:val="0"/>
              <w:autoSpaceDE/>
              <w:autoSpaceDN/>
              <w:bidi w:val="0"/>
              <w:adjustRightInd/>
              <w:snapToGrid/>
              <w:spacing w:before="0" w:after="0" w:line="240" w:lineRule="auto"/>
              <w:ind w:left="110" w:leftChars="50" w:right="0" w:righ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名称：中国光大银行股份有限公司广州分行</w:t>
            </w:r>
          </w:p>
          <w:p w14:paraId="66734AC3">
            <w:pPr>
              <w:pStyle w:val="37"/>
              <w:keepNext w:val="0"/>
              <w:keepLines w:val="0"/>
              <w:pageBreakBefore w:val="0"/>
              <w:widowControl w:val="0"/>
              <w:kinsoku/>
              <w:wordWrap w:val="0"/>
              <w:overflowPunct/>
              <w:topLinePunct w:val="0"/>
              <w:autoSpaceDE/>
              <w:autoSpaceDN/>
              <w:bidi w:val="0"/>
              <w:adjustRightInd/>
              <w:snapToGrid/>
              <w:spacing w:before="0" w:after="0" w:line="240" w:lineRule="auto"/>
              <w:ind w:left="110" w:leftChars="50" w:right="0" w:righ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地址：广州市天河北路685号光大大厦21楼2112室</w:t>
            </w:r>
          </w:p>
          <w:p w14:paraId="599D2876">
            <w:pPr>
              <w:pStyle w:val="37"/>
              <w:keepNext w:val="0"/>
              <w:keepLines w:val="0"/>
              <w:pageBreakBefore w:val="0"/>
              <w:widowControl w:val="0"/>
              <w:kinsoku/>
              <w:wordWrap w:val="0"/>
              <w:overflowPunct/>
              <w:topLinePunct w:val="0"/>
              <w:autoSpaceDE/>
              <w:autoSpaceDN/>
              <w:bidi w:val="0"/>
              <w:adjustRightInd/>
              <w:snapToGrid/>
              <w:spacing w:before="0" w:after="0" w:line="240" w:lineRule="auto"/>
              <w:ind w:left="110" w:leftChars="5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李小姐</w:t>
            </w:r>
          </w:p>
          <w:p w14:paraId="08E2CC7D">
            <w:pPr>
              <w:pStyle w:val="37"/>
              <w:keepNext w:val="0"/>
              <w:keepLines w:val="0"/>
              <w:pageBreakBefore w:val="0"/>
              <w:widowControl w:val="0"/>
              <w:wordWrap w:val="0"/>
              <w:topLinePunct w:val="0"/>
              <w:autoSpaceDE/>
              <w:autoSpaceDN/>
              <w:bidi w:val="0"/>
              <w:adjustRightInd/>
              <w:snapToGrid/>
              <w:spacing w:before="0" w:after="0" w:line="240" w:lineRule="auto"/>
              <w:ind w:left="110" w:leftChars="5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电话：020-38730247</w:t>
            </w:r>
          </w:p>
        </w:tc>
      </w:tr>
      <w:tr w14:paraId="1344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atLeast"/>
        </w:trPr>
        <w:tc>
          <w:tcPr>
            <w:tcW w:w="787" w:type="dxa"/>
            <w:vAlign w:val="center"/>
          </w:tcPr>
          <w:p w14:paraId="7BD10B68">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2441" w:type="dxa"/>
            <w:vAlign w:val="center"/>
          </w:tcPr>
          <w:p w14:paraId="077B30BC">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5871" w:type="dxa"/>
            <w:vAlign w:val="center"/>
          </w:tcPr>
          <w:p w14:paraId="6B154A54">
            <w:pPr>
              <w:pStyle w:val="37"/>
              <w:keepNext w:val="0"/>
              <w:keepLines w:val="0"/>
              <w:pageBreakBefore w:val="0"/>
              <w:widowControl w:val="0"/>
              <w:kinsoku/>
              <w:wordWrap w:val="0"/>
              <w:overflowPunct/>
              <w:bidi w:val="0"/>
              <w:spacing w:before="0" w:after="0" w:line="240" w:lineRule="auto"/>
              <w:ind w:left="110" w:leftChars="50" w:right="0" w:righ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名称：中招国际招标有限公司</w:t>
            </w:r>
          </w:p>
          <w:p w14:paraId="1ED3B5F8">
            <w:pPr>
              <w:pStyle w:val="37"/>
              <w:keepNext w:val="0"/>
              <w:keepLines w:val="0"/>
              <w:pageBreakBefore w:val="0"/>
              <w:widowControl w:val="0"/>
              <w:kinsoku/>
              <w:wordWrap w:val="0"/>
              <w:overflowPunct/>
              <w:bidi w:val="0"/>
              <w:spacing w:before="0" w:after="0" w:line="240" w:lineRule="auto"/>
              <w:ind w:left="110" w:leftChars="5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地址：广州市越秀区沿江中路298号江湾新城A座8A-8G房</w:t>
            </w:r>
          </w:p>
          <w:p w14:paraId="75703AAD">
            <w:pPr>
              <w:pStyle w:val="37"/>
              <w:keepNext w:val="0"/>
              <w:keepLines w:val="0"/>
              <w:pageBreakBefore w:val="0"/>
              <w:widowControl w:val="0"/>
              <w:kinsoku/>
              <w:wordWrap w:val="0"/>
              <w:overflowPunct/>
              <w:bidi w:val="0"/>
              <w:spacing w:before="0" w:after="0" w:line="240" w:lineRule="auto"/>
              <w:ind w:left="110" w:leftChars="5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联系人：杨文哲、钟智豪</w:t>
            </w:r>
          </w:p>
          <w:p w14:paraId="0F85175C">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电话：020-87605285、020-83516265</w:t>
            </w:r>
          </w:p>
        </w:tc>
      </w:tr>
      <w:tr w14:paraId="041F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787" w:type="dxa"/>
            <w:vAlign w:val="center"/>
          </w:tcPr>
          <w:p w14:paraId="544D730F">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441" w:type="dxa"/>
            <w:vAlign w:val="center"/>
          </w:tcPr>
          <w:p w14:paraId="7F0CC0C2">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5871" w:type="dxa"/>
            <w:vAlign w:val="center"/>
          </w:tcPr>
          <w:p w14:paraId="148E763E">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中国光大银行股份有限公司广州分行新业务经营用房改造项目咨询服务</w:t>
            </w:r>
          </w:p>
        </w:tc>
      </w:tr>
      <w:tr w14:paraId="5875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787" w:type="dxa"/>
            <w:vAlign w:val="center"/>
          </w:tcPr>
          <w:p w14:paraId="67C27B4A">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2441" w:type="dxa"/>
            <w:vAlign w:val="center"/>
          </w:tcPr>
          <w:p w14:paraId="0F4EF5AD">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项目建设地点</w:t>
            </w:r>
          </w:p>
        </w:tc>
        <w:tc>
          <w:tcPr>
            <w:tcW w:w="5871" w:type="dxa"/>
            <w:vAlign w:val="center"/>
          </w:tcPr>
          <w:p w14:paraId="0D85D5F9">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7EB6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787" w:type="dxa"/>
            <w:vAlign w:val="center"/>
          </w:tcPr>
          <w:p w14:paraId="2B11820F">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2441" w:type="dxa"/>
            <w:vAlign w:val="center"/>
          </w:tcPr>
          <w:p w14:paraId="5FECEB7D">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项目建设规模</w:t>
            </w:r>
          </w:p>
        </w:tc>
        <w:tc>
          <w:tcPr>
            <w:tcW w:w="5871" w:type="dxa"/>
            <w:vAlign w:val="center"/>
          </w:tcPr>
          <w:p w14:paraId="772A2FF3">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01ED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787" w:type="dxa"/>
            <w:vAlign w:val="center"/>
          </w:tcPr>
          <w:p w14:paraId="0145A8E3">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2441" w:type="dxa"/>
            <w:vAlign w:val="center"/>
          </w:tcPr>
          <w:p w14:paraId="3A118789">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项目投资估算</w:t>
            </w:r>
          </w:p>
        </w:tc>
        <w:tc>
          <w:tcPr>
            <w:tcW w:w="5871" w:type="dxa"/>
            <w:vAlign w:val="center"/>
          </w:tcPr>
          <w:p w14:paraId="243C156D">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59B0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787" w:type="dxa"/>
            <w:vAlign w:val="center"/>
          </w:tcPr>
          <w:p w14:paraId="44BC021A">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441" w:type="dxa"/>
            <w:vAlign w:val="center"/>
          </w:tcPr>
          <w:p w14:paraId="3537CEC8">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5871" w:type="dxa"/>
            <w:vAlign w:val="center"/>
          </w:tcPr>
          <w:p w14:paraId="3E4C7337">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5FAF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787" w:type="dxa"/>
            <w:vAlign w:val="center"/>
          </w:tcPr>
          <w:p w14:paraId="6FBC1F01">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441" w:type="dxa"/>
            <w:vAlign w:val="center"/>
          </w:tcPr>
          <w:p w14:paraId="099154D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5871" w:type="dxa"/>
            <w:vAlign w:val="center"/>
          </w:tcPr>
          <w:p w14:paraId="32D5597E">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408E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787" w:type="dxa"/>
            <w:vAlign w:val="center"/>
          </w:tcPr>
          <w:p w14:paraId="769EBB6C">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441" w:type="dxa"/>
            <w:vAlign w:val="center"/>
          </w:tcPr>
          <w:p w14:paraId="3353CFB8">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5871" w:type="dxa"/>
            <w:vAlign w:val="center"/>
          </w:tcPr>
          <w:p w14:paraId="018BD9E8">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7A97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787" w:type="dxa"/>
            <w:vAlign w:val="center"/>
          </w:tcPr>
          <w:p w14:paraId="77AB3196">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441" w:type="dxa"/>
            <w:vAlign w:val="center"/>
          </w:tcPr>
          <w:p w14:paraId="4F19304F">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服务期限</w:t>
            </w:r>
          </w:p>
        </w:tc>
        <w:tc>
          <w:tcPr>
            <w:tcW w:w="5871" w:type="dxa"/>
            <w:vAlign w:val="center"/>
          </w:tcPr>
          <w:p w14:paraId="631B8A89">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6CC1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3EC5476B">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2441" w:type="dxa"/>
            <w:vAlign w:val="center"/>
          </w:tcPr>
          <w:p w14:paraId="0040D967">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871" w:type="dxa"/>
            <w:vAlign w:val="center"/>
          </w:tcPr>
          <w:p w14:paraId="11C104EA">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rPr>
              <w:t>本项目工程质量目标须符合《建设工程质量管理条例》、《建设工程勘察设计管理条例》、《建筑工程设计文件编制深度规定（2016年版）》等国家及地方有关法规和规章，达到行业相关规范技术标准等要求。工程造价咨询成果文件应符合《广东省建设工程造价管理规定》、《建筑工程施工发包与承包计价管理办法》（建设部第107号部令）等国家及地方有关工程造价咨询法规和规章，达到行业相关规范技术标准等要求</w:t>
            </w:r>
            <w:r>
              <w:rPr>
                <w:rFonts w:hint="eastAsia" w:ascii="宋体" w:hAnsi="宋体" w:eastAsia="宋体" w:cs="宋体"/>
                <w:color w:val="auto"/>
                <w:sz w:val="21"/>
                <w:szCs w:val="21"/>
                <w:highlight w:val="none"/>
              </w:rPr>
              <w:t>。（具体详见</w:t>
            </w:r>
            <w:r>
              <w:rPr>
                <w:rFonts w:hint="eastAsia" w:ascii="宋体" w:hAnsi="宋体" w:cs="宋体"/>
                <w:color w:val="auto"/>
                <w:sz w:val="21"/>
                <w:szCs w:val="21"/>
                <w:highlight w:val="none"/>
                <w:lang w:eastAsia="zh-CN"/>
              </w:rPr>
              <w:t>服务要求</w:t>
            </w:r>
            <w:r>
              <w:rPr>
                <w:rFonts w:hint="eastAsia" w:ascii="宋体" w:hAnsi="宋体" w:eastAsia="宋体" w:cs="宋体"/>
                <w:color w:val="auto"/>
                <w:sz w:val="21"/>
                <w:szCs w:val="21"/>
                <w:highlight w:val="none"/>
              </w:rPr>
              <w:t>和</w:t>
            </w:r>
            <w:r>
              <w:rPr>
                <w:rFonts w:hint="eastAsia" w:ascii="宋体" w:hAnsi="宋体" w:cs="宋体"/>
                <w:color w:val="auto"/>
                <w:sz w:val="21"/>
                <w:szCs w:val="21"/>
                <w:highlight w:val="none"/>
                <w:lang w:eastAsia="zh-CN"/>
              </w:rPr>
              <w:t>咨询</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lang w:eastAsia="zh-CN"/>
              </w:rPr>
              <w:t>合同</w:t>
            </w:r>
            <w:r>
              <w:rPr>
                <w:rFonts w:hint="eastAsia" w:ascii="宋体" w:hAnsi="宋体" w:eastAsia="宋体" w:cs="宋体"/>
                <w:color w:val="auto"/>
                <w:sz w:val="21"/>
                <w:szCs w:val="21"/>
                <w:highlight w:val="none"/>
              </w:rPr>
              <w:t>）</w:t>
            </w:r>
          </w:p>
        </w:tc>
      </w:tr>
      <w:tr w14:paraId="6AC5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3" w:hRule="atLeast"/>
        </w:trPr>
        <w:tc>
          <w:tcPr>
            <w:tcW w:w="787" w:type="dxa"/>
            <w:vAlign w:val="center"/>
          </w:tcPr>
          <w:p w14:paraId="6F3ACF5B">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2441" w:type="dxa"/>
            <w:vAlign w:val="center"/>
          </w:tcPr>
          <w:p w14:paraId="6543CC99">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投标人资质条件、能力、信誉</w:t>
            </w:r>
          </w:p>
        </w:tc>
        <w:tc>
          <w:tcPr>
            <w:tcW w:w="5871" w:type="dxa"/>
            <w:vAlign w:val="center"/>
          </w:tcPr>
          <w:p w14:paraId="0A10C91C">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1、资质要求：详见招标公告第3.2条要求</w:t>
            </w:r>
          </w:p>
          <w:p w14:paraId="4BBDBFCD">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2、财务要求：/</w:t>
            </w:r>
          </w:p>
          <w:p w14:paraId="36E7CAEB">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3、业绩要求：/</w:t>
            </w:r>
          </w:p>
          <w:p w14:paraId="2A4EA0BC">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4、信誉要求：详见招标公告第3.8条要求</w:t>
            </w:r>
          </w:p>
          <w:p w14:paraId="25ED4758">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5、项目负责人的资格要求：详见招标公告第3.5条要求</w:t>
            </w:r>
          </w:p>
          <w:p w14:paraId="47E18E0F">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6、其他主要人员要求：/</w:t>
            </w:r>
          </w:p>
          <w:p w14:paraId="6CE883D5">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7、其他要求：详见招标公告第3条投标人资格要求</w:t>
            </w:r>
          </w:p>
        </w:tc>
      </w:tr>
      <w:tr w14:paraId="39BB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787" w:type="dxa"/>
            <w:vAlign w:val="center"/>
          </w:tcPr>
          <w:p w14:paraId="4414463D">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2441" w:type="dxa"/>
            <w:vAlign w:val="center"/>
          </w:tcPr>
          <w:p w14:paraId="5BEB2963">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5871" w:type="dxa"/>
            <w:vAlign w:val="center"/>
          </w:tcPr>
          <w:p w14:paraId="12D96F4F">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■不接受</w:t>
            </w:r>
          </w:p>
          <w:p w14:paraId="06ABDF23">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□接受，应满足下列要求：/</w:t>
            </w:r>
          </w:p>
        </w:tc>
      </w:tr>
      <w:tr w14:paraId="6855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229A71E2">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2441" w:type="dxa"/>
            <w:vAlign w:val="center"/>
          </w:tcPr>
          <w:p w14:paraId="39FD33D2">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投标人不得存在的其他情形</w:t>
            </w:r>
          </w:p>
        </w:tc>
        <w:tc>
          <w:tcPr>
            <w:tcW w:w="5871" w:type="dxa"/>
            <w:vAlign w:val="center"/>
          </w:tcPr>
          <w:p w14:paraId="44319A88">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1.4.3  投标人不得存在下列情形之一：</w:t>
            </w:r>
          </w:p>
          <w:p w14:paraId="2871964A">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（1）为招标人不具有独立法人资格的附属机构（单位）；</w:t>
            </w:r>
          </w:p>
          <w:p w14:paraId="119A2A41">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（2）与招标人存在利害关系且可能影响招标公正性；</w:t>
            </w:r>
          </w:p>
          <w:p w14:paraId="3DF5297B">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（3）与本招标项目的其他投标人为同一个单位负责人；</w:t>
            </w:r>
          </w:p>
          <w:p w14:paraId="0EBB273C">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（4）与本招标项目的其他投标人存在控股、管理关系；</w:t>
            </w:r>
          </w:p>
          <w:p w14:paraId="156E8B69">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（5）为本招标项目的代建人；</w:t>
            </w:r>
          </w:p>
          <w:p w14:paraId="731F3503">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（6）为本招标项目的招标代理机构；</w:t>
            </w:r>
          </w:p>
          <w:p w14:paraId="19B80F80">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（7）与本招标项目的代建人或招标代理机构同为一个法定代表人；</w:t>
            </w:r>
          </w:p>
          <w:p w14:paraId="2141E667">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（8）与本招标项目的代建人或招标代理机构存在控股或参股关系；</w:t>
            </w:r>
          </w:p>
          <w:p w14:paraId="372B53FC">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Style w:val="49"/>
                <w:rFonts w:hint="eastAsia" w:ascii="宋体" w:hAnsi="宋体" w:eastAsia="宋体" w:cs="宋体"/>
                <w:color w:val="auto"/>
                <w:sz w:val="21"/>
                <w:szCs w:val="21"/>
                <w:highlight w:val="none"/>
                <w:lang w:bidi="ar"/>
              </w:rPr>
              <w:t>（9）</w:t>
            </w:r>
            <w:bookmarkStart w:id="10" w:name="OLE_LINK2"/>
            <w:r>
              <w:rPr>
                <w:rStyle w:val="49"/>
                <w:rFonts w:hint="eastAsia" w:ascii="宋体" w:hAnsi="宋体" w:eastAsia="宋体" w:cs="宋体"/>
                <w:color w:val="auto"/>
                <w:sz w:val="21"/>
                <w:szCs w:val="21"/>
                <w:highlight w:val="none"/>
                <w:lang w:bidi="ar"/>
              </w:rPr>
              <w:t>被依法暂停或取消投标资格</w:t>
            </w:r>
            <w:bookmarkEnd w:id="10"/>
            <w:r>
              <w:rPr>
                <w:rStyle w:val="49"/>
                <w:rFonts w:hint="eastAsia" w:ascii="宋体" w:hAnsi="宋体" w:eastAsia="宋体" w:cs="宋体"/>
                <w:color w:val="auto"/>
                <w:sz w:val="21"/>
                <w:szCs w:val="21"/>
                <w:highlight w:val="none"/>
                <w:lang w:bidi="ar"/>
              </w:rPr>
              <w:t>的；</w:t>
            </w:r>
            <w:r>
              <w:rPr>
                <w:rStyle w:val="49"/>
                <w:rFonts w:hint="eastAsia" w:ascii="宋体" w:hAnsi="宋体" w:eastAsia="宋体" w:cs="宋体"/>
                <w:color w:val="auto"/>
                <w:sz w:val="21"/>
                <w:szCs w:val="21"/>
                <w:highlight w:val="none"/>
                <w:u w:val="single"/>
                <w:lang w:bidi="ar"/>
              </w:rPr>
              <w:t xml:space="preserve">（本项事实应当以根据《中华人民共和国行政处罚法》依法作出并已经生效的行政处罚决定为认定依据。行政处罚决定中已经明确的暂停或取消投标资格的区域范围不包含本项目建设地点的，不受该项规定限制） </w:t>
            </w:r>
          </w:p>
          <w:p w14:paraId="6AFDA696">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Style w:val="49"/>
                <w:rFonts w:hint="eastAsia" w:ascii="宋体" w:hAnsi="宋体" w:eastAsia="宋体" w:cs="宋体"/>
                <w:color w:val="auto"/>
                <w:kern w:val="2"/>
                <w:sz w:val="21"/>
                <w:szCs w:val="21"/>
                <w:highlight w:val="none"/>
                <w:lang w:eastAsia="zh-CN" w:bidi="ar"/>
              </w:rPr>
              <w:t>（10）被责令停产停业、暂扣或者吊销许可证、暂扣或者吊销执照的；</w:t>
            </w:r>
            <w:r>
              <w:rPr>
                <w:rStyle w:val="49"/>
                <w:rFonts w:hint="eastAsia" w:ascii="宋体" w:hAnsi="宋体" w:eastAsia="宋体" w:cs="宋体"/>
                <w:color w:val="auto"/>
                <w:kern w:val="2"/>
                <w:sz w:val="21"/>
                <w:szCs w:val="21"/>
                <w:highlight w:val="none"/>
                <w:u w:val="single"/>
                <w:lang w:eastAsia="zh-CN" w:bidi="ar"/>
              </w:rPr>
              <w:t>（本项事实应当以根据《中华人民共和国行政处罚法》依法作出并已经生效的行政处罚决定为认定依据）</w:t>
            </w:r>
          </w:p>
          <w:p w14:paraId="44BF4857">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（11）进入清算程序，或被宣告破产，或其他丧失履约能力的情形；</w:t>
            </w:r>
          </w:p>
          <w:p w14:paraId="38F9952D">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在最近三年内发生重大质量问题（以相关行业主管部门的行政处罚决定或司法机关出具的有关法律文书为准。“最近三年”是指从投标截止时间之日起逆推三年，以相关行业主管部门、司法机关、仲裁机构出具的生效文件的落款时间起计算）；</w:t>
            </w:r>
          </w:p>
          <w:p w14:paraId="7A5D6E02">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（13）法律法规或投标人须知前附表规定的其他情形。</w:t>
            </w:r>
          </w:p>
        </w:tc>
      </w:tr>
      <w:tr w14:paraId="2E5A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7" w:hRule="atLeast"/>
        </w:trPr>
        <w:tc>
          <w:tcPr>
            <w:tcW w:w="787" w:type="dxa"/>
            <w:vAlign w:val="center"/>
          </w:tcPr>
          <w:p w14:paraId="0FD7DC44">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441" w:type="dxa"/>
            <w:vAlign w:val="center"/>
          </w:tcPr>
          <w:p w14:paraId="2552986A">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5871" w:type="dxa"/>
            <w:vAlign w:val="center"/>
          </w:tcPr>
          <w:p w14:paraId="13749FAA">
            <w:pPr>
              <w:pStyle w:val="11"/>
              <w:keepNext w:val="0"/>
              <w:keepLines w:val="0"/>
              <w:pageBreakBefore w:val="0"/>
              <w:widowControl w:val="0"/>
              <w:wordWrap w:val="0"/>
              <w:topLinePunct w:val="0"/>
              <w:autoSpaceDE/>
              <w:autoSpaceDN/>
              <w:bidi w:val="0"/>
              <w:adjustRightInd/>
              <w:snapToGrid/>
              <w:spacing w:before="0" w:after="0" w:line="240" w:lineRule="auto"/>
              <w:ind w:left="110" w:leftChars="5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不组织，由投标人自行现场考察。</w:t>
            </w:r>
          </w:p>
          <w:p w14:paraId="47D156B4">
            <w:pPr>
              <w:pStyle w:val="11"/>
              <w:keepNext w:val="0"/>
              <w:keepLines w:val="0"/>
              <w:pageBreakBefore w:val="0"/>
              <w:widowControl w:val="0"/>
              <w:wordWrap w:val="0"/>
              <w:topLinePunct w:val="0"/>
              <w:autoSpaceDE/>
              <w:autoSpaceDN/>
              <w:bidi w:val="0"/>
              <w:adjustRightInd/>
              <w:snapToGrid/>
              <w:spacing w:before="0" w:after="0" w:line="240" w:lineRule="auto"/>
              <w:ind w:left="110" w:leftChars="5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补充说明如下：</w:t>
            </w:r>
          </w:p>
          <w:p w14:paraId="7AA6347F">
            <w:pPr>
              <w:pStyle w:val="11"/>
              <w:keepNext w:val="0"/>
              <w:keepLines w:val="0"/>
              <w:pageBreakBefore w:val="0"/>
              <w:widowControl w:val="0"/>
              <w:wordWrap w:val="0"/>
              <w:topLinePunct w:val="0"/>
              <w:autoSpaceDE/>
              <w:autoSpaceDN/>
              <w:bidi w:val="0"/>
              <w:adjustRightInd/>
              <w:snapToGrid/>
              <w:spacing w:before="0" w:after="0" w:line="240" w:lineRule="auto"/>
              <w:ind w:left="110" w:leftChars="5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14:paraId="234B7FB5">
            <w:pPr>
              <w:pStyle w:val="11"/>
              <w:keepNext w:val="0"/>
              <w:keepLines w:val="0"/>
              <w:pageBreakBefore w:val="0"/>
              <w:widowControl w:val="0"/>
              <w:wordWrap w:val="0"/>
              <w:topLinePunct w:val="0"/>
              <w:autoSpaceDE/>
              <w:autoSpaceDN/>
              <w:bidi w:val="0"/>
              <w:adjustRightInd/>
              <w:snapToGrid/>
              <w:spacing w:before="0" w:after="0" w:line="240" w:lineRule="auto"/>
              <w:ind w:left="110" w:leftChars="5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687EDBD4">
            <w:pPr>
              <w:pStyle w:val="11"/>
              <w:keepNext w:val="0"/>
              <w:keepLines w:val="0"/>
              <w:pageBreakBefore w:val="0"/>
              <w:widowControl w:val="0"/>
              <w:wordWrap w:val="0"/>
              <w:topLinePunct w:val="0"/>
              <w:autoSpaceDE/>
              <w:autoSpaceDN/>
              <w:bidi w:val="0"/>
              <w:adjustRightInd/>
              <w:snapToGrid/>
              <w:spacing w:before="0" w:after="0" w:line="240" w:lineRule="auto"/>
              <w:ind w:left="110" w:leftChars="50" w:right="0" w:right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（3）由招标人提供的资料和数据，只是为了使投标人能够利用招标人现有的资料。招标人对投标人由此而作出的推论、解释和结论概不负责。</w:t>
            </w:r>
          </w:p>
          <w:p w14:paraId="79F1551E">
            <w:pPr>
              <w:pStyle w:val="37"/>
              <w:keepNext w:val="0"/>
              <w:keepLines w:val="0"/>
              <w:pageBreakBefore w:val="0"/>
              <w:widowControl w:val="0"/>
              <w:wordWrap w:val="0"/>
              <w:topLinePunct w:val="0"/>
              <w:autoSpaceDE/>
              <w:autoSpaceDN/>
              <w:bidi w:val="0"/>
              <w:adjustRightInd/>
              <w:snapToGrid/>
              <w:spacing w:before="0" w:after="0" w:line="240" w:lineRule="auto"/>
              <w:ind w:left="110" w:leftChars="5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（4）不论投标结果如何，投标人应承担其投标文件编制与递交所涉及的一切费用，招标人对上述费用不负任何责任。</w:t>
            </w:r>
          </w:p>
          <w:p w14:paraId="7B323B37">
            <w:pPr>
              <w:pStyle w:val="37"/>
              <w:keepNext w:val="0"/>
              <w:keepLines w:val="0"/>
              <w:pageBreakBefore w:val="0"/>
              <w:widowControl w:val="0"/>
              <w:wordWrap w:val="0"/>
              <w:topLinePunct w:val="0"/>
              <w:autoSpaceDE/>
              <w:autoSpaceDN/>
              <w:bidi w:val="0"/>
              <w:adjustRightInd/>
              <w:snapToGrid/>
              <w:spacing w:before="0" w:after="0" w:line="240" w:lineRule="auto"/>
              <w:ind w:left="110" w:leftChars="5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□组织，踏勘时间：  </w:t>
            </w:r>
          </w:p>
          <w:p w14:paraId="31B0825D">
            <w:pPr>
              <w:pStyle w:val="37"/>
              <w:keepNext w:val="0"/>
              <w:keepLines w:val="0"/>
              <w:pageBreakBefore w:val="0"/>
              <w:widowControl w:val="0"/>
              <w:wordWrap w:val="0"/>
              <w:topLinePunct w:val="0"/>
              <w:autoSpaceDE/>
              <w:autoSpaceDN/>
              <w:bidi w:val="0"/>
              <w:adjustRightInd/>
              <w:snapToGrid/>
              <w:spacing w:before="0" w:after="0" w:line="240" w:lineRule="auto"/>
              <w:ind w:left="110" w:leftChars="5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踏勘集中地点：</w:t>
            </w:r>
          </w:p>
        </w:tc>
      </w:tr>
      <w:tr w14:paraId="5871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trPr>
        <w:tc>
          <w:tcPr>
            <w:tcW w:w="787" w:type="dxa"/>
            <w:vAlign w:val="center"/>
          </w:tcPr>
          <w:p w14:paraId="4425B38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2441" w:type="dxa"/>
            <w:vAlign w:val="center"/>
          </w:tcPr>
          <w:p w14:paraId="53112F3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871" w:type="dxa"/>
            <w:vAlign w:val="center"/>
          </w:tcPr>
          <w:p w14:paraId="1C66802F">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■不召开</w:t>
            </w:r>
          </w:p>
          <w:p w14:paraId="6A696862">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□召开，召开时间：</w:t>
            </w:r>
          </w:p>
          <w:p w14:paraId="20B1CE22">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召开地点：</w:t>
            </w:r>
          </w:p>
        </w:tc>
      </w:tr>
      <w:tr w14:paraId="609D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787" w:type="dxa"/>
            <w:vMerge w:val="restart"/>
            <w:vAlign w:val="center"/>
          </w:tcPr>
          <w:p w14:paraId="4045985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2441" w:type="dxa"/>
            <w:vMerge w:val="restart"/>
            <w:vAlign w:val="center"/>
          </w:tcPr>
          <w:p w14:paraId="43405CC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投标人在投标预备会前提出问题</w:t>
            </w:r>
          </w:p>
        </w:tc>
        <w:tc>
          <w:tcPr>
            <w:tcW w:w="5871" w:type="dxa"/>
            <w:vAlign w:val="center"/>
          </w:tcPr>
          <w:p w14:paraId="1D8321D7">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w:t>
            </w:r>
          </w:p>
        </w:tc>
      </w:tr>
      <w:tr w14:paraId="058E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787" w:type="dxa"/>
            <w:vMerge w:val="continue"/>
            <w:vAlign w:val="center"/>
          </w:tcPr>
          <w:p w14:paraId="1FFCA19A">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p>
        </w:tc>
        <w:tc>
          <w:tcPr>
            <w:tcW w:w="2441" w:type="dxa"/>
            <w:vMerge w:val="continue"/>
            <w:vAlign w:val="center"/>
          </w:tcPr>
          <w:p w14:paraId="04DEBD9D">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p>
        </w:tc>
        <w:tc>
          <w:tcPr>
            <w:tcW w:w="5871" w:type="dxa"/>
            <w:vAlign w:val="center"/>
          </w:tcPr>
          <w:p w14:paraId="6F1A5710">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eastAsia="zh-CN"/>
              </w:rPr>
              <w:t>/。</w:t>
            </w:r>
          </w:p>
        </w:tc>
      </w:tr>
      <w:tr w14:paraId="0094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787" w:type="dxa"/>
            <w:vAlign w:val="center"/>
          </w:tcPr>
          <w:p w14:paraId="66EB3634">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w:t>
            </w:r>
          </w:p>
        </w:tc>
        <w:tc>
          <w:tcPr>
            <w:tcW w:w="2441" w:type="dxa"/>
            <w:vAlign w:val="center"/>
          </w:tcPr>
          <w:p w14:paraId="223A6098">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招标文件澄清发出的形式</w:t>
            </w:r>
          </w:p>
        </w:tc>
        <w:tc>
          <w:tcPr>
            <w:tcW w:w="5871" w:type="dxa"/>
            <w:vAlign w:val="center"/>
          </w:tcPr>
          <w:p w14:paraId="7D9102A3">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A5E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7" w:hRule="atLeast"/>
        </w:trPr>
        <w:tc>
          <w:tcPr>
            <w:tcW w:w="787" w:type="dxa"/>
            <w:vAlign w:val="center"/>
          </w:tcPr>
          <w:p w14:paraId="212EB5E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w:t>
            </w:r>
          </w:p>
        </w:tc>
        <w:tc>
          <w:tcPr>
            <w:tcW w:w="2441" w:type="dxa"/>
            <w:vAlign w:val="center"/>
          </w:tcPr>
          <w:p w14:paraId="249BF393">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5871" w:type="dxa"/>
            <w:vAlign w:val="center"/>
          </w:tcPr>
          <w:p w14:paraId="2C9E7945">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w:t>
            </w:r>
          </w:p>
          <w:p w14:paraId="6E15F17B">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■允许，分包内容要求：</w:t>
            </w:r>
            <w:r>
              <w:rPr>
                <w:rFonts w:hint="eastAsia" w:ascii="宋体" w:hAnsi="宋体" w:eastAsia="宋体" w:cs="宋体"/>
                <w:color w:val="auto"/>
                <w:spacing w:val="-2"/>
                <w:sz w:val="21"/>
                <w:szCs w:val="21"/>
                <w:highlight w:val="none"/>
                <w:u w:val="single"/>
                <w:lang w:eastAsia="zh-CN"/>
              </w:rPr>
              <w:t>如中标人不具备</w:t>
            </w:r>
            <w:r>
              <w:rPr>
                <w:rFonts w:hint="eastAsia" w:ascii="宋体" w:hAnsi="宋体" w:cs="宋体"/>
                <w:color w:val="auto"/>
                <w:spacing w:val="-2"/>
                <w:sz w:val="21"/>
                <w:szCs w:val="21"/>
                <w:highlight w:val="none"/>
                <w:u w:val="single"/>
                <w:lang w:val="en-US" w:eastAsia="zh-CN"/>
              </w:rPr>
              <w:t>出具</w:t>
            </w:r>
            <w:r>
              <w:rPr>
                <w:rFonts w:hint="eastAsia" w:ascii="宋体" w:hAnsi="宋体" w:eastAsia="宋体" w:cs="宋体"/>
                <w:color w:val="auto"/>
                <w:spacing w:val="-2"/>
                <w:sz w:val="21"/>
                <w:szCs w:val="21"/>
                <w:highlight w:val="none"/>
                <w:u w:val="single"/>
                <w:lang w:eastAsia="zh-CN"/>
              </w:rPr>
              <w:t>相关</w:t>
            </w:r>
            <w:r>
              <w:rPr>
                <w:rFonts w:hint="eastAsia" w:ascii="宋体" w:hAnsi="宋体" w:cs="宋体"/>
                <w:color w:val="auto"/>
                <w:spacing w:val="-2"/>
                <w:sz w:val="21"/>
                <w:szCs w:val="21"/>
                <w:highlight w:val="none"/>
                <w:u w:val="single"/>
                <w:lang w:val="en-US" w:eastAsia="zh-CN"/>
              </w:rPr>
              <w:t>意见的</w:t>
            </w:r>
            <w:r>
              <w:rPr>
                <w:rFonts w:hint="eastAsia" w:ascii="宋体" w:hAnsi="宋体" w:eastAsia="宋体" w:cs="宋体"/>
                <w:color w:val="auto"/>
                <w:spacing w:val="-2"/>
                <w:sz w:val="21"/>
                <w:szCs w:val="21"/>
                <w:highlight w:val="none"/>
                <w:u w:val="single"/>
                <w:lang w:eastAsia="zh-CN"/>
              </w:rPr>
              <w:t>专业</w:t>
            </w:r>
            <w:r>
              <w:rPr>
                <w:rFonts w:hint="eastAsia" w:ascii="宋体" w:hAnsi="宋体" w:cs="宋体"/>
                <w:color w:val="auto"/>
                <w:spacing w:val="-2"/>
                <w:sz w:val="21"/>
                <w:szCs w:val="21"/>
                <w:highlight w:val="none"/>
                <w:u w:val="single"/>
                <w:lang w:val="en-US" w:eastAsia="zh-CN"/>
              </w:rPr>
              <w:t>能力</w:t>
            </w:r>
            <w:r>
              <w:rPr>
                <w:rFonts w:hint="eastAsia" w:ascii="宋体" w:hAnsi="宋体" w:eastAsia="宋体" w:cs="宋体"/>
                <w:color w:val="auto"/>
                <w:spacing w:val="-2"/>
                <w:sz w:val="21"/>
                <w:szCs w:val="21"/>
                <w:highlight w:val="none"/>
                <w:u w:val="single"/>
                <w:lang w:eastAsia="zh-CN"/>
              </w:rPr>
              <w:t>，应当自行完成本项目</w:t>
            </w:r>
            <w:r>
              <w:rPr>
                <w:rFonts w:hint="eastAsia" w:ascii="宋体" w:hAnsi="宋体" w:cs="宋体"/>
                <w:color w:val="auto"/>
                <w:spacing w:val="-2"/>
                <w:sz w:val="21"/>
                <w:szCs w:val="21"/>
                <w:highlight w:val="none"/>
                <w:u w:val="single"/>
                <w:lang w:val="en-US" w:eastAsia="zh-CN"/>
              </w:rPr>
              <w:t>咨询</w:t>
            </w:r>
            <w:r>
              <w:rPr>
                <w:rFonts w:hint="eastAsia" w:ascii="宋体" w:hAnsi="宋体" w:eastAsia="宋体" w:cs="宋体"/>
                <w:color w:val="auto"/>
                <w:spacing w:val="-2"/>
                <w:sz w:val="21"/>
                <w:szCs w:val="21"/>
                <w:highlight w:val="none"/>
                <w:u w:val="single"/>
                <w:lang w:eastAsia="zh-CN"/>
              </w:rPr>
              <w:t>业务，并在</w:t>
            </w:r>
            <w:r>
              <w:rPr>
                <w:rFonts w:hint="eastAsia" w:ascii="宋体" w:hAnsi="宋体" w:cs="宋体"/>
                <w:color w:val="auto"/>
                <w:spacing w:val="-2"/>
                <w:sz w:val="21"/>
                <w:szCs w:val="21"/>
                <w:highlight w:val="none"/>
                <w:u w:val="single"/>
                <w:lang w:val="en-US" w:eastAsia="zh-CN"/>
              </w:rPr>
              <w:t>保密</w:t>
            </w:r>
            <w:r>
              <w:rPr>
                <w:rFonts w:hint="eastAsia" w:ascii="宋体" w:hAnsi="宋体" w:eastAsia="宋体" w:cs="宋体"/>
                <w:color w:val="auto"/>
                <w:spacing w:val="-2"/>
                <w:sz w:val="21"/>
                <w:szCs w:val="21"/>
                <w:highlight w:val="none"/>
                <w:u w:val="single"/>
                <w:lang w:eastAsia="zh-CN"/>
              </w:rPr>
              <w:t>的前提下，经发包方同意，将部分专业</w:t>
            </w:r>
            <w:r>
              <w:rPr>
                <w:rFonts w:hint="eastAsia" w:ascii="宋体" w:hAnsi="宋体" w:cs="宋体"/>
                <w:color w:val="auto"/>
                <w:spacing w:val="-2"/>
                <w:sz w:val="21"/>
                <w:szCs w:val="21"/>
                <w:highlight w:val="none"/>
                <w:u w:val="single"/>
                <w:lang w:val="en-US" w:eastAsia="zh-CN"/>
              </w:rPr>
              <w:t>咨询</w:t>
            </w:r>
            <w:r>
              <w:rPr>
                <w:rFonts w:hint="eastAsia" w:ascii="宋体" w:hAnsi="宋体" w:eastAsia="宋体" w:cs="宋体"/>
                <w:color w:val="auto"/>
                <w:spacing w:val="-2"/>
                <w:sz w:val="21"/>
                <w:szCs w:val="21"/>
                <w:highlight w:val="none"/>
                <w:u w:val="single"/>
                <w:lang w:eastAsia="zh-CN"/>
              </w:rPr>
              <w:t>业务依法分包</w:t>
            </w:r>
            <w:r>
              <w:rPr>
                <w:rFonts w:hint="eastAsia" w:ascii="宋体" w:hAnsi="宋体" w:cs="宋体"/>
                <w:color w:val="auto"/>
                <w:spacing w:val="-2"/>
                <w:sz w:val="21"/>
                <w:szCs w:val="21"/>
                <w:highlight w:val="none"/>
                <w:u w:val="single"/>
                <w:lang w:eastAsia="zh-CN"/>
              </w:rPr>
              <w:t>（</w:t>
            </w:r>
            <w:r>
              <w:rPr>
                <w:rFonts w:hint="eastAsia" w:ascii="宋体" w:hAnsi="宋体" w:cs="宋体"/>
                <w:color w:val="auto"/>
                <w:spacing w:val="-2"/>
                <w:sz w:val="21"/>
                <w:szCs w:val="21"/>
                <w:highlight w:val="none"/>
                <w:u w:val="single"/>
                <w:lang w:val="en-US" w:eastAsia="zh-CN"/>
              </w:rPr>
              <w:t>委托</w:t>
            </w:r>
            <w:r>
              <w:rPr>
                <w:rFonts w:hint="eastAsia" w:ascii="宋体" w:hAnsi="宋体" w:cs="宋体"/>
                <w:color w:val="auto"/>
                <w:spacing w:val="-2"/>
                <w:sz w:val="21"/>
                <w:szCs w:val="21"/>
                <w:highlight w:val="none"/>
                <w:u w:val="single"/>
                <w:lang w:eastAsia="zh-CN"/>
              </w:rPr>
              <w:t>）</w:t>
            </w:r>
            <w:r>
              <w:rPr>
                <w:rFonts w:hint="eastAsia" w:ascii="宋体" w:hAnsi="宋体" w:eastAsia="宋体" w:cs="宋体"/>
                <w:color w:val="auto"/>
                <w:spacing w:val="-2"/>
                <w:sz w:val="21"/>
                <w:szCs w:val="21"/>
                <w:highlight w:val="none"/>
                <w:u w:val="single"/>
                <w:lang w:eastAsia="zh-CN"/>
              </w:rPr>
              <w:t>给具备相应专业能力</w:t>
            </w:r>
            <w:r>
              <w:rPr>
                <w:rFonts w:hint="eastAsia" w:ascii="宋体" w:hAnsi="宋体" w:cs="宋体"/>
                <w:color w:val="auto"/>
                <w:spacing w:val="-2"/>
                <w:sz w:val="21"/>
                <w:szCs w:val="21"/>
                <w:highlight w:val="none"/>
                <w:u w:val="single"/>
                <w:lang w:val="en-US" w:eastAsia="zh-CN"/>
              </w:rPr>
              <w:t>的机构或专家，但相关费用及责任由中标人承担</w:t>
            </w:r>
            <w:r>
              <w:rPr>
                <w:rFonts w:hint="eastAsia" w:ascii="宋体" w:hAnsi="宋体" w:eastAsia="宋体" w:cs="宋体"/>
                <w:color w:val="auto"/>
                <w:sz w:val="21"/>
                <w:szCs w:val="21"/>
                <w:highlight w:val="none"/>
              </w:rPr>
              <w:t>。</w:t>
            </w:r>
          </w:p>
          <w:p w14:paraId="4526F1F1">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分包金额要求：/</w:t>
            </w:r>
          </w:p>
          <w:p w14:paraId="2FD93220">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对分包人的资质要求：</w:t>
            </w:r>
            <w:r>
              <w:rPr>
                <w:rFonts w:hint="eastAsia" w:ascii="宋体" w:hAnsi="宋体" w:eastAsia="宋体" w:cs="宋体"/>
                <w:color w:val="auto"/>
                <w:sz w:val="21"/>
                <w:szCs w:val="21"/>
                <w:highlight w:val="none"/>
                <w:u w:val="single"/>
                <w:lang w:val="en-US" w:eastAsia="zh-CN"/>
              </w:rPr>
              <w:t>按国家规定</w:t>
            </w:r>
            <w:r>
              <w:rPr>
                <w:rFonts w:hint="eastAsia" w:ascii="宋体" w:hAnsi="宋体" w:eastAsia="宋体" w:cs="宋体"/>
                <w:color w:val="auto"/>
                <w:sz w:val="21"/>
                <w:szCs w:val="21"/>
                <w:highlight w:val="none"/>
                <w:u w:val="single"/>
                <w:lang w:eastAsia="zh-CN"/>
              </w:rPr>
              <w:t>。</w:t>
            </w:r>
          </w:p>
          <w:p w14:paraId="3A1D6BF9">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对分包人的其他要求：未在以往工程中因不充分履约行为被本项目招标人书面拒绝投标的，或未被纳入联合惩戒范围的。须经发包人书面同意。中标人对分包工作内容向招标人承担连带责任。</w:t>
            </w:r>
          </w:p>
        </w:tc>
      </w:tr>
      <w:tr w14:paraId="1DB8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787" w:type="dxa"/>
            <w:vAlign w:val="center"/>
          </w:tcPr>
          <w:p w14:paraId="3834081A">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w:t>
            </w:r>
          </w:p>
        </w:tc>
        <w:tc>
          <w:tcPr>
            <w:tcW w:w="2441" w:type="dxa"/>
            <w:vAlign w:val="center"/>
          </w:tcPr>
          <w:p w14:paraId="350EF14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实质性要求和条件</w:t>
            </w:r>
          </w:p>
        </w:tc>
        <w:tc>
          <w:tcPr>
            <w:tcW w:w="5871" w:type="dxa"/>
            <w:vAlign w:val="center"/>
          </w:tcPr>
          <w:p w14:paraId="34915817">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63F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trPr>
        <w:tc>
          <w:tcPr>
            <w:tcW w:w="787" w:type="dxa"/>
            <w:vAlign w:val="center"/>
          </w:tcPr>
          <w:p w14:paraId="3A105599">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w:t>
            </w:r>
          </w:p>
        </w:tc>
        <w:tc>
          <w:tcPr>
            <w:tcW w:w="2441" w:type="dxa"/>
            <w:vAlign w:val="center"/>
          </w:tcPr>
          <w:p w14:paraId="1D9A2227">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5871" w:type="dxa"/>
            <w:vAlign w:val="center"/>
          </w:tcPr>
          <w:p w14:paraId="15BA3ADD">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w:t>
            </w:r>
          </w:p>
          <w:p w14:paraId="13844DE9">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□允许，偏差范围：</w:t>
            </w:r>
          </w:p>
          <w:p w14:paraId="74271831">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偏差幅度：/。</w:t>
            </w:r>
          </w:p>
        </w:tc>
      </w:tr>
      <w:tr w14:paraId="623B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787" w:type="dxa"/>
            <w:vAlign w:val="center"/>
          </w:tcPr>
          <w:p w14:paraId="4C0D1043">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441" w:type="dxa"/>
            <w:vAlign w:val="center"/>
          </w:tcPr>
          <w:p w14:paraId="364D301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构成招标文件的其他资料</w:t>
            </w:r>
          </w:p>
        </w:tc>
        <w:tc>
          <w:tcPr>
            <w:tcW w:w="5871" w:type="dxa"/>
            <w:vAlign w:val="center"/>
          </w:tcPr>
          <w:p w14:paraId="714B3160">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EE7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8" w:hRule="atLeast"/>
        </w:trPr>
        <w:tc>
          <w:tcPr>
            <w:tcW w:w="787" w:type="dxa"/>
            <w:vAlign w:val="center"/>
          </w:tcPr>
          <w:p w14:paraId="4B39EA8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441" w:type="dxa"/>
            <w:vAlign w:val="center"/>
          </w:tcPr>
          <w:p w14:paraId="7A4E1E5C">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投标人要求澄清招标文件</w:t>
            </w:r>
          </w:p>
        </w:tc>
        <w:tc>
          <w:tcPr>
            <w:tcW w:w="5871" w:type="dxa"/>
            <w:vAlign w:val="center"/>
          </w:tcPr>
          <w:p w14:paraId="6CFA4FE3">
            <w:pPr>
              <w:keepNext w:val="0"/>
              <w:keepLines w:val="0"/>
              <w:pageBreakBefore w:val="0"/>
              <w:widowControl w:val="0"/>
              <w:kinsoku/>
              <w:wordWrap w:val="0"/>
              <w:overflowPunct/>
              <w:bidi w:val="0"/>
              <w:spacing w:before="0" w:after="0" w:line="240" w:lineRule="auto"/>
              <w:ind w:left="110" w:leftChars="50" w:right="0" w:rightChars="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时间：在提交投标文件截止时间18天前提出。</w:t>
            </w:r>
          </w:p>
          <w:p w14:paraId="3ED3A86B">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eastAsia="zh-CN"/>
              </w:rPr>
              <w:t>形式：投标人的疑问通过广州公共资源交易中心交易平台提交。网上答疑的操作指南为：登陆</w:t>
            </w:r>
            <w:r>
              <w:rPr>
                <w:rFonts w:hint="eastAsia" w:ascii="宋体" w:hAnsi="宋体" w:eastAsia="宋体" w:cs="宋体"/>
                <w:color w:val="auto"/>
                <w:sz w:val="21"/>
                <w:szCs w:val="21"/>
                <w:highlight w:val="none"/>
                <w:u w:val="none"/>
              </w:rPr>
              <w:t>广州交易集团有限公司（广州公共资源交易中心）网站</w:t>
            </w:r>
            <w:r>
              <w:rPr>
                <w:rFonts w:hint="eastAsia" w:ascii="宋体" w:hAnsi="宋体" w:eastAsia="宋体" w:cs="宋体"/>
                <w:color w:val="auto"/>
                <w:sz w:val="21"/>
                <w:szCs w:val="21"/>
                <w:highlight w:val="none"/>
                <w:u w:val="none"/>
                <w:lang w:eastAsia="zh-CN"/>
              </w:rPr>
              <w:t>→进入“我是投标人”→进入“新建设工程交易平台”→进入“我的投标”→进入“招标答疑提问”→通过项目编号或名称找到所需的项目→在上述的答疑时间内点击“答疑提问”进入到提问区域→无记名或匿名提出问题。按照交易平台关于全流程电子化项目的相关指南进行操作，详见：</w:t>
            </w:r>
            <w:r>
              <w:rPr>
                <w:rFonts w:hint="eastAsia" w:ascii="宋体" w:hAnsi="宋体" w:eastAsia="宋体" w:cs="宋体"/>
                <w:color w:val="auto"/>
                <w:sz w:val="21"/>
                <w:szCs w:val="21"/>
                <w:highlight w:val="none"/>
                <w:u w:val="none"/>
              </w:rPr>
              <w:t>广州交易集团有限公司（广州公共资源交易中心）</w:t>
            </w:r>
            <w:r>
              <w:rPr>
                <w:rFonts w:hint="eastAsia" w:ascii="宋体" w:hAnsi="宋体" w:eastAsia="宋体" w:cs="宋体"/>
                <w:color w:val="auto"/>
                <w:sz w:val="21"/>
                <w:szCs w:val="21"/>
                <w:highlight w:val="none"/>
                <w:u w:val="none"/>
                <w:lang w:eastAsia="zh-CN"/>
              </w:rPr>
              <w:t>网站-&gt;服务指南-&gt;办事指引-&gt;建设工程-&gt;《建设工程全流程电子化项目操作指南（适用于投标人）》（http://www.gzggzy.cn/fwznbszyjsgc/928327.jhtml）。提问一律不得署名。</w:t>
            </w:r>
          </w:p>
        </w:tc>
      </w:tr>
      <w:tr w14:paraId="69FB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trPr>
        <w:tc>
          <w:tcPr>
            <w:tcW w:w="787" w:type="dxa"/>
            <w:vAlign w:val="center"/>
          </w:tcPr>
          <w:p w14:paraId="1B19D6E8">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441" w:type="dxa"/>
            <w:vAlign w:val="center"/>
          </w:tcPr>
          <w:p w14:paraId="1DB497CC">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招标文件澄清发出的形式</w:t>
            </w:r>
          </w:p>
        </w:tc>
        <w:tc>
          <w:tcPr>
            <w:tcW w:w="5871" w:type="dxa"/>
            <w:vAlign w:val="center"/>
          </w:tcPr>
          <w:p w14:paraId="3A04C6AC">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招标人应在递交投标文件截止时间15日前将招标文件澄清文件在广州交易集团有限公司（广州公共资源交易中心）网站“招标答疑”专区发布。不足15日的，招标人应当顺延投标文件的截止时间。</w:t>
            </w:r>
          </w:p>
        </w:tc>
      </w:tr>
      <w:tr w14:paraId="20D5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6" w:hRule="atLeast"/>
        </w:trPr>
        <w:tc>
          <w:tcPr>
            <w:tcW w:w="787" w:type="dxa"/>
            <w:vAlign w:val="center"/>
          </w:tcPr>
          <w:p w14:paraId="19DD7401">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441" w:type="dxa"/>
            <w:vAlign w:val="center"/>
          </w:tcPr>
          <w:p w14:paraId="2EA2E19E">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投标人确认收到招标文件澄清</w:t>
            </w:r>
          </w:p>
        </w:tc>
        <w:tc>
          <w:tcPr>
            <w:tcW w:w="5871" w:type="dxa"/>
            <w:vAlign w:val="center"/>
          </w:tcPr>
          <w:p w14:paraId="5F7BCBB5">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澄清文件一经在广州交易集团有限公司（广州公共资源交易中心）网站发布，视作已发放给所有投标人。招标答疑纪要为招标文件的一部分。投标人可在广州交易集团有限公司（广州公共资源交易中心）网站浏览、下载招标答疑纪要。若招标答疑纪要与招标文件有矛盾时，以广州交易集团有限公司（广州公共资源交易中心）网站最后发布的答疑纪要为准。</w:t>
            </w:r>
          </w:p>
        </w:tc>
      </w:tr>
      <w:tr w14:paraId="06F4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787" w:type="dxa"/>
            <w:vAlign w:val="center"/>
          </w:tcPr>
          <w:p w14:paraId="382E4B8E">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2441" w:type="dxa"/>
            <w:vAlign w:val="center"/>
          </w:tcPr>
          <w:p w14:paraId="1A956ED8">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招标文件修改发出的形式</w:t>
            </w:r>
          </w:p>
        </w:tc>
        <w:tc>
          <w:tcPr>
            <w:tcW w:w="5871" w:type="dxa"/>
            <w:vAlign w:val="center"/>
          </w:tcPr>
          <w:p w14:paraId="6B0BA294">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以补充公告或项目答疑澄清的方式在广州交易集团有限公司（广州公共资源交易中心）网站发布。</w:t>
            </w:r>
          </w:p>
        </w:tc>
      </w:tr>
      <w:tr w14:paraId="7B18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787" w:type="dxa"/>
            <w:vAlign w:val="center"/>
          </w:tcPr>
          <w:p w14:paraId="78E1013D">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441" w:type="dxa"/>
            <w:vAlign w:val="center"/>
          </w:tcPr>
          <w:p w14:paraId="66A4AACA">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投标人确认收到招标文件修改</w:t>
            </w:r>
          </w:p>
        </w:tc>
        <w:tc>
          <w:tcPr>
            <w:tcW w:w="5871" w:type="dxa"/>
            <w:vAlign w:val="center"/>
          </w:tcPr>
          <w:p w14:paraId="56D08F9B">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修改文件一经在广州交易集团有限公司（广州公共资源交易中心）网站发布，视作已发放给所有投标人，无需确认。投标人应自行关注招标公告公布的网站公告，招标人不再一一通知。投标人因自身贻误行为导致投标失败的，责任自负。</w:t>
            </w:r>
          </w:p>
        </w:tc>
      </w:tr>
      <w:tr w14:paraId="6758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787" w:type="dxa"/>
            <w:vAlign w:val="center"/>
          </w:tcPr>
          <w:p w14:paraId="4B87F8D4">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2441" w:type="dxa"/>
            <w:vAlign w:val="center"/>
          </w:tcPr>
          <w:p w14:paraId="7C87F4CC">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构成投标文件的其他资料</w:t>
            </w:r>
          </w:p>
        </w:tc>
        <w:tc>
          <w:tcPr>
            <w:tcW w:w="5871" w:type="dxa"/>
            <w:vAlign w:val="center"/>
          </w:tcPr>
          <w:p w14:paraId="3DEBEF67">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满足本项目评审要求的其他资料。</w:t>
            </w:r>
          </w:p>
        </w:tc>
      </w:tr>
      <w:tr w14:paraId="4455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787" w:type="dxa"/>
            <w:vAlign w:val="center"/>
          </w:tcPr>
          <w:p w14:paraId="003CAB57">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2441" w:type="dxa"/>
            <w:vAlign w:val="center"/>
          </w:tcPr>
          <w:p w14:paraId="4652B7FE">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增值税税金的计算方法</w:t>
            </w:r>
          </w:p>
        </w:tc>
        <w:tc>
          <w:tcPr>
            <w:tcW w:w="5871" w:type="dxa"/>
            <w:vAlign w:val="center"/>
          </w:tcPr>
          <w:p w14:paraId="726A921E">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投标人的投标报价为含税报价。</w:t>
            </w:r>
          </w:p>
        </w:tc>
      </w:tr>
      <w:tr w14:paraId="2929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787" w:type="dxa"/>
            <w:vAlign w:val="center"/>
          </w:tcPr>
          <w:p w14:paraId="4F667427">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2441" w:type="dxa"/>
            <w:vAlign w:val="center"/>
          </w:tcPr>
          <w:p w14:paraId="77C09E49">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5871" w:type="dxa"/>
            <w:vAlign w:val="center"/>
          </w:tcPr>
          <w:p w14:paraId="6229159A">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按招标文件第六章投标文件格式进行报价。</w:t>
            </w:r>
            <w:r>
              <w:rPr>
                <w:rFonts w:hint="eastAsia" w:ascii="宋体" w:hAnsi="宋体" w:eastAsia="宋体" w:cs="宋体"/>
                <w:color w:val="auto"/>
                <w:sz w:val="21"/>
                <w:szCs w:val="21"/>
                <w:highlight w:val="none"/>
              </w:rPr>
              <w:t>投标人根据自身企业实力自行报价。</w:t>
            </w:r>
            <w:r>
              <w:rPr>
                <w:rFonts w:hint="eastAsia" w:ascii="宋体" w:hAnsi="宋体" w:cs="宋体"/>
                <w:color w:val="auto"/>
                <w:sz w:val="21"/>
                <w:szCs w:val="21"/>
                <w:highlight w:val="none"/>
                <w:lang w:eastAsia="zh-CN"/>
              </w:rPr>
              <w:t>咨询服务费</w:t>
            </w:r>
            <w:r>
              <w:rPr>
                <w:rFonts w:hint="eastAsia" w:ascii="宋体" w:hAnsi="宋体" w:eastAsia="宋体" w:cs="宋体"/>
                <w:color w:val="auto"/>
                <w:sz w:val="21"/>
                <w:szCs w:val="21"/>
                <w:highlight w:val="none"/>
              </w:rPr>
              <w:t>报价为投标人完成本招标项目所有</w:t>
            </w:r>
            <w:r>
              <w:rPr>
                <w:rFonts w:hint="eastAsia" w:ascii="宋体" w:hAnsi="宋体" w:cs="宋体"/>
                <w:color w:val="auto"/>
                <w:sz w:val="21"/>
                <w:szCs w:val="21"/>
                <w:highlight w:val="none"/>
                <w:lang w:val="en-US" w:eastAsia="zh-CN"/>
              </w:rPr>
              <w:t>咨询</w:t>
            </w:r>
            <w:r>
              <w:rPr>
                <w:rFonts w:hint="eastAsia" w:ascii="宋体" w:hAnsi="宋体" w:eastAsia="宋体" w:cs="宋体"/>
                <w:color w:val="auto"/>
                <w:sz w:val="21"/>
                <w:szCs w:val="21"/>
                <w:highlight w:val="none"/>
              </w:rPr>
              <w:t>工作及履行合同的成本、利润、税金及风险等。</w:t>
            </w:r>
          </w:p>
        </w:tc>
      </w:tr>
      <w:tr w14:paraId="7F80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trPr>
        <w:tc>
          <w:tcPr>
            <w:tcW w:w="787" w:type="dxa"/>
            <w:vAlign w:val="center"/>
          </w:tcPr>
          <w:p w14:paraId="2B507136">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2441" w:type="dxa"/>
            <w:vAlign w:val="center"/>
          </w:tcPr>
          <w:p w14:paraId="6A2D46C9">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5871" w:type="dxa"/>
            <w:vAlign w:val="center"/>
          </w:tcPr>
          <w:p w14:paraId="121C73F9">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□无</w:t>
            </w:r>
          </w:p>
          <w:p w14:paraId="2B31450F">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■有，本项目工程</w:t>
            </w:r>
            <w:r>
              <w:rPr>
                <w:rFonts w:hint="eastAsia" w:ascii="宋体" w:hAnsi="宋体" w:cs="宋体"/>
                <w:color w:val="auto"/>
                <w:sz w:val="21"/>
                <w:szCs w:val="21"/>
                <w:highlight w:val="none"/>
                <w:lang w:eastAsia="zh-CN"/>
              </w:rPr>
              <w:t>咨询服务费</w:t>
            </w:r>
            <w:r>
              <w:rPr>
                <w:rFonts w:hint="eastAsia" w:ascii="宋体" w:hAnsi="宋体" w:eastAsia="宋体" w:cs="宋体"/>
                <w:color w:val="auto"/>
                <w:sz w:val="21"/>
                <w:szCs w:val="21"/>
                <w:highlight w:val="none"/>
              </w:rPr>
              <w:t>最高投标限价总价为</w:t>
            </w:r>
            <w:r>
              <w:rPr>
                <w:rFonts w:hint="eastAsia" w:ascii="宋体" w:hAnsi="宋体" w:cs="宋体"/>
                <w:color w:val="auto"/>
                <w:sz w:val="21"/>
                <w:szCs w:val="21"/>
                <w:highlight w:val="none"/>
                <w:lang w:eastAsia="zh-CN"/>
              </w:rPr>
              <w:t>69</w:t>
            </w:r>
            <w:r>
              <w:rPr>
                <w:rFonts w:hint="eastAsia" w:ascii="宋体" w:hAnsi="宋体" w:eastAsia="宋体" w:cs="宋体"/>
                <w:color w:val="auto"/>
                <w:sz w:val="21"/>
                <w:szCs w:val="21"/>
                <w:highlight w:val="none"/>
              </w:rPr>
              <w:t>万元。</w:t>
            </w:r>
          </w:p>
          <w:p w14:paraId="4BDF725E">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注：投标人的投标总价超过上述相应最高投标限价的为无效标。</w:t>
            </w:r>
          </w:p>
        </w:tc>
      </w:tr>
      <w:tr w14:paraId="0255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5" w:hRule="atLeast"/>
        </w:trPr>
        <w:tc>
          <w:tcPr>
            <w:tcW w:w="787" w:type="dxa"/>
            <w:vAlign w:val="center"/>
          </w:tcPr>
          <w:p w14:paraId="6AA71BF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2441" w:type="dxa"/>
            <w:vAlign w:val="center"/>
          </w:tcPr>
          <w:p w14:paraId="7AED4DD2">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投标报价的其他要求</w:t>
            </w:r>
          </w:p>
        </w:tc>
        <w:tc>
          <w:tcPr>
            <w:tcW w:w="5871" w:type="dxa"/>
            <w:vAlign w:val="center"/>
          </w:tcPr>
          <w:p w14:paraId="58AD9AA3">
            <w:pPr>
              <w:keepNext w:val="0"/>
              <w:keepLines w:val="0"/>
              <w:pageBreakBefore w:val="0"/>
              <w:widowControl w:val="0"/>
              <w:kinsoku/>
              <w:wordWrap w:val="0"/>
              <w:overflowPunct/>
              <w:bidi w:val="0"/>
              <w:spacing w:before="0" w:after="0" w:line="240" w:lineRule="auto"/>
              <w:ind w:left="110" w:leftChars="5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各投标单位在最高投标限价内根据企业自身实力进行含税报价。</w:t>
            </w:r>
          </w:p>
          <w:p w14:paraId="15A717EE">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投标人的报价，应是其按发包人要求和</w:t>
            </w:r>
            <w:r>
              <w:rPr>
                <w:rFonts w:hint="eastAsia" w:ascii="宋体" w:hAnsi="宋体" w:cs="宋体"/>
                <w:color w:val="auto"/>
                <w:sz w:val="21"/>
                <w:szCs w:val="21"/>
                <w:highlight w:val="none"/>
                <w:lang w:eastAsia="zh-CN"/>
              </w:rPr>
              <w:t>咨询合同</w:t>
            </w:r>
            <w:r>
              <w:rPr>
                <w:rFonts w:hint="eastAsia" w:ascii="宋体" w:hAnsi="宋体" w:eastAsia="宋体" w:cs="宋体"/>
                <w:color w:val="auto"/>
                <w:sz w:val="21"/>
                <w:szCs w:val="21"/>
                <w:highlight w:val="none"/>
                <w:lang w:val="en-US" w:eastAsia="zh-CN"/>
              </w:rPr>
              <w:t>条款</w:t>
            </w:r>
            <w:r>
              <w:rPr>
                <w:rFonts w:hint="eastAsia" w:ascii="宋体" w:hAnsi="宋体" w:eastAsia="宋体" w:cs="宋体"/>
                <w:color w:val="auto"/>
                <w:sz w:val="21"/>
                <w:szCs w:val="21"/>
                <w:highlight w:val="none"/>
              </w:rPr>
              <w:t>完成服务工作的所有费用，包括人工费、设备使用费、管理费和利润，以及保险费、合同明示或暗示的风险、责任和义务涉及费用等。</w:t>
            </w:r>
          </w:p>
        </w:tc>
      </w:tr>
      <w:tr w14:paraId="6D04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787" w:type="dxa"/>
            <w:vAlign w:val="center"/>
          </w:tcPr>
          <w:p w14:paraId="6345EC06">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441" w:type="dxa"/>
            <w:vAlign w:val="center"/>
          </w:tcPr>
          <w:p w14:paraId="1B159934">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871" w:type="dxa"/>
            <w:vAlign w:val="center"/>
          </w:tcPr>
          <w:p w14:paraId="0E9FE429">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日历天（从投标截止之日算起）</w:t>
            </w:r>
          </w:p>
        </w:tc>
      </w:tr>
      <w:tr w14:paraId="2D4B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787" w:type="dxa"/>
            <w:vAlign w:val="center"/>
          </w:tcPr>
          <w:p w14:paraId="2DED9749">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441" w:type="dxa"/>
            <w:vAlign w:val="center"/>
          </w:tcPr>
          <w:p w14:paraId="3C7F036F">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871" w:type="dxa"/>
            <w:vAlign w:val="center"/>
          </w:tcPr>
          <w:p w14:paraId="0C0E739F">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是否要求投标人递交投标保证金：</w:t>
            </w:r>
          </w:p>
          <w:p w14:paraId="0D8B9815">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p w14:paraId="27DAA31E">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pacing w:val="-1"/>
                <w:sz w:val="21"/>
                <w:szCs w:val="21"/>
                <w:highlight w:val="none"/>
              </w:rPr>
              <w:t>不</w:t>
            </w:r>
            <w:r>
              <w:rPr>
                <w:rFonts w:hint="eastAsia" w:ascii="宋体" w:hAnsi="宋体" w:eastAsia="宋体" w:cs="宋体"/>
                <w:color w:val="auto"/>
                <w:sz w:val="21"/>
                <w:szCs w:val="21"/>
                <w:highlight w:val="none"/>
              </w:rPr>
              <w:t>要求</w:t>
            </w:r>
          </w:p>
        </w:tc>
      </w:tr>
      <w:tr w14:paraId="26FD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787" w:type="dxa"/>
            <w:vAlign w:val="center"/>
          </w:tcPr>
          <w:p w14:paraId="68062505">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2441" w:type="dxa"/>
            <w:vAlign w:val="center"/>
          </w:tcPr>
          <w:p w14:paraId="5CDD15A6">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其他可以不予退还投标保</w:t>
            </w:r>
          </w:p>
          <w:p w14:paraId="360FBDF1">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证金的情形</w:t>
            </w:r>
          </w:p>
        </w:tc>
        <w:tc>
          <w:tcPr>
            <w:tcW w:w="5871" w:type="dxa"/>
            <w:vAlign w:val="center"/>
          </w:tcPr>
          <w:p w14:paraId="34329ADD">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F70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787" w:type="dxa"/>
            <w:vAlign w:val="center"/>
          </w:tcPr>
          <w:p w14:paraId="738816EA">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441" w:type="dxa"/>
            <w:vAlign w:val="center"/>
          </w:tcPr>
          <w:p w14:paraId="28B5CC59">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资格审查资料的特殊要求</w:t>
            </w:r>
          </w:p>
        </w:tc>
        <w:tc>
          <w:tcPr>
            <w:tcW w:w="5871" w:type="dxa"/>
            <w:vAlign w:val="center"/>
          </w:tcPr>
          <w:p w14:paraId="67206E93">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7DDF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787" w:type="dxa"/>
            <w:vAlign w:val="center"/>
          </w:tcPr>
          <w:p w14:paraId="2DC4D8A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2441" w:type="dxa"/>
            <w:vAlign w:val="center"/>
          </w:tcPr>
          <w:p w14:paraId="4124783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近年财务状况的年份要求</w:t>
            </w:r>
          </w:p>
        </w:tc>
        <w:tc>
          <w:tcPr>
            <w:tcW w:w="5871" w:type="dxa"/>
            <w:vAlign w:val="center"/>
          </w:tcPr>
          <w:p w14:paraId="1AB8E231">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2225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787" w:type="dxa"/>
            <w:vAlign w:val="center"/>
          </w:tcPr>
          <w:p w14:paraId="234A3FAF">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w:t>
            </w:r>
          </w:p>
        </w:tc>
        <w:tc>
          <w:tcPr>
            <w:tcW w:w="2441" w:type="dxa"/>
            <w:vAlign w:val="center"/>
          </w:tcPr>
          <w:p w14:paraId="0AF0E8EE">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近年完成的类似项目情况的时间要求</w:t>
            </w:r>
          </w:p>
        </w:tc>
        <w:tc>
          <w:tcPr>
            <w:tcW w:w="5871" w:type="dxa"/>
            <w:vAlign w:val="center"/>
          </w:tcPr>
          <w:p w14:paraId="7D96F384">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81E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787" w:type="dxa"/>
            <w:vAlign w:val="center"/>
          </w:tcPr>
          <w:p w14:paraId="1604253A">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3.5.5</w:t>
            </w:r>
          </w:p>
        </w:tc>
        <w:tc>
          <w:tcPr>
            <w:tcW w:w="2441" w:type="dxa"/>
            <w:vAlign w:val="center"/>
          </w:tcPr>
          <w:p w14:paraId="44CBAB90">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近年发生的诉讼及仲裁情况的时间要求</w:t>
            </w:r>
          </w:p>
        </w:tc>
        <w:tc>
          <w:tcPr>
            <w:tcW w:w="5871" w:type="dxa"/>
            <w:vAlign w:val="center"/>
          </w:tcPr>
          <w:p w14:paraId="0B40F1C6">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0EE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787" w:type="dxa"/>
            <w:vAlign w:val="center"/>
          </w:tcPr>
          <w:p w14:paraId="4A27AAA1">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441" w:type="dxa"/>
            <w:vAlign w:val="center"/>
          </w:tcPr>
          <w:p w14:paraId="1F5C1531">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是否允许递交备选投标方案</w:t>
            </w:r>
          </w:p>
        </w:tc>
        <w:tc>
          <w:tcPr>
            <w:tcW w:w="5871" w:type="dxa"/>
            <w:vAlign w:val="center"/>
          </w:tcPr>
          <w:p w14:paraId="341AAF11">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p w14:paraId="57CE7F5F">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w:t>
            </w:r>
          </w:p>
        </w:tc>
      </w:tr>
      <w:tr w14:paraId="2FCF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0BAE7988">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42"/>
                <w:sz w:val="21"/>
                <w:szCs w:val="21"/>
                <w:highlight w:val="none"/>
              </w:rPr>
              <w:t>A</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2</w:t>
            </w:r>
            <w:r>
              <w:rPr>
                <w:rFonts w:hint="eastAsia" w:ascii="宋体" w:hAnsi="宋体" w:eastAsia="宋体" w:cs="宋体"/>
                <w:color w:val="auto"/>
                <w:sz w:val="21"/>
                <w:szCs w:val="21"/>
                <w:highlight w:val="none"/>
              </w:rPr>
              <w:t>）</w:t>
            </w:r>
          </w:p>
        </w:tc>
        <w:tc>
          <w:tcPr>
            <w:tcW w:w="2441" w:type="dxa"/>
            <w:vAlign w:val="center"/>
          </w:tcPr>
          <w:p w14:paraId="1EF2CEAF">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投标文件副本份数及其他要求</w:t>
            </w:r>
          </w:p>
        </w:tc>
        <w:tc>
          <w:tcPr>
            <w:tcW w:w="5871" w:type="dxa"/>
            <w:vAlign w:val="center"/>
          </w:tcPr>
          <w:p w14:paraId="193812FE">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本项目不适用。</w:t>
            </w:r>
          </w:p>
        </w:tc>
      </w:tr>
      <w:tr w14:paraId="0520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79440668">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42"/>
                <w:sz w:val="21"/>
                <w:szCs w:val="21"/>
                <w:highlight w:val="none"/>
              </w:rPr>
              <w:t>A</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3</w:t>
            </w:r>
            <w:r>
              <w:rPr>
                <w:rFonts w:hint="eastAsia" w:ascii="宋体" w:hAnsi="宋体" w:eastAsia="宋体" w:cs="宋体"/>
                <w:color w:val="auto"/>
                <w:sz w:val="21"/>
                <w:szCs w:val="21"/>
                <w:highlight w:val="none"/>
              </w:rPr>
              <w:t>）</w:t>
            </w:r>
          </w:p>
        </w:tc>
        <w:tc>
          <w:tcPr>
            <w:tcW w:w="2441" w:type="dxa"/>
            <w:vAlign w:val="center"/>
          </w:tcPr>
          <w:p w14:paraId="1D5A8A45">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投标文件是否需分册装订</w:t>
            </w:r>
          </w:p>
        </w:tc>
        <w:tc>
          <w:tcPr>
            <w:tcW w:w="5871" w:type="dxa"/>
            <w:vAlign w:val="center"/>
          </w:tcPr>
          <w:p w14:paraId="53CCAB3E">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本项目不适用。</w:t>
            </w:r>
          </w:p>
        </w:tc>
      </w:tr>
      <w:tr w14:paraId="41B7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44E7E42A">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3.7.3（B）</w:t>
            </w:r>
          </w:p>
        </w:tc>
        <w:tc>
          <w:tcPr>
            <w:tcW w:w="2441" w:type="dxa"/>
            <w:vAlign w:val="center"/>
          </w:tcPr>
          <w:p w14:paraId="0FEB2553">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投标文件所附证书证件要求</w:t>
            </w:r>
          </w:p>
        </w:tc>
        <w:tc>
          <w:tcPr>
            <w:tcW w:w="5871" w:type="dxa"/>
            <w:vAlign w:val="center"/>
          </w:tcPr>
          <w:p w14:paraId="204821B6">
            <w:pPr>
              <w:pStyle w:val="11"/>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证书证件需为清晰扫描件，并采用单位数字证书，按照招标文件要求在相应位置加盖电子印章。具体详见第六章的</w:t>
            </w:r>
            <w:r>
              <w:rPr>
                <w:rFonts w:hint="eastAsia" w:ascii="宋体" w:hAnsi="宋体" w:cs="宋体"/>
                <w:color w:val="auto"/>
                <w:sz w:val="21"/>
                <w:szCs w:val="21"/>
                <w:highlight w:val="none"/>
                <w:lang w:eastAsia="zh-CN"/>
              </w:rPr>
              <w:t>投标文件编制要求</w:t>
            </w:r>
            <w:r>
              <w:rPr>
                <w:rFonts w:hint="eastAsia" w:ascii="宋体" w:hAnsi="宋体" w:eastAsia="宋体" w:cs="宋体"/>
                <w:color w:val="auto"/>
                <w:sz w:val="21"/>
                <w:szCs w:val="21"/>
                <w:highlight w:val="none"/>
              </w:rPr>
              <w:t>。</w:t>
            </w:r>
          </w:p>
        </w:tc>
      </w:tr>
      <w:tr w14:paraId="40DC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680A885A">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3.7.3（B）</w:t>
            </w:r>
          </w:p>
        </w:tc>
        <w:tc>
          <w:tcPr>
            <w:tcW w:w="2441" w:type="dxa"/>
            <w:vAlign w:val="center"/>
          </w:tcPr>
          <w:p w14:paraId="72CAEA21">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投标文件签字或盖章要求</w:t>
            </w:r>
          </w:p>
        </w:tc>
        <w:tc>
          <w:tcPr>
            <w:tcW w:w="5871" w:type="dxa"/>
            <w:vAlign w:val="center"/>
          </w:tcPr>
          <w:p w14:paraId="577392E3">
            <w:pPr>
              <w:pStyle w:val="11"/>
              <w:keepNext w:val="0"/>
              <w:keepLines w:val="0"/>
              <w:pageBreakBefore w:val="0"/>
              <w:widowControl w:val="0"/>
              <w:kinsoku/>
              <w:wordWrap w:val="0"/>
              <w:overflowPunct/>
              <w:topLinePunct/>
              <w:bidi w:val="0"/>
              <w:snapToGrid w:val="0"/>
              <w:spacing w:before="0" w:after="0" w:line="240" w:lineRule="auto"/>
              <w:ind w:left="110" w:leftChars="5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投标文件全部采用电子文档，投标文件所附证书证件均为清晰扫描件，并采用单位数字证书，按招标文件要求在相应位置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包括单位盖章或投标人盖章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加盖电子印章。投标文件中需个人签字或盖章的，应加盖个人电子印章或在线下完成后扫描上传。投标文件按招标文件要求加盖单位电子印章，具体操作详见《建设工程全流程电子化项目操作指南》。</w:t>
            </w:r>
          </w:p>
        </w:tc>
      </w:tr>
      <w:tr w14:paraId="410B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2B72DC64">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p w14:paraId="614064C9">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p>
        </w:tc>
        <w:tc>
          <w:tcPr>
            <w:tcW w:w="2441" w:type="dxa"/>
            <w:vAlign w:val="center"/>
          </w:tcPr>
          <w:p w14:paraId="4C4C7469">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投标文件加密要求</w:t>
            </w:r>
          </w:p>
        </w:tc>
        <w:tc>
          <w:tcPr>
            <w:tcW w:w="5871" w:type="dxa"/>
            <w:vAlign w:val="center"/>
          </w:tcPr>
          <w:p w14:paraId="4C4142E5">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网上递交的电子投标文件须进行加密。具体操作详见建设工程全流程电子化项目操作指南。</w:t>
            </w:r>
          </w:p>
        </w:tc>
      </w:tr>
      <w:tr w14:paraId="0441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2" w:hRule="atLeast"/>
        </w:trPr>
        <w:tc>
          <w:tcPr>
            <w:tcW w:w="787" w:type="dxa"/>
            <w:vAlign w:val="center"/>
          </w:tcPr>
          <w:p w14:paraId="29C9317D">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441" w:type="dxa"/>
            <w:vAlign w:val="center"/>
          </w:tcPr>
          <w:p w14:paraId="3A9C1773">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封套上应载明的信息</w:t>
            </w:r>
          </w:p>
        </w:tc>
        <w:tc>
          <w:tcPr>
            <w:tcW w:w="5871" w:type="dxa"/>
            <w:vAlign w:val="center"/>
          </w:tcPr>
          <w:p w14:paraId="5EDE9029">
            <w:pPr>
              <w:pStyle w:val="37"/>
              <w:keepNext w:val="0"/>
              <w:keepLines w:val="0"/>
              <w:pageBreakBefore w:val="0"/>
              <w:widowControl w:val="0"/>
              <w:wordWrap w:val="0"/>
              <w:bidi w:val="0"/>
              <w:spacing w:before="0" w:after="0" w:line="240" w:lineRule="auto"/>
              <w:ind w:left="110" w:leftChars="50" w:right="0" w:rightChars="0"/>
              <w:jc w:val="both"/>
              <w:rPr>
                <w:rFonts w:hint="eastAsia" w:ascii="宋体" w:hAnsi="宋体" w:eastAsia="宋体" w:cs="宋体"/>
                <w:bCs/>
                <w:i w:val="0"/>
                <w:iCs w:val="0"/>
                <w:color w:val="auto"/>
                <w:sz w:val="21"/>
                <w:szCs w:val="21"/>
                <w:highlight w:val="none"/>
                <w:u w:val="single"/>
                <w:lang w:eastAsia="zh-CN"/>
              </w:rPr>
            </w:pPr>
            <w:r>
              <w:rPr>
                <w:rFonts w:hint="eastAsia" w:ascii="宋体" w:hAnsi="宋体" w:eastAsia="宋体" w:cs="宋体"/>
                <w:bCs/>
                <w:i w:val="0"/>
                <w:iCs w:val="0"/>
                <w:color w:val="auto"/>
                <w:sz w:val="21"/>
                <w:szCs w:val="21"/>
                <w:highlight w:val="none"/>
                <w:lang w:eastAsia="zh-CN"/>
              </w:rPr>
              <w:t>招标人名称：</w:t>
            </w:r>
            <w:r>
              <w:rPr>
                <w:rFonts w:hint="eastAsia" w:ascii="宋体" w:hAnsi="宋体" w:eastAsia="宋体" w:cs="宋体"/>
                <w:bCs/>
                <w:color w:val="auto"/>
                <w:sz w:val="21"/>
                <w:szCs w:val="21"/>
                <w:highlight w:val="none"/>
                <w:u w:val="single"/>
                <w:lang w:eastAsia="zh-CN"/>
              </w:rPr>
              <w:t>中国光大银行股份有限公司广州分行</w:t>
            </w:r>
          </w:p>
          <w:p w14:paraId="1DC5BB4A">
            <w:pPr>
              <w:pStyle w:val="37"/>
              <w:keepNext w:val="0"/>
              <w:keepLines w:val="0"/>
              <w:pageBreakBefore w:val="0"/>
              <w:widowControl w:val="0"/>
              <w:wordWrap w:val="0"/>
              <w:bidi w:val="0"/>
              <w:spacing w:before="0" w:after="0" w:line="240" w:lineRule="auto"/>
              <w:ind w:left="110" w:leftChars="50" w:right="0" w:rightChars="0"/>
              <w:jc w:val="both"/>
              <w:rPr>
                <w:rFonts w:hint="eastAsia" w:ascii="宋体" w:hAnsi="宋体" w:eastAsia="宋体" w:cs="宋体"/>
                <w:bCs/>
                <w:i w:val="0"/>
                <w:iCs w:val="0"/>
                <w:color w:val="auto"/>
                <w:sz w:val="21"/>
                <w:szCs w:val="21"/>
                <w:highlight w:val="none"/>
                <w:u w:val="single"/>
                <w:lang w:eastAsia="zh-CN"/>
              </w:rPr>
            </w:pPr>
            <w:r>
              <w:rPr>
                <w:rFonts w:hint="eastAsia" w:ascii="宋体" w:hAnsi="宋体" w:eastAsia="宋体" w:cs="宋体"/>
                <w:bCs/>
                <w:i w:val="0"/>
                <w:iCs w:val="0"/>
                <w:color w:val="auto"/>
                <w:sz w:val="21"/>
                <w:szCs w:val="21"/>
                <w:highlight w:val="none"/>
                <w:lang w:eastAsia="zh-CN"/>
              </w:rPr>
              <w:t>招标人地址：</w:t>
            </w:r>
            <w:r>
              <w:rPr>
                <w:rFonts w:hint="eastAsia" w:ascii="宋体" w:hAnsi="宋体" w:eastAsia="宋体" w:cs="宋体"/>
                <w:bCs/>
                <w:color w:val="auto"/>
                <w:sz w:val="21"/>
                <w:szCs w:val="21"/>
                <w:highlight w:val="none"/>
                <w:u w:val="single"/>
                <w:lang w:eastAsia="zh-CN"/>
              </w:rPr>
              <w:t>广州市天河北路685号光大大厦21楼2112室</w:t>
            </w:r>
          </w:p>
          <w:p w14:paraId="0785CAB0">
            <w:pPr>
              <w:pStyle w:val="37"/>
              <w:keepNext w:val="0"/>
              <w:keepLines w:val="0"/>
              <w:pageBreakBefore w:val="0"/>
              <w:widowControl w:val="0"/>
              <w:wordWrap w:val="0"/>
              <w:bidi w:val="0"/>
              <w:spacing w:before="0" w:after="0" w:line="240" w:lineRule="auto"/>
              <w:ind w:left="110" w:leftChars="50" w:right="0" w:rightChars="0"/>
              <w:jc w:val="both"/>
              <w:rPr>
                <w:rFonts w:hint="eastAsia" w:ascii="宋体" w:hAnsi="宋体" w:eastAsia="宋体" w:cs="宋体"/>
                <w:bCs/>
                <w:i w:val="0"/>
                <w:iCs w:val="0"/>
                <w:color w:val="auto"/>
                <w:sz w:val="21"/>
                <w:szCs w:val="21"/>
                <w:highlight w:val="none"/>
                <w:lang w:eastAsia="zh-CN"/>
              </w:rPr>
            </w:pPr>
            <w:r>
              <w:rPr>
                <w:rFonts w:hint="eastAsia" w:ascii="宋体" w:hAnsi="宋体" w:eastAsia="宋体" w:cs="宋体"/>
                <w:b w:val="0"/>
                <w:bCs/>
                <w:color w:val="auto"/>
                <w:sz w:val="21"/>
                <w:szCs w:val="21"/>
                <w:highlight w:val="none"/>
                <w:u w:val="single"/>
                <w:lang w:eastAsia="zh-CN"/>
              </w:rPr>
              <w:t>中国光大银行股份有限公司广州分行新业务经营用房改造项目咨询服务</w:t>
            </w:r>
            <w:r>
              <w:rPr>
                <w:rFonts w:hint="eastAsia" w:ascii="宋体" w:hAnsi="宋体" w:eastAsia="宋体" w:cs="宋体"/>
                <w:bCs/>
                <w:i w:val="0"/>
                <w:iCs w:val="0"/>
                <w:color w:val="auto"/>
                <w:sz w:val="21"/>
                <w:szCs w:val="21"/>
                <w:highlight w:val="none"/>
                <w:lang w:eastAsia="zh-CN"/>
              </w:rPr>
              <w:t>投标文件备用U盘</w:t>
            </w:r>
          </w:p>
          <w:p w14:paraId="1D56B3A2">
            <w:pPr>
              <w:pStyle w:val="37"/>
              <w:keepNext w:val="0"/>
              <w:keepLines w:val="0"/>
              <w:pageBreakBefore w:val="0"/>
              <w:widowControl w:val="0"/>
              <w:wordWrap w:val="0"/>
              <w:bidi w:val="0"/>
              <w:spacing w:before="0" w:after="0" w:line="240" w:lineRule="auto"/>
              <w:ind w:left="110" w:leftChars="50" w:right="0" w:rightChars="0"/>
              <w:jc w:val="both"/>
              <w:rPr>
                <w:rFonts w:hint="default" w:ascii="宋体" w:hAnsi="宋体" w:eastAsia="宋体" w:cs="宋体"/>
                <w:bCs/>
                <w:i w:val="0"/>
                <w:iCs w:val="0"/>
                <w:color w:val="auto"/>
                <w:sz w:val="21"/>
                <w:szCs w:val="21"/>
                <w:highlight w:val="none"/>
                <w:u w:val="single"/>
                <w:lang w:eastAsia="zh-CN"/>
              </w:rPr>
            </w:pPr>
            <w:r>
              <w:rPr>
                <w:rFonts w:hint="eastAsia" w:ascii="宋体" w:hAnsi="宋体" w:eastAsia="宋体" w:cs="宋体"/>
                <w:bCs/>
                <w:i w:val="0"/>
                <w:iCs w:val="0"/>
                <w:color w:val="auto"/>
                <w:sz w:val="21"/>
                <w:szCs w:val="21"/>
                <w:highlight w:val="none"/>
                <w:lang w:eastAsia="zh-CN"/>
              </w:rPr>
              <w:t>项目编号：</w:t>
            </w:r>
            <w:r>
              <w:rPr>
                <w:rFonts w:hint="eastAsia" w:ascii="宋体" w:hAnsi="宋体" w:eastAsia="宋体" w:cs="宋体"/>
                <w:bCs/>
                <w:i w:val="0"/>
                <w:iCs w:val="0"/>
                <w:color w:val="auto"/>
                <w:sz w:val="21"/>
                <w:szCs w:val="21"/>
                <w:highlight w:val="none"/>
                <w:u w:val="single"/>
                <w:lang w:val="en-US" w:eastAsia="zh-CN"/>
              </w:rPr>
              <w:t xml:space="preserve">            </w:t>
            </w:r>
          </w:p>
          <w:p w14:paraId="427446F3">
            <w:pPr>
              <w:pStyle w:val="37"/>
              <w:keepNext w:val="0"/>
              <w:keepLines w:val="0"/>
              <w:pageBreakBefore w:val="0"/>
              <w:widowControl w:val="0"/>
              <w:wordWrap w:val="0"/>
              <w:bidi w:val="0"/>
              <w:spacing w:before="0" w:after="0" w:line="240" w:lineRule="auto"/>
              <w:ind w:left="110" w:leftChars="50" w:right="0" w:rightChars="0"/>
              <w:jc w:val="both"/>
              <w:rPr>
                <w:rFonts w:hint="eastAsia" w:ascii="宋体" w:hAnsi="宋体" w:eastAsia="宋体" w:cs="宋体"/>
                <w:bCs/>
                <w:i w:val="0"/>
                <w:iCs w:val="0"/>
                <w:color w:val="auto"/>
                <w:sz w:val="21"/>
                <w:szCs w:val="21"/>
                <w:highlight w:val="none"/>
                <w:lang w:eastAsia="zh-CN"/>
              </w:rPr>
            </w:pPr>
            <w:r>
              <w:rPr>
                <w:rFonts w:hint="eastAsia" w:ascii="宋体" w:hAnsi="宋体" w:eastAsia="宋体" w:cs="宋体"/>
                <w:bCs/>
                <w:i w:val="0"/>
                <w:iCs w:val="0"/>
                <w:color w:val="auto"/>
                <w:sz w:val="21"/>
                <w:szCs w:val="21"/>
                <w:highlight w:val="none"/>
                <w:lang w:eastAsia="zh-CN"/>
              </w:rPr>
              <w:t>在</w:t>
            </w:r>
            <w:r>
              <w:rPr>
                <w:rFonts w:hint="eastAsia" w:ascii="宋体" w:hAnsi="宋体" w:eastAsia="宋体" w:cs="宋体"/>
                <w:bCs/>
                <w:i w:val="0"/>
                <w:iCs w:val="0"/>
                <w:color w:val="auto"/>
                <w:sz w:val="21"/>
                <w:szCs w:val="21"/>
                <w:highlight w:val="none"/>
                <w:u w:val="single"/>
                <w:lang w:eastAsia="zh-CN"/>
              </w:rPr>
              <w:t xml:space="preserve"> </w:t>
            </w:r>
            <w:r>
              <w:rPr>
                <w:rFonts w:hint="eastAsia" w:ascii="宋体" w:hAnsi="宋体" w:eastAsia="宋体" w:cs="宋体"/>
                <w:bCs/>
                <w:i w:val="0"/>
                <w:iCs w:val="0"/>
                <w:color w:val="auto"/>
                <w:sz w:val="21"/>
                <w:szCs w:val="21"/>
                <w:highlight w:val="none"/>
                <w:u w:val="single"/>
                <w:lang w:val="en-US" w:eastAsia="zh-CN"/>
              </w:rPr>
              <w:t xml:space="preserve">  </w:t>
            </w:r>
            <w:r>
              <w:rPr>
                <w:rFonts w:hint="eastAsia" w:ascii="宋体" w:hAnsi="宋体" w:eastAsia="宋体" w:cs="宋体"/>
                <w:bCs/>
                <w:i w:val="0"/>
                <w:iCs w:val="0"/>
                <w:color w:val="auto"/>
                <w:sz w:val="21"/>
                <w:szCs w:val="21"/>
                <w:highlight w:val="none"/>
                <w:lang w:eastAsia="zh-CN"/>
              </w:rPr>
              <w:t>年</w:t>
            </w:r>
            <w:r>
              <w:rPr>
                <w:rFonts w:hint="eastAsia" w:ascii="宋体" w:hAnsi="宋体" w:eastAsia="宋体" w:cs="宋体"/>
                <w:bCs/>
                <w:i w:val="0"/>
                <w:iCs w:val="0"/>
                <w:color w:val="auto"/>
                <w:sz w:val="21"/>
                <w:szCs w:val="21"/>
                <w:highlight w:val="none"/>
                <w:u w:val="single"/>
                <w:lang w:eastAsia="zh-CN"/>
              </w:rPr>
              <w:t xml:space="preserve"> </w:t>
            </w:r>
            <w:r>
              <w:rPr>
                <w:rFonts w:hint="eastAsia" w:ascii="宋体" w:hAnsi="宋体" w:eastAsia="宋体" w:cs="宋体"/>
                <w:bCs/>
                <w:i w:val="0"/>
                <w:iCs w:val="0"/>
                <w:color w:val="auto"/>
                <w:sz w:val="21"/>
                <w:szCs w:val="21"/>
                <w:highlight w:val="none"/>
                <w:u w:val="single"/>
                <w:lang w:val="en-US" w:eastAsia="zh-CN"/>
              </w:rPr>
              <w:t xml:space="preserve">  </w:t>
            </w:r>
            <w:r>
              <w:rPr>
                <w:rFonts w:hint="eastAsia" w:ascii="宋体" w:hAnsi="宋体" w:eastAsia="宋体" w:cs="宋体"/>
                <w:bCs/>
                <w:i w:val="0"/>
                <w:iCs w:val="0"/>
                <w:color w:val="auto"/>
                <w:sz w:val="21"/>
                <w:szCs w:val="21"/>
                <w:highlight w:val="none"/>
                <w:lang w:eastAsia="zh-CN"/>
              </w:rPr>
              <w:t>月</w:t>
            </w:r>
            <w:r>
              <w:rPr>
                <w:rFonts w:hint="eastAsia" w:ascii="宋体" w:hAnsi="宋体" w:eastAsia="宋体" w:cs="宋体"/>
                <w:bCs/>
                <w:i w:val="0"/>
                <w:iCs w:val="0"/>
                <w:color w:val="auto"/>
                <w:sz w:val="21"/>
                <w:szCs w:val="21"/>
                <w:highlight w:val="none"/>
                <w:u w:val="single"/>
                <w:lang w:eastAsia="zh-CN"/>
              </w:rPr>
              <w:t xml:space="preserve"> </w:t>
            </w:r>
            <w:r>
              <w:rPr>
                <w:rFonts w:hint="eastAsia" w:ascii="宋体" w:hAnsi="宋体" w:eastAsia="宋体" w:cs="宋体"/>
                <w:bCs/>
                <w:i w:val="0"/>
                <w:iCs w:val="0"/>
                <w:color w:val="auto"/>
                <w:sz w:val="21"/>
                <w:szCs w:val="21"/>
                <w:highlight w:val="none"/>
                <w:u w:val="single"/>
                <w:lang w:val="en-US" w:eastAsia="zh-CN"/>
              </w:rPr>
              <w:t xml:space="preserve">  </w:t>
            </w:r>
            <w:r>
              <w:rPr>
                <w:rFonts w:hint="eastAsia" w:ascii="宋体" w:hAnsi="宋体" w:eastAsia="宋体" w:cs="宋体"/>
                <w:bCs/>
                <w:i w:val="0"/>
                <w:iCs w:val="0"/>
                <w:color w:val="auto"/>
                <w:sz w:val="21"/>
                <w:szCs w:val="21"/>
                <w:highlight w:val="none"/>
                <w:lang w:eastAsia="zh-CN"/>
              </w:rPr>
              <w:t>日</w:t>
            </w:r>
            <w:r>
              <w:rPr>
                <w:rFonts w:hint="eastAsia" w:ascii="宋体" w:hAnsi="宋体" w:eastAsia="宋体" w:cs="宋体"/>
                <w:bCs/>
                <w:i w:val="0"/>
                <w:iCs w:val="0"/>
                <w:color w:val="auto"/>
                <w:sz w:val="21"/>
                <w:szCs w:val="21"/>
                <w:highlight w:val="none"/>
                <w:u w:val="single"/>
                <w:lang w:eastAsia="zh-CN"/>
              </w:rPr>
              <w:t xml:space="preserve"> </w:t>
            </w:r>
            <w:r>
              <w:rPr>
                <w:rFonts w:hint="eastAsia" w:ascii="宋体" w:hAnsi="宋体" w:eastAsia="宋体" w:cs="宋体"/>
                <w:bCs/>
                <w:i w:val="0"/>
                <w:iCs w:val="0"/>
                <w:color w:val="auto"/>
                <w:sz w:val="21"/>
                <w:szCs w:val="21"/>
                <w:highlight w:val="none"/>
                <w:u w:val="single"/>
                <w:lang w:val="en-US" w:eastAsia="zh-CN"/>
              </w:rPr>
              <w:t xml:space="preserve">  </w:t>
            </w:r>
            <w:r>
              <w:rPr>
                <w:rFonts w:hint="eastAsia" w:ascii="宋体" w:hAnsi="宋体" w:eastAsia="宋体" w:cs="宋体"/>
                <w:bCs/>
                <w:i w:val="0"/>
                <w:iCs w:val="0"/>
                <w:color w:val="auto"/>
                <w:sz w:val="21"/>
                <w:szCs w:val="21"/>
                <w:highlight w:val="none"/>
                <w:lang w:eastAsia="zh-CN"/>
              </w:rPr>
              <w:t>时前不得开启</w:t>
            </w:r>
          </w:p>
          <w:p w14:paraId="141570A7">
            <w:pPr>
              <w:keepNext w:val="0"/>
              <w:keepLines w:val="0"/>
              <w:pageBreakBefore w:val="0"/>
              <w:widowControl w:val="0"/>
              <w:wordWrap w:val="0"/>
              <w:autoSpaceDE w:val="0"/>
              <w:autoSpaceDN w:val="0"/>
              <w:bidi w:val="0"/>
              <w:adjustRightInd w:val="0"/>
              <w:spacing w:before="0" w:after="0" w:line="240" w:lineRule="auto"/>
              <w:ind w:left="110" w:leftChars="50" w:right="0" w:rightChars="0"/>
              <w:rPr>
                <w:rFonts w:hint="eastAsia" w:ascii="宋体" w:hAnsi="宋体" w:cs="宋体"/>
                <w:b/>
                <w:i w:val="0"/>
                <w:iCs w:val="0"/>
                <w:color w:val="auto"/>
                <w:sz w:val="21"/>
                <w:szCs w:val="21"/>
                <w:highlight w:val="none"/>
              </w:rPr>
            </w:pPr>
            <w:r>
              <w:rPr>
                <w:rFonts w:hint="eastAsia" w:ascii="宋体" w:hAnsi="宋体" w:cs="宋体"/>
                <w:b/>
                <w:i w:val="0"/>
                <w:iCs w:val="0"/>
                <w:color w:val="auto"/>
                <w:sz w:val="21"/>
                <w:szCs w:val="21"/>
                <w:highlight w:val="none"/>
              </w:rPr>
              <w:t>注1：封面上需填写招标人名称及投标人名称，封面需要盖章。</w:t>
            </w:r>
          </w:p>
          <w:p w14:paraId="55541FCC">
            <w:pPr>
              <w:keepNext w:val="0"/>
              <w:keepLines w:val="0"/>
              <w:pageBreakBefore w:val="0"/>
              <w:widowControl w:val="0"/>
              <w:wordWrap w:val="0"/>
              <w:bidi w:val="0"/>
              <w:spacing w:before="0" w:after="0" w:line="240" w:lineRule="auto"/>
              <w:ind w:left="110" w:leftChars="50" w:right="0" w:rightChars="0"/>
              <w:rPr>
                <w:rFonts w:hint="eastAsia" w:ascii="宋体" w:hAnsi="宋体" w:cs="宋体"/>
                <w:b/>
                <w:color w:val="auto"/>
                <w:sz w:val="21"/>
                <w:szCs w:val="21"/>
                <w:highlight w:val="none"/>
              </w:rPr>
            </w:pPr>
            <w:r>
              <w:rPr>
                <w:rFonts w:hint="eastAsia" w:ascii="宋体" w:hAnsi="宋体" w:cs="宋体"/>
                <w:b/>
                <w:i w:val="0"/>
                <w:iCs w:val="0"/>
                <w:color w:val="auto"/>
                <w:sz w:val="21"/>
                <w:szCs w:val="21"/>
                <w:highlight w:val="none"/>
              </w:rPr>
              <w:t>注2：投标人也可不递交投标文件备用</w:t>
            </w:r>
            <w:r>
              <w:rPr>
                <w:rFonts w:hint="eastAsia" w:ascii="宋体" w:hAnsi="宋体" w:cs="宋体"/>
                <w:b/>
                <w:i w:val="0"/>
                <w:iCs w:val="0"/>
                <w:color w:val="auto"/>
                <w:sz w:val="21"/>
                <w:szCs w:val="21"/>
                <w:highlight w:val="none"/>
                <w:lang w:eastAsia="zh-CN"/>
              </w:rPr>
              <w:t>U盘</w:t>
            </w:r>
            <w:r>
              <w:rPr>
                <w:rFonts w:hint="eastAsia" w:ascii="宋体" w:hAnsi="宋体" w:cs="宋体"/>
                <w:b/>
                <w:i w:val="0"/>
                <w:iCs w:val="0"/>
                <w:color w:val="auto"/>
                <w:sz w:val="21"/>
                <w:szCs w:val="21"/>
                <w:highlight w:val="none"/>
              </w:rPr>
              <w:t>。</w:t>
            </w:r>
          </w:p>
        </w:tc>
      </w:tr>
      <w:tr w14:paraId="5374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6DC3C87C">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2441" w:type="dxa"/>
            <w:vAlign w:val="center"/>
          </w:tcPr>
          <w:p w14:paraId="4F85DF93">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5871" w:type="dxa"/>
            <w:vAlign w:val="center"/>
          </w:tcPr>
          <w:p w14:paraId="21993DD3">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 具体时间可以到广州交易集团有限公司（广州公共资源交易中心）交易平台“建设工程→项目查询（日程安排、答疑纪要）”输入本项目编号或项目名称进行查询。</w:t>
            </w:r>
          </w:p>
        </w:tc>
      </w:tr>
      <w:tr w14:paraId="11A7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361D66D1">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r>
              <w:rPr>
                <w:rFonts w:hint="eastAsia" w:ascii="宋体" w:hAnsi="宋体" w:eastAsia="宋体" w:cs="宋体"/>
                <w:color w:val="auto"/>
                <w:sz w:val="21"/>
                <w:szCs w:val="21"/>
                <w:highlight w:val="none"/>
                <w:lang w:eastAsia="zh-CN"/>
              </w:rPr>
              <w:t>B</w:t>
            </w:r>
            <w:r>
              <w:rPr>
                <w:rFonts w:hint="eastAsia" w:ascii="宋体" w:hAnsi="宋体" w:eastAsia="宋体" w:cs="宋体"/>
                <w:color w:val="auto"/>
                <w:sz w:val="21"/>
                <w:szCs w:val="21"/>
                <w:highlight w:val="none"/>
              </w:rPr>
              <w:t>）</w:t>
            </w:r>
          </w:p>
        </w:tc>
        <w:tc>
          <w:tcPr>
            <w:tcW w:w="2441" w:type="dxa"/>
            <w:vAlign w:val="center"/>
          </w:tcPr>
          <w:p w14:paraId="36C378D1">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5871" w:type="dxa"/>
            <w:vAlign w:val="center"/>
          </w:tcPr>
          <w:p w14:paraId="417FB8E5">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 具体时间可以到广州交易集团有限公司（广州公共资源交易中心）交易平台“建设工程→项目查询（日程安排、答疑纪要）”输入本项目编号或项目名称进行查询。</w:t>
            </w:r>
          </w:p>
        </w:tc>
      </w:tr>
      <w:tr w14:paraId="4A5C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6FC384D9">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2441" w:type="dxa"/>
            <w:vAlign w:val="center"/>
          </w:tcPr>
          <w:p w14:paraId="4FD970F7">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投标文件是否退还</w:t>
            </w:r>
          </w:p>
        </w:tc>
        <w:tc>
          <w:tcPr>
            <w:tcW w:w="5871" w:type="dxa"/>
            <w:vAlign w:val="center"/>
          </w:tcPr>
          <w:p w14:paraId="001F8F58">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p w14:paraId="7683C559">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□是，退还时间：</w:t>
            </w:r>
          </w:p>
        </w:tc>
      </w:tr>
      <w:tr w14:paraId="125B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23FE28AC">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5.1（A）</w:t>
            </w:r>
          </w:p>
        </w:tc>
        <w:tc>
          <w:tcPr>
            <w:tcW w:w="2441" w:type="dxa"/>
            <w:vAlign w:val="center"/>
          </w:tcPr>
          <w:p w14:paraId="50CAAD3A">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5871" w:type="dxa"/>
            <w:vAlign w:val="center"/>
          </w:tcPr>
          <w:p w14:paraId="5433919E">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同投标文件递交截止时间和递交备用U盘地点。</w:t>
            </w:r>
          </w:p>
          <w:p w14:paraId="7D9B0647">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具体时间和地点可以到广州交易集团有限公司（广州公共资源交易中心）交易平台“建设工程→项目查询（日程安排、答疑纪要）”输入本项目编号或项目名称进行查询。</w:t>
            </w:r>
          </w:p>
        </w:tc>
      </w:tr>
      <w:tr w14:paraId="0BAF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09145DFC">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5.2（B）</w:t>
            </w:r>
          </w:p>
        </w:tc>
        <w:tc>
          <w:tcPr>
            <w:tcW w:w="2441" w:type="dxa"/>
            <w:vAlign w:val="center"/>
          </w:tcPr>
          <w:p w14:paraId="2DD42559">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5871" w:type="dxa"/>
            <w:vAlign w:val="center"/>
          </w:tcPr>
          <w:p w14:paraId="7BD8F9AB">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1.在投标截止时间后</w:t>
            </w:r>
            <w:r>
              <w:rPr>
                <w:rFonts w:hint="eastAsia" w:ascii="宋体" w:hAnsi="宋体" w:eastAsia="宋体" w:cs="宋体"/>
                <w:bCs/>
                <w:color w:val="auto"/>
                <w:sz w:val="21"/>
                <w:szCs w:val="21"/>
                <w:highlight w:val="none"/>
                <w:u w:val="single"/>
                <w:lang w:val="en-US" w:eastAsia="zh-CN"/>
              </w:rPr>
              <w:t>一</w:t>
            </w:r>
            <w:r>
              <w:rPr>
                <w:rFonts w:hint="eastAsia" w:ascii="宋体" w:hAnsi="宋体" w:eastAsia="宋体" w:cs="宋体"/>
                <w:bCs/>
                <w:color w:val="auto"/>
                <w:sz w:val="21"/>
                <w:szCs w:val="21"/>
                <w:highlight w:val="none"/>
                <w:u w:val="single"/>
                <w:lang w:eastAsia="zh-CN"/>
              </w:rPr>
              <w:t>小时内</w:t>
            </w:r>
            <w:r>
              <w:rPr>
                <w:rFonts w:hint="eastAsia" w:ascii="宋体" w:hAnsi="宋体" w:eastAsia="宋体" w:cs="宋体"/>
                <w:color w:val="auto"/>
                <w:sz w:val="21"/>
                <w:szCs w:val="21"/>
                <w:highlight w:val="none"/>
                <w:lang w:eastAsia="zh-CN"/>
              </w:rPr>
              <w:t>，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D5A0C88">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2.截标后，开标开始时间因故推迟的，相关评标信息仍以原定的开标开始时间的信息为准。</w:t>
            </w:r>
          </w:p>
          <w:p w14:paraId="7E745471">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3.备用U盘的读取按投标须知前附表第9点的规定执行。</w:t>
            </w:r>
          </w:p>
          <w:p w14:paraId="389EA78E">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4.投标截止时间前未完成投标文件传输的或因投标人之外的原因造成投标文件未解密的，视为投标人撤回投标文件。因投标人原因造成投标文件未解密或未在规定的时间内解密的，视为撤销其投标文件。</w:t>
            </w:r>
          </w:p>
          <w:p w14:paraId="3D4CEDAF">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FDF37A9">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6.参加现场开标的投标人对开标结果有异议的，应当在开标现场提出，招标人应当当场作出答复，并制作记录。</w:t>
            </w:r>
          </w:p>
          <w:p w14:paraId="4C852776">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BBA7E9D">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8.投标人未参加开标或在规定的时间内未提出异议的，视为对开标无异议。</w:t>
            </w:r>
          </w:p>
          <w:p w14:paraId="5D445DD9">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9.开标时，两个（含两个）以上的投标人加密打包投标文件电脑机器特征码一致的，不参与下一程序，并由评标委员会否决其投标。</w:t>
            </w:r>
          </w:p>
        </w:tc>
      </w:tr>
      <w:tr w14:paraId="4370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1BFDF9AA">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2441" w:type="dxa"/>
            <w:vAlign w:val="center"/>
          </w:tcPr>
          <w:p w14:paraId="421F11C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5871" w:type="dxa"/>
            <w:vAlign w:val="center"/>
          </w:tcPr>
          <w:p w14:paraId="5CAEF6B3">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由招标人依法组建。</w:t>
            </w:r>
          </w:p>
        </w:tc>
      </w:tr>
      <w:tr w14:paraId="3BC5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500904DF">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2441" w:type="dxa"/>
            <w:vAlign w:val="center"/>
          </w:tcPr>
          <w:p w14:paraId="7B7C8CDD">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评标委员会推荐中标候选人的人数</w:t>
            </w:r>
          </w:p>
        </w:tc>
        <w:tc>
          <w:tcPr>
            <w:tcW w:w="5871" w:type="dxa"/>
            <w:vAlign w:val="center"/>
          </w:tcPr>
          <w:p w14:paraId="0C7ABF6C">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推荐中标候选人3名。</w:t>
            </w:r>
          </w:p>
        </w:tc>
      </w:tr>
      <w:tr w14:paraId="6EB0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419C8E49">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2441" w:type="dxa"/>
            <w:vAlign w:val="center"/>
          </w:tcPr>
          <w:p w14:paraId="4E39BEEF">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中标候选人公示媒介及期限</w:t>
            </w:r>
          </w:p>
        </w:tc>
        <w:tc>
          <w:tcPr>
            <w:tcW w:w="5871" w:type="dxa"/>
            <w:vAlign w:val="center"/>
          </w:tcPr>
          <w:p w14:paraId="2B158F45">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公示媒介：中国招标投标公共服务平台、广东省招标投标监管网、广州交易集团有限公司（广州公共资源交易中心）网</w:t>
            </w:r>
          </w:p>
          <w:p w14:paraId="725466CD">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color="000000"/>
                <w:lang w:eastAsia="zh-CN"/>
              </w:rPr>
              <w:t>3</w:t>
            </w:r>
            <w:r>
              <w:rPr>
                <w:rFonts w:hint="eastAsia" w:ascii="宋体" w:hAnsi="宋体" w:eastAsia="宋体" w:cs="宋体"/>
                <w:color w:val="auto"/>
                <w:sz w:val="21"/>
                <w:szCs w:val="21"/>
                <w:highlight w:val="none"/>
              </w:rPr>
              <w:t>日</w:t>
            </w:r>
          </w:p>
        </w:tc>
      </w:tr>
      <w:tr w14:paraId="1C5A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3581D4E3">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2441" w:type="dxa"/>
            <w:vAlign w:val="center"/>
          </w:tcPr>
          <w:p w14:paraId="0F5A94B5">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是否授权评标委员会确定中标人</w:t>
            </w:r>
          </w:p>
        </w:tc>
        <w:tc>
          <w:tcPr>
            <w:tcW w:w="5871" w:type="dxa"/>
            <w:vAlign w:val="center"/>
          </w:tcPr>
          <w:p w14:paraId="20747226">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w:t>
            </w:r>
          </w:p>
          <w:p w14:paraId="6B4FA5CB">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p w14:paraId="460C4CB2">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（1）由招标人根据评标委员会提交的评标报告，最终审定中标人。</w:t>
            </w:r>
          </w:p>
          <w:p w14:paraId="100460AA">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（2）依法必须进行公开招标的项目，招标人应当确定排名第一的中标候选人为中标人。</w:t>
            </w:r>
          </w:p>
          <w:p w14:paraId="4756ABEA">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如所有中标候选人均出现上述所列的情形，为招标失败，招标人依法重新招标。</w:t>
            </w:r>
          </w:p>
          <w:p w14:paraId="6990EE1F">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（4）重新评标的，评标信息（含业绩、奖项等）仍以投标截止时投标人的信息为准。因特殊原因需要延长投标有效期，投标人拒绝延长投标有效期的，仍参与评标，但不被推荐为中标候选人。</w:t>
            </w:r>
          </w:p>
        </w:tc>
      </w:tr>
      <w:tr w14:paraId="466B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210928F6">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w:t>
            </w:r>
          </w:p>
        </w:tc>
        <w:tc>
          <w:tcPr>
            <w:tcW w:w="2441" w:type="dxa"/>
            <w:vAlign w:val="center"/>
          </w:tcPr>
          <w:p w14:paraId="5387ED78">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技术成果经济补偿</w:t>
            </w:r>
          </w:p>
        </w:tc>
        <w:tc>
          <w:tcPr>
            <w:tcW w:w="5871" w:type="dxa"/>
            <w:vAlign w:val="center"/>
          </w:tcPr>
          <w:p w14:paraId="424A2A7C">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■不补偿：详见招标公告第4条。</w:t>
            </w:r>
          </w:p>
          <w:p w14:paraId="5C3787C2">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□补偿。</w:t>
            </w:r>
          </w:p>
        </w:tc>
      </w:tr>
      <w:tr w14:paraId="6BBE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7B4448C1">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7.7.1</w:t>
            </w:r>
          </w:p>
        </w:tc>
        <w:tc>
          <w:tcPr>
            <w:tcW w:w="2441" w:type="dxa"/>
            <w:vAlign w:val="center"/>
          </w:tcPr>
          <w:p w14:paraId="6D974951">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5871" w:type="dxa"/>
            <w:vAlign w:val="center"/>
          </w:tcPr>
          <w:p w14:paraId="6708C709">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是否要求中标人提交履约保证金：</w:t>
            </w:r>
          </w:p>
          <w:p w14:paraId="05B78DC9">
            <w:pPr>
              <w:pStyle w:val="37"/>
              <w:keepNext w:val="0"/>
              <w:keepLines w:val="0"/>
              <w:pageBreakBefore w:val="0"/>
              <w:widowControl w:val="0"/>
              <w:kinsoku/>
              <w:wordWrap w:val="0"/>
              <w:overflowPunct/>
              <w:bidi w:val="0"/>
              <w:spacing w:before="0" w:after="0" w:line="240" w:lineRule="auto"/>
              <w:ind w:left="110" w:leftChars="5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■要求，履约保证金的形式：</w:t>
            </w:r>
            <w:r>
              <w:rPr>
                <w:rFonts w:hint="eastAsia" w:ascii="宋体" w:hAnsi="宋体" w:eastAsia="宋体" w:cs="宋体"/>
                <w:color w:val="auto"/>
                <w:sz w:val="21"/>
                <w:szCs w:val="21"/>
                <w:highlight w:val="none"/>
                <w:u w:val="single"/>
                <w:lang w:val="en-US" w:eastAsia="zh-CN"/>
              </w:rPr>
              <w:t>可采用现金、支票（现金支票、转账支票）、银行汇票、银行本票、银行电汇、银行转账、银行保函、保证保险、专业工程担保公司担保等能够实现保证目的的形式</w:t>
            </w:r>
            <w:r>
              <w:rPr>
                <w:rFonts w:hint="eastAsia" w:ascii="宋体" w:hAnsi="宋体" w:eastAsia="宋体" w:cs="宋体"/>
                <w:color w:val="auto"/>
                <w:sz w:val="21"/>
                <w:szCs w:val="21"/>
                <w:highlight w:val="none"/>
                <w:lang w:val="en-US" w:eastAsia="zh-CN"/>
              </w:rPr>
              <w:t>。</w:t>
            </w:r>
          </w:p>
          <w:p w14:paraId="78C6C096">
            <w:pPr>
              <w:pStyle w:val="37"/>
              <w:keepNext w:val="0"/>
              <w:keepLines w:val="0"/>
              <w:pageBreakBefore w:val="0"/>
              <w:widowControl w:val="0"/>
              <w:kinsoku/>
              <w:wordWrap w:val="0"/>
              <w:overflowPunct/>
              <w:bidi w:val="0"/>
              <w:spacing w:before="0" w:after="0" w:line="240" w:lineRule="auto"/>
              <w:ind w:left="110" w:leftChars="50" w:right="0" w:right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履约保证金的金额：</w:t>
            </w:r>
            <w:r>
              <w:rPr>
                <w:rFonts w:hint="eastAsia" w:ascii="宋体" w:hAnsi="宋体" w:eastAsia="宋体" w:cs="宋体"/>
                <w:color w:val="auto"/>
                <w:sz w:val="21"/>
                <w:szCs w:val="21"/>
                <w:highlight w:val="none"/>
                <w:u w:val="single"/>
              </w:rPr>
              <w:t>中标人提供的履约保证金为中标价款的</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w:t>
            </w:r>
          </w:p>
          <w:p w14:paraId="2D5AD89A">
            <w:pPr>
              <w:pStyle w:val="37"/>
              <w:keepNext w:val="0"/>
              <w:keepLines w:val="0"/>
              <w:pageBreakBefore w:val="0"/>
              <w:widowControl w:val="0"/>
              <w:kinsoku/>
              <w:wordWrap w:val="0"/>
              <w:overflowPunct/>
              <w:bidi w:val="0"/>
              <w:spacing w:before="0" w:after="0" w:line="240" w:lineRule="auto"/>
              <w:ind w:left="110" w:leftChars="50" w:right="0" w:right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履约担保期限从提供履约担保之日起至项目完成工程结算审定且缺陷责任期满之日止。履约保函担保期限未满前，无论何种原因，中标人承诺无条件续保，如履约保函到期前7天未提交续保保函或其他担保，视为一般违约责任。</w:t>
            </w:r>
          </w:p>
          <w:p w14:paraId="241DE8EA">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□不要求</w:t>
            </w:r>
          </w:p>
        </w:tc>
      </w:tr>
      <w:tr w14:paraId="0B16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9" w:hRule="atLeast"/>
        </w:trPr>
        <w:tc>
          <w:tcPr>
            <w:tcW w:w="787" w:type="dxa"/>
            <w:vAlign w:val="center"/>
          </w:tcPr>
          <w:p w14:paraId="1CDE91C7">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441" w:type="dxa"/>
            <w:vAlign w:val="center"/>
          </w:tcPr>
          <w:p w14:paraId="64EDD00C">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是否采用电子招标投标</w:t>
            </w:r>
          </w:p>
        </w:tc>
        <w:tc>
          <w:tcPr>
            <w:tcW w:w="5871" w:type="dxa"/>
            <w:vAlign w:val="center"/>
          </w:tcPr>
          <w:p w14:paraId="586A0725">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p w14:paraId="7C21C1B5">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■是，具体要求：</w:t>
            </w:r>
          </w:p>
          <w:p w14:paraId="27B7EFB6">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1、具体操作详见附件《建设工程全流程电子化项目操作指南》。</w:t>
            </w:r>
          </w:p>
          <w:p w14:paraId="1C2D5263">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2、提交投标文件U盘备用</w:t>
            </w:r>
          </w:p>
          <w:p w14:paraId="39686AD8">
            <w:pPr>
              <w:keepNext w:val="0"/>
              <w:keepLines w:val="0"/>
              <w:pageBreakBefore w:val="0"/>
              <w:widowControl w:val="0"/>
              <w:wordWrap w:val="0"/>
              <w:bidi w:val="0"/>
              <w:adjustRightInd w:val="0"/>
              <w:spacing w:before="0" w:after="0" w:line="240" w:lineRule="auto"/>
              <w:ind w:left="110" w:leftChars="50" w:right="0" w:rightChars="0"/>
              <w:textAlignment w:val="baseline"/>
              <w:outlineLvl w:val="0"/>
              <w:rPr>
                <w:rFonts w:hint="eastAsia" w:ascii="宋体" w:hAnsi="宋体" w:cs="宋体"/>
                <w:color w:val="auto"/>
                <w:sz w:val="21"/>
                <w:szCs w:val="21"/>
                <w:highlight w:val="none"/>
              </w:rPr>
            </w:pPr>
            <w:bookmarkStart w:id="11" w:name="_Toc13552"/>
            <w:r>
              <w:rPr>
                <w:rFonts w:hint="eastAsia" w:ascii="宋体" w:hAnsi="宋体" w:cs="宋体"/>
                <w:color w:val="auto"/>
                <w:sz w:val="21"/>
                <w:szCs w:val="21"/>
                <w:highlight w:val="none"/>
              </w:rPr>
              <w:t>投标人将按《建设工程全流程电子化项目操作指南》的操作方法制作的非加密的电子投标文件刻入</w:t>
            </w:r>
            <w:r>
              <w:rPr>
                <w:rFonts w:hint="eastAsia" w:ascii="宋体" w:hAnsi="宋体" w:cs="宋体"/>
                <w:color w:val="auto"/>
                <w:sz w:val="21"/>
                <w:szCs w:val="21"/>
                <w:highlight w:val="none"/>
                <w:lang w:eastAsia="zh-CN"/>
              </w:rPr>
              <w:t>U盘</w:t>
            </w:r>
            <w:r>
              <w:rPr>
                <w:rFonts w:hint="eastAsia" w:ascii="宋体" w:hAnsi="宋体" w:cs="宋体"/>
                <w:color w:val="auto"/>
                <w:sz w:val="21"/>
                <w:szCs w:val="21"/>
                <w:highlight w:val="none"/>
                <w:u w:val="single"/>
              </w:rPr>
              <w:t>（1份，</w:t>
            </w:r>
            <w:r>
              <w:rPr>
                <w:rFonts w:hint="eastAsia" w:ascii="宋体" w:hAnsi="宋体" w:cs="宋体"/>
                <w:color w:val="auto"/>
                <w:sz w:val="21"/>
                <w:szCs w:val="21"/>
                <w:highlight w:val="none"/>
                <w:u w:val="single"/>
                <w:lang w:val="en-US" w:eastAsia="zh-CN"/>
              </w:rPr>
              <w:t>含</w:t>
            </w:r>
            <w:r>
              <w:rPr>
                <w:rFonts w:hint="eastAsia" w:ascii="宋体" w:hAnsi="宋体" w:cs="宋体"/>
                <w:color w:val="auto"/>
                <w:sz w:val="21"/>
                <w:szCs w:val="21"/>
                <w:highlight w:val="none"/>
                <w:u w:val="single"/>
              </w:rPr>
              <w:t>商务文件、技术文件）</w:t>
            </w:r>
            <w:r>
              <w:rPr>
                <w:rFonts w:hint="eastAsia" w:ascii="宋体" w:hAnsi="宋体" w:cs="宋体"/>
                <w:color w:val="auto"/>
                <w:sz w:val="21"/>
                <w:szCs w:val="21"/>
                <w:highlight w:val="none"/>
              </w:rPr>
              <w:t>，在规定的时间、地点提交备用。刻录好的投标文件</w:t>
            </w:r>
            <w:r>
              <w:rPr>
                <w:rFonts w:hint="eastAsia" w:ascii="宋体" w:hAnsi="宋体" w:cs="宋体"/>
                <w:color w:val="auto"/>
                <w:sz w:val="21"/>
                <w:szCs w:val="21"/>
                <w:highlight w:val="none"/>
                <w:lang w:eastAsia="zh-CN"/>
              </w:rPr>
              <w:t>U盘</w:t>
            </w:r>
            <w:r>
              <w:rPr>
                <w:rFonts w:hint="eastAsia" w:ascii="宋体" w:hAnsi="宋体" w:cs="宋体"/>
                <w:color w:val="auto"/>
                <w:sz w:val="21"/>
                <w:szCs w:val="21"/>
                <w:highlight w:val="none"/>
              </w:rPr>
              <w:t>密封在密封袋中，并在封口处加盖投标人单位公章。密封袋上应写明的内容见投标人须知前附表要求4.1.2。递交的投标文件</w:t>
            </w:r>
            <w:r>
              <w:rPr>
                <w:rFonts w:hint="eastAsia" w:ascii="宋体" w:hAnsi="宋体" w:cs="宋体"/>
                <w:color w:val="auto"/>
                <w:sz w:val="21"/>
                <w:szCs w:val="21"/>
                <w:highlight w:val="none"/>
                <w:lang w:val="en-US" w:eastAsia="zh-CN"/>
              </w:rPr>
              <w:t>备用U盘</w:t>
            </w:r>
            <w:r>
              <w:rPr>
                <w:rFonts w:hint="eastAsia" w:ascii="宋体" w:hAnsi="宋体" w:cs="宋体"/>
                <w:color w:val="auto"/>
                <w:sz w:val="21"/>
                <w:szCs w:val="21"/>
                <w:highlight w:val="none"/>
              </w:rPr>
              <w:t>不得加密。</w:t>
            </w:r>
            <w:r>
              <w:rPr>
                <w:rFonts w:hint="eastAsia" w:ascii="宋体" w:hAnsi="宋体" w:cs="宋体"/>
                <w:color w:val="auto"/>
                <w:sz w:val="21"/>
                <w:szCs w:val="21"/>
                <w:highlight w:val="none"/>
                <w:lang w:val="en-US" w:eastAsia="zh-CN"/>
              </w:rPr>
              <w:t>备用U</w:t>
            </w:r>
            <w:r>
              <w:rPr>
                <w:rFonts w:hint="eastAsia" w:ascii="宋体" w:hAnsi="宋体" w:cs="宋体"/>
                <w:color w:val="auto"/>
                <w:sz w:val="21"/>
                <w:szCs w:val="21"/>
                <w:highlight w:val="none"/>
              </w:rPr>
              <w:t>盘无法读取或导入的，则视为未提交投标文件备用</w:t>
            </w:r>
            <w:r>
              <w:rPr>
                <w:rFonts w:hint="eastAsia" w:ascii="宋体" w:hAnsi="宋体" w:cs="宋体"/>
                <w:color w:val="auto"/>
                <w:sz w:val="21"/>
                <w:szCs w:val="21"/>
                <w:highlight w:val="none"/>
                <w:lang w:eastAsia="zh-CN"/>
              </w:rPr>
              <w:t>U盘</w:t>
            </w:r>
            <w:r>
              <w:rPr>
                <w:rFonts w:hint="eastAsia" w:ascii="宋体" w:hAnsi="宋体" w:cs="宋体"/>
                <w:color w:val="auto"/>
                <w:sz w:val="21"/>
                <w:szCs w:val="21"/>
                <w:highlight w:val="none"/>
              </w:rPr>
              <w:t>。如果投标人没有按规定通过交易平台网上递交电子投标文件的，不再接受提交的</w:t>
            </w:r>
            <w:r>
              <w:rPr>
                <w:rFonts w:hint="eastAsia" w:ascii="宋体" w:hAnsi="宋体" w:cs="宋体"/>
                <w:color w:val="auto"/>
                <w:sz w:val="21"/>
                <w:szCs w:val="21"/>
                <w:highlight w:val="none"/>
                <w:lang w:eastAsia="zh-CN"/>
              </w:rPr>
              <w:t>U盘</w:t>
            </w:r>
            <w:r>
              <w:rPr>
                <w:rFonts w:hint="eastAsia" w:ascii="宋体" w:hAnsi="宋体" w:cs="宋体"/>
                <w:color w:val="auto"/>
                <w:sz w:val="21"/>
                <w:szCs w:val="21"/>
                <w:highlight w:val="none"/>
              </w:rPr>
              <w:t>。</w:t>
            </w:r>
            <w:r>
              <w:rPr>
                <w:rFonts w:hint="eastAsia" w:ascii="宋体" w:hAnsi="宋体" w:cs="宋体"/>
                <w:color w:val="auto"/>
                <w:kern w:val="0"/>
                <w:sz w:val="21"/>
                <w:szCs w:val="21"/>
                <w:highlight w:val="none"/>
              </w:rPr>
              <w:t>投标人也可不递交投标文件备用</w:t>
            </w:r>
            <w:r>
              <w:rPr>
                <w:rFonts w:hint="eastAsia" w:ascii="宋体" w:hAnsi="宋体" w:cs="宋体"/>
                <w:color w:val="auto"/>
                <w:kern w:val="0"/>
                <w:sz w:val="21"/>
                <w:szCs w:val="21"/>
                <w:highlight w:val="none"/>
                <w:lang w:eastAsia="zh-CN"/>
              </w:rPr>
              <w:t>U盘</w:t>
            </w:r>
            <w:r>
              <w:rPr>
                <w:rFonts w:hint="eastAsia" w:ascii="宋体" w:hAnsi="宋体" w:cs="宋体"/>
                <w:color w:val="auto"/>
                <w:kern w:val="0"/>
                <w:sz w:val="21"/>
                <w:szCs w:val="21"/>
                <w:highlight w:val="none"/>
              </w:rPr>
              <w:t>。</w:t>
            </w:r>
            <w:bookmarkEnd w:id="11"/>
          </w:p>
          <w:p w14:paraId="5CD5FECD">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3、补救方案</w:t>
            </w:r>
          </w:p>
          <w:p w14:paraId="1665EBE1">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（1）投标文件解密失败的补救方案：</w:t>
            </w:r>
          </w:p>
          <w:p w14:paraId="5F820211">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在规定时间内，因投标人之外原因（指网络瘫痪、服务器损坏、交易系统故障短期无法恢复）导致的电子投标文件解密失败，在开标现场读取</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lang w:val="en-US" w:eastAsia="zh-CN"/>
              </w:rPr>
              <w:t>备用</w:t>
            </w:r>
            <w:r>
              <w:rPr>
                <w:rFonts w:hint="eastAsia" w:ascii="宋体" w:hAnsi="宋体" w:eastAsia="宋体" w:cs="宋体"/>
                <w:color w:val="auto"/>
                <w:sz w:val="21"/>
                <w:szCs w:val="21"/>
                <w:highlight w:val="none"/>
                <w:lang w:eastAsia="zh-CN"/>
              </w:rPr>
              <w:t>U盘内容，继续开标程序。评标委员会对其投标文件的评审以U盘内容为准。因投标人之外原因解密失败且未递交</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lang w:val="en-US" w:eastAsia="zh-CN"/>
              </w:rPr>
              <w:t>备用</w:t>
            </w:r>
            <w:r>
              <w:rPr>
                <w:rFonts w:hint="eastAsia" w:ascii="宋体" w:hAnsi="宋体" w:eastAsia="宋体" w:cs="宋体"/>
                <w:color w:val="auto"/>
                <w:sz w:val="21"/>
                <w:szCs w:val="21"/>
                <w:highlight w:val="none"/>
                <w:lang w:eastAsia="zh-CN"/>
              </w:rPr>
              <w:t>U盘的，视为撤回投标文件。</w:t>
            </w:r>
          </w:p>
          <w:p w14:paraId="4F976334">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（2）评标时突发情况的补救方案</w:t>
            </w:r>
          </w:p>
          <w:p w14:paraId="69DDE435">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若遇不可抗力发生（如：网络瘫痪、服务器损坏、交易系统故障短期无法恢复等因素），</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lang w:val="en-US" w:eastAsia="zh-CN"/>
              </w:rPr>
              <w:t>备用</w:t>
            </w:r>
            <w:r>
              <w:rPr>
                <w:rFonts w:hint="eastAsia" w:ascii="宋体" w:hAnsi="宋体" w:eastAsia="宋体" w:cs="宋体"/>
                <w:color w:val="auto"/>
                <w:sz w:val="21"/>
                <w:szCs w:val="21"/>
                <w:highlight w:val="none"/>
                <w:lang w:eastAsia="zh-CN"/>
              </w:rPr>
              <w:t>U盘由评标委员会开启，并按U盘内容进行评审。</w:t>
            </w:r>
          </w:p>
          <w:p w14:paraId="52677CC6">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（3）除发生上述情况外，开标评标均以投标人通过交易平台网上递交的电子投标文件为准。</w:t>
            </w:r>
          </w:p>
          <w:p w14:paraId="2B97844A">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4、投标文件加密要求：</w:t>
            </w:r>
          </w:p>
          <w:p w14:paraId="0FC40230">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（1）网上递交的电子投标文件须进行加密。具体操作详见广州交易集团有限公司（广州公共资源交易中心）交易平台相关操作指南。</w:t>
            </w:r>
          </w:p>
          <w:p w14:paraId="2BD6E472">
            <w:pPr>
              <w:pStyle w:val="37"/>
              <w:keepNext w:val="0"/>
              <w:keepLines w:val="0"/>
              <w:pageBreakBefore w:val="0"/>
              <w:widowControl w:val="0"/>
              <w:wordWrap w:val="0"/>
              <w:bidi w:val="0"/>
              <w:spacing w:before="0" w:after="0" w:line="240" w:lineRule="auto"/>
              <w:ind w:left="110" w:leftChars="5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（2）未按要求加密的投标文件，招标人将予以拒收。</w:t>
            </w:r>
          </w:p>
        </w:tc>
      </w:tr>
      <w:tr w14:paraId="1328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787" w:type="dxa"/>
            <w:vAlign w:val="center"/>
          </w:tcPr>
          <w:p w14:paraId="42E62E80">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441" w:type="dxa"/>
            <w:vAlign w:val="center"/>
          </w:tcPr>
          <w:p w14:paraId="7C4BE323">
            <w:pPr>
              <w:pStyle w:val="37"/>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c>
          <w:tcPr>
            <w:tcW w:w="5871" w:type="dxa"/>
            <w:vAlign w:val="center"/>
          </w:tcPr>
          <w:p w14:paraId="152AAD9A">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p>
        </w:tc>
      </w:tr>
      <w:tr w14:paraId="3D30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787" w:type="dxa"/>
            <w:vAlign w:val="center"/>
          </w:tcPr>
          <w:p w14:paraId="1EB75F84">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441" w:type="dxa"/>
            <w:vAlign w:val="center"/>
          </w:tcPr>
          <w:p w14:paraId="778D8094">
            <w:pPr>
              <w:keepNext w:val="0"/>
              <w:keepLines w:val="0"/>
              <w:pageBreakBefore w:val="0"/>
              <w:widowControl w:val="0"/>
              <w:wordWrap w:val="0"/>
              <w:bidi w:val="0"/>
              <w:spacing w:before="0" w:after="0" w:line="240" w:lineRule="auto"/>
              <w:ind w:left="110" w:leftChars="5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5871" w:type="dxa"/>
            <w:vAlign w:val="center"/>
          </w:tcPr>
          <w:p w14:paraId="33D6B47A">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本招标项目采用全电子化资格后审方式，具体要求详见《建设工程全流程电子化项目操作指南》。</w:t>
            </w:r>
          </w:p>
        </w:tc>
      </w:tr>
      <w:tr w14:paraId="4B80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0EE252B7">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2441" w:type="dxa"/>
            <w:vAlign w:val="center"/>
          </w:tcPr>
          <w:p w14:paraId="3FA55B51">
            <w:pPr>
              <w:keepNext w:val="0"/>
              <w:keepLines w:val="0"/>
              <w:pageBreakBefore w:val="0"/>
              <w:widowControl w:val="0"/>
              <w:wordWrap w:val="0"/>
              <w:bidi w:val="0"/>
              <w:spacing w:before="0" w:after="0" w:line="240" w:lineRule="auto"/>
              <w:ind w:left="110" w:leftChars="5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特别提示</w:t>
            </w:r>
          </w:p>
        </w:tc>
        <w:tc>
          <w:tcPr>
            <w:tcW w:w="5871" w:type="dxa"/>
            <w:vAlign w:val="center"/>
          </w:tcPr>
          <w:p w14:paraId="0DF7966D">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i w:val="0"/>
                <w:iCs w:val="0"/>
                <w:color w:val="auto"/>
                <w:sz w:val="21"/>
                <w:szCs w:val="21"/>
                <w:highlight w:val="none"/>
              </w:rPr>
            </w:pPr>
            <w:r>
              <w:rPr>
                <w:rFonts w:hint="eastAsia" w:ascii="宋体" w:hAnsi="宋体" w:eastAsia="宋体" w:cs="宋体"/>
                <w:color w:val="auto"/>
                <w:sz w:val="21"/>
                <w:szCs w:val="21"/>
                <w:highlight w:val="none"/>
              </w:rPr>
              <w:t>投标人在本项目招标人的工程项目中存在下列行为的，将被拒绝</w:t>
            </w:r>
            <w:r>
              <w:rPr>
                <w:rFonts w:hint="eastAsia" w:ascii="宋体" w:hAnsi="宋体" w:eastAsia="宋体" w:cs="宋体"/>
                <w:color w:val="auto"/>
                <w:sz w:val="21"/>
                <w:szCs w:val="21"/>
                <w:highlight w:val="none"/>
                <w:u w:val="single"/>
              </w:rPr>
              <w:t>一年内</w:t>
            </w:r>
            <w:r>
              <w:rPr>
                <w:rFonts w:hint="eastAsia" w:ascii="宋体" w:hAnsi="宋体" w:eastAsia="宋体" w:cs="宋体"/>
                <w:color w:val="auto"/>
                <w:sz w:val="21"/>
                <w:szCs w:val="21"/>
                <w:highlight w:val="none"/>
              </w:rPr>
              <w:t>参</w:t>
            </w:r>
            <w:r>
              <w:rPr>
                <w:rFonts w:hint="eastAsia" w:ascii="宋体" w:hAnsi="宋体" w:eastAsia="宋体" w:cs="宋体"/>
                <w:i w:val="0"/>
                <w:iCs w:val="0"/>
                <w:color w:val="auto"/>
                <w:sz w:val="21"/>
                <w:szCs w:val="21"/>
                <w:highlight w:val="none"/>
              </w:rPr>
              <w:t>与我单位后续工程投标。（注自招标人发出通知之日起计）：</w:t>
            </w:r>
          </w:p>
          <w:p w14:paraId="0C90F8FD">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（1）将中标工程转包或者违法分包的；</w:t>
            </w:r>
          </w:p>
          <w:p w14:paraId="73CE4084">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（2）存在围标或串通投标情形的；</w:t>
            </w:r>
          </w:p>
          <w:p w14:paraId="338DE543">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（3）存在弄虚作假骗取中标、行贿情形的；</w:t>
            </w:r>
          </w:p>
          <w:p w14:paraId="15334027">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（4）在中标工程中不执行质量、安全生产相关规定，造成质量或安全事故的；</w:t>
            </w:r>
          </w:p>
          <w:p w14:paraId="6D21C952">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（5）出让投标资格的；</w:t>
            </w:r>
          </w:p>
          <w:p w14:paraId="1A6B39AA">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（6）在投标文件中提供虚假材料的；</w:t>
            </w:r>
          </w:p>
          <w:p w14:paraId="49F24DC6">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（7）存在少放、不放业绩、奖项等客观评审资料，减少自身竞争力情形的；</w:t>
            </w:r>
          </w:p>
          <w:p w14:paraId="0E36E6FC">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（8）由于承包人原因拖欠农民工工资的；</w:t>
            </w:r>
          </w:p>
          <w:p w14:paraId="1A86DDE7">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（9）承包人因合同履行过错行为被生效法律文书认定承担违约或侵权责任的；</w:t>
            </w:r>
          </w:p>
          <w:p w14:paraId="04FF9762">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（10）由于承包人原因提交竣工结算申请时间超过两年的；</w:t>
            </w:r>
          </w:p>
          <w:p w14:paraId="41A274E8">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（11）由于承包人原因未按合同约定工期完工超过两年的；</w:t>
            </w:r>
          </w:p>
          <w:p w14:paraId="7E22B144">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eastAsia="宋体" w:cs="宋体"/>
                <w:color w:val="auto"/>
                <w:sz w:val="21"/>
                <w:szCs w:val="21"/>
                <w:highlight w:val="none"/>
              </w:rPr>
            </w:pPr>
            <w:r>
              <w:rPr>
                <w:rFonts w:hint="eastAsia" w:ascii="宋体" w:hAnsi="宋体" w:cs="宋体"/>
                <w:i w:val="0"/>
                <w:iCs w:val="0"/>
                <w:color w:val="auto"/>
                <w:sz w:val="21"/>
                <w:szCs w:val="21"/>
                <w:highlight w:val="none"/>
              </w:rPr>
              <w:t>（12）承包人如出现更换项目负责人的情况，发包人有权视情况认为存在不诚信行为或不充分履约行为的。</w:t>
            </w:r>
          </w:p>
        </w:tc>
      </w:tr>
      <w:tr w14:paraId="0612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18FA58F0">
            <w:pPr>
              <w:keepNext w:val="0"/>
              <w:keepLines w:val="0"/>
              <w:pageBreakBefore w:val="0"/>
              <w:widowControl w:val="0"/>
              <w:wordWrap w:val="0"/>
              <w:bidi w:val="0"/>
              <w:spacing w:before="0" w:after="0" w:line="240" w:lineRule="auto"/>
              <w:ind w:left="110" w:leftChars="5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10.3</w:t>
            </w:r>
          </w:p>
        </w:tc>
        <w:tc>
          <w:tcPr>
            <w:tcW w:w="2441" w:type="dxa"/>
            <w:vAlign w:val="center"/>
          </w:tcPr>
          <w:p w14:paraId="464AEC71">
            <w:pPr>
              <w:keepNext w:val="0"/>
              <w:keepLines w:val="0"/>
              <w:pageBreakBefore w:val="0"/>
              <w:widowControl w:val="0"/>
              <w:wordWrap w:val="0"/>
              <w:bidi w:val="0"/>
              <w:spacing w:before="0" w:after="0" w:line="240" w:lineRule="auto"/>
              <w:ind w:left="110" w:leftChars="5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送达</w:t>
            </w:r>
          </w:p>
        </w:tc>
        <w:tc>
          <w:tcPr>
            <w:tcW w:w="5871" w:type="dxa"/>
            <w:vAlign w:val="center"/>
          </w:tcPr>
          <w:p w14:paraId="7B013401">
            <w:pPr>
              <w:keepNext w:val="0"/>
              <w:keepLines w:val="0"/>
              <w:pageBreakBefore w:val="0"/>
              <w:widowControl w:val="0"/>
              <w:kinsoku/>
              <w:wordWrap w:val="0"/>
              <w:overflowPunct/>
              <w:topLinePunct w:val="0"/>
              <w:autoSpaceDE/>
              <w:autoSpaceDN/>
              <w:bidi w:val="0"/>
              <w:adjustRightInd/>
              <w:snapToGrid/>
              <w:spacing w:before="0" w:after="0" w:line="240" w:lineRule="auto"/>
              <w:ind w:left="110" w:leftChars="5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eastAsia="zh-CN"/>
              </w:rPr>
              <w:t>《投诉处理决定书》和《行政处理决定书》在广州市住房和城乡建设局网站上公布的，视为送达其他与决定书有关的当事人。</w:t>
            </w:r>
          </w:p>
        </w:tc>
      </w:tr>
      <w:tr w14:paraId="0833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13C21A77">
            <w:pPr>
              <w:keepNext w:val="0"/>
              <w:keepLines w:val="0"/>
              <w:pageBreakBefore w:val="0"/>
              <w:widowControl w:val="0"/>
              <w:wordWrap w:val="0"/>
              <w:bidi w:val="0"/>
              <w:spacing w:before="0" w:after="0" w:line="240" w:lineRule="auto"/>
              <w:ind w:left="110" w:leftChars="5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4</w:t>
            </w:r>
          </w:p>
        </w:tc>
        <w:tc>
          <w:tcPr>
            <w:tcW w:w="2441" w:type="dxa"/>
            <w:vAlign w:val="center"/>
          </w:tcPr>
          <w:p w14:paraId="4C3DCDB6">
            <w:pPr>
              <w:keepNext w:val="0"/>
              <w:keepLines w:val="0"/>
              <w:pageBreakBefore w:val="0"/>
              <w:widowControl w:val="0"/>
              <w:wordWrap w:val="0"/>
              <w:bidi w:val="0"/>
              <w:spacing w:before="0" w:after="0" w:line="240" w:lineRule="auto"/>
              <w:ind w:left="110" w:leftChars="5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招标失败的情形</w:t>
            </w:r>
          </w:p>
        </w:tc>
        <w:tc>
          <w:tcPr>
            <w:tcW w:w="5871" w:type="dxa"/>
            <w:vAlign w:val="center"/>
          </w:tcPr>
          <w:p w14:paraId="72BC8714">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资格后审方式，若递交投标文件的投标人不足3名、或满足资格审查合格条件或通过初步评审的投标人不足3名、或经评审有效的投标单位不足3名时为该标段招标失败。或经项目审批部门会同行业主管部门裁定招标投标结果无效。招标人分析招标失败原因，修正招标方案，报有关管理部门后，重新组织招标。</w:t>
            </w:r>
          </w:p>
        </w:tc>
      </w:tr>
      <w:tr w14:paraId="0972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44BBE9C1">
            <w:pPr>
              <w:keepNext w:val="0"/>
              <w:keepLines w:val="0"/>
              <w:pageBreakBefore w:val="0"/>
              <w:widowControl w:val="0"/>
              <w:wordWrap w:val="0"/>
              <w:bidi w:val="0"/>
              <w:spacing w:before="0" w:after="0" w:line="240" w:lineRule="auto"/>
              <w:ind w:left="110" w:leftChars="5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5</w:t>
            </w:r>
          </w:p>
        </w:tc>
        <w:tc>
          <w:tcPr>
            <w:tcW w:w="2441" w:type="dxa"/>
            <w:vAlign w:val="center"/>
          </w:tcPr>
          <w:p w14:paraId="7AB7ABD3">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招标人拒绝接收其投标文件情况</w:t>
            </w:r>
          </w:p>
        </w:tc>
        <w:tc>
          <w:tcPr>
            <w:tcW w:w="5871" w:type="dxa"/>
            <w:vAlign w:val="center"/>
          </w:tcPr>
          <w:p w14:paraId="4524E3F1">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招标人在本须知前附表第4.2.1项规定的投标截止时间以后收到的及不按照招标文件要求密封的投标文件将被拒绝并退回给投标人。</w:t>
            </w:r>
          </w:p>
        </w:tc>
      </w:tr>
      <w:tr w14:paraId="1B48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06487CCA">
            <w:pPr>
              <w:keepNext w:val="0"/>
              <w:keepLines w:val="0"/>
              <w:pageBreakBefore w:val="0"/>
              <w:widowControl w:val="0"/>
              <w:wordWrap w:val="0"/>
              <w:bidi w:val="0"/>
              <w:spacing w:before="0" w:after="0" w:line="240" w:lineRule="auto"/>
              <w:ind w:left="110" w:leftChars="5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10.6</w:t>
            </w:r>
          </w:p>
        </w:tc>
        <w:tc>
          <w:tcPr>
            <w:tcW w:w="2441" w:type="dxa"/>
            <w:vAlign w:val="center"/>
          </w:tcPr>
          <w:p w14:paraId="0F3476B4">
            <w:pPr>
              <w:keepNext w:val="0"/>
              <w:keepLines w:val="0"/>
              <w:pageBreakBefore w:val="0"/>
              <w:widowControl w:val="0"/>
              <w:wordWrap w:val="0"/>
              <w:bidi w:val="0"/>
              <w:spacing w:before="0" w:after="0" w:line="240" w:lineRule="auto"/>
              <w:ind w:left="110" w:leftChars="5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投标文件公开</w:t>
            </w:r>
          </w:p>
        </w:tc>
        <w:tc>
          <w:tcPr>
            <w:tcW w:w="5871" w:type="dxa"/>
            <w:vAlign w:val="center"/>
          </w:tcPr>
          <w:p w14:paraId="6A34DD47">
            <w:pPr>
              <w:keepNext w:val="0"/>
              <w:keepLines w:val="0"/>
              <w:pageBreakBefore w:val="0"/>
              <w:widowControl w:val="0"/>
              <w:kinsoku/>
              <w:wordWrap w:val="0"/>
              <w:overflowPunct/>
              <w:bidi w:val="0"/>
              <w:spacing w:before="0" w:after="0" w:line="240" w:lineRule="auto"/>
              <w:ind w:left="110" w:leftChars="5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u w:val="single"/>
                <w:lang w:eastAsia="zh-CN"/>
              </w:rPr>
              <w:t>在产生中标候选人后，招标人将中标候选人的投标文件商务部分的电子版（报价清单、方案等涉及商业秘密的内容除外）在广州交易集团有限公司（广州公共资源交易中心）网</w:t>
            </w:r>
            <w:r>
              <w:rPr>
                <w:rFonts w:hint="eastAsia" w:ascii="宋体" w:hAnsi="宋体" w:eastAsia="宋体" w:cs="宋体"/>
                <w:color w:val="auto"/>
                <w:spacing w:val="-2"/>
                <w:sz w:val="21"/>
                <w:szCs w:val="21"/>
                <w:highlight w:val="none"/>
                <w:u w:val="single"/>
                <w:lang w:val="en-US" w:eastAsia="zh-CN"/>
              </w:rPr>
              <w:t>站、广东省招标投标监管网</w:t>
            </w:r>
            <w:r>
              <w:rPr>
                <w:rFonts w:hint="eastAsia" w:ascii="宋体" w:hAnsi="宋体" w:eastAsia="宋体" w:cs="宋体"/>
                <w:color w:val="auto"/>
                <w:spacing w:val="-2"/>
                <w:sz w:val="21"/>
                <w:szCs w:val="21"/>
                <w:highlight w:val="none"/>
                <w:u w:val="single"/>
                <w:lang w:eastAsia="zh-CN"/>
              </w:rPr>
              <w:t>公开。</w:t>
            </w:r>
          </w:p>
        </w:tc>
      </w:tr>
      <w:tr w14:paraId="70FC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2" w:hRule="atLeast"/>
        </w:trPr>
        <w:tc>
          <w:tcPr>
            <w:tcW w:w="787" w:type="dxa"/>
            <w:vAlign w:val="center"/>
          </w:tcPr>
          <w:p w14:paraId="1F1264CF">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7</w:t>
            </w:r>
          </w:p>
        </w:tc>
        <w:tc>
          <w:tcPr>
            <w:tcW w:w="2441" w:type="dxa"/>
            <w:vAlign w:val="center"/>
          </w:tcPr>
          <w:p w14:paraId="41DADDEC">
            <w:pPr>
              <w:keepNext w:val="0"/>
              <w:keepLines w:val="0"/>
              <w:pageBreakBefore w:val="0"/>
              <w:widowControl w:val="0"/>
              <w:wordWrap w:val="0"/>
              <w:bidi w:val="0"/>
              <w:spacing w:before="0" w:after="0" w:line="240" w:lineRule="auto"/>
              <w:ind w:left="110" w:leftChars="5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否决投标</w:t>
            </w:r>
          </w:p>
        </w:tc>
        <w:tc>
          <w:tcPr>
            <w:tcW w:w="5871" w:type="dxa"/>
            <w:vAlign w:val="center"/>
          </w:tcPr>
          <w:p w14:paraId="449ED939">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.1投标人有下列情况之一的，评标委员会应当否决其投标：</w:t>
            </w:r>
          </w:p>
          <w:p w14:paraId="1189BDF4">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投标人与招标人、评标委员会成员或者其他投标人串通投标；</w:t>
            </w:r>
          </w:p>
          <w:p w14:paraId="49B4CDF5">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在投标截止期后逾期或未在广州交易集团有限公司（广州公共资源交易中心）数字交易平台（http://www.gzggzy.cn）递交电子投标文件的，电子招标投标交易平台将拒绝接收其投标文件。</w:t>
            </w:r>
          </w:p>
          <w:p w14:paraId="21010E97">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(c)投标人之间存在《广东省实施&lt;中华人民共和国招标投标法&gt;》第十六条所禁止的情形的；</w:t>
            </w:r>
          </w:p>
          <w:p w14:paraId="7209A8D7">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.2投标书有下列情况之一的，评标委员会应当否决其投标：</w:t>
            </w:r>
          </w:p>
          <w:p w14:paraId="64BB08EA">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(a)《投标书》包含有招标人不能接受的偏差，并且投标人拒绝书面撤回偏差。</w:t>
            </w:r>
          </w:p>
          <w:p w14:paraId="3BEC2B99">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投标人与其他投标人加密打包投标文件电脑机器特征码一致的（以广州交易集团有限公司（广州公共资源交易中心）交易平台评标系统的检索信息为准）。</w:t>
            </w:r>
          </w:p>
          <w:p w14:paraId="1D320C35">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.3投标文件有下列情况之一的，评标委员会应当否决其投标：</w:t>
            </w:r>
          </w:p>
          <w:p w14:paraId="444498A4">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（a）有互相雷同的现象和串通投标的嫌疑；</w:t>
            </w:r>
          </w:p>
          <w:p w14:paraId="4709ADD0">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（b）投标报价（含投标总价）高于相应最高投标限价的。</w:t>
            </w:r>
          </w:p>
          <w:p w14:paraId="342E36B2">
            <w:pPr>
              <w:keepNext w:val="0"/>
              <w:keepLines w:val="0"/>
              <w:pageBreakBefore w:val="0"/>
              <w:widowControl w:val="0"/>
              <w:wordWrap w:val="0"/>
              <w:bidi w:val="0"/>
              <w:spacing w:before="0" w:after="0" w:line="240" w:lineRule="auto"/>
              <w:ind w:left="110" w:leftChars="50" w:right="0" w:righ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(c)投标人之间存在《广东省实施&lt;中华人民共和国招标投标法&gt;》第十六条所禁止的情形的；</w:t>
            </w:r>
          </w:p>
          <w:p w14:paraId="4A3A164C">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.4投标文件如果隐瞒不符合评审标准的事实，一切法律责任由投标人承担。</w:t>
            </w:r>
          </w:p>
          <w:p w14:paraId="7B3FB1C6">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.5资格审查</w:t>
            </w:r>
          </w:p>
          <w:p w14:paraId="07E2BC23">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（a）投标人的资格条件不满足招标公告第3条“投标人资格要求”所列的条件，则由评标委员会否决其投标，不予通过资格审查，不参与下一阶段的评审；（资格审查详见《评标办法前附表》）；</w:t>
            </w:r>
          </w:p>
          <w:p w14:paraId="48F45D3B">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bidi="ar"/>
              </w:rPr>
              <w:t>满足资格审查合格条件或通过初步评审的投标人不足3名时为招标失败</w:t>
            </w:r>
            <w:r>
              <w:rPr>
                <w:rFonts w:hint="eastAsia" w:ascii="宋体" w:hAnsi="宋体" w:eastAsia="宋体" w:cs="宋体"/>
                <w:color w:val="auto"/>
                <w:sz w:val="21"/>
                <w:szCs w:val="21"/>
                <w:highlight w:val="none"/>
              </w:rPr>
              <w:t>，招标人应该依法重新组织招标。</w:t>
            </w:r>
          </w:p>
        </w:tc>
      </w:tr>
      <w:tr w14:paraId="1C01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49EFCC39">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8</w:t>
            </w:r>
          </w:p>
        </w:tc>
        <w:tc>
          <w:tcPr>
            <w:tcW w:w="2441" w:type="dxa"/>
            <w:vAlign w:val="center"/>
          </w:tcPr>
          <w:p w14:paraId="09790697">
            <w:pPr>
              <w:keepNext w:val="0"/>
              <w:keepLines w:val="0"/>
              <w:pageBreakBefore w:val="0"/>
              <w:widowControl w:val="0"/>
              <w:wordWrap w:val="0"/>
              <w:bidi w:val="0"/>
              <w:spacing w:before="0" w:after="0" w:line="240" w:lineRule="auto"/>
              <w:ind w:left="110" w:leftChars="5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投标文件份数</w:t>
            </w:r>
          </w:p>
        </w:tc>
        <w:tc>
          <w:tcPr>
            <w:tcW w:w="5871" w:type="dxa"/>
            <w:vAlign w:val="center"/>
          </w:tcPr>
          <w:p w14:paraId="525FDB66">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领取中标通知书后，签订合同签前，中标人须向招标人提供独立装订成册的纸质投标文件一式三份，纸质投标文件内容须与投标时提交的电子投标文件内容一致。</w:t>
            </w:r>
          </w:p>
        </w:tc>
      </w:tr>
      <w:tr w14:paraId="7980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3106096D">
            <w:pPr>
              <w:keepNext w:val="0"/>
              <w:keepLines w:val="0"/>
              <w:pageBreakBefore w:val="0"/>
              <w:widowControl w:val="0"/>
              <w:wordWrap w:val="0"/>
              <w:bidi w:val="0"/>
              <w:spacing w:before="0" w:after="0" w:line="240" w:lineRule="auto"/>
              <w:ind w:left="110" w:leftChars="5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9</w:t>
            </w:r>
          </w:p>
        </w:tc>
        <w:tc>
          <w:tcPr>
            <w:tcW w:w="2441" w:type="dxa"/>
            <w:vAlign w:val="center"/>
          </w:tcPr>
          <w:p w14:paraId="104AE6D3">
            <w:pPr>
              <w:keepNext w:val="0"/>
              <w:keepLines w:val="0"/>
              <w:pageBreakBefore w:val="0"/>
              <w:widowControl w:val="0"/>
              <w:wordWrap w:val="0"/>
              <w:bidi w:val="0"/>
              <w:spacing w:before="0" w:after="0" w:line="240" w:lineRule="auto"/>
              <w:ind w:left="110" w:leftChars="5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串通投标的处置</w:t>
            </w:r>
          </w:p>
        </w:tc>
        <w:tc>
          <w:tcPr>
            <w:tcW w:w="5871" w:type="dxa"/>
            <w:vAlign w:val="center"/>
          </w:tcPr>
          <w:p w14:paraId="4CB0B03C">
            <w:pPr>
              <w:keepNext w:val="0"/>
              <w:keepLines w:val="0"/>
              <w:pageBreakBefore w:val="0"/>
              <w:widowControl w:val="0"/>
              <w:wordWrap w:val="0"/>
              <w:bidi w:val="0"/>
              <w:spacing w:before="0" w:after="0" w:line="240" w:lineRule="auto"/>
              <w:ind w:left="110" w:leftChars="50" w:right="0" w:rightChars="0"/>
              <w:rPr>
                <w:rFonts w:hint="eastAsia" w:ascii="宋体" w:hAnsi="宋体" w:cs="宋体"/>
                <w:bCs/>
                <w:snapToGrid w:val="0"/>
                <w:color w:val="auto"/>
                <w:kern w:val="0"/>
                <w:sz w:val="21"/>
                <w:szCs w:val="21"/>
                <w:highlight w:val="none"/>
              </w:rPr>
            </w:pPr>
            <w:r>
              <w:rPr>
                <w:rFonts w:hint="eastAsia" w:ascii="宋体" w:hAnsi="宋体" w:cs="宋体"/>
                <w:bCs/>
                <w:snapToGrid w:val="0"/>
                <w:color w:val="auto"/>
                <w:kern w:val="0"/>
                <w:sz w:val="21"/>
                <w:szCs w:val="21"/>
                <w:highlight w:val="none"/>
              </w:rPr>
              <w:t>投标人存在《中华人民共和国招标投标法》相关法律法规规定的属于投标人相互串通投标情形的，投标无效。</w:t>
            </w:r>
          </w:p>
          <w:p w14:paraId="3D5459F6">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cs="宋体"/>
                <w:bCs/>
                <w:snapToGrid w:val="0"/>
                <w:color w:val="auto"/>
                <w:kern w:val="0"/>
                <w:sz w:val="21"/>
                <w:szCs w:val="21"/>
                <w:highlight w:val="none"/>
              </w:rPr>
            </w:pPr>
            <w:r>
              <w:rPr>
                <w:rFonts w:hint="eastAsia" w:ascii="宋体" w:hAnsi="宋体" w:cs="宋体"/>
                <w:bCs/>
                <w:snapToGrid w:val="0"/>
                <w:color w:val="auto"/>
                <w:kern w:val="0"/>
                <w:sz w:val="21"/>
                <w:szCs w:val="21"/>
                <w:highlight w:val="none"/>
              </w:rPr>
              <w:t>投标人串通投标中标的，其行为是在签订合同生效之前被认定的，则中标无效；招标人</w:t>
            </w:r>
            <w:r>
              <w:rPr>
                <w:rFonts w:hint="eastAsia" w:ascii="宋体" w:hAnsi="宋体" w:cs="宋体"/>
                <w:bCs/>
                <w:snapToGrid w:val="0"/>
                <w:color w:val="auto"/>
                <w:kern w:val="0"/>
                <w:sz w:val="21"/>
                <w:szCs w:val="21"/>
                <w:highlight w:val="none"/>
                <w:lang w:val="en-US" w:eastAsia="zh-CN"/>
              </w:rPr>
              <w:t>可以</w:t>
            </w:r>
            <w:r>
              <w:rPr>
                <w:rFonts w:hint="eastAsia" w:ascii="宋体" w:hAnsi="宋体" w:cs="宋体"/>
                <w:bCs/>
                <w:snapToGrid w:val="0"/>
                <w:color w:val="auto"/>
                <w:kern w:val="0"/>
                <w:sz w:val="21"/>
                <w:szCs w:val="21"/>
                <w:highlight w:val="none"/>
              </w:rPr>
              <w:t>从其他合格的中标候选人中重新确定中标人，招标人也可以依法重新招标。</w:t>
            </w:r>
          </w:p>
          <w:p w14:paraId="08B6D54B">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cs="宋体"/>
                <w:bCs/>
                <w:snapToGrid w:val="0"/>
                <w:color w:val="auto"/>
                <w:kern w:val="0"/>
                <w:sz w:val="21"/>
                <w:szCs w:val="21"/>
                <w:highlight w:val="none"/>
              </w:rPr>
            </w:pPr>
            <w:r>
              <w:rPr>
                <w:rFonts w:hint="eastAsia" w:ascii="宋体" w:hAnsi="宋体" w:cs="宋体"/>
                <w:bCs/>
                <w:snapToGrid w:val="0"/>
                <w:color w:val="auto"/>
                <w:kern w:val="0"/>
                <w:sz w:val="21"/>
                <w:szCs w:val="21"/>
                <w:highlight w:val="none"/>
              </w:rPr>
              <w:t>投标人串通投标中标的，其行为是在签订合同生效之后被证实的，则认定为投标人的违约行为，按合同约定承担违约责任，招标人有权终止合同，投标人的履约保证金不予退还。</w:t>
            </w:r>
          </w:p>
          <w:p w14:paraId="3045CC9E">
            <w:pPr>
              <w:keepNext w:val="0"/>
              <w:keepLines w:val="0"/>
              <w:pageBreakBefore w:val="0"/>
              <w:widowControl w:val="0"/>
              <w:wordWrap w:val="0"/>
              <w:bidi w:val="0"/>
              <w:spacing w:before="0" w:after="0" w:line="240" w:lineRule="auto"/>
              <w:ind w:left="110" w:leftChars="50" w:right="0" w:rightChars="0" w:firstLine="420" w:firstLineChars="200"/>
              <w:rPr>
                <w:rFonts w:hint="eastAsia" w:ascii="宋体" w:hAnsi="宋体" w:eastAsia="宋体" w:cs="宋体"/>
                <w:color w:val="auto"/>
                <w:sz w:val="21"/>
                <w:szCs w:val="21"/>
                <w:highlight w:val="none"/>
              </w:rPr>
            </w:pPr>
            <w:r>
              <w:rPr>
                <w:rFonts w:hint="eastAsia" w:ascii="宋体" w:hAnsi="宋体" w:cs="宋体"/>
                <w:bCs/>
                <w:snapToGrid w:val="0"/>
                <w:color w:val="auto"/>
                <w:kern w:val="0"/>
                <w:sz w:val="21"/>
                <w:szCs w:val="21"/>
                <w:highlight w:val="none"/>
              </w:rPr>
              <w:t>上述串通投标行为，构成犯罪的，依法追究刑事责任；尚不构成犯罪的，依据相关法律规定处罚，给招标人造成损失的应承担赔偿责任。</w:t>
            </w:r>
          </w:p>
        </w:tc>
      </w:tr>
      <w:tr w14:paraId="60C0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7" w:type="dxa"/>
            <w:vAlign w:val="center"/>
          </w:tcPr>
          <w:p w14:paraId="7D3740C3">
            <w:pPr>
              <w:keepNext w:val="0"/>
              <w:keepLines w:val="0"/>
              <w:pageBreakBefore w:val="0"/>
              <w:widowControl w:val="0"/>
              <w:wordWrap w:val="0"/>
              <w:bidi w:val="0"/>
              <w:spacing w:before="0" w:after="0" w:line="240" w:lineRule="auto"/>
              <w:ind w:left="110" w:leftChars="50" w:right="0" w:rightChars="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0</w:t>
            </w:r>
          </w:p>
        </w:tc>
        <w:tc>
          <w:tcPr>
            <w:tcW w:w="2441" w:type="dxa"/>
            <w:vAlign w:val="center"/>
          </w:tcPr>
          <w:p w14:paraId="468AFAC6">
            <w:pPr>
              <w:keepNext w:val="0"/>
              <w:keepLines w:val="0"/>
              <w:pageBreakBefore w:val="0"/>
              <w:widowControl w:val="0"/>
              <w:wordWrap w:val="0"/>
              <w:bidi w:val="0"/>
              <w:spacing w:line="276" w:lineRule="auto"/>
              <w:ind w:left="42" w:leftChars="19" w:right="112" w:rightChars="51"/>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u w:val="single"/>
                <w:lang w:val="en-US" w:eastAsia="zh-CN"/>
              </w:rPr>
              <w:t>其他</w:t>
            </w:r>
          </w:p>
        </w:tc>
        <w:tc>
          <w:tcPr>
            <w:tcW w:w="5871" w:type="dxa"/>
            <w:vAlign w:val="center"/>
          </w:tcPr>
          <w:p w14:paraId="71EF87EB">
            <w:pPr>
              <w:keepNext w:val="0"/>
              <w:keepLines w:val="0"/>
              <w:pageBreakBefore w:val="0"/>
              <w:widowControl w:val="0"/>
              <w:kinsoku/>
              <w:wordWrap w:val="0"/>
              <w:overflowPunct/>
              <w:bidi w:val="0"/>
              <w:ind w:left="33" w:leftChars="15" w:right="22" w:rightChars="10"/>
              <w:textAlignment w:val="auto"/>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r>
              <w:rPr>
                <w:rFonts w:ascii="宋体" w:hAnsi="宋体" w:eastAsia="宋体" w:cs="宋体"/>
                <w:color w:val="auto"/>
                <w:sz w:val="21"/>
                <w:szCs w:val="21"/>
                <w:highlight w:val="none"/>
                <w:u w:val="single"/>
                <w:lang w:eastAsia="zh-CN"/>
              </w:rPr>
              <w:t>1）交易服务费：中标人代缴广州交易集团有限公司交易服务费，由广州交易集团有限公司向中标人开具增值税发票，其费用在承包人第一次请款时一并申请。</w:t>
            </w:r>
          </w:p>
          <w:p w14:paraId="55253AA4">
            <w:pPr>
              <w:keepNext w:val="0"/>
              <w:keepLines w:val="0"/>
              <w:pageBreakBefore w:val="0"/>
              <w:widowControl w:val="0"/>
              <w:kinsoku/>
              <w:wordWrap w:val="0"/>
              <w:overflowPunct/>
              <w:bidi w:val="0"/>
              <w:spacing w:line="276" w:lineRule="auto"/>
              <w:ind w:left="33" w:leftChars="15" w:right="22" w:rightChars="10"/>
              <w:textAlignment w:val="auto"/>
              <w:rPr>
                <w:rFonts w:hint="eastAsia" w:ascii="宋体" w:hAnsi="宋体" w:cs="宋体"/>
                <w:bCs/>
                <w:snapToGrid w:val="0"/>
                <w:color w:val="auto"/>
                <w:kern w:val="0"/>
                <w:sz w:val="21"/>
                <w:szCs w:val="21"/>
                <w:highlight w:val="none"/>
              </w:rPr>
            </w:pPr>
            <w:r>
              <w:rPr>
                <w:rFonts w:hint="eastAsia" w:ascii="宋体" w:hAnsi="宋体" w:eastAsia="宋体" w:cs="宋体"/>
                <w:color w:val="auto"/>
                <w:sz w:val="21"/>
                <w:szCs w:val="21"/>
                <w:highlight w:val="none"/>
                <w:u w:val="single"/>
                <w:lang w:eastAsia="zh-CN"/>
              </w:rPr>
              <w:t>（</w:t>
            </w:r>
            <w:r>
              <w:rPr>
                <w:rFonts w:ascii="宋体" w:hAnsi="宋体" w:eastAsia="宋体" w:cs="宋体"/>
                <w:color w:val="auto"/>
                <w:sz w:val="21"/>
                <w:szCs w:val="21"/>
                <w:highlight w:val="none"/>
                <w:u w:val="single"/>
                <w:lang w:eastAsia="zh-CN"/>
              </w:rPr>
              <w:t>2）招标代理</w:t>
            </w:r>
            <w:r>
              <w:rPr>
                <w:rFonts w:hint="eastAsia" w:ascii="宋体" w:hAnsi="宋体" w:eastAsia="宋体" w:cs="宋体"/>
                <w:color w:val="auto"/>
                <w:sz w:val="21"/>
                <w:szCs w:val="21"/>
                <w:highlight w:val="none"/>
                <w:u w:val="single"/>
                <w:lang w:val="en-US" w:eastAsia="zh-CN"/>
              </w:rPr>
              <w:t>服务</w:t>
            </w:r>
            <w:r>
              <w:rPr>
                <w:rFonts w:ascii="宋体" w:hAnsi="宋体" w:eastAsia="宋体" w:cs="宋体"/>
                <w:color w:val="auto"/>
                <w:sz w:val="21"/>
                <w:szCs w:val="21"/>
                <w:highlight w:val="none"/>
                <w:u w:val="single"/>
                <w:lang w:eastAsia="zh-CN"/>
              </w:rPr>
              <w:t>费：由</w:t>
            </w:r>
            <w:r>
              <w:rPr>
                <w:rFonts w:hint="eastAsia" w:ascii="宋体" w:hAnsi="宋体" w:eastAsia="宋体" w:cs="宋体"/>
                <w:color w:val="auto"/>
                <w:sz w:val="21"/>
                <w:szCs w:val="21"/>
                <w:highlight w:val="none"/>
                <w:u w:val="single"/>
                <w:lang w:val="en-US" w:eastAsia="zh-CN"/>
              </w:rPr>
              <w:t>中标</w:t>
            </w:r>
            <w:r>
              <w:rPr>
                <w:rFonts w:ascii="宋体" w:hAnsi="宋体" w:eastAsia="宋体" w:cs="宋体"/>
                <w:color w:val="auto"/>
                <w:sz w:val="21"/>
                <w:szCs w:val="21"/>
                <w:highlight w:val="none"/>
                <w:u w:val="single"/>
                <w:lang w:eastAsia="zh-CN"/>
              </w:rPr>
              <w:t>人</w:t>
            </w:r>
            <w:r>
              <w:rPr>
                <w:rFonts w:hint="eastAsia" w:ascii="宋体" w:hAnsi="宋体" w:eastAsia="宋体" w:cs="宋体"/>
                <w:color w:val="auto"/>
                <w:sz w:val="21"/>
                <w:szCs w:val="21"/>
                <w:highlight w:val="none"/>
                <w:u w:val="single"/>
                <w:lang w:val="en-US" w:eastAsia="zh-CN"/>
              </w:rPr>
              <w:t>按照《招标代理费用计算方法》</w:t>
            </w:r>
            <w:r>
              <w:rPr>
                <w:rFonts w:ascii="宋体" w:hAnsi="宋体" w:eastAsia="宋体" w:cs="宋体"/>
                <w:color w:val="auto"/>
                <w:sz w:val="21"/>
                <w:szCs w:val="21"/>
                <w:highlight w:val="none"/>
                <w:u w:val="single"/>
                <w:lang w:eastAsia="zh-CN"/>
              </w:rPr>
              <w:t>支付给招标代理。</w:t>
            </w:r>
          </w:p>
        </w:tc>
      </w:tr>
    </w:tbl>
    <w:p w14:paraId="590F0A92">
      <w:pPr>
        <w:rPr>
          <w:rFonts w:hint="eastAsia" w:ascii="宋体" w:hAnsi="宋体" w:cs="宋体"/>
          <w:color w:val="auto"/>
          <w:highlight w:val="none"/>
        </w:rPr>
      </w:pPr>
    </w:p>
    <w:p w14:paraId="5E9CD9E9">
      <w:pPr>
        <w:rPr>
          <w:rFonts w:hint="eastAsia" w:ascii="宋体" w:hAnsi="宋体" w:cs="宋体"/>
          <w:color w:val="auto"/>
          <w:sz w:val="24"/>
          <w:highlight w:val="none"/>
        </w:rPr>
      </w:pPr>
      <w:r>
        <w:rPr>
          <w:rFonts w:hint="eastAsia" w:ascii="宋体" w:hAnsi="宋体" w:cs="宋体"/>
          <w:color w:val="auto"/>
          <w:highlight w:val="none"/>
        </w:rPr>
        <w:br w:type="page"/>
      </w:r>
    </w:p>
    <w:p w14:paraId="4DB206B0">
      <w:pPr>
        <w:pStyle w:val="6"/>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left="0" w:right="0"/>
        <w:textAlignment w:val="auto"/>
        <w:rPr>
          <w:rFonts w:hint="eastAsia" w:ascii="宋体" w:hAnsi="宋体" w:eastAsia="宋体" w:cs="宋体"/>
          <w:b/>
          <w:bCs/>
          <w:color w:val="auto"/>
          <w:sz w:val="21"/>
          <w:szCs w:val="21"/>
          <w:highlight w:val="none"/>
        </w:rPr>
      </w:pPr>
      <w:bookmarkStart w:id="12" w:name="_Toc10737"/>
      <w:bookmarkStart w:id="13" w:name="_Toc24114"/>
      <w:r>
        <w:rPr>
          <w:rFonts w:hint="eastAsia" w:ascii="宋体" w:hAnsi="宋体" w:eastAsia="宋体" w:cs="宋体"/>
          <w:b/>
          <w:bCs/>
          <w:color w:val="auto"/>
          <w:sz w:val="21"/>
          <w:szCs w:val="21"/>
          <w:highlight w:val="none"/>
        </w:rPr>
        <w:t>1.  总则</w:t>
      </w:r>
      <w:bookmarkEnd w:id="12"/>
      <w:bookmarkEnd w:id="13"/>
    </w:p>
    <w:p w14:paraId="463D81DF">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14" w:name="_Toc5387"/>
      <w:r>
        <w:rPr>
          <w:rFonts w:hint="eastAsia" w:ascii="宋体" w:hAnsi="宋体" w:eastAsia="宋体" w:cs="宋体"/>
          <w:color w:val="auto"/>
          <w:sz w:val="21"/>
          <w:szCs w:val="21"/>
          <w:highlight w:val="none"/>
        </w:rPr>
        <w:t>1.1</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z w:val="21"/>
          <w:szCs w:val="21"/>
          <w:highlight w:val="none"/>
        </w:rPr>
        <w:t>招标项目概况</w:t>
      </w:r>
      <w:bookmarkEnd w:id="14"/>
    </w:p>
    <w:p w14:paraId="2759E860">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1.1.1</w:t>
      </w:r>
      <w:r>
        <w:rPr>
          <w:rFonts w:hint="eastAsia" w:ascii="宋体" w:hAnsi="宋体" w:eastAsia="宋体" w:cs="宋体"/>
          <w:color w:val="auto"/>
          <w:sz w:val="21"/>
          <w:szCs w:val="21"/>
          <w:highlight w:val="none"/>
        </w:rPr>
        <w:t xml:space="preserve"> </w:t>
      </w:r>
      <w:r>
        <w:rPr>
          <w:rFonts w:hint="eastAsia" w:ascii="宋体" w:hAnsi="宋体" w:eastAsia="宋体" w:cs="宋体"/>
          <w:color w:val="auto"/>
          <w:w w:val="100"/>
          <w:sz w:val="21"/>
          <w:szCs w:val="21"/>
          <w:highlight w:val="none"/>
        </w:rPr>
        <w:t>根</w:t>
      </w:r>
      <w:r>
        <w:rPr>
          <w:rFonts w:hint="eastAsia" w:ascii="宋体" w:hAnsi="宋体" w:eastAsia="宋体" w:cs="宋体"/>
          <w:color w:val="auto"/>
          <w:spacing w:val="-10"/>
          <w:w w:val="100"/>
          <w:sz w:val="21"/>
          <w:szCs w:val="21"/>
          <w:highlight w:val="none"/>
        </w:rPr>
        <w:t>据</w:t>
      </w:r>
      <w:r>
        <w:rPr>
          <w:rFonts w:hint="eastAsia" w:ascii="宋体" w:hAnsi="宋体" w:eastAsia="宋体" w:cs="宋体"/>
          <w:color w:val="auto"/>
          <w:w w:val="100"/>
          <w:sz w:val="21"/>
          <w:szCs w:val="21"/>
          <w:highlight w:val="none"/>
        </w:rPr>
        <w:t>《</w:t>
      </w:r>
      <w:r>
        <w:rPr>
          <w:rFonts w:hint="eastAsia" w:ascii="宋体" w:hAnsi="宋体" w:eastAsia="宋体" w:cs="宋体"/>
          <w:color w:val="auto"/>
          <w:spacing w:val="-3"/>
          <w:w w:val="100"/>
          <w:sz w:val="21"/>
          <w:szCs w:val="21"/>
          <w:highlight w:val="none"/>
        </w:rPr>
        <w:t>中</w:t>
      </w:r>
      <w:r>
        <w:rPr>
          <w:rFonts w:hint="eastAsia" w:ascii="宋体" w:hAnsi="宋体" w:eastAsia="宋体" w:cs="宋体"/>
          <w:color w:val="auto"/>
          <w:w w:val="100"/>
          <w:sz w:val="21"/>
          <w:szCs w:val="21"/>
          <w:highlight w:val="none"/>
        </w:rPr>
        <w:t>华</w:t>
      </w:r>
      <w:r>
        <w:rPr>
          <w:rFonts w:hint="eastAsia" w:ascii="宋体" w:hAnsi="宋体" w:eastAsia="宋体" w:cs="宋体"/>
          <w:color w:val="auto"/>
          <w:spacing w:val="-3"/>
          <w:w w:val="100"/>
          <w:sz w:val="21"/>
          <w:szCs w:val="21"/>
          <w:highlight w:val="none"/>
        </w:rPr>
        <w:t>人</w:t>
      </w:r>
      <w:r>
        <w:rPr>
          <w:rFonts w:hint="eastAsia" w:ascii="宋体" w:hAnsi="宋体" w:eastAsia="宋体" w:cs="宋体"/>
          <w:color w:val="auto"/>
          <w:w w:val="100"/>
          <w:sz w:val="21"/>
          <w:szCs w:val="21"/>
          <w:highlight w:val="none"/>
        </w:rPr>
        <w:t>民</w:t>
      </w:r>
      <w:r>
        <w:rPr>
          <w:rFonts w:hint="eastAsia" w:ascii="宋体" w:hAnsi="宋体" w:eastAsia="宋体" w:cs="宋体"/>
          <w:color w:val="auto"/>
          <w:spacing w:val="-3"/>
          <w:w w:val="100"/>
          <w:sz w:val="21"/>
          <w:szCs w:val="21"/>
          <w:highlight w:val="none"/>
        </w:rPr>
        <w:t>共和</w:t>
      </w:r>
      <w:r>
        <w:rPr>
          <w:rFonts w:hint="eastAsia" w:ascii="宋体" w:hAnsi="宋体" w:eastAsia="宋体" w:cs="宋体"/>
          <w:color w:val="auto"/>
          <w:w w:val="100"/>
          <w:sz w:val="21"/>
          <w:szCs w:val="21"/>
          <w:highlight w:val="none"/>
        </w:rPr>
        <w:t>国招</w:t>
      </w:r>
      <w:r>
        <w:rPr>
          <w:rFonts w:hint="eastAsia" w:ascii="宋体" w:hAnsi="宋体" w:eastAsia="宋体" w:cs="宋体"/>
          <w:color w:val="auto"/>
          <w:spacing w:val="-3"/>
          <w:w w:val="100"/>
          <w:sz w:val="21"/>
          <w:szCs w:val="21"/>
          <w:highlight w:val="none"/>
        </w:rPr>
        <w:t>标</w:t>
      </w:r>
      <w:r>
        <w:rPr>
          <w:rFonts w:hint="eastAsia" w:ascii="宋体" w:hAnsi="宋体" w:eastAsia="宋体" w:cs="宋体"/>
          <w:color w:val="auto"/>
          <w:w w:val="100"/>
          <w:sz w:val="21"/>
          <w:szCs w:val="21"/>
          <w:highlight w:val="none"/>
        </w:rPr>
        <w:t>投</w:t>
      </w:r>
      <w:r>
        <w:rPr>
          <w:rFonts w:hint="eastAsia" w:ascii="宋体" w:hAnsi="宋体" w:eastAsia="宋体" w:cs="宋体"/>
          <w:color w:val="auto"/>
          <w:spacing w:val="-3"/>
          <w:w w:val="100"/>
          <w:sz w:val="21"/>
          <w:szCs w:val="21"/>
          <w:highlight w:val="none"/>
        </w:rPr>
        <w:t>标</w:t>
      </w:r>
      <w:r>
        <w:rPr>
          <w:rFonts w:hint="eastAsia" w:ascii="宋体" w:hAnsi="宋体" w:eastAsia="宋体" w:cs="宋体"/>
          <w:color w:val="auto"/>
          <w:w w:val="100"/>
          <w:sz w:val="21"/>
          <w:szCs w:val="21"/>
          <w:highlight w:val="none"/>
        </w:rPr>
        <w:t>法</w:t>
      </w:r>
      <w:r>
        <w:rPr>
          <w:rFonts w:hint="eastAsia" w:ascii="宋体" w:hAnsi="宋体" w:eastAsia="宋体" w:cs="宋体"/>
          <w:color w:val="auto"/>
          <w:spacing w:val="-106"/>
          <w:w w:val="100"/>
          <w:sz w:val="21"/>
          <w:szCs w:val="21"/>
          <w:highlight w:val="none"/>
        </w:rPr>
        <w:t>》</w:t>
      </w:r>
      <w:r>
        <w:rPr>
          <w:rFonts w:hint="eastAsia" w:ascii="宋体" w:hAnsi="宋体" w:eastAsia="宋体" w:cs="宋体"/>
          <w:color w:val="auto"/>
          <w:spacing w:val="-116"/>
          <w:w w:val="100"/>
          <w:sz w:val="21"/>
          <w:szCs w:val="21"/>
          <w:highlight w:val="none"/>
        </w:rPr>
        <w:t>、</w:t>
      </w:r>
      <w:r>
        <w:rPr>
          <w:rFonts w:hint="eastAsia" w:ascii="宋体" w:hAnsi="宋体" w:eastAsia="宋体" w:cs="宋体"/>
          <w:color w:val="auto"/>
          <w:spacing w:val="-3"/>
          <w:w w:val="100"/>
          <w:sz w:val="21"/>
          <w:szCs w:val="21"/>
          <w:highlight w:val="none"/>
        </w:rPr>
        <w:t>《</w:t>
      </w:r>
      <w:r>
        <w:rPr>
          <w:rFonts w:hint="eastAsia" w:ascii="宋体" w:hAnsi="宋体" w:eastAsia="宋体" w:cs="宋体"/>
          <w:color w:val="auto"/>
          <w:w w:val="100"/>
          <w:sz w:val="21"/>
          <w:szCs w:val="21"/>
          <w:highlight w:val="none"/>
        </w:rPr>
        <w:t>中</w:t>
      </w:r>
      <w:r>
        <w:rPr>
          <w:rFonts w:hint="eastAsia" w:ascii="宋体" w:hAnsi="宋体" w:eastAsia="宋体" w:cs="宋体"/>
          <w:color w:val="auto"/>
          <w:spacing w:val="-3"/>
          <w:w w:val="100"/>
          <w:sz w:val="21"/>
          <w:szCs w:val="21"/>
          <w:highlight w:val="none"/>
        </w:rPr>
        <w:t>华人</w:t>
      </w:r>
      <w:r>
        <w:rPr>
          <w:rFonts w:hint="eastAsia" w:ascii="宋体" w:hAnsi="宋体" w:eastAsia="宋体" w:cs="宋体"/>
          <w:color w:val="auto"/>
          <w:w w:val="100"/>
          <w:sz w:val="21"/>
          <w:szCs w:val="21"/>
          <w:highlight w:val="none"/>
        </w:rPr>
        <w:t>民共</w:t>
      </w:r>
      <w:r>
        <w:rPr>
          <w:rFonts w:hint="eastAsia" w:ascii="宋体" w:hAnsi="宋体" w:eastAsia="宋体" w:cs="宋体"/>
          <w:color w:val="auto"/>
          <w:spacing w:val="-3"/>
          <w:w w:val="100"/>
          <w:sz w:val="21"/>
          <w:szCs w:val="21"/>
          <w:highlight w:val="none"/>
        </w:rPr>
        <w:t>和</w:t>
      </w:r>
      <w:r>
        <w:rPr>
          <w:rFonts w:hint="eastAsia" w:ascii="宋体" w:hAnsi="宋体" w:eastAsia="宋体" w:cs="宋体"/>
          <w:color w:val="auto"/>
          <w:w w:val="100"/>
          <w:sz w:val="21"/>
          <w:szCs w:val="21"/>
          <w:highlight w:val="none"/>
        </w:rPr>
        <w:t>国</w:t>
      </w:r>
      <w:r>
        <w:rPr>
          <w:rFonts w:hint="eastAsia" w:ascii="宋体" w:hAnsi="宋体" w:eastAsia="宋体" w:cs="宋体"/>
          <w:color w:val="auto"/>
          <w:spacing w:val="-3"/>
          <w:w w:val="100"/>
          <w:sz w:val="21"/>
          <w:szCs w:val="21"/>
          <w:highlight w:val="none"/>
        </w:rPr>
        <w:t>招</w:t>
      </w:r>
      <w:r>
        <w:rPr>
          <w:rFonts w:hint="eastAsia" w:ascii="宋体" w:hAnsi="宋体" w:eastAsia="宋体" w:cs="宋体"/>
          <w:color w:val="auto"/>
          <w:w w:val="100"/>
          <w:sz w:val="21"/>
          <w:szCs w:val="21"/>
          <w:highlight w:val="none"/>
        </w:rPr>
        <w:t>标</w:t>
      </w:r>
      <w:r>
        <w:rPr>
          <w:rFonts w:hint="eastAsia" w:ascii="宋体" w:hAnsi="宋体" w:eastAsia="宋体" w:cs="宋体"/>
          <w:color w:val="auto"/>
          <w:spacing w:val="-3"/>
          <w:w w:val="100"/>
          <w:sz w:val="21"/>
          <w:szCs w:val="21"/>
          <w:highlight w:val="none"/>
        </w:rPr>
        <w:t>投</w:t>
      </w:r>
      <w:r>
        <w:rPr>
          <w:rFonts w:hint="eastAsia" w:ascii="宋体" w:hAnsi="宋体" w:eastAsia="宋体" w:cs="宋体"/>
          <w:color w:val="auto"/>
          <w:w w:val="100"/>
          <w:sz w:val="21"/>
          <w:szCs w:val="21"/>
          <w:highlight w:val="none"/>
        </w:rPr>
        <w:t>标</w:t>
      </w:r>
      <w:r>
        <w:rPr>
          <w:rFonts w:hint="eastAsia" w:ascii="宋体" w:hAnsi="宋体" w:eastAsia="宋体" w:cs="宋体"/>
          <w:color w:val="auto"/>
          <w:spacing w:val="-3"/>
          <w:w w:val="100"/>
          <w:sz w:val="21"/>
          <w:szCs w:val="21"/>
          <w:highlight w:val="none"/>
        </w:rPr>
        <w:t>法</w:t>
      </w:r>
      <w:r>
        <w:rPr>
          <w:rFonts w:hint="eastAsia" w:ascii="宋体" w:hAnsi="宋体" w:eastAsia="宋体" w:cs="宋体"/>
          <w:color w:val="auto"/>
          <w:w w:val="100"/>
          <w:sz w:val="21"/>
          <w:szCs w:val="21"/>
          <w:highlight w:val="none"/>
        </w:rPr>
        <w:t>实</w:t>
      </w:r>
      <w:r>
        <w:rPr>
          <w:rFonts w:hint="eastAsia" w:ascii="宋体" w:hAnsi="宋体" w:eastAsia="宋体" w:cs="宋体"/>
          <w:color w:val="auto"/>
          <w:spacing w:val="-3"/>
          <w:w w:val="100"/>
          <w:sz w:val="21"/>
          <w:szCs w:val="21"/>
          <w:highlight w:val="none"/>
        </w:rPr>
        <w:t>施</w:t>
      </w:r>
      <w:r>
        <w:rPr>
          <w:rFonts w:hint="eastAsia" w:ascii="宋体" w:hAnsi="宋体" w:eastAsia="宋体" w:cs="宋体"/>
          <w:color w:val="auto"/>
          <w:w w:val="100"/>
          <w:sz w:val="21"/>
          <w:szCs w:val="21"/>
          <w:highlight w:val="none"/>
        </w:rPr>
        <w:t>条</w:t>
      </w:r>
      <w:r>
        <w:rPr>
          <w:rFonts w:hint="eastAsia" w:ascii="宋体" w:hAnsi="宋体" w:eastAsia="宋体" w:cs="宋体"/>
          <w:color w:val="auto"/>
          <w:spacing w:val="-3"/>
          <w:w w:val="100"/>
          <w:sz w:val="21"/>
          <w:szCs w:val="21"/>
          <w:highlight w:val="none"/>
        </w:rPr>
        <w:t>例</w:t>
      </w:r>
      <w:r>
        <w:rPr>
          <w:rFonts w:hint="eastAsia" w:ascii="宋体" w:hAnsi="宋体" w:eastAsia="宋体" w:cs="宋体"/>
          <w:color w:val="auto"/>
          <w:spacing w:val="-8"/>
          <w:w w:val="100"/>
          <w:sz w:val="21"/>
          <w:szCs w:val="21"/>
          <w:highlight w:val="none"/>
        </w:rPr>
        <w:t>》</w:t>
      </w:r>
      <w:r>
        <w:rPr>
          <w:rFonts w:hint="eastAsia" w:ascii="宋体" w:hAnsi="宋体" w:eastAsia="宋体" w:cs="宋体"/>
          <w:color w:val="auto"/>
          <w:spacing w:val="-3"/>
          <w:w w:val="100"/>
          <w:sz w:val="21"/>
          <w:szCs w:val="21"/>
          <w:highlight w:val="none"/>
        </w:rPr>
        <w:t>等</w:t>
      </w:r>
      <w:r>
        <w:rPr>
          <w:rFonts w:hint="eastAsia" w:ascii="宋体" w:hAnsi="宋体" w:eastAsia="宋体" w:cs="宋体"/>
          <w:color w:val="auto"/>
          <w:w w:val="100"/>
          <w:sz w:val="21"/>
          <w:szCs w:val="21"/>
          <w:highlight w:val="none"/>
        </w:rPr>
        <w:t xml:space="preserve">有关 </w:t>
      </w:r>
      <w:r>
        <w:rPr>
          <w:rFonts w:hint="eastAsia" w:ascii="宋体" w:hAnsi="宋体" w:eastAsia="宋体" w:cs="宋体"/>
          <w:color w:val="auto"/>
          <w:sz w:val="21"/>
          <w:szCs w:val="21"/>
          <w:highlight w:val="none"/>
        </w:rPr>
        <w:t>法律、法规和规章的规定，本招标项目已具备招标条件，现对</w:t>
      </w:r>
      <w:r>
        <w:rPr>
          <w:rFonts w:hint="eastAsia" w:cs="宋体"/>
          <w:color w:val="auto"/>
          <w:sz w:val="21"/>
          <w:szCs w:val="21"/>
          <w:highlight w:val="none"/>
          <w:lang w:val="en-US" w:eastAsia="zh-CN"/>
        </w:rPr>
        <w:t>咨询服务</w:t>
      </w:r>
      <w:r>
        <w:rPr>
          <w:rFonts w:hint="eastAsia" w:ascii="宋体" w:hAnsi="宋体" w:eastAsia="宋体" w:cs="宋体"/>
          <w:color w:val="auto"/>
          <w:sz w:val="21"/>
          <w:szCs w:val="21"/>
          <w:highlight w:val="none"/>
        </w:rPr>
        <w:t>进行招标。</w:t>
      </w:r>
    </w:p>
    <w:p w14:paraId="0B4A4ECF">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招标人：见投标人须知前附表。</w:t>
      </w:r>
    </w:p>
    <w:p w14:paraId="0722E382">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招标代理机构：见投标人须知前附表。</w:t>
      </w:r>
    </w:p>
    <w:p w14:paraId="4470764D">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招标项目名称：见投标人须知前附表。</w:t>
      </w:r>
    </w:p>
    <w:p w14:paraId="26384CDE">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项目建设地点：见投标人须知前附表。</w:t>
      </w:r>
    </w:p>
    <w:p w14:paraId="570C31EB">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项目建设规模：见投标人须知前附表。</w:t>
      </w:r>
    </w:p>
    <w:p w14:paraId="249171E4">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 项目投资估算：见投标人须知前附表。</w:t>
      </w:r>
    </w:p>
    <w:p w14:paraId="63EB3B61">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15" w:name="_Toc9297"/>
      <w:r>
        <w:rPr>
          <w:rFonts w:hint="eastAsia" w:ascii="宋体" w:hAnsi="宋体" w:eastAsia="宋体" w:cs="宋体"/>
          <w:color w:val="auto"/>
          <w:sz w:val="21"/>
          <w:szCs w:val="21"/>
          <w:highlight w:val="none"/>
        </w:rPr>
        <w:t>1.2  招标项目的资金来源和落实情况</w:t>
      </w:r>
      <w:bookmarkEnd w:id="15"/>
    </w:p>
    <w:p w14:paraId="76F2B4DE">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资金来源及比例：见投标人须知前附表。</w:t>
      </w:r>
    </w:p>
    <w:p w14:paraId="218845A6">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资金落实情况：见投标人须知前附表。</w:t>
      </w:r>
    </w:p>
    <w:p w14:paraId="0D438A85">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16" w:name="_Toc14328"/>
      <w:r>
        <w:rPr>
          <w:rFonts w:hint="eastAsia" w:ascii="宋体" w:hAnsi="宋体" w:eastAsia="宋体" w:cs="宋体"/>
          <w:color w:val="auto"/>
          <w:sz w:val="21"/>
          <w:szCs w:val="21"/>
          <w:highlight w:val="none"/>
        </w:rPr>
        <w:t>1.3 招标范围、</w:t>
      </w:r>
      <w:r>
        <w:rPr>
          <w:rFonts w:hint="eastAsia" w:ascii="宋体" w:hAnsi="宋体" w:cs="宋体"/>
          <w:color w:val="auto"/>
          <w:sz w:val="21"/>
          <w:szCs w:val="21"/>
          <w:highlight w:val="none"/>
          <w:lang w:eastAsia="zh-CN"/>
        </w:rPr>
        <w:t>服务期限</w:t>
      </w:r>
      <w:r>
        <w:rPr>
          <w:rFonts w:hint="eastAsia" w:ascii="宋体" w:hAnsi="宋体" w:eastAsia="宋体" w:cs="宋体"/>
          <w:color w:val="auto"/>
          <w:sz w:val="21"/>
          <w:szCs w:val="21"/>
          <w:highlight w:val="none"/>
        </w:rPr>
        <w:t>和质量标准</w:t>
      </w:r>
      <w:bookmarkEnd w:id="16"/>
    </w:p>
    <w:p w14:paraId="21E25C13">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招标范围：见投标人须知前附表。</w:t>
      </w:r>
    </w:p>
    <w:p w14:paraId="3C715A0A">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 </w:t>
      </w:r>
      <w:r>
        <w:rPr>
          <w:rFonts w:hint="eastAsia" w:cs="宋体"/>
          <w:color w:val="auto"/>
          <w:sz w:val="21"/>
          <w:szCs w:val="21"/>
          <w:highlight w:val="none"/>
          <w:lang w:eastAsia="zh-CN"/>
        </w:rPr>
        <w:t>服务期限</w:t>
      </w:r>
      <w:r>
        <w:rPr>
          <w:rFonts w:hint="eastAsia" w:ascii="宋体" w:hAnsi="宋体" w:eastAsia="宋体" w:cs="宋体"/>
          <w:color w:val="auto"/>
          <w:sz w:val="21"/>
          <w:szCs w:val="21"/>
          <w:highlight w:val="none"/>
        </w:rPr>
        <w:t>：见投标人须知前附表。</w:t>
      </w:r>
    </w:p>
    <w:p w14:paraId="4050AFC0">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质量标准：见投标人须知前附表。</w:t>
      </w:r>
    </w:p>
    <w:p w14:paraId="41BF4691">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17" w:name="_Toc25035"/>
      <w:r>
        <w:rPr>
          <w:rFonts w:hint="eastAsia" w:ascii="宋体" w:hAnsi="宋体" w:eastAsia="宋体" w:cs="宋体"/>
          <w:color w:val="auto"/>
          <w:sz w:val="21"/>
          <w:szCs w:val="21"/>
          <w:highlight w:val="none"/>
        </w:rPr>
        <w:t>1.4 投标人资格要求</w:t>
      </w:r>
      <w:bookmarkEnd w:id="17"/>
    </w:p>
    <w:p w14:paraId="18E76E85">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投标人应具备承担本招标项目资质条件、能力和信誉：</w:t>
      </w:r>
    </w:p>
    <w:p w14:paraId="2F3095EB">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（1）资质要求：见投标人须知前附表；</w:t>
      </w:r>
    </w:p>
    <w:p w14:paraId="457B6CF7">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（2）财务要求：见投标人须知前附表；</w:t>
      </w:r>
    </w:p>
    <w:p w14:paraId="3CD1AB1B">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（3）业绩要求：见投标人须知前附表；</w:t>
      </w:r>
    </w:p>
    <w:p w14:paraId="73BE07F1">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（4）信誉要求：见投标人须知前附表；</w:t>
      </w:r>
    </w:p>
    <w:p w14:paraId="39498DBF">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（5）项目负责人的资格要求：见投标人须知前附表；</w:t>
      </w:r>
    </w:p>
    <w:p w14:paraId="114C6D1A">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（6）其他主要人员要求：见投标人须知前附表。</w:t>
      </w:r>
    </w:p>
    <w:p w14:paraId="5B353735">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（7）其他要求：见投标人须知前附表。</w:t>
      </w:r>
    </w:p>
    <w:p w14:paraId="3F67E4B2">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710E8394">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投标人须知前附表规定接受联合体投标的，联合体除应符合本章第1.4.1项和投标人须知前附表的要求外，还应遵守以下规定：</w:t>
      </w:r>
    </w:p>
    <w:p w14:paraId="63D88D45">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（1）联合体各方应按招标文件提供的格式签订联合体协议书，明确联合体牵头人和各方权利义务，并承诺就中标项目向招标人承担连带责任；</w:t>
      </w:r>
    </w:p>
    <w:p w14:paraId="702354DA">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（2）由同一专业的单位组成的联合体，按照资质等级较低的单位确定资质等级；</w:t>
      </w:r>
    </w:p>
    <w:p w14:paraId="26F7BA69">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（3）联合体各方不得再以自己名义单独或参加其他联合体在本招标项目中投标，否则各相关投标均无效。</w:t>
      </w:r>
    </w:p>
    <w:p w14:paraId="488B4C05">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投标人不得存在下列情形之一：</w:t>
      </w:r>
    </w:p>
    <w:p w14:paraId="014FEB69">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为招标人不具有独立法人资格的附属机构（单位）；</w:t>
      </w:r>
    </w:p>
    <w:p w14:paraId="317C7D99">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（2）与招标人存在利害关系且可能影响招标公正性；</w:t>
      </w:r>
    </w:p>
    <w:p w14:paraId="7D3FD90E">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（3）与本招标项目的其他投标人为同一个单位负责人；</w:t>
      </w:r>
    </w:p>
    <w:p w14:paraId="264A5329">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（4）与本招标项目的其他投标人存在控股、管理关系；</w:t>
      </w:r>
    </w:p>
    <w:p w14:paraId="1E220FD1">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（5）为本招标项目的代建人；</w:t>
      </w:r>
    </w:p>
    <w:p w14:paraId="34FB40C3">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（6）为本招标项目的招标代理机构；</w:t>
      </w:r>
    </w:p>
    <w:p w14:paraId="1AB99DA4">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（7）与本招标项目的代建人或招标代理机构同为一个法定代表人；</w:t>
      </w:r>
    </w:p>
    <w:p w14:paraId="29B69B68">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（8）与本招标项目的代建人或招标代理机构存在控股或参股关系；</w:t>
      </w:r>
    </w:p>
    <w:p w14:paraId="28513B0E">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被依法暂停或者取消投标资格；（本项事实应当以根据《中华人民共和国行政处罚法》依法作出并已经生效的行政处罚决定为认定依据。行政处罚决定中已经明确的暂停或取消投标资格的区域范围不包含本项目建设地点的，不受该项规定限制）</w:t>
      </w:r>
    </w:p>
    <w:p w14:paraId="3C783A08">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（10）被责令停产停业、暂扣或者吊销许可证、暂扣或者吊销执照；（本项事实应当以根据《中华人民共和国行政处罚法》依法作出并已经生效的行政处罚决定为认定依据。）</w:t>
      </w:r>
    </w:p>
    <w:p w14:paraId="2EA81DCF">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（11）进入清算程序，或被宣告破产，或其他丧失履约能力的情形；</w:t>
      </w:r>
    </w:p>
    <w:p w14:paraId="0AFE8F5B">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（12）在最近三年内发生重大质量问题</w:t>
      </w:r>
      <w:r>
        <w:rPr>
          <w:rFonts w:hint="eastAsia" w:ascii="宋体" w:hAnsi="宋体" w:eastAsia="宋体" w:cs="宋体"/>
          <w:color w:val="auto"/>
          <w:sz w:val="21"/>
          <w:szCs w:val="21"/>
          <w:highlight w:val="none"/>
          <w:lang w:val="en-US" w:eastAsia="zh-CN"/>
        </w:rPr>
        <w:t>（“重大质量问题”</w:t>
      </w:r>
      <w:r>
        <w:rPr>
          <w:rFonts w:hint="eastAsia" w:ascii="宋体" w:hAnsi="宋体" w:eastAsia="宋体" w:cs="宋体"/>
          <w:color w:val="auto"/>
          <w:sz w:val="21"/>
          <w:szCs w:val="21"/>
          <w:highlight w:val="none"/>
          <w:lang w:eastAsia="zh-CN"/>
        </w:rPr>
        <w:t>以相关行业主管部门的行政处罚决定或司法机关出具的有关法律文书为准，“最近三年”是指从投标截止时间之日起逆推三年，以相关行业主管部门、司法机关、仲裁机构出具的生效文件的落款时间起计算）；</w:t>
      </w:r>
    </w:p>
    <w:p w14:paraId="77F05E91">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（13）法律法规或投标人须知前附表规定的其他情形。</w:t>
      </w:r>
    </w:p>
    <w:p w14:paraId="761BEAC0">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18" w:name="_Toc31342"/>
      <w:r>
        <w:rPr>
          <w:rFonts w:hint="eastAsia" w:ascii="宋体" w:hAnsi="宋体" w:eastAsia="宋体" w:cs="宋体"/>
          <w:color w:val="auto"/>
          <w:sz w:val="21"/>
          <w:szCs w:val="21"/>
          <w:highlight w:val="none"/>
        </w:rPr>
        <w:t>1.5  费用承担</w:t>
      </w:r>
      <w:bookmarkEnd w:id="18"/>
    </w:p>
    <w:p w14:paraId="174F6965">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投标人准备和参加投标活动发生的费用自理。</w:t>
      </w:r>
    </w:p>
    <w:p w14:paraId="5A06CD96">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19" w:name="_Toc24797"/>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保密</w:t>
      </w:r>
      <w:bookmarkEnd w:id="19"/>
    </w:p>
    <w:p w14:paraId="4033281F">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参与招标投标活动的各方应对招标文件和投标文件中的商业和技术等秘密保密，否则应承担相应的法律责任。</w:t>
      </w:r>
    </w:p>
    <w:p w14:paraId="07F351A6">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20" w:name="_Toc1141"/>
      <w:r>
        <w:rPr>
          <w:rFonts w:hint="eastAsia" w:ascii="宋体" w:hAnsi="宋体" w:eastAsia="宋体" w:cs="宋体"/>
          <w:color w:val="auto"/>
          <w:sz w:val="21"/>
          <w:szCs w:val="21"/>
          <w:highlight w:val="none"/>
        </w:rPr>
        <w:t>1.7  语言文字</w:t>
      </w:r>
      <w:bookmarkEnd w:id="20"/>
    </w:p>
    <w:p w14:paraId="7D5E63F7">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招标投标文件使用的语言文字为中文。专用术语使用外文的，应附有中文注释。</w:t>
      </w:r>
    </w:p>
    <w:p w14:paraId="4B0D59D0">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21" w:name="_Toc7474"/>
      <w:r>
        <w:rPr>
          <w:rFonts w:hint="eastAsia" w:ascii="宋体" w:hAnsi="宋体" w:eastAsia="宋体" w:cs="宋体"/>
          <w:color w:val="auto"/>
          <w:sz w:val="21"/>
          <w:szCs w:val="21"/>
          <w:highlight w:val="none"/>
        </w:rPr>
        <w:t xml:space="preserve">1.8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计量单位</w:t>
      </w:r>
      <w:bookmarkEnd w:id="21"/>
    </w:p>
    <w:p w14:paraId="204B96EB">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所有计量均采用中华人民共和国法定计量单位。</w:t>
      </w:r>
    </w:p>
    <w:p w14:paraId="782252F2">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22" w:name="_Toc28642"/>
      <w:r>
        <w:rPr>
          <w:rFonts w:hint="eastAsia" w:ascii="宋体" w:hAnsi="宋体" w:eastAsia="宋体" w:cs="宋体"/>
          <w:color w:val="auto"/>
          <w:sz w:val="21"/>
          <w:szCs w:val="21"/>
          <w:highlight w:val="none"/>
        </w:rPr>
        <w:t>1.9  踏勘现场</w:t>
      </w:r>
      <w:bookmarkEnd w:id="22"/>
    </w:p>
    <w:p w14:paraId="133C7127">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1.9.1 投标人须知前附表规定组织踏勘现场的，招标人按投标人须知前附表规定的时间、地点组织投标人踏勘项目现场。部分投标人未按时参加踏勘现场的，不影响踏勘现场的正常进行。</w:t>
      </w:r>
    </w:p>
    <w:p w14:paraId="67C13BF7">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1.9.2 投标人踏勘现场发生的费用自理。</w:t>
      </w:r>
    </w:p>
    <w:p w14:paraId="1A88DF3C">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1.9.3 除招标人的原因外，投标人自行负责在踏勘现场中所发生的人员伤亡和财产损失。</w:t>
      </w:r>
    </w:p>
    <w:p w14:paraId="62CB6541">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1.9.4 招标人在踏勘现场中介绍的工程场地和相关的周边环境情况，供投标人在编制投标文件时参考，招标人不对投标人据此作出的判断和决策负责。</w:t>
      </w:r>
    </w:p>
    <w:p w14:paraId="3F7E481A">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23" w:name="_Toc27341"/>
      <w:r>
        <w:rPr>
          <w:rFonts w:hint="eastAsia" w:ascii="宋体" w:hAnsi="宋体" w:eastAsia="宋体" w:cs="宋体"/>
          <w:color w:val="auto"/>
          <w:sz w:val="21"/>
          <w:szCs w:val="21"/>
          <w:highlight w:val="none"/>
        </w:rPr>
        <w:t xml:space="preserve">1.10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投标预备会</w:t>
      </w:r>
      <w:bookmarkEnd w:id="23"/>
    </w:p>
    <w:p w14:paraId="043EC832">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1.10.1 投标人须知前附表规定召开投标预备会的，招标人按投标人须知前附表规定的时间和地点召开投标预备会，澄清投标人提出的问题。</w:t>
      </w:r>
    </w:p>
    <w:p w14:paraId="1975BDCD">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1.10.2 投标人应按投标人须知前附表规定的时间和形式将提出的问题送达招标人，以便招标人在会议期间澄清。</w:t>
      </w:r>
    </w:p>
    <w:p w14:paraId="4A31A5CF">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1.10.3 投标预备会后，招标人将对投标人所提问题的澄清，以投标人须知前附表规定的形式通知所有购买招标文件的投标人。该澄清内容为招标文件的组成部分。</w:t>
      </w:r>
    </w:p>
    <w:p w14:paraId="60DAFF2D">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24" w:name="_Toc1031"/>
      <w:r>
        <w:rPr>
          <w:rFonts w:hint="eastAsia" w:ascii="宋体" w:hAnsi="宋体" w:eastAsia="宋体" w:cs="宋体"/>
          <w:color w:val="auto"/>
          <w:sz w:val="21"/>
          <w:szCs w:val="21"/>
          <w:highlight w:val="none"/>
        </w:rPr>
        <w:t>1.11  分包</w:t>
      </w:r>
      <w:bookmarkEnd w:id="24"/>
    </w:p>
    <w:p w14:paraId="18DB9BFF">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1.11.1 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14:paraId="0189F378">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1.11.2 中标人不得向他人转让中标项目，接受分包的人不得再次分包。中标人应当就分包项目向招标人负责，接受分包的人就分包项目承担连带责任。</w:t>
      </w:r>
    </w:p>
    <w:p w14:paraId="146A21BF">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25" w:name="_Toc12693"/>
      <w:r>
        <w:rPr>
          <w:rFonts w:hint="eastAsia" w:ascii="宋体" w:hAnsi="宋体" w:eastAsia="宋体" w:cs="宋体"/>
          <w:color w:val="auto"/>
          <w:sz w:val="21"/>
          <w:szCs w:val="21"/>
          <w:highlight w:val="none"/>
        </w:rPr>
        <w:t>1.12 响应和偏差</w:t>
      </w:r>
      <w:bookmarkEnd w:id="25"/>
    </w:p>
    <w:p w14:paraId="0085E665">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1.12.1 投标文件应当对招标文件的实质性要求和条件作出满足性或更有利于招标人的响应，否则，投标人的投标将被否决。实质性要求和条件见投标人须知前附表。</w:t>
      </w:r>
    </w:p>
    <w:p w14:paraId="2ED45610">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1.12.2 投标人应根据招标文件的要求提供投标</w:t>
      </w:r>
      <w:r>
        <w:rPr>
          <w:rFonts w:hint="eastAsia" w:cs="宋体"/>
          <w:color w:val="auto"/>
          <w:sz w:val="21"/>
          <w:szCs w:val="21"/>
          <w:highlight w:val="none"/>
          <w:lang w:eastAsia="zh-CN"/>
        </w:rPr>
        <w:t>服务方案</w:t>
      </w:r>
      <w:r>
        <w:rPr>
          <w:rFonts w:hint="eastAsia" w:ascii="宋体" w:hAnsi="宋体" w:eastAsia="宋体" w:cs="宋体"/>
          <w:color w:val="auto"/>
          <w:sz w:val="21"/>
          <w:szCs w:val="21"/>
          <w:highlight w:val="none"/>
          <w:lang w:eastAsia="zh-CN"/>
        </w:rPr>
        <w:t>等内容以对招标文件作出响应。</w:t>
      </w:r>
    </w:p>
    <w:p w14:paraId="6702B9C7">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1.12.3 投标人须知前附表允许投标文件偏离招标文件某些要求的，偏差应当符合招标文件规定的偏差范围和幅度。</w:t>
      </w:r>
    </w:p>
    <w:p w14:paraId="65B4D0FA">
      <w:pPr>
        <w:pStyle w:val="6"/>
        <w:keepNext w:val="0"/>
        <w:keepLines w:val="0"/>
        <w:pageBreakBefore w:val="0"/>
        <w:widowControl w:val="0"/>
        <w:kinsoku/>
        <w:wordWrap/>
        <w:overflowPunct/>
        <w:topLinePunct w:val="0"/>
        <w:autoSpaceDE/>
        <w:autoSpaceDN/>
        <w:bidi w:val="0"/>
        <w:adjustRightInd/>
        <w:snapToGrid/>
        <w:spacing w:before="0" w:beforeLines="50" w:after="0" w:afterLines="0" w:line="360" w:lineRule="auto"/>
        <w:ind w:left="0" w:right="0"/>
        <w:textAlignment w:val="auto"/>
        <w:rPr>
          <w:rFonts w:hint="eastAsia" w:ascii="宋体" w:hAnsi="宋体" w:eastAsia="宋体" w:cs="宋体"/>
          <w:b/>
          <w:bCs/>
          <w:color w:val="auto"/>
          <w:sz w:val="21"/>
          <w:szCs w:val="21"/>
          <w:highlight w:val="none"/>
        </w:rPr>
      </w:pPr>
      <w:bookmarkStart w:id="26" w:name="_Toc20301"/>
      <w:bookmarkStart w:id="27" w:name="_Toc14248"/>
      <w:r>
        <w:rPr>
          <w:rFonts w:hint="eastAsia" w:ascii="宋体" w:hAnsi="宋体" w:eastAsia="宋体" w:cs="宋体"/>
          <w:b/>
          <w:bCs/>
          <w:color w:val="auto"/>
          <w:sz w:val="21"/>
          <w:szCs w:val="21"/>
          <w:highlight w:val="none"/>
        </w:rPr>
        <w:t>2.  招标文件</w:t>
      </w:r>
      <w:bookmarkEnd w:id="26"/>
      <w:bookmarkEnd w:id="27"/>
    </w:p>
    <w:p w14:paraId="4F422D3D">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28" w:name="_Toc18922"/>
      <w:r>
        <w:rPr>
          <w:rFonts w:hint="eastAsia" w:ascii="宋体" w:hAnsi="宋体" w:eastAsia="宋体" w:cs="宋体"/>
          <w:color w:val="auto"/>
          <w:sz w:val="21"/>
          <w:szCs w:val="21"/>
          <w:highlight w:val="none"/>
        </w:rPr>
        <w:t>2.1  招标文件的组成</w:t>
      </w:r>
      <w:bookmarkEnd w:id="28"/>
    </w:p>
    <w:p w14:paraId="591186F4">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本招标文件包括：</w:t>
      </w:r>
    </w:p>
    <w:p w14:paraId="5C071375">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（1）招标公告；</w:t>
      </w:r>
    </w:p>
    <w:p w14:paraId="097D8951">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（2）投标人须知；</w:t>
      </w:r>
    </w:p>
    <w:p w14:paraId="0E7FB95B">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（3）评标办法；</w:t>
      </w:r>
    </w:p>
    <w:p w14:paraId="2701EE2F">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（4）合同条款及格式；</w:t>
      </w:r>
    </w:p>
    <w:p w14:paraId="020E62A6">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（5）发包人要求；</w:t>
      </w:r>
    </w:p>
    <w:p w14:paraId="6B1A2B98">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（6）投标文件格式；</w:t>
      </w:r>
    </w:p>
    <w:p w14:paraId="337130EB">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（7）投标人须知前附表规定的其他资料。</w:t>
      </w:r>
    </w:p>
    <w:p w14:paraId="16F59D37">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根据本章第1.10款、第2.2款和第2.3款对招标文件所作的澄清、修改，构成招标文件的组成部分。</w:t>
      </w:r>
    </w:p>
    <w:p w14:paraId="32F28DEC">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29" w:name="_Toc29605"/>
      <w:r>
        <w:rPr>
          <w:rFonts w:hint="eastAsia" w:ascii="宋体" w:hAnsi="宋体" w:eastAsia="宋体" w:cs="宋体"/>
          <w:color w:val="auto"/>
          <w:sz w:val="21"/>
          <w:szCs w:val="21"/>
          <w:highlight w:val="none"/>
        </w:rPr>
        <w:t>2.2  招标文件的澄清</w:t>
      </w:r>
      <w:bookmarkEnd w:id="29"/>
    </w:p>
    <w:p w14:paraId="19D0F952">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6676AE6">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2.2.2 招标文件的澄清以投标人须知前附表规定的形式发给所有</w:t>
      </w:r>
      <w:r>
        <w:rPr>
          <w:rFonts w:hint="eastAsia" w:ascii="宋体" w:hAnsi="宋体" w:eastAsia="宋体" w:cs="宋体"/>
          <w:strike/>
          <w:dstrike w:val="0"/>
          <w:color w:val="auto"/>
          <w:sz w:val="21"/>
          <w:szCs w:val="21"/>
          <w:highlight w:val="none"/>
          <w:lang w:eastAsia="zh-CN"/>
        </w:rPr>
        <w:t>购买招标文件的</w:t>
      </w:r>
      <w:r>
        <w:rPr>
          <w:rFonts w:hint="eastAsia" w:ascii="宋体" w:hAnsi="宋体" w:eastAsia="宋体" w:cs="宋体"/>
          <w:color w:val="auto"/>
          <w:sz w:val="21"/>
          <w:szCs w:val="21"/>
          <w:highlight w:val="none"/>
          <w:lang w:eastAsia="zh-CN"/>
        </w:rPr>
        <w:t>投标人，但不指明澄清问题的来源。澄清发出的时间距本章第4.2.1项规定的投标截止时间不足15日的，并且澄清内容可能影响投标文件编制的，将相应延长投标截止时间。</w:t>
      </w:r>
    </w:p>
    <w:p w14:paraId="3908D633">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2.2.3 投标人在收到澄清后，应按投标人须知前附表规定的时间和形式通知招标人，确认已收到该澄清。</w:t>
      </w:r>
    </w:p>
    <w:p w14:paraId="5CA698CA">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2.2.4 除非招标人认为确有必要答复，否则，招标人有权拒绝回复投标人在本章第2.2.1项规定的时间后的任何澄清要求。</w:t>
      </w:r>
    </w:p>
    <w:p w14:paraId="58F22475">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30" w:name="_Toc11045"/>
      <w:r>
        <w:rPr>
          <w:rFonts w:hint="eastAsia" w:ascii="宋体" w:hAnsi="宋体" w:eastAsia="宋体" w:cs="宋体"/>
          <w:color w:val="auto"/>
          <w:sz w:val="21"/>
          <w:szCs w:val="21"/>
          <w:highlight w:val="none"/>
        </w:rPr>
        <w:t>2.3  招标文件的修改</w:t>
      </w:r>
      <w:bookmarkEnd w:id="30"/>
    </w:p>
    <w:p w14:paraId="30E8C1E9">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17B287E5">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2.3.2 投标人收到修改内容后，应按投标人须知前附表规定的时间和形式通知招标人，确认已收到该修改。</w:t>
      </w:r>
    </w:p>
    <w:p w14:paraId="1EBF7F57">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31" w:name="_Toc9219"/>
      <w:r>
        <w:rPr>
          <w:rFonts w:hint="eastAsia" w:ascii="宋体" w:hAnsi="宋体" w:eastAsia="宋体" w:cs="宋体"/>
          <w:color w:val="auto"/>
          <w:sz w:val="21"/>
          <w:szCs w:val="21"/>
          <w:highlight w:val="none"/>
        </w:rPr>
        <w:t>2.4  招标文件的异议</w:t>
      </w:r>
      <w:bookmarkEnd w:id="31"/>
    </w:p>
    <w:p w14:paraId="671D6599">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投标人或者其他利害关系人对招标文件有异议的，应当在投标截止时间10日前以书面形式提出。招标人将在收到异议之日起3日内作出答复；作出答复前，将暂停招标投标活动。</w:t>
      </w:r>
    </w:p>
    <w:p w14:paraId="071CF7AF">
      <w:pPr>
        <w:pStyle w:val="6"/>
        <w:keepNext w:val="0"/>
        <w:keepLines w:val="0"/>
        <w:pageBreakBefore w:val="0"/>
        <w:widowControl w:val="0"/>
        <w:kinsoku/>
        <w:wordWrap/>
        <w:overflowPunct/>
        <w:topLinePunct w:val="0"/>
        <w:autoSpaceDE/>
        <w:autoSpaceDN/>
        <w:bidi w:val="0"/>
        <w:adjustRightInd/>
        <w:snapToGrid/>
        <w:spacing w:before="0" w:beforeLines="50" w:after="0" w:afterLines="0" w:line="360" w:lineRule="auto"/>
        <w:ind w:left="0" w:right="0"/>
        <w:textAlignment w:val="auto"/>
        <w:rPr>
          <w:rFonts w:hint="eastAsia" w:ascii="宋体" w:hAnsi="宋体" w:eastAsia="宋体" w:cs="宋体"/>
          <w:b/>
          <w:bCs/>
          <w:color w:val="auto"/>
          <w:sz w:val="21"/>
          <w:szCs w:val="21"/>
          <w:highlight w:val="none"/>
        </w:rPr>
      </w:pPr>
      <w:bookmarkStart w:id="32" w:name="_Toc25342"/>
      <w:bookmarkStart w:id="33" w:name="_Toc26814"/>
      <w:r>
        <w:rPr>
          <w:rFonts w:hint="eastAsia" w:ascii="宋体" w:hAnsi="宋体" w:eastAsia="宋体" w:cs="宋体"/>
          <w:b/>
          <w:bCs/>
          <w:color w:val="auto"/>
          <w:sz w:val="21"/>
          <w:szCs w:val="21"/>
          <w:highlight w:val="none"/>
        </w:rPr>
        <w:t>3.  投标文件</w:t>
      </w:r>
      <w:bookmarkEnd w:id="32"/>
      <w:bookmarkEnd w:id="33"/>
    </w:p>
    <w:p w14:paraId="5B9A9652">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34" w:name="_Toc21052"/>
      <w:r>
        <w:rPr>
          <w:rFonts w:hint="eastAsia" w:ascii="宋体" w:hAnsi="宋体" w:eastAsia="宋体" w:cs="宋体"/>
          <w:color w:val="auto"/>
          <w:sz w:val="21"/>
          <w:szCs w:val="21"/>
          <w:highlight w:val="none"/>
        </w:rPr>
        <w:t>3.1  投标文件的组成</w:t>
      </w:r>
      <w:bookmarkEnd w:id="34"/>
    </w:p>
    <w:p w14:paraId="7168A9E4">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3.1.1 投标文件应包括下列内容：</w:t>
      </w:r>
    </w:p>
    <w:p w14:paraId="5CE4283D">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投标文件由商务文件（含资格审查部分、资信业绩部分）、技术文件（含</w:t>
      </w:r>
      <w:r>
        <w:rPr>
          <w:rFonts w:hint="eastAsia" w:cs="宋体"/>
          <w:color w:val="auto"/>
          <w:sz w:val="21"/>
          <w:szCs w:val="21"/>
          <w:highlight w:val="none"/>
          <w:u w:val="single"/>
          <w:lang w:eastAsia="zh-CN"/>
        </w:rPr>
        <w:t>服务方案</w:t>
      </w:r>
      <w:r>
        <w:rPr>
          <w:rFonts w:hint="eastAsia" w:ascii="宋体" w:hAnsi="宋体" w:eastAsia="宋体" w:cs="宋体"/>
          <w:color w:val="auto"/>
          <w:sz w:val="21"/>
          <w:szCs w:val="21"/>
          <w:highlight w:val="none"/>
          <w:u w:val="single"/>
          <w:lang w:eastAsia="zh-CN"/>
        </w:rPr>
        <w:t>部分）两个部分组成。各部分投标文件应分别编制。</w:t>
      </w:r>
    </w:p>
    <w:p w14:paraId="7D0FE4E4">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具体详见招标文件第六章的</w:t>
      </w:r>
      <w:r>
        <w:rPr>
          <w:rFonts w:hint="eastAsia" w:cs="宋体"/>
          <w:color w:val="auto"/>
          <w:sz w:val="21"/>
          <w:szCs w:val="21"/>
          <w:highlight w:val="none"/>
          <w:u w:val="single"/>
          <w:lang w:eastAsia="zh-CN"/>
        </w:rPr>
        <w:t>投标文件编制要求</w:t>
      </w:r>
      <w:r>
        <w:rPr>
          <w:rFonts w:hint="eastAsia" w:ascii="宋体" w:hAnsi="宋体" w:eastAsia="宋体" w:cs="宋体"/>
          <w:color w:val="auto"/>
          <w:sz w:val="21"/>
          <w:szCs w:val="21"/>
          <w:highlight w:val="none"/>
          <w:u w:val="single"/>
          <w:lang w:eastAsia="zh-CN"/>
        </w:rPr>
        <w:t>。</w:t>
      </w:r>
    </w:p>
    <w:p w14:paraId="7C300CA2">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投标人在评标过程中作出的符合法律法规和招标文件规定的澄清确认，构成投标文件的组成部分。</w:t>
      </w:r>
    </w:p>
    <w:p w14:paraId="5902CCBE">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3.1.2 投标人须知前附表规定不接受联合体投标的，或投标人没有组成联合体的，投标文件不包括本章第3.1.1（3）目所指的联合体协议书。</w:t>
      </w:r>
    </w:p>
    <w:p w14:paraId="2147634B">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3.1.3 投标人须知前附表未要求提交投标保证金的，投标文件不包括本章第3.1.1（4）目所指的投标保证金。</w:t>
      </w:r>
    </w:p>
    <w:p w14:paraId="2BC19EC3">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35" w:name="_Toc17700"/>
      <w:r>
        <w:rPr>
          <w:rFonts w:hint="eastAsia" w:ascii="宋体" w:hAnsi="宋体" w:eastAsia="宋体" w:cs="宋体"/>
          <w:color w:val="auto"/>
          <w:sz w:val="21"/>
          <w:szCs w:val="21"/>
          <w:highlight w:val="none"/>
        </w:rPr>
        <w:t>3.2  投标报价</w:t>
      </w:r>
      <w:bookmarkEnd w:id="35"/>
    </w:p>
    <w:p w14:paraId="04096463">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3.2.1 投标报价应包括国家规定的增值税税金，除投标人须知前附表另有规定外，增值税税金按一般计税方法计算。投标人应按第六章“投标文件格式”的要求在</w:t>
      </w:r>
      <w:r>
        <w:rPr>
          <w:rFonts w:hint="eastAsia" w:cs="宋体"/>
          <w:color w:val="auto"/>
          <w:sz w:val="21"/>
          <w:szCs w:val="21"/>
          <w:highlight w:val="none"/>
          <w:lang w:eastAsia="zh-CN"/>
        </w:rPr>
        <w:t>投标书</w:t>
      </w:r>
      <w:r>
        <w:rPr>
          <w:rFonts w:hint="eastAsia" w:ascii="宋体" w:hAnsi="宋体" w:eastAsia="宋体" w:cs="宋体"/>
          <w:color w:val="auto"/>
          <w:sz w:val="21"/>
          <w:szCs w:val="21"/>
          <w:highlight w:val="none"/>
          <w:lang w:eastAsia="zh-CN"/>
        </w:rPr>
        <w:t>中进行报价并填写</w:t>
      </w:r>
      <w:r>
        <w:rPr>
          <w:rFonts w:hint="eastAsia" w:cs="宋体"/>
          <w:color w:val="auto"/>
          <w:sz w:val="21"/>
          <w:szCs w:val="21"/>
          <w:highlight w:val="none"/>
          <w:lang w:eastAsia="zh-CN"/>
        </w:rPr>
        <w:t>咨询服务费</w:t>
      </w:r>
      <w:r>
        <w:rPr>
          <w:rFonts w:hint="eastAsia" w:ascii="宋体" w:hAnsi="宋体" w:eastAsia="宋体" w:cs="宋体"/>
          <w:color w:val="auto"/>
          <w:sz w:val="21"/>
          <w:szCs w:val="21"/>
          <w:highlight w:val="none"/>
          <w:lang w:eastAsia="zh-CN"/>
        </w:rPr>
        <w:t>用。</w:t>
      </w:r>
    </w:p>
    <w:p w14:paraId="69E8A186">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 投标人应充分了解该项目的总体情况以及影响投标报价的其他要素。</w:t>
      </w:r>
    </w:p>
    <w:p w14:paraId="78C911E0">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本项目的报价方式见投标人须知前附表。投标人在投标截止时间前修改</w:t>
      </w:r>
      <w:r>
        <w:rPr>
          <w:rFonts w:hint="eastAsia" w:cs="宋体"/>
          <w:color w:val="auto"/>
          <w:sz w:val="21"/>
          <w:szCs w:val="21"/>
          <w:highlight w:val="none"/>
          <w:lang w:eastAsia="zh-CN"/>
        </w:rPr>
        <w:t>投标书</w:t>
      </w:r>
      <w:r>
        <w:rPr>
          <w:rFonts w:hint="eastAsia" w:ascii="宋体" w:hAnsi="宋体" w:eastAsia="宋体" w:cs="宋体"/>
          <w:color w:val="auto"/>
          <w:sz w:val="21"/>
          <w:szCs w:val="21"/>
          <w:highlight w:val="none"/>
          <w:lang w:eastAsia="zh-CN"/>
        </w:rPr>
        <w:t>中的投标报价总额，应同时修改投标文件“</w:t>
      </w:r>
      <w:r>
        <w:rPr>
          <w:rFonts w:hint="eastAsia" w:cs="宋体"/>
          <w:color w:val="auto"/>
          <w:sz w:val="21"/>
          <w:szCs w:val="21"/>
          <w:highlight w:val="none"/>
          <w:lang w:eastAsia="zh-CN"/>
        </w:rPr>
        <w:t>咨询服务费</w:t>
      </w:r>
      <w:r>
        <w:rPr>
          <w:rFonts w:hint="eastAsia" w:ascii="宋体" w:hAnsi="宋体" w:eastAsia="宋体" w:cs="宋体"/>
          <w:color w:val="auto"/>
          <w:sz w:val="21"/>
          <w:szCs w:val="21"/>
          <w:highlight w:val="none"/>
          <w:lang w:eastAsia="zh-CN"/>
        </w:rPr>
        <w:t>用清单”中的相应报价。此修改须符合本章第4.3款的有关要求。</w:t>
      </w:r>
    </w:p>
    <w:p w14:paraId="77FF1C30">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3.2.4 招标人设有最高投标限价的，投标人的投标报价不得超过最高投标限价，最高投标限价在投标人须知前附表中载明。</w:t>
      </w:r>
    </w:p>
    <w:p w14:paraId="7FC882B5">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3.2.5 投标报价的其他要求见投标人须知前附表。</w:t>
      </w:r>
    </w:p>
    <w:p w14:paraId="27070347">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36" w:name="_Toc6903"/>
      <w:r>
        <w:rPr>
          <w:rFonts w:hint="eastAsia" w:ascii="宋体" w:hAnsi="宋体" w:eastAsia="宋体" w:cs="宋体"/>
          <w:color w:val="auto"/>
          <w:sz w:val="21"/>
          <w:szCs w:val="21"/>
          <w:highlight w:val="none"/>
        </w:rPr>
        <w:t>3.3  投标有效期</w:t>
      </w:r>
      <w:bookmarkEnd w:id="36"/>
    </w:p>
    <w:p w14:paraId="5CAF4039">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 除投标人须知前附表另有规定外，投标有效期为90天。</w:t>
      </w:r>
    </w:p>
    <w:p w14:paraId="78A0B153">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 在投标有效期内，投标人撤销投标文件的，应承担招标文件和法律规定的责任。</w:t>
      </w:r>
    </w:p>
    <w:p w14:paraId="51C84403">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w:t>
      </w:r>
      <w:r>
        <w:rPr>
          <w:rFonts w:hint="eastAsia" w:ascii="宋体" w:hAnsi="宋体" w:eastAsia="宋体" w:cs="宋体"/>
          <w:strike/>
          <w:dstrike w:val="0"/>
          <w:color w:val="auto"/>
          <w:sz w:val="21"/>
          <w:szCs w:val="21"/>
          <w:highlight w:val="none"/>
          <w:lang w:eastAsia="zh-CN"/>
        </w:rPr>
        <w:t>，但投标人有权收回其投标保证金及以现金或者支票形式递交的投标保证金的银行同期存款利息</w:t>
      </w:r>
      <w:r>
        <w:rPr>
          <w:rFonts w:hint="eastAsia" w:ascii="宋体" w:hAnsi="宋体" w:eastAsia="宋体" w:cs="宋体"/>
          <w:color w:val="auto"/>
          <w:sz w:val="21"/>
          <w:szCs w:val="21"/>
          <w:highlight w:val="none"/>
          <w:lang w:eastAsia="zh-CN"/>
        </w:rPr>
        <w:t>。</w:t>
      </w:r>
    </w:p>
    <w:p w14:paraId="1B598B75">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37" w:name="_Toc31883"/>
      <w:r>
        <w:rPr>
          <w:rFonts w:hint="eastAsia" w:ascii="宋体" w:hAnsi="宋体" w:eastAsia="宋体" w:cs="宋体"/>
          <w:color w:val="auto"/>
          <w:sz w:val="21"/>
          <w:szCs w:val="21"/>
          <w:highlight w:val="none"/>
        </w:rPr>
        <w:t>3.4  投标保证金</w:t>
      </w:r>
      <w:bookmarkEnd w:id="37"/>
    </w:p>
    <w:p w14:paraId="70C50807">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本项目不要求投标人递交投标保证金。</w:t>
      </w:r>
    </w:p>
    <w:p w14:paraId="2C06801F">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38" w:name="_Toc8856"/>
      <w:r>
        <w:rPr>
          <w:rFonts w:hint="eastAsia" w:ascii="宋体" w:hAnsi="宋体" w:eastAsia="宋体" w:cs="宋体"/>
          <w:color w:val="auto"/>
          <w:sz w:val="21"/>
          <w:szCs w:val="21"/>
          <w:highlight w:val="none"/>
        </w:rPr>
        <w:t>3.5 资格审查资料（适用于未进行资格预审的）</w:t>
      </w:r>
      <w:bookmarkEnd w:id="38"/>
    </w:p>
    <w:p w14:paraId="3D3403AE">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除投标人须知前附表另有规定外，投标人应</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u w:val="single"/>
          <w:lang w:eastAsia="zh-CN"/>
        </w:rPr>
        <w:t>招标公告和本章第3.1项</w:t>
      </w:r>
      <w:r>
        <w:rPr>
          <w:rFonts w:hint="eastAsia" w:ascii="宋体" w:hAnsi="宋体" w:eastAsia="宋体" w:cs="宋体"/>
          <w:color w:val="auto"/>
          <w:sz w:val="21"/>
          <w:szCs w:val="21"/>
          <w:highlight w:val="none"/>
          <w:lang w:val="en-US" w:eastAsia="zh-CN"/>
        </w:rPr>
        <w:t>规定</w:t>
      </w:r>
      <w:r>
        <w:rPr>
          <w:rFonts w:hint="eastAsia" w:ascii="宋体" w:hAnsi="宋体" w:eastAsia="宋体" w:cs="宋体"/>
          <w:color w:val="auto"/>
          <w:sz w:val="21"/>
          <w:szCs w:val="21"/>
          <w:highlight w:val="none"/>
          <w:lang w:eastAsia="zh-CN"/>
        </w:rPr>
        <w:t>提供资格审查资料，以证明其满足本章第1.4款规定的资质、财务、业绩、信誉等要求。</w:t>
      </w:r>
    </w:p>
    <w:p w14:paraId="2585FF7D">
      <w:pPr>
        <w:pStyle w:val="7"/>
        <w:keepNext w:val="0"/>
        <w:keepLines w:val="0"/>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39" w:name="_Toc13375"/>
      <w:r>
        <w:rPr>
          <w:rFonts w:hint="eastAsia" w:ascii="宋体" w:hAnsi="宋体" w:eastAsia="宋体" w:cs="宋体"/>
          <w:color w:val="auto"/>
          <w:sz w:val="21"/>
          <w:szCs w:val="21"/>
          <w:highlight w:val="none"/>
        </w:rPr>
        <w:t>3.6 备选投标方案</w:t>
      </w:r>
      <w:bookmarkEnd w:id="39"/>
    </w:p>
    <w:p w14:paraId="34DF7555">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3.6.1 除投标人须知前附表规定允许外，投标人不得递交备选投标方案，否则其投标将被否决。</w:t>
      </w:r>
    </w:p>
    <w:p w14:paraId="3F3E8662">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9072F4F">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3.6.3 投标人提供两个或两个以上投标报价，或者在投标文件中提供一个报价，但同时提供两个或两个以上</w:t>
      </w:r>
      <w:r>
        <w:rPr>
          <w:rFonts w:hint="eastAsia" w:cs="宋体"/>
          <w:color w:val="auto"/>
          <w:sz w:val="21"/>
          <w:szCs w:val="21"/>
          <w:highlight w:val="none"/>
          <w:lang w:eastAsia="zh-CN"/>
        </w:rPr>
        <w:t>服务方案</w:t>
      </w:r>
      <w:r>
        <w:rPr>
          <w:rFonts w:hint="eastAsia" w:ascii="宋体" w:hAnsi="宋体" w:eastAsia="宋体" w:cs="宋体"/>
          <w:color w:val="auto"/>
          <w:sz w:val="21"/>
          <w:szCs w:val="21"/>
          <w:highlight w:val="none"/>
          <w:lang w:eastAsia="zh-CN"/>
        </w:rPr>
        <w:t>的，视为提供备选方案。</w:t>
      </w:r>
    </w:p>
    <w:p w14:paraId="0AEEDAA0">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40" w:name="_Toc1872"/>
      <w:r>
        <w:rPr>
          <w:rFonts w:hint="eastAsia" w:ascii="宋体" w:hAnsi="宋体" w:eastAsia="宋体" w:cs="宋体"/>
          <w:color w:val="auto"/>
          <w:sz w:val="21"/>
          <w:szCs w:val="21"/>
          <w:highlight w:val="none"/>
        </w:rPr>
        <w:t>3.7  投标文件的编制</w:t>
      </w:r>
      <w:bookmarkEnd w:id="40"/>
    </w:p>
    <w:p w14:paraId="478CDD84">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3.7.1 投标文件应按第六章“投标文件格式”进行编写，如有必要，可以增加附页，作为投标文件的组成部分。其中，</w:t>
      </w:r>
      <w:r>
        <w:rPr>
          <w:rFonts w:hint="eastAsia" w:cs="宋体"/>
          <w:color w:val="auto"/>
          <w:sz w:val="21"/>
          <w:szCs w:val="21"/>
          <w:highlight w:val="none"/>
          <w:lang w:eastAsia="zh-CN"/>
        </w:rPr>
        <w:t>投标书</w:t>
      </w:r>
      <w:r>
        <w:rPr>
          <w:rFonts w:hint="eastAsia" w:ascii="宋体" w:hAnsi="宋体" w:eastAsia="宋体" w:cs="宋体"/>
          <w:color w:val="auto"/>
          <w:sz w:val="21"/>
          <w:szCs w:val="21"/>
          <w:highlight w:val="none"/>
          <w:lang w:eastAsia="zh-CN"/>
        </w:rPr>
        <w:t>附录在满足招标文件实质性要求的基础上，可以提出比招标文件要求更有利于招标人的承诺。</w:t>
      </w:r>
    </w:p>
    <w:p w14:paraId="62F1C55B">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3.7.2 投标文件应当对招标文件有关</w:t>
      </w:r>
      <w:r>
        <w:rPr>
          <w:rFonts w:hint="eastAsia" w:cs="宋体"/>
          <w:color w:val="auto"/>
          <w:sz w:val="21"/>
          <w:szCs w:val="21"/>
          <w:highlight w:val="none"/>
          <w:lang w:eastAsia="zh-CN"/>
        </w:rPr>
        <w:t>服务期限</w:t>
      </w:r>
      <w:r>
        <w:rPr>
          <w:rFonts w:hint="eastAsia" w:ascii="宋体" w:hAnsi="宋体" w:eastAsia="宋体" w:cs="宋体"/>
          <w:color w:val="auto"/>
          <w:sz w:val="21"/>
          <w:szCs w:val="21"/>
          <w:highlight w:val="none"/>
          <w:lang w:eastAsia="zh-CN"/>
        </w:rPr>
        <w:t>、投标有效期、发包人要求、招标范围等实质性内容作出响应。</w:t>
      </w:r>
    </w:p>
    <w:p w14:paraId="456BBE90">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3.7.3（B）投标文件全部采用电子文档，除投标人须知前附表另有规定外，投标文件所附证书证件均为原件扫描件，并采用单位和个人数字证书，按招标文件要求在相应位置加盖</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电子印章。由投标人的法定代表人签字或加盖</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eastAsia="zh-CN"/>
        </w:rPr>
        <w:t>电子印章的，应附法定代表人身份证明，由代理人签字或加盖电子</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的，应附由法定代表人签署的授权委托书。签字或盖章的具体要求见投标人须知前附表。</w:t>
      </w:r>
    </w:p>
    <w:p w14:paraId="7B151A39">
      <w:pPr>
        <w:pStyle w:val="6"/>
        <w:keepNext w:val="0"/>
        <w:keepLines w:val="0"/>
        <w:pageBreakBefore w:val="0"/>
        <w:widowControl w:val="0"/>
        <w:kinsoku/>
        <w:wordWrap/>
        <w:overflowPunct/>
        <w:topLinePunct w:val="0"/>
        <w:autoSpaceDE/>
        <w:autoSpaceDN/>
        <w:bidi w:val="0"/>
        <w:adjustRightInd/>
        <w:snapToGrid/>
        <w:spacing w:before="0" w:beforeLines="50" w:after="0" w:afterLines="0" w:line="360" w:lineRule="auto"/>
        <w:ind w:left="0" w:right="0"/>
        <w:textAlignment w:val="auto"/>
        <w:rPr>
          <w:rFonts w:hint="eastAsia" w:ascii="宋体" w:hAnsi="宋体" w:eastAsia="宋体" w:cs="宋体"/>
          <w:b/>
          <w:bCs/>
          <w:color w:val="auto"/>
          <w:sz w:val="21"/>
          <w:szCs w:val="21"/>
          <w:highlight w:val="none"/>
        </w:rPr>
      </w:pPr>
      <w:bookmarkStart w:id="41" w:name="_Toc31677"/>
      <w:bookmarkStart w:id="42" w:name="_Toc28169"/>
      <w:r>
        <w:rPr>
          <w:rFonts w:hint="eastAsia" w:ascii="宋体" w:hAnsi="宋体" w:eastAsia="宋体" w:cs="宋体"/>
          <w:b/>
          <w:bCs/>
          <w:color w:val="auto"/>
          <w:sz w:val="21"/>
          <w:szCs w:val="21"/>
          <w:highlight w:val="none"/>
        </w:rPr>
        <w:t>4.  投标</w:t>
      </w:r>
      <w:bookmarkEnd w:id="41"/>
      <w:bookmarkEnd w:id="42"/>
    </w:p>
    <w:p w14:paraId="25ABA290">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43" w:name="_Toc1160"/>
      <w:r>
        <w:rPr>
          <w:rFonts w:hint="eastAsia" w:ascii="宋体" w:hAnsi="宋体" w:eastAsia="宋体" w:cs="宋体"/>
          <w:color w:val="auto"/>
          <w:sz w:val="21"/>
          <w:szCs w:val="21"/>
          <w:highlight w:val="none"/>
        </w:rPr>
        <w:t>4.1  投标文件的密封和标记</w:t>
      </w:r>
      <w:bookmarkEnd w:id="43"/>
    </w:p>
    <w:p w14:paraId="691B1637">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4.1.1 （B）投标人应当按照招标文件和电子招标投标交易平台的要求加密投标文件，具体 要求见投标人须知前附表。</w:t>
      </w:r>
    </w:p>
    <w:p w14:paraId="7303DB90">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4.1.2 投标文件</w:t>
      </w:r>
      <w:r>
        <w:rPr>
          <w:rFonts w:hint="eastAsia" w:ascii="宋体" w:hAnsi="宋体" w:eastAsia="宋体" w:cs="宋体"/>
          <w:color w:val="auto"/>
          <w:sz w:val="21"/>
          <w:szCs w:val="21"/>
          <w:highlight w:val="none"/>
          <w:lang w:val="en-US" w:eastAsia="zh-CN"/>
        </w:rPr>
        <w:t>备用</w:t>
      </w:r>
      <w:r>
        <w:rPr>
          <w:rFonts w:hint="eastAsia"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封套上应写明的内容见投标人须知前附表。</w:t>
      </w:r>
    </w:p>
    <w:p w14:paraId="33DF6D94">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4.1.3 未按本章第4.1.1项要求密封的投标文件，招标人将予以拒收。</w:t>
      </w:r>
    </w:p>
    <w:p w14:paraId="24612B56">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44" w:name="_Toc27423"/>
      <w:r>
        <w:rPr>
          <w:rFonts w:hint="eastAsia" w:ascii="宋体" w:hAnsi="宋体" w:eastAsia="宋体" w:cs="宋体"/>
          <w:color w:val="auto"/>
          <w:sz w:val="21"/>
          <w:szCs w:val="21"/>
          <w:highlight w:val="none"/>
        </w:rPr>
        <w:t>4.2  投标文件的递交</w:t>
      </w:r>
      <w:bookmarkEnd w:id="44"/>
    </w:p>
    <w:p w14:paraId="5EB3DF41">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投标人应在投标人须知前附表规定的投标截止时间前递交投标文件。</w:t>
      </w:r>
    </w:p>
    <w:p w14:paraId="09588275">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 （B）投标人通过下载招标文件的电子招标投标交易平台递交电子投标文件。</w:t>
      </w:r>
    </w:p>
    <w:p w14:paraId="29ACE0A7">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除投标人须知前附表另有规定外，投标人所递交的投标文件不予退还。</w:t>
      </w:r>
    </w:p>
    <w:p w14:paraId="501B4570">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（B）投标人完成电子投标文件上传后，电子招标投标交易平台即时向投标人发出递交回执通知。递交时间以递交回执通知载明的传输完成时间为准。</w:t>
      </w:r>
    </w:p>
    <w:p w14:paraId="6885611D">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 （B）逾期送达的投标文件，电子招标投标交易平台将予以拒收。</w:t>
      </w:r>
    </w:p>
    <w:p w14:paraId="2EE61C29">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45" w:name="_Toc23270"/>
      <w:r>
        <w:rPr>
          <w:rFonts w:hint="eastAsia" w:ascii="宋体" w:hAnsi="宋体" w:eastAsia="宋体" w:cs="宋体"/>
          <w:color w:val="auto"/>
          <w:sz w:val="21"/>
          <w:szCs w:val="21"/>
          <w:highlight w:val="none"/>
        </w:rPr>
        <w:t>4.3  投标文件的修改与撤回</w:t>
      </w:r>
      <w:bookmarkEnd w:id="45"/>
    </w:p>
    <w:p w14:paraId="62FA9C8E">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在本章第4.2.1项规定的投标截止时间前，投标人可以修改或撤回已递交的投标文件，但</w:t>
      </w:r>
      <w:r>
        <w:rPr>
          <w:rFonts w:hint="eastAsia" w:ascii="宋体" w:hAnsi="宋体" w:eastAsia="宋体" w:cs="宋体"/>
          <w:color w:val="auto"/>
          <w:sz w:val="21"/>
          <w:szCs w:val="21"/>
          <w:highlight w:val="none"/>
          <w:u w:val="single"/>
        </w:rPr>
        <w:t>需在电子招投标交易平台发出撤回通知</w:t>
      </w:r>
      <w:r>
        <w:rPr>
          <w:rFonts w:hint="eastAsia" w:ascii="宋体" w:hAnsi="宋体" w:eastAsia="宋体" w:cs="宋体"/>
          <w:color w:val="auto"/>
          <w:sz w:val="21"/>
          <w:szCs w:val="21"/>
          <w:highlight w:val="none"/>
        </w:rPr>
        <w:t>。</w:t>
      </w:r>
    </w:p>
    <w:p w14:paraId="5EEF632E">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（B）投标人修改或撤回已递交投标文件的通知，应按照本章第3.7.3（B）项的要求加盖电子印章。电子招标投标交易平台收到通知后，即时向投标人发出确认回执通知。</w:t>
      </w:r>
    </w:p>
    <w:p w14:paraId="7D05C10F">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4.3.3 </w:t>
      </w:r>
      <w:r>
        <w:rPr>
          <w:rFonts w:hint="eastAsia" w:ascii="宋体" w:hAnsi="宋体" w:eastAsia="宋体" w:cs="宋体"/>
          <w:color w:val="auto"/>
          <w:spacing w:val="-3"/>
          <w:sz w:val="21"/>
          <w:szCs w:val="21"/>
          <w:highlight w:val="none"/>
        </w:rPr>
        <w:t>修改的内容为投标文件的组成部分。修改的投标文件应按照本章第</w:t>
      </w:r>
      <w:r>
        <w:rPr>
          <w:rFonts w:hint="eastAsia" w:ascii="宋体" w:hAnsi="宋体" w:eastAsia="宋体" w:cs="宋体"/>
          <w:color w:val="auto"/>
          <w:sz w:val="21"/>
          <w:szCs w:val="21"/>
          <w:highlight w:val="none"/>
        </w:rPr>
        <w:t>3</w:t>
      </w:r>
      <w:r>
        <w:rPr>
          <w:rFonts w:hint="eastAsia" w:ascii="宋体" w:hAnsi="宋体" w:eastAsia="宋体" w:cs="宋体"/>
          <w:color w:val="auto"/>
          <w:spacing w:val="-14"/>
          <w:sz w:val="21"/>
          <w:szCs w:val="21"/>
          <w:highlight w:val="none"/>
        </w:rPr>
        <w:t>条、第</w:t>
      </w:r>
      <w:r>
        <w:rPr>
          <w:rFonts w:hint="eastAsia" w:ascii="宋体" w:hAnsi="宋体" w:eastAsia="宋体" w:cs="宋体"/>
          <w:color w:val="auto"/>
          <w:sz w:val="21"/>
          <w:szCs w:val="21"/>
          <w:highlight w:val="none"/>
        </w:rPr>
        <w:t>4条的规定进行编制、密封、标记和递交，并标明“修改”字样。</w:t>
      </w:r>
    </w:p>
    <w:p w14:paraId="214F14CF">
      <w:pPr>
        <w:pStyle w:val="6"/>
        <w:keepNext w:val="0"/>
        <w:keepLines w:val="0"/>
        <w:pageBreakBefore w:val="0"/>
        <w:widowControl w:val="0"/>
        <w:kinsoku/>
        <w:wordWrap/>
        <w:overflowPunct/>
        <w:topLinePunct w:val="0"/>
        <w:autoSpaceDE/>
        <w:autoSpaceDN/>
        <w:bidi w:val="0"/>
        <w:adjustRightInd/>
        <w:snapToGrid/>
        <w:spacing w:before="0" w:beforeLines="50" w:after="0" w:afterLines="0" w:line="360" w:lineRule="auto"/>
        <w:ind w:left="0" w:right="0"/>
        <w:textAlignment w:val="auto"/>
        <w:rPr>
          <w:rFonts w:hint="eastAsia" w:ascii="宋体" w:hAnsi="宋体" w:eastAsia="宋体" w:cs="宋体"/>
          <w:b/>
          <w:bCs/>
          <w:color w:val="auto"/>
          <w:sz w:val="21"/>
          <w:szCs w:val="21"/>
          <w:highlight w:val="none"/>
        </w:rPr>
      </w:pPr>
      <w:bookmarkStart w:id="46" w:name="_Toc24253"/>
      <w:bookmarkStart w:id="47" w:name="_Toc28062"/>
      <w:r>
        <w:rPr>
          <w:rFonts w:hint="eastAsia" w:ascii="宋体" w:hAnsi="宋体" w:eastAsia="宋体" w:cs="宋体"/>
          <w:b/>
          <w:bCs/>
          <w:color w:val="auto"/>
          <w:sz w:val="21"/>
          <w:szCs w:val="21"/>
          <w:highlight w:val="none"/>
        </w:rPr>
        <w:t>5.  开标</w:t>
      </w:r>
      <w:bookmarkEnd w:id="46"/>
      <w:bookmarkEnd w:id="47"/>
    </w:p>
    <w:p w14:paraId="2A03F521">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48" w:name="_Toc26941"/>
      <w:r>
        <w:rPr>
          <w:rFonts w:hint="eastAsia" w:ascii="宋体" w:hAnsi="宋体" w:eastAsia="宋体" w:cs="宋体"/>
          <w:color w:val="auto"/>
          <w:sz w:val="21"/>
          <w:szCs w:val="21"/>
          <w:highlight w:val="none"/>
        </w:rPr>
        <w:t>5.1 开标时间和地点（B）</w:t>
      </w:r>
      <w:bookmarkEnd w:id="48"/>
    </w:p>
    <w:p w14:paraId="57F91E93">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招标人在本章第4.2.1项规定的投标截止时间（开标时间）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通过电子招标投标交易平台公开开标，所有投标人的法定代表人或其委托代理人</w:t>
      </w:r>
      <w:r>
        <w:rPr>
          <w:rFonts w:hint="eastAsia" w:ascii="宋体" w:hAnsi="宋体" w:eastAsia="宋体" w:cs="宋体"/>
          <w:color w:val="auto"/>
          <w:sz w:val="21"/>
          <w:szCs w:val="21"/>
          <w:highlight w:val="none"/>
          <w:u w:val="single"/>
          <w:lang w:val="en-US" w:eastAsia="zh-CN"/>
        </w:rPr>
        <w:t>可</w:t>
      </w:r>
      <w:r>
        <w:rPr>
          <w:rFonts w:hint="eastAsia" w:ascii="宋体" w:hAnsi="宋体" w:eastAsia="宋体" w:cs="宋体"/>
          <w:color w:val="auto"/>
          <w:sz w:val="21"/>
          <w:szCs w:val="21"/>
          <w:highlight w:val="none"/>
          <w:u w:val="single"/>
        </w:rPr>
        <w:t>参加，也可不参加</w:t>
      </w:r>
      <w:r>
        <w:rPr>
          <w:rFonts w:hint="eastAsia" w:ascii="宋体" w:hAnsi="宋体" w:eastAsia="宋体" w:cs="宋体"/>
          <w:color w:val="auto"/>
          <w:sz w:val="21"/>
          <w:szCs w:val="21"/>
          <w:highlight w:val="none"/>
        </w:rPr>
        <w:t>。</w:t>
      </w:r>
    </w:p>
    <w:p w14:paraId="717015C3">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49" w:name="_Toc3387"/>
      <w:r>
        <w:rPr>
          <w:rFonts w:hint="eastAsia" w:ascii="宋体" w:hAnsi="宋体" w:eastAsia="宋体" w:cs="宋体"/>
          <w:color w:val="auto"/>
          <w:sz w:val="21"/>
          <w:szCs w:val="21"/>
          <w:highlight w:val="none"/>
        </w:rPr>
        <w:t>5.2  开标程序</w:t>
      </w:r>
      <w:bookmarkEnd w:id="49"/>
    </w:p>
    <w:p w14:paraId="488AA868">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4E566A46">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（1）宣布开标纪律；</w:t>
      </w:r>
    </w:p>
    <w:p w14:paraId="0A557D20">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（2）公布在投标截止时间前递交投标文件的投标人名称；</w:t>
      </w:r>
    </w:p>
    <w:p w14:paraId="1DFAD34B">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（3）宣布开标人、唱标人、记录人、监标人等有关人员姓名；</w:t>
      </w:r>
    </w:p>
    <w:p w14:paraId="2B19B5B6">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（4）（B）投标人通过电子招标投标交易平台对已递交的电子投标文件进行解密，公布招标项目名称、投标人名称、投标报价及其他内容，并记录在案；</w:t>
      </w:r>
    </w:p>
    <w:p w14:paraId="50D65E3F">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）开标结束。</w:t>
      </w:r>
    </w:p>
    <w:p w14:paraId="37533226">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50" w:name="_Toc1568"/>
      <w:r>
        <w:rPr>
          <w:rFonts w:hint="eastAsia" w:ascii="宋体" w:hAnsi="宋体" w:eastAsia="宋体" w:cs="宋体"/>
          <w:color w:val="auto"/>
          <w:sz w:val="21"/>
          <w:szCs w:val="21"/>
          <w:highlight w:val="none"/>
        </w:rPr>
        <w:t>5.3  开标异议</w:t>
      </w:r>
      <w:bookmarkEnd w:id="50"/>
    </w:p>
    <w:p w14:paraId="4CFC2E1E">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对开标有异议的，应当在开标现场提出，招标人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r>
        <w:rPr>
          <w:rFonts w:hint="eastAsia" w:cs="宋体"/>
          <w:color w:val="auto"/>
          <w:sz w:val="21"/>
          <w:szCs w:val="21"/>
          <w:highlight w:val="none"/>
          <w:lang w:eastAsia="zh-CN"/>
        </w:rPr>
        <w:t>。</w:t>
      </w:r>
    </w:p>
    <w:p w14:paraId="15195AA3">
      <w:pPr>
        <w:pStyle w:val="6"/>
        <w:keepNext w:val="0"/>
        <w:keepLines w:val="0"/>
        <w:pageBreakBefore w:val="0"/>
        <w:widowControl w:val="0"/>
        <w:kinsoku/>
        <w:wordWrap/>
        <w:overflowPunct/>
        <w:topLinePunct w:val="0"/>
        <w:autoSpaceDE/>
        <w:autoSpaceDN/>
        <w:bidi w:val="0"/>
        <w:adjustRightInd/>
        <w:snapToGrid/>
        <w:spacing w:before="0" w:beforeLines="50" w:after="0" w:afterLines="0" w:line="360" w:lineRule="auto"/>
        <w:ind w:left="0" w:right="0"/>
        <w:textAlignment w:val="auto"/>
        <w:rPr>
          <w:rFonts w:hint="eastAsia" w:ascii="宋体" w:hAnsi="宋体" w:eastAsia="宋体" w:cs="宋体"/>
          <w:b/>
          <w:bCs/>
          <w:color w:val="auto"/>
          <w:sz w:val="21"/>
          <w:szCs w:val="21"/>
          <w:highlight w:val="none"/>
        </w:rPr>
      </w:pPr>
      <w:bookmarkStart w:id="51" w:name="_Toc12425"/>
      <w:bookmarkStart w:id="52" w:name="_Toc27286"/>
      <w:r>
        <w:rPr>
          <w:rFonts w:hint="eastAsia" w:ascii="宋体" w:hAnsi="宋体" w:eastAsia="宋体" w:cs="宋体"/>
          <w:b/>
          <w:bCs/>
          <w:color w:val="auto"/>
          <w:sz w:val="21"/>
          <w:szCs w:val="21"/>
          <w:highlight w:val="none"/>
        </w:rPr>
        <w:t>6.  评标</w:t>
      </w:r>
      <w:bookmarkEnd w:id="51"/>
      <w:bookmarkEnd w:id="52"/>
    </w:p>
    <w:p w14:paraId="722964B0">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53" w:name="_Toc26356"/>
      <w:r>
        <w:rPr>
          <w:rFonts w:hint="eastAsia" w:ascii="宋体" w:hAnsi="宋体" w:eastAsia="宋体" w:cs="宋体"/>
          <w:color w:val="auto"/>
          <w:sz w:val="21"/>
          <w:szCs w:val="21"/>
          <w:highlight w:val="none"/>
        </w:rPr>
        <w:t>6.1  评标委员会</w:t>
      </w:r>
      <w:bookmarkEnd w:id="53"/>
    </w:p>
    <w:p w14:paraId="430B0331">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23E0E5F">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评标委员会成员有下列情形之一的，应当回避：</w:t>
      </w:r>
    </w:p>
    <w:p w14:paraId="18164B52">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（1）投标人或投标人主要负责人的近亲属；</w:t>
      </w:r>
    </w:p>
    <w:p w14:paraId="0922E704">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（2）项目主管部门或者行政监督部门的人员；</w:t>
      </w:r>
    </w:p>
    <w:p w14:paraId="7055C05D">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（3）与投标人有经济利益关系，可能影响对投标公正评审的；</w:t>
      </w:r>
    </w:p>
    <w:p w14:paraId="54C7506E">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（4）曾因在招标、评标以及其他与招标投标有关活动中从事违法行为而受过行政处罚或刑事处罚的；</w:t>
      </w:r>
    </w:p>
    <w:p w14:paraId="5D934799">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（5）与投标人有其他利害关系。</w:t>
      </w:r>
    </w:p>
    <w:p w14:paraId="308048DA">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0B663620">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6.1.4 </w:t>
      </w:r>
      <w:r>
        <w:rPr>
          <w:rFonts w:hint="eastAsia" w:ascii="宋体" w:hAnsi="宋体" w:eastAsia="宋体" w:cs="宋体"/>
          <w:color w:val="auto"/>
          <w:sz w:val="21"/>
          <w:szCs w:val="21"/>
          <w:highlight w:val="none"/>
          <w:u w:val="single"/>
          <w:lang w:eastAsia="zh-CN"/>
        </w:rPr>
        <w:t>评标委员会在开始评标前，应了解评标专家的职责及守则，认真阅读附件《评标委员会成员声明》的内容并签名，签字后方可进行评标。</w:t>
      </w:r>
    </w:p>
    <w:p w14:paraId="01F04A1F">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54" w:name="_Toc1008"/>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评标原则</w:t>
      </w:r>
      <w:bookmarkEnd w:id="54"/>
    </w:p>
    <w:p w14:paraId="114CD33C">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评标活动遵循公平、公正、科学和择优的原则。</w:t>
      </w:r>
    </w:p>
    <w:p w14:paraId="5379EA9D">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55" w:name="_Toc2231"/>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评标</w:t>
      </w:r>
      <w:bookmarkEnd w:id="55"/>
    </w:p>
    <w:p w14:paraId="7A58C6C1">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 评标委员会按照第三章“评标办法”规定的方法、评审因素、标准和程序对投标文件进行评审。第三章“评标办法”没有规定的方法、评审因素和标准，不作为评标依据。</w:t>
      </w:r>
    </w:p>
    <w:p w14:paraId="6A9307F0">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6.3.2 评标完成后，评标委员会应当向招标人提交书面评标报告和中标候选人名单。评标委</w:t>
      </w:r>
      <w:r>
        <w:rPr>
          <w:rFonts w:hint="eastAsia" w:ascii="宋体" w:hAnsi="宋体" w:eastAsia="宋体" w:cs="宋体"/>
          <w:color w:val="auto"/>
          <w:sz w:val="21"/>
          <w:szCs w:val="21"/>
          <w:highlight w:val="none"/>
        </w:rPr>
        <w:t>员会推荐中标候选人的人数见投标人须知前附表。</w:t>
      </w:r>
    </w:p>
    <w:p w14:paraId="66067645">
      <w:pPr>
        <w:pStyle w:val="6"/>
        <w:keepNext w:val="0"/>
        <w:keepLines w:val="0"/>
        <w:pageBreakBefore w:val="0"/>
        <w:widowControl w:val="0"/>
        <w:kinsoku/>
        <w:wordWrap/>
        <w:overflowPunct/>
        <w:topLinePunct w:val="0"/>
        <w:autoSpaceDE/>
        <w:autoSpaceDN/>
        <w:bidi w:val="0"/>
        <w:adjustRightInd/>
        <w:snapToGrid/>
        <w:spacing w:before="0" w:beforeLines="50" w:after="0" w:afterLines="0" w:line="360" w:lineRule="auto"/>
        <w:ind w:left="0" w:right="0"/>
        <w:textAlignment w:val="auto"/>
        <w:rPr>
          <w:rFonts w:hint="eastAsia" w:ascii="宋体" w:hAnsi="宋体" w:eastAsia="宋体" w:cs="宋体"/>
          <w:b/>
          <w:bCs/>
          <w:color w:val="auto"/>
          <w:sz w:val="21"/>
          <w:szCs w:val="21"/>
          <w:highlight w:val="none"/>
        </w:rPr>
      </w:pPr>
      <w:bookmarkStart w:id="56" w:name="_Toc20961"/>
      <w:bookmarkStart w:id="57" w:name="_Toc20001"/>
      <w:r>
        <w:rPr>
          <w:rFonts w:hint="eastAsia" w:ascii="宋体" w:hAnsi="宋体" w:eastAsia="宋体" w:cs="宋体"/>
          <w:b/>
          <w:bCs/>
          <w:color w:val="auto"/>
          <w:sz w:val="21"/>
          <w:szCs w:val="21"/>
          <w:highlight w:val="none"/>
        </w:rPr>
        <w:t>7.  合同授予</w:t>
      </w:r>
      <w:bookmarkEnd w:id="56"/>
      <w:bookmarkEnd w:id="57"/>
    </w:p>
    <w:p w14:paraId="22AA9F78">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58" w:name="_Toc28629"/>
      <w:r>
        <w:rPr>
          <w:rFonts w:hint="eastAsia" w:ascii="宋体" w:hAnsi="宋体" w:eastAsia="宋体" w:cs="宋体"/>
          <w:color w:val="auto"/>
          <w:sz w:val="21"/>
          <w:szCs w:val="21"/>
          <w:highlight w:val="none"/>
        </w:rPr>
        <w:t>7.1  中标候选人公示</w:t>
      </w:r>
      <w:bookmarkEnd w:id="58"/>
    </w:p>
    <w:p w14:paraId="60961D5C">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招标人在收到评标报告之日起3日内，按照投标人须知前附表规定的公示媒介和期限公示中标候选人，公示期不得少于3天。</w:t>
      </w:r>
    </w:p>
    <w:p w14:paraId="0558BFEE">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59" w:name="_Toc27091"/>
      <w:r>
        <w:rPr>
          <w:rFonts w:hint="eastAsia" w:ascii="宋体" w:hAnsi="宋体" w:eastAsia="宋体" w:cs="宋体"/>
          <w:color w:val="auto"/>
          <w:sz w:val="21"/>
          <w:szCs w:val="21"/>
          <w:highlight w:val="none"/>
        </w:rPr>
        <w:t>7.2 评标结果异议</w:t>
      </w:r>
      <w:bookmarkEnd w:id="59"/>
    </w:p>
    <w:p w14:paraId="2F9469BD">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投标人或者其他利害关系人对评标结果有异议的，应当在中标候选人公示期间提出</w:t>
      </w:r>
      <w:r>
        <w:rPr>
          <w:rFonts w:hint="eastAsia" w:ascii="宋体" w:hAnsi="宋体" w:eastAsia="宋体" w:cs="宋体"/>
          <w:color w:val="auto"/>
          <w:spacing w:val="-1"/>
          <w:sz w:val="21"/>
          <w:szCs w:val="21"/>
          <w:highlight w:val="none"/>
          <w:u w:val="single"/>
        </w:rPr>
        <w:t>，可以通过线下或线上的形式提出异议。线上提交的，应通过交易平台进行，招标人也应通过交易平台答复线上提交的异议。</w:t>
      </w:r>
      <w:r>
        <w:rPr>
          <w:rFonts w:hint="eastAsia" w:ascii="宋体" w:hAnsi="宋体" w:eastAsia="宋体" w:cs="宋体"/>
          <w:color w:val="auto"/>
          <w:spacing w:val="-1"/>
          <w:sz w:val="21"/>
          <w:szCs w:val="21"/>
          <w:highlight w:val="none"/>
        </w:rPr>
        <w:t>招标</w:t>
      </w:r>
      <w:r>
        <w:rPr>
          <w:rFonts w:hint="eastAsia" w:ascii="宋体" w:hAnsi="宋体" w:eastAsia="宋体" w:cs="宋体"/>
          <w:color w:val="auto"/>
          <w:sz w:val="21"/>
          <w:szCs w:val="21"/>
          <w:highlight w:val="none"/>
        </w:rPr>
        <w:t>人将在收到异议之日起3日内作出答复；作出答复前，将暂停招标投标活动。</w:t>
      </w:r>
    </w:p>
    <w:p w14:paraId="7CF89FDB">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60" w:name="_Toc32700"/>
      <w:r>
        <w:rPr>
          <w:rFonts w:hint="eastAsia" w:ascii="宋体" w:hAnsi="宋体" w:eastAsia="宋体" w:cs="宋体"/>
          <w:color w:val="auto"/>
          <w:sz w:val="21"/>
          <w:szCs w:val="21"/>
          <w:highlight w:val="none"/>
        </w:rPr>
        <w:t>7.3  中标候选人履约能力审查</w:t>
      </w:r>
      <w:bookmarkEnd w:id="60"/>
    </w:p>
    <w:p w14:paraId="37F02138">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1E7AC60B">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61" w:name="_Toc29698"/>
      <w:r>
        <w:rPr>
          <w:rFonts w:hint="eastAsia" w:ascii="宋体" w:hAnsi="宋体" w:eastAsia="宋体" w:cs="宋体"/>
          <w:color w:val="auto"/>
          <w:sz w:val="21"/>
          <w:szCs w:val="21"/>
          <w:highlight w:val="none"/>
        </w:rPr>
        <w:t>7.4 定标</w:t>
      </w:r>
      <w:bookmarkEnd w:id="61"/>
    </w:p>
    <w:p w14:paraId="1CA4B897">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按照投标人须知前附表的规定，招标人或招标人授权的评标委员会依法确定中标人。</w:t>
      </w:r>
    </w:p>
    <w:p w14:paraId="71DF3887">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62" w:name="_Toc28698"/>
      <w:r>
        <w:rPr>
          <w:rFonts w:hint="eastAsia" w:ascii="宋体" w:hAnsi="宋体" w:eastAsia="宋体" w:cs="宋体"/>
          <w:color w:val="auto"/>
          <w:sz w:val="21"/>
          <w:szCs w:val="21"/>
          <w:highlight w:val="none"/>
        </w:rPr>
        <w:t>7.5  中标通知</w:t>
      </w:r>
      <w:bookmarkEnd w:id="62"/>
    </w:p>
    <w:p w14:paraId="48BB1CEA">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在本章第3.3款规定的投标有效期内，招标人以书面形式向中标人发出中标通知书，同时将中标结果通知未中标的投标人。</w:t>
      </w:r>
    </w:p>
    <w:p w14:paraId="276CA72B">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63" w:name="_Toc16454"/>
      <w:r>
        <w:rPr>
          <w:rFonts w:hint="eastAsia" w:ascii="宋体" w:hAnsi="宋体" w:eastAsia="宋体" w:cs="宋体"/>
          <w:color w:val="auto"/>
          <w:sz w:val="21"/>
          <w:szCs w:val="21"/>
          <w:highlight w:val="none"/>
        </w:rPr>
        <w:t>7.6 技术成果经济补偿</w:t>
      </w:r>
      <w:bookmarkEnd w:id="63"/>
    </w:p>
    <w:p w14:paraId="77719B83">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1"/>
          <w:sz w:val="21"/>
          <w:szCs w:val="21"/>
          <w:highlight w:val="none"/>
          <w:u w:val="single"/>
          <w:lang w:val="en-US" w:eastAsia="zh-CN"/>
        </w:rPr>
        <w:t>不补偿</w:t>
      </w:r>
      <w:r>
        <w:rPr>
          <w:rFonts w:hint="eastAsia" w:ascii="宋体" w:hAnsi="宋体" w:eastAsia="宋体" w:cs="宋体"/>
          <w:color w:val="auto"/>
          <w:sz w:val="21"/>
          <w:szCs w:val="21"/>
          <w:highlight w:val="none"/>
          <w:u w:val="single"/>
        </w:rPr>
        <w:t>。</w:t>
      </w:r>
    </w:p>
    <w:p w14:paraId="5B3ABFD0">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64" w:name="_Toc21725"/>
      <w:r>
        <w:rPr>
          <w:rFonts w:hint="eastAsia" w:ascii="宋体" w:hAnsi="宋体" w:eastAsia="宋体" w:cs="宋体"/>
          <w:color w:val="auto"/>
          <w:sz w:val="21"/>
          <w:szCs w:val="21"/>
          <w:highlight w:val="none"/>
        </w:rPr>
        <w:t>7.7  履约保证金</w:t>
      </w:r>
      <w:bookmarkEnd w:id="64"/>
    </w:p>
    <w:p w14:paraId="339D4299">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7.7.1</w:t>
      </w:r>
      <w:r>
        <w:rPr>
          <w:rFonts w:hint="eastAsia" w:ascii="宋体" w:hAnsi="宋体" w:eastAsia="宋体" w:cs="宋体"/>
          <w:color w:val="auto"/>
          <w:sz w:val="21"/>
          <w:szCs w:val="21"/>
          <w:highlight w:val="none"/>
        </w:rPr>
        <w:t xml:space="preserve"> </w:t>
      </w:r>
      <w:r>
        <w:rPr>
          <w:rFonts w:hint="eastAsia" w:ascii="宋体" w:hAnsi="宋体" w:eastAsia="宋体" w:cs="宋体"/>
          <w:color w:val="auto"/>
          <w:w w:val="100"/>
          <w:sz w:val="21"/>
          <w:szCs w:val="21"/>
          <w:highlight w:val="none"/>
        </w:rPr>
        <w:t>在</w:t>
      </w:r>
      <w:r>
        <w:rPr>
          <w:rFonts w:hint="eastAsia" w:ascii="宋体" w:hAnsi="宋体" w:eastAsia="宋体" w:cs="宋体"/>
          <w:color w:val="auto"/>
          <w:spacing w:val="-3"/>
          <w:w w:val="100"/>
          <w:sz w:val="21"/>
          <w:szCs w:val="21"/>
          <w:highlight w:val="none"/>
        </w:rPr>
        <w:t>签</w:t>
      </w:r>
      <w:r>
        <w:rPr>
          <w:rFonts w:hint="eastAsia" w:ascii="宋体" w:hAnsi="宋体" w:eastAsia="宋体" w:cs="宋体"/>
          <w:color w:val="auto"/>
          <w:w w:val="100"/>
          <w:sz w:val="21"/>
          <w:szCs w:val="21"/>
          <w:highlight w:val="none"/>
        </w:rPr>
        <w:t>订</w:t>
      </w:r>
      <w:r>
        <w:rPr>
          <w:rFonts w:hint="eastAsia" w:ascii="宋体" w:hAnsi="宋体" w:eastAsia="宋体" w:cs="宋体"/>
          <w:color w:val="auto"/>
          <w:spacing w:val="-3"/>
          <w:w w:val="100"/>
          <w:sz w:val="21"/>
          <w:szCs w:val="21"/>
          <w:highlight w:val="none"/>
        </w:rPr>
        <w:t>合</w:t>
      </w:r>
      <w:r>
        <w:rPr>
          <w:rFonts w:hint="eastAsia" w:ascii="宋体" w:hAnsi="宋体" w:eastAsia="宋体" w:cs="宋体"/>
          <w:color w:val="auto"/>
          <w:w w:val="100"/>
          <w:sz w:val="21"/>
          <w:szCs w:val="21"/>
          <w:highlight w:val="none"/>
        </w:rPr>
        <w:t>同</w:t>
      </w:r>
      <w:r>
        <w:rPr>
          <w:rFonts w:hint="eastAsia" w:ascii="宋体" w:hAnsi="宋体" w:eastAsia="宋体" w:cs="宋体"/>
          <w:color w:val="auto"/>
          <w:spacing w:val="-3"/>
          <w:w w:val="100"/>
          <w:sz w:val="21"/>
          <w:szCs w:val="21"/>
          <w:highlight w:val="none"/>
        </w:rPr>
        <w:t>前</w:t>
      </w:r>
      <w:r>
        <w:rPr>
          <w:rFonts w:hint="eastAsia" w:ascii="宋体" w:hAnsi="宋体" w:eastAsia="宋体" w:cs="宋体"/>
          <w:color w:val="auto"/>
          <w:spacing w:val="-84"/>
          <w:w w:val="100"/>
          <w:sz w:val="21"/>
          <w:szCs w:val="21"/>
          <w:highlight w:val="none"/>
        </w:rPr>
        <w:t>，</w:t>
      </w:r>
      <w:r>
        <w:rPr>
          <w:rFonts w:hint="eastAsia" w:ascii="宋体" w:hAnsi="宋体" w:eastAsia="宋体" w:cs="宋体"/>
          <w:color w:val="auto"/>
          <w:spacing w:val="-3"/>
          <w:w w:val="100"/>
          <w:sz w:val="21"/>
          <w:szCs w:val="21"/>
          <w:highlight w:val="none"/>
        </w:rPr>
        <w:t>中标</w:t>
      </w:r>
      <w:r>
        <w:rPr>
          <w:rFonts w:hint="eastAsia" w:ascii="宋体" w:hAnsi="宋体" w:eastAsia="宋体" w:cs="宋体"/>
          <w:color w:val="auto"/>
          <w:w w:val="100"/>
          <w:sz w:val="21"/>
          <w:szCs w:val="21"/>
          <w:highlight w:val="none"/>
        </w:rPr>
        <w:t>人应</w:t>
      </w:r>
      <w:r>
        <w:rPr>
          <w:rFonts w:hint="eastAsia" w:ascii="宋体" w:hAnsi="宋体" w:eastAsia="宋体" w:cs="宋体"/>
          <w:color w:val="auto"/>
          <w:spacing w:val="-3"/>
          <w:w w:val="100"/>
          <w:sz w:val="21"/>
          <w:szCs w:val="21"/>
          <w:highlight w:val="none"/>
        </w:rPr>
        <w:t>按</w:t>
      </w:r>
      <w:r>
        <w:rPr>
          <w:rFonts w:hint="eastAsia" w:ascii="宋体" w:hAnsi="宋体" w:eastAsia="宋体" w:cs="宋体"/>
          <w:color w:val="auto"/>
          <w:w w:val="100"/>
          <w:sz w:val="21"/>
          <w:szCs w:val="21"/>
          <w:highlight w:val="none"/>
        </w:rPr>
        <w:t>投</w:t>
      </w:r>
      <w:r>
        <w:rPr>
          <w:rFonts w:hint="eastAsia" w:ascii="宋体" w:hAnsi="宋体" w:eastAsia="宋体" w:cs="宋体"/>
          <w:color w:val="auto"/>
          <w:spacing w:val="-3"/>
          <w:w w:val="100"/>
          <w:sz w:val="21"/>
          <w:szCs w:val="21"/>
          <w:highlight w:val="none"/>
        </w:rPr>
        <w:t>标</w:t>
      </w:r>
      <w:r>
        <w:rPr>
          <w:rFonts w:hint="eastAsia" w:ascii="宋体" w:hAnsi="宋体" w:eastAsia="宋体" w:cs="宋体"/>
          <w:color w:val="auto"/>
          <w:w w:val="100"/>
          <w:sz w:val="21"/>
          <w:szCs w:val="21"/>
          <w:highlight w:val="none"/>
        </w:rPr>
        <w:t>人</w:t>
      </w:r>
      <w:r>
        <w:rPr>
          <w:rFonts w:hint="eastAsia" w:ascii="宋体" w:hAnsi="宋体" w:eastAsia="宋体" w:cs="宋体"/>
          <w:color w:val="auto"/>
          <w:spacing w:val="-3"/>
          <w:w w:val="100"/>
          <w:sz w:val="21"/>
          <w:szCs w:val="21"/>
          <w:highlight w:val="none"/>
        </w:rPr>
        <w:t>须</w:t>
      </w:r>
      <w:r>
        <w:rPr>
          <w:rFonts w:hint="eastAsia" w:ascii="宋体" w:hAnsi="宋体" w:eastAsia="宋体" w:cs="宋体"/>
          <w:color w:val="auto"/>
          <w:w w:val="100"/>
          <w:sz w:val="21"/>
          <w:szCs w:val="21"/>
          <w:highlight w:val="none"/>
        </w:rPr>
        <w:t>知</w:t>
      </w:r>
      <w:r>
        <w:rPr>
          <w:rFonts w:hint="eastAsia" w:ascii="宋体" w:hAnsi="宋体" w:eastAsia="宋体" w:cs="宋体"/>
          <w:color w:val="auto"/>
          <w:spacing w:val="-3"/>
          <w:w w:val="100"/>
          <w:sz w:val="21"/>
          <w:szCs w:val="21"/>
          <w:highlight w:val="none"/>
        </w:rPr>
        <w:t>前</w:t>
      </w:r>
      <w:r>
        <w:rPr>
          <w:rFonts w:hint="eastAsia" w:ascii="宋体" w:hAnsi="宋体" w:eastAsia="宋体" w:cs="宋体"/>
          <w:color w:val="auto"/>
          <w:w w:val="100"/>
          <w:sz w:val="21"/>
          <w:szCs w:val="21"/>
          <w:highlight w:val="none"/>
        </w:rPr>
        <w:t>附</w:t>
      </w:r>
      <w:r>
        <w:rPr>
          <w:rFonts w:hint="eastAsia" w:ascii="宋体" w:hAnsi="宋体" w:eastAsia="宋体" w:cs="宋体"/>
          <w:color w:val="auto"/>
          <w:spacing w:val="-3"/>
          <w:w w:val="100"/>
          <w:sz w:val="21"/>
          <w:szCs w:val="21"/>
          <w:highlight w:val="none"/>
        </w:rPr>
        <w:t>表</w:t>
      </w:r>
      <w:r>
        <w:rPr>
          <w:rFonts w:hint="eastAsia" w:ascii="宋体" w:hAnsi="宋体" w:eastAsia="宋体" w:cs="宋体"/>
          <w:color w:val="auto"/>
          <w:w w:val="100"/>
          <w:sz w:val="21"/>
          <w:szCs w:val="21"/>
          <w:highlight w:val="none"/>
        </w:rPr>
        <w:t>规定</w:t>
      </w:r>
      <w:r>
        <w:rPr>
          <w:rFonts w:hint="eastAsia" w:ascii="宋体" w:hAnsi="宋体" w:eastAsia="宋体" w:cs="宋体"/>
          <w:color w:val="auto"/>
          <w:spacing w:val="-3"/>
          <w:w w:val="100"/>
          <w:sz w:val="21"/>
          <w:szCs w:val="21"/>
          <w:highlight w:val="none"/>
        </w:rPr>
        <w:t>的</w:t>
      </w:r>
      <w:r>
        <w:rPr>
          <w:rFonts w:hint="eastAsia" w:ascii="宋体" w:hAnsi="宋体" w:eastAsia="宋体" w:cs="宋体"/>
          <w:color w:val="auto"/>
          <w:w w:val="100"/>
          <w:sz w:val="21"/>
          <w:szCs w:val="21"/>
          <w:highlight w:val="none"/>
        </w:rPr>
        <w:t>形</w:t>
      </w:r>
      <w:r>
        <w:rPr>
          <w:rFonts w:hint="eastAsia" w:ascii="宋体" w:hAnsi="宋体" w:eastAsia="宋体" w:cs="宋体"/>
          <w:color w:val="auto"/>
          <w:spacing w:val="-3"/>
          <w:w w:val="100"/>
          <w:sz w:val="21"/>
          <w:szCs w:val="21"/>
          <w:highlight w:val="none"/>
        </w:rPr>
        <w:t>式</w:t>
      </w:r>
      <w:r>
        <w:rPr>
          <w:rFonts w:hint="eastAsia" w:ascii="宋体" w:hAnsi="宋体" w:eastAsia="宋体" w:cs="宋体"/>
          <w:color w:val="auto"/>
          <w:spacing w:val="-85"/>
          <w:w w:val="100"/>
          <w:sz w:val="21"/>
          <w:szCs w:val="21"/>
          <w:highlight w:val="none"/>
        </w:rPr>
        <w:t>、</w:t>
      </w:r>
      <w:r>
        <w:rPr>
          <w:rFonts w:hint="eastAsia" w:ascii="宋体" w:hAnsi="宋体" w:eastAsia="宋体" w:cs="宋体"/>
          <w:color w:val="auto"/>
          <w:spacing w:val="-3"/>
          <w:w w:val="100"/>
          <w:sz w:val="21"/>
          <w:szCs w:val="21"/>
          <w:highlight w:val="none"/>
        </w:rPr>
        <w:t>金</w:t>
      </w:r>
      <w:r>
        <w:rPr>
          <w:rFonts w:hint="eastAsia" w:ascii="宋体" w:hAnsi="宋体" w:eastAsia="宋体" w:cs="宋体"/>
          <w:color w:val="auto"/>
          <w:w w:val="100"/>
          <w:sz w:val="21"/>
          <w:szCs w:val="21"/>
          <w:highlight w:val="none"/>
        </w:rPr>
        <w:t>额</w:t>
      </w:r>
      <w:r>
        <w:rPr>
          <w:rFonts w:hint="eastAsia" w:ascii="宋体" w:hAnsi="宋体" w:eastAsia="宋体" w:cs="宋体"/>
          <w:color w:val="auto"/>
          <w:spacing w:val="-3"/>
          <w:w w:val="100"/>
          <w:sz w:val="21"/>
          <w:szCs w:val="21"/>
          <w:highlight w:val="none"/>
        </w:rPr>
        <w:t>和</w:t>
      </w:r>
      <w:r>
        <w:rPr>
          <w:rFonts w:hint="eastAsia" w:ascii="宋体" w:hAnsi="宋体" w:eastAsia="宋体" w:cs="宋体"/>
          <w:color w:val="auto"/>
          <w:w w:val="100"/>
          <w:sz w:val="21"/>
          <w:szCs w:val="21"/>
          <w:highlight w:val="none"/>
        </w:rPr>
        <w:t>招</w:t>
      </w:r>
      <w:r>
        <w:rPr>
          <w:rFonts w:hint="eastAsia" w:ascii="宋体" w:hAnsi="宋体" w:eastAsia="宋体" w:cs="宋体"/>
          <w:color w:val="auto"/>
          <w:spacing w:val="-3"/>
          <w:w w:val="100"/>
          <w:sz w:val="21"/>
          <w:szCs w:val="21"/>
          <w:highlight w:val="none"/>
        </w:rPr>
        <w:t>标文</w:t>
      </w:r>
      <w:r>
        <w:rPr>
          <w:rFonts w:hint="eastAsia" w:ascii="宋体" w:hAnsi="宋体" w:eastAsia="宋体" w:cs="宋体"/>
          <w:color w:val="auto"/>
          <w:w w:val="100"/>
          <w:sz w:val="21"/>
          <w:szCs w:val="21"/>
          <w:highlight w:val="none"/>
        </w:rPr>
        <w:t>件第</w:t>
      </w:r>
      <w:r>
        <w:rPr>
          <w:rFonts w:hint="eastAsia" w:ascii="宋体" w:hAnsi="宋体" w:eastAsia="宋体" w:cs="宋体"/>
          <w:color w:val="auto"/>
          <w:spacing w:val="-3"/>
          <w:w w:val="100"/>
          <w:sz w:val="21"/>
          <w:szCs w:val="21"/>
          <w:highlight w:val="none"/>
        </w:rPr>
        <w:t>四</w:t>
      </w:r>
      <w:r>
        <w:rPr>
          <w:rFonts w:hint="eastAsia" w:ascii="宋体" w:hAnsi="宋体" w:eastAsia="宋体" w:cs="宋体"/>
          <w:color w:val="auto"/>
          <w:w w:val="100"/>
          <w:sz w:val="21"/>
          <w:szCs w:val="21"/>
          <w:highlight w:val="none"/>
        </w:rPr>
        <w:t>章</w:t>
      </w:r>
      <w:r>
        <w:rPr>
          <w:rFonts w:hint="eastAsia" w:ascii="宋体" w:hAnsi="宋体" w:eastAsia="宋体" w:cs="宋体"/>
          <w:color w:val="auto"/>
          <w:spacing w:val="-3"/>
          <w:w w:val="100"/>
          <w:sz w:val="21"/>
          <w:szCs w:val="21"/>
          <w:highlight w:val="none"/>
        </w:rPr>
        <w:t>“</w:t>
      </w:r>
      <w:r>
        <w:rPr>
          <w:rFonts w:hint="eastAsia" w:ascii="宋体" w:hAnsi="宋体" w:eastAsia="宋体" w:cs="宋体"/>
          <w:color w:val="auto"/>
          <w:w w:val="100"/>
          <w:sz w:val="21"/>
          <w:szCs w:val="21"/>
          <w:highlight w:val="none"/>
        </w:rPr>
        <w:t>合</w:t>
      </w:r>
      <w:r>
        <w:rPr>
          <w:rFonts w:hint="eastAsia" w:ascii="宋体" w:hAnsi="宋体" w:eastAsia="宋体" w:cs="宋体"/>
          <w:color w:val="auto"/>
          <w:spacing w:val="2"/>
          <w:sz w:val="21"/>
          <w:szCs w:val="21"/>
          <w:highlight w:val="none"/>
        </w:rPr>
        <w:t>同条款及格式”规定的或者事先经过招标人书面认可的履约保证金格式向招标人提交履约保证</w:t>
      </w:r>
      <w:r>
        <w:rPr>
          <w:rFonts w:hint="eastAsia" w:ascii="宋体" w:hAnsi="宋体" w:eastAsia="宋体" w:cs="宋体"/>
          <w:color w:val="auto"/>
          <w:sz w:val="21"/>
          <w:szCs w:val="21"/>
          <w:highlight w:val="none"/>
        </w:rPr>
        <w:t>金。除投标人须知前附表另有规定外，履约保证金为中标合同金额的10%。</w:t>
      </w:r>
    </w:p>
    <w:p w14:paraId="28A90488">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7.7.2 中标人不能按本章第7.7.1项要求提交履约保证金的，视为放弃中标，给招标人造成的损失的，中标人还应当予以赔偿。</w:t>
      </w:r>
    </w:p>
    <w:p w14:paraId="04F4A28C">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65" w:name="_Toc20600"/>
      <w:r>
        <w:rPr>
          <w:rFonts w:hint="eastAsia" w:ascii="宋体" w:hAnsi="宋体" w:eastAsia="宋体" w:cs="宋体"/>
          <w:color w:val="auto"/>
          <w:sz w:val="21"/>
          <w:szCs w:val="21"/>
          <w:highlight w:val="none"/>
        </w:rPr>
        <w:t>7.8  签订合同</w:t>
      </w:r>
      <w:bookmarkEnd w:id="65"/>
    </w:p>
    <w:p w14:paraId="734FEF9E">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给招标人造成的损失的，中标人还应当予以赔偿。</w:t>
      </w:r>
    </w:p>
    <w:p w14:paraId="0F3C4D80">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7.8.2 </w:t>
      </w:r>
      <w:r>
        <w:rPr>
          <w:rFonts w:hint="eastAsia" w:ascii="宋体" w:hAnsi="宋体" w:eastAsia="宋体" w:cs="宋体"/>
          <w:color w:val="auto"/>
          <w:spacing w:val="-4"/>
          <w:sz w:val="21"/>
          <w:szCs w:val="21"/>
          <w:highlight w:val="none"/>
        </w:rPr>
        <w:t>发出中标通知书后，招标人无正当理由拒签合同，或者在签订合同时向中标人提出附</w:t>
      </w:r>
      <w:r>
        <w:rPr>
          <w:rFonts w:hint="eastAsia" w:ascii="宋体" w:hAnsi="宋体" w:eastAsia="宋体" w:cs="宋体"/>
          <w:color w:val="auto"/>
          <w:sz w:val="21"/>
          <w:szCs w:val="21"/>
          <w:highlight w:val="none"/>
        </w:rPr>
        <w:t>加条件的，给中标人造成损失的，还应当赔偿损失。</w:t>
      </w:r>
    </w:p>
    <w:p w14:paraId="5D3D5B93">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7.8.3 联合体中标的，联合体各方应当共同与招标人签订合同，就中标项目向招标人承担连</w:t>
      </w:r>
      <w:r>
        <w:rPr>
          <w:rFonts w:hint="eastAsia" w:ascii="宋体" w:hAnsi="宋体" w:eastAsia="宋体" w:cs="宋体"/>
          <w:color w:val="auto"/>
          <w:sz w:val="21"/>
          <w:szCs w:val="21"/>
          <w:highlight w:val="none"/>
        </w:rPr>
        <w:t>带责任。</w:t>
      </w:r>
    </w:p>
    <w:p w14:paraId="1B150290">
      <w:pPr>
        <w:pStyle w:val="6"/>
        <w:keepNext w:val="0"/>
        <w:keepLines w:val="0"/>
        <w:pageBreakBefore w:val="0"/>
        <w:widowControl w:val="0"/>
        <w:kinsoku/>
        <w:wordWrap/>
        <w:overflowPunct/>
        <w:topLinePunct w:val="0"/>
        <w:autoSpaceDE/>
        <w:autoSpaceDN/>
        <w:bidi w:val="0"/>
        <w:adjustRightInd/>
        <w:snapToGrid/>
        <w:spacing w:before="0" w:beforeLines="50" w:after="0" w:afterLines="0" w:line="360" w:lineRule="auto"/>
        <w:ind w:left="0" w:right="0"/>
        <w:textAlignment w:val="auto"/>
        <w:rPr>
          <w:rFonts w:hint="eastAsia" w:ascii="宋体" w:hAnsi="宋体" w:eastAsia="宋体" w:cs="宋体"/>
          <w:b/>
          <w:bCs/>
          <w:color w:val="auto"/>
          <w:sz w:val="21"/>
          <w:szCs w:val="21"/>
          <w:highlight w:val="none"/>
        </w:rPr>
      </w:pPr>
      <w:bookmarkStart w:id="66" w:name="_Toc6003"/>
      <w:bookmarkStart w:id="67" w:name="_Toc27503"/>
      <w:r>
        <w:rPr>
          <w:rFonts w:hint="eastAsia" w:ascii="宋体" w:hAnsi="宋体" w:eastAsia="宋体" w:cs="宋体"/>
          <w:b/>
          <w:bCs/>
          <w:color w:val="auto"/>
          <w:sz w:val="21"/>
          <w:szCs w:val="21"/>
          <w:highlight w:val="none"/>
        </w:rPr>
        <w:t>8.纪律和监督</w:t>
      </w:r>
      <w:bookmarkEnd w:id="66"/>
      <w:bookmarkEnd w:id="67"/>
    </w:p>
    <w:p w14:paraId="531A7CD1">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68" w:name="_Toc9033"/>
      <w:r>
        <w:rPr>
          <w:rFonts w:hint="eastAsia" w:ascii="宋体" w:hAnsi="宋体" w:eastAsia="宋体" w:cs="宋体"/>
          <w:color w:val="auto"/>
          <w:sz w:val="21"/>
          <w:szCs w:val="21"/>
          <w:highlight w:val="none"/>
        </w:rPr>
        <w:t>8.1 对招标人的纪律要求</w:t>
      </w:r>
      <w:bookmarkEnd w:id="68"/>
    </w:p>
    <w:p w14:paraId="1935DC3B">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招标人不得泄露招标投标活动中应当保密的情况和资料，不得与投标人串通损害国家利益、社会公共利益或者他人合法权益。</w:t>
      </w:r>
    </w:p>
    <w:p w14:paraId="2E8AD247">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69" w:name="_Toc29412"/>
      <w:r>
        <w:rPr>
          <w:rFonts w:hint="eastAsia" w:ascii="宋体" w:hAnsi="宋体" w:eastAsia="宋体" w:cs="宋体"/>
          <w:color w:val="auto"/>
          <w:sz w:val="21"/>
          <w:szCs w:val="21"/>
          <w:highlight w:val="none"/>
        </w:rPr>
        <w:t>8.2 对投标人的纪律要求</w:t>
      </w:r>
      <w:bookmarkEnd w:id="69"/>
    </w:p>
    <w:p w14:paraId="05D0ED3E">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B040080">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70" w:name="_Toc10864"/>
      <w:r>
        <w:rPr>
          <w:rFonts w:hint="eastAsia" w:ascii="宋体" w:hAnsi="宋体" w:eastAsia="宋体" w:cs="宋体"/>
          <w:color w:val="auto"/>
          <w:sz w:val="21"/>
          <w:szCs w:val="21"/>
          <w:highlight w:val="none"/>
        </w:rPr>
        <w:t>8.3 对评标委员会成员的纪律要求</w:t>
      </w:r>
      <w:bookmarkEnd w:id="70"/>
    </w:p>
    <w:p w14:paraId="30923C51">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8F8D642">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71" w:name="_Toc20905"/>
      <w:r>
        <w:rPr>
          <w:rFonts w:hint="eastAsia" w:ascii="宋体" w:hAnsi="宋体" w:eastAsia="宋体" w:cs="宋体"/>
          <w:color w:val="auto"/>
          <w:sz w:val="21"/>
          <w:szCs w:val="21"/>
          <w:highlight w:val="none"/>
        </w:rPr>
        <w:t>8.4 对与评标活动有关的工作人员的纪律要求</w:t>
      </w:r>
      <w:bookmarkEnd w:id="71"/>
    </w:p>
    <w:p w14:paraId="6FD10217">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BBF07A5">
      <w:pPr>
        <w:pStyle w:val="7"/>
        <w:keepNext/>
        <w:keepLines/>
        <w:pageBreakBefore w:val="0"/>
        <w:widowControl w:val="0"/>
        <w:kinsoku/>
        <w:wordWrap/>
        <w:overflowPunct/>
        <w:topLinePunct w:val="0"/>
        <w:autoSpaceDE/>
        <w:autoSpaceDN/>
        <w:bidi w:val="0"/>
        <w:adjustRightInd/>
        <w:snapToGrid/>
        <w:spacing w:before="0" w:beforeLines="100" w:after="0" w:afterLines="0" w:line="360" w:lineRule="auto"/>
        <w:ind w:left="0" w:right="0"/>
        <w:textAlignment w:val="auto"/>
        <w:rPr>
          <w:rFonts w:hint="eastAsia" w:ascii="宋体" w:hAnsi="宋体" w:eastAsia="宋体" w:cs="宋体"/>
          <w:color w:val="auto"/>
          <w:sz w:val="21"/>
          <w:szCs w:val="21"/>
          <w:highlight w:val="none"/>
        </w:rPr>
      </w:pPr>
      <w:bookmarkStart w:id="72" w:name="_Toc28563"/>
      <w:r>
        <w:rPr>
          <w:rFonts w:hint="eastAsia" w:ascii="宋体" w:hAnsi="宋体" w:eastAsia="宋体" w:cs="宋体"/>
          <w:color w:val="auto"/>
          <w:sz w:val="21"/>
          <w:szCs w:val="21"/>
          <w:highlight w:val="none"/>
        </w:rPr>
        <w:t>8.5 投诉</w:t>
      </w:r>
      <w:bookmarkEnd w:id="72"/>
    </w:p>
    <w:p w14:paraId="561BE34A">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投标人或者其他利害关系人认为招标投标活动不符合法律、行政法规规定的，可以自知道或者应当知道之日起10日内向有关行政监督部门投诉。投诉应当有明确的请求和必要的证明材料。</w:t>
      </w:r>
    </w:p>
    <w:p w14:paraId="49E27C91">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firstLine="41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投标人或者其他利害关系人对招标文件、开标和评标结果提出投诉的，应当按照投标人须知第2.4款、第5.3款和第7.2款的规定先向招标人提出异议。异议答复期间不计算在第8.5.1项规定的期限内。</w:t>
      </w:r>
    </w:p>
    <w:p w14:paraId="5FE12D40">
      <w:pPr>
        <w:pStyle w:val="6"/>
        <w:keepNext w:val="0"/>
        <w:keepLines w:val="0"/>
        <w:pageBreakBefore w:val="0"/>
        <w:widowControl w:val="0"/>
        <w:kinsoku/>
        <w:wordWrap/>
        <w:overflowPunct/>
        <w:topLinePunct w:val="0"/>
        <w:autoSpaceDE/>
        <w:autoSpaceDN/>
        <w:bidi w:val="0"/>
        <w:adjustRightInd/>
        <w:snapToGrid/>
        <w:spacing w:before="0" w:beforeLines="50" w:after="0" w:afterLines="0" w:line="360" w:lineRule="auto"/>
        <w:ind w:left="0" w:right="0"/>
        <w:textAlignment w:val="auto"/>
        <w:rPr>
          <w:rFonts w:hint="eastAsia" w:ascii="宋体" w:hAnsi="宋体" w:eastAsia="宋体" w:cs="宋体"/>
          <w:b/>
          <w:bCs/>
          <w:color w:val="auto"/>
          <w:sz w:val="21"/>
          <w:szCs w:val="21"/>
          <w:highlight w:val="none"/>
        </w:rPr>
      </w:pPr>
      <w:bookmarkStart w:id="73" w:name="_Toc25639"/>
      <w:bookmarkStart w:id="74" w:name="_Toc9088"/>
      <w:r>
        <w:rPr>
          <w:rFonts w:hint="eastAsia" w:ascii="宋体" w:hAnsi="宋体" w:eastAsia="宋体" w:cs="宋体"/>
          <w:b/>
          <w:bCs/>
          <w:color w:val="auto"/>
          <w:sz w:val="21"/>
          <w:szCs w:val="21"/>
          <w:highlight w:val="none"/>
        </w:rPr>
        <w:t>9.  是否采用电子招标投标</w:t>
      </w:r>
      <w:bookmarkEnd w:id="73"/>
      <w:bookmarkEnd w:id="74"/>
    </w:p>
    <w:p w14:paraId="54B0F124">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textAlignment w:val="auto"/>
        <w:rPr>
          <w:rFonts w:hint="eastAsia" w:ascii="宋体" w:hAnsi="宋体" w:eastAsia="宋体" w:cs="宋体"/>
          <w:b/>
          <w:color w:val="auto"/>
          <w:sz w:val="21"/>
          <w:szCs w:val="21"/>
          <w:highlight w:val="none"/>
        </w:rPr>
      </w:pPr>
    </w:p>
    <w:p w14:paraId="6418E7B0">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本招标项目是否采用电子招标投标方式，见投标人须知前附表。</w:t>
      </w:r>
    </w:p>
    <w:p w14:paraId="468D78BC">
      <w:pPr>
        <w:pStyle w:val="6"/>
        <w:keepNext w:val="0"/>
        <w:keepLines w:val="0"/>
        <w:pageBreakBefore w:val="0"/>
        <w:widowControl w:val="0"/>
        <w:kinsoku/>
        <w:wordWrap/>
        <w:overflowPunct/>
        <w:topLinePunct w:val="0"/>
        <w:autoSpaceDE/>
        <w:autoSpaceDN/>
        <w:bidi w:val="0"/>
        <w:adjustRightInd/>
        <w:snapToGrid/>
        <w:spacing w:before="0" w:beforeLines="50" w:after="0" w:afterLines="0" w:line="360" w:lineRule="auto"/>
        <w:ind w:left="0" w:right="0"/>
        <w:textAlignment w:val="auto"/>
        <w:rPr>
          <w:rFonts w:hint="eastAsia" w:ascii="宋体" w:hAnsi="宋体" w:eastAsia="宋体" w:cs="宋体"/>
          <w:b/>
          <w:bCs/>
          <w:color w:val="auto"/>
          <w:sz w:val="21"/>
          <w:szCs w:val="21"/>
          <w:highlight w:val="none"/>
        </w:rPr>
      </w:pPr>
      <w:bookmarkStart w:id="75" w:name="_Toc20169"/>
      <w:bookmarkStart w:id="76" w:name="_Toc17771"/>
      <w:r>
        <w:rPr>
          <w:rFonts w:hint="eastAsia" w:ascii="宋体" w:hAnsi="宋体" w:eastAsia="宋体" w:cs="宋体"/>
          <w:b/>
          <w:bCs/>
          <w:color w:val="auto"/>
          <w:sz w:val="21"/>
          <w:szCs w:val="21"/>
          <w:highlight w:val="none"/>
        </w:rPr>
        <w:t>10.  需要补充的其他内容</w:t>
      </w:r>
      <w:bookmarkEnd w:id="75"/>
      <w:bookmarkEnd w:id="76"/>
    </w:p>
    <w:p w14:paraId="2ABF70B3">
      <w:pPr>
        <w:pStyle w:val="3"/>
        <w:pageBreakBefore w:val="0"/>
        <w:widowControl w:val="0"/>
        <w:kinsoku/>
        <w:wordWrap/>
        <w:overflowPunct/>
        <w:topLinePunct w:val="0"/>
        <w:autoSpaceDE/>
        <w:autoSpaceDN/>
        <w:bidi w:val="0"/>
        <w:adjustRightInd/>
        <w:snapToGrid/>
        <w:spacing w:before="0" w:beforeLines="0" w:after="0" w:afterLines="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需要补充的其他内容：见投标人须知前附表。</w:t>
      </w:r>
    </w:p>
    <w:p w14:paraId="2B165212">
      <w:pPr>
        <w:pStyle w:val="3"/>
        <w:pageBreakBefore w:val="0"/>
        <w:widowControl w:val="0"/>
        <w:kinsoku/>
        <w:wordWrap/>
        <w:overflowPunct/>
        <w:topLinePunct w:val="0"/>
        <w:autoSpaceDE/>
        <w:autoSpaceDN/>
        <w:bidi w:val="0"/>
        <w:adjustRightInd/>
        <w:snapToGrid/>
        <w:spacing w:before="0" w:after="0" w:line="360" w:lineRule="exact"/>
        <w:ind w:left="0" w:right="0"/>
        <w:textAlignment w:val="auto"/>
        <w:rPr>
          <w:rFonts w:hint="eastAsia" w:cs="宋体"/>
          <w:color w:val="auto"/>
          <w:sz w:val="21"/>
          <w:highlight w:val="none"/>
          <w:lang w:eastAsia="zh-CN"/>
        </w:rPr>
      </w:pPr>
    </w:p>
    <w:p w14:paraId="481BC7FD">
      <w:pPr>
        <w:pStyle w:val="3"/>
        <w:pageBreakBefore w:val="0"/>
        <w:widowControl w:val="0"/>
        <w:kinsoku/>
        <w:wordWrap/>
        <w:overflowPunct/>
        <w:topLinePunct w:val="0"/>
        <w:autoSpaceDE/>
        <w:autoSpaceDN/>
        <w:bidi w:val="0"/>
        <w:adjustRightInd/>
        <w:snapToGrid/>
        <w:spacing w:before="0" w:after="0" w:line="360" w:lineRule="exact"/>
        <w:ind w:left="0" w:right="0"/>
        <w:textAlignment w:val="auto"/>
        <w:rPr>
          <w:rFonts w:hint="eastAsia" w:ascii="宋体" w:hAnsi="宋体" w:eastAsia="宋体" w:cs="宋体"/>
          <w:color w:val="auto"/>
          <w:sz w:val="21"/>
          <w:szCs w:val="21"/>
          <w:highlight w:val="none"/>
          <w:lang w:eastAsia="zh-CN"/>
        </w:rPr>
        <w:sectPr>
          <w:footerReference r:id="rId6" w:type="default"/>
          <w:pgSz w:w="12240" w:h="15840"/>
          <w:pgMar w:top="1400" w:right="1467" w:bottom="1276" w:left="1700" w:header="0" w:footer="921" w:gutter="0"/>
          <w:pgNumType w:fmt="decimal"/>
          <w:cols w:space="720" w:num="1"/>
        </w:sectPr>
      </w:pPr>
    </w:p>
    <w:p w14:paraId="05EF7149">
      <w:pPr>
        <w:pStyle w:val="8"/>
        <w:spacing w:before="0" w:after="0" w:line="24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附件一：开标记录表</w:t>
      </w:r>
    </w:p>
    <w:p w14:paraId="2FFD8208">
      <w:pPr>
        <w:rPr>
          <w:rFonts w:hint="eastAsia" w:ascii="宋体" w:hAnsi="宋体" w:cs="宋体"/>
          <w:color w:val="auto"/>
          <w:highlight w:val="none"/>
        </w:rPr>
      </w:pPr>
    </w:p>
    <w:p w14:paraId="59CBF78B">
      <w:pPr>
        <w:spacing w:line="360" w:lineRule="auto"/>
        <w:jc w:val="center"/>
        <w:rPr>
          <w:rFonts w:hint="eastAsia" w:ascii="宋体" w:hAnsi="宋体" w:cs="宋体"/>
          <w:color w:val="auto"/>
          <w:highlight w:val="none"/>
        </w:rPr>
      </w:pPr>
      <w:r>
        <w:rPr>
          <w:rFonts w:hint="eastAsia" w:ascii="宋体" w:hAnsi="宋体" w:cs="宋体"/>
          <w:color w:val="auto"/>
          <w:sz w:val="24"/>
          <w:highlight w:val="none"/>
        </w:rPr>
        <w:t>开标记录表</w:t>
      </w:r>
    </w:p>
    <w:tbl>
      <w:tblPr>
        <w:tblStyle w:val="26"/>
        <w:tblW w:w="8936" w:type="dxa"/>
        <w:tblInd w:w="-10" w:type="dxa"/>
        <w:tblLayout w:type="fixed"/>
        <w:tblCellMar>
          <w:top w:w="0" w:type="dxa"/>
          <w:left w:w="0" w:type="dxa"/>
          <w:bottom w:w="0" w:type="dxa"/>
          <w:right w:w="0" w:type="dxa"/>
        </w:tblCellMar>
      </w:tblPr>
      <w:tblGrid>
        <w:gridCol w:w="698"/>
        <w:gridCol w:w="1100"/>
        <w:gridCol w:w="1326"/>
        <w:gridCol w:w="1417"/>
        <w:gridCol w:w="1320"/>
        <w:gridCol w:w="1232"/>
        <w:gridCol w:w="1843"/>
      </w:tblGrid>
      <w:tr w14:paraId="5DB7B5F9">
        <w:tblPrEx>
          <w:tblCellMar>
            <w:top w:w="0" w:type="dxa"/>
            <w:left w:w="0" w:type="dxa"/>
            <w:bottom w:w="0" w:type="dxa"/>
            <w:right w:w="0" w:type="dxa"/>
          </w:tblCellMar>
        </w:tblPrEx>
        <w:trPr>
          <w:trHeight w:val="1010"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32220ACF">
            <w:pPr>
              <w:pStyle w:val="37"/>
              <w:spacing w:befor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00" w:type="dxa"/>
            <w:tcBorders>
              <w:top w:val="single" w:color="000000" w:sz="4" w:space="0"/>
              <w:left w:val="single" w:color="000000" w:sz="4" w:space="0"/>
              <w:bottom w:val="single" w:color="000000" w:sz="4" w:space="0"/>
              <w:right w:val="single" w:color="000000" w:sz="4" w:space="0"/>
            </w:tcBorders>
            <w:vAlign w:val="center"/>
          </w:tcPr>
          <w:p w14:paraId="3E6857DD">
            <w:pPr>
              <w:pStyle w:val="37"/>
              <w:spacing w:befor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p>
        </w:tc>
        <w:tc>
          <w:tcPr>
            <w:tcW w:w="1326" w:type="dxa"/>
            <w:tcBorders>
              <w:top w:val="single" w:color="000000" w:sz="4" w:space="0"/>
              <w:left w:val="single" w:color="000000" w:sz="4" w:space="0"/>
              <w:bottom w:val="single" w:color="000000" w:sz="4" w:space="0"/>
              <w:right w:val="single" w:color="000000" w:sz="4" w:space="0"/>
            </w:tcBorders>
            <w:vAlign w:val="center"/>
          </w:tcPr>
          <w:p w14:paraId="3C5B6B98">
            <w:pPr>
              <w:pStyle w:val="37"/>
              <w:spacing w:befor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密封情况</w:t>
            </w:r>
          </w:p>
        </w:tc>
        <w:tc>
          <w:tcPr>
            <w:tcW w:w="1417" w:type="dxa"/>
            <w:tcBorders>
              <w:top w:val="single" w:color="000000" w:sz="4" w:space="0"/>
              <w:left w:val="single" w:color="000000" w:sz="4" w:space="0"/>
              <w:bottom w:val="single" w:color="000000" w:sz="4" w:space="0"/>
              <w:right w:val="single" w:color="000000" w:sz="4" w:space="0"/>
            </w:tcBorders>
            <w:vAlign w:val="center"/>
          </w:tcPr>
          <w:p w14:paraId="6D54E919">
            <w:pPr>
              <w:pStyle w:val="37"/>
              <w:spacing w:befor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320" w:type="dxa"/>
            <w:tcBorders>
              <w:top w:val="single" w:color="000000" w:sz="4" w:space="0"/>
              <w:left w:val="single" w:color="000000" w:sz="4" w:space="0"/>
              <w:bottom w:val="single" w:color="000000" w:sz="4" w:space="0"/>
              <w:right w:val="single" w:color="000000" w:sz="4" w:space="0"/>
            </w:tcBorders>
            <w:vAlign w:val="center"/>
          </w:tcPr>
          <w:p w14:paraId="7CE00C9F">
            <w:pPr>
              <w:pStyle w:val="37"/>
              <w:spacing w:befor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1232" w:type="dxa"/>
            <w:tcBorders>
              <w:top w:val="single" w:color="000000" w:sz="4" w:space="0"/>
              <w:left w:val="single" w:color="000000" w:sz="4" w:space="0"/>
              <w:bottom w:val="single" w:color="000000" w:sz="4" w:space="0"/>
              <w:right w:val="single" w:color="000000" w:sz="4" w:space="0"/>
            </w:tcBorders>
            <w:vAlign w:val="center"/>
          </w:tcPr>
          <w:p w14:paraId="53BEECEC">
            <w:pPr>
              <w:pStyle w:val="37"/>
              <w:spacing w:befor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1843" w:type="dxa"/>
            <w:tcBorders>
              <w:top w:val="single" w:color="000000" w:sz="4" w:space="0"/>
              <w:left w:val="single" w:color="000000" w:sz="4" w:space="0"/>
              <w:bottom w:val="single" w:color="000000" w:sz="4" w:space="0"/>
              <w:right w:val="single" w:color="000000" w:sz="4" w:space="0"/>
            </w:tcBorders>
            <w:vAlign w:val="center"/>
          </w:tcPr>
          <w:p w14:paraId="01B66799">
            <w:pPr>
              <w:pStyle w:val="37"/>
              <w:spacing w:befor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投标人代表签名</w:t>
            </w:r>
          </w:p>
        </w:tc>
      </w:tr>
      <w:tr w14:paraId="73E902F3">
        <w:tblPrEx>
          <w:tblCellMar>
            <w:top w:w="0" w:type="dxa"/>
            <w:left w:w="0" w:type="dxa"/>
            <w:bottom w:w="0" w:type="dxa"/>
            <w:right w:w="0" w:type="dxa"/>
          </w:tblCellMar>
        </w:tblPrEx>
        <w:trPr>
          <w:trHeight w:val="509"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7D548CFA">
            <w:pPr>
              <w:rPr>
                <w:rFonts w:hint="eastAsia" w:ascii="宋体" w:hAnsi="宋体" w:cs="宋体"/>
                <w:color w:val="auto"/>
                <w:highlight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A525656">
            <w:pPr>
              <w:rPr>
                <w:rFonts w:hint="eastAsia" w:ascii="宋体" w:hAnsi="宋体" w:cs="宋体"/>
                <w:color w:val="auto"/>
                <w:highlight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1942C59F">
            <w:pPr>
              <w:rPr>
                <w:rFonts w:hint="eastAsia" w:ascii="宋体" w:hAnsi="宋体" w:cs="宋体"/>
                <w:color w:val="auto"/>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C6754ED">
            <w:pPr>
              <w:rPr>
                <w:rFonts w:hint="eastAsia" w:ascii="宋体" w:hAnsi="宋体" w:cs="宋体"/>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59159B8">
            <w:pPr>
              <w:rPr>
                <w:rFonts w:hint="eastAsia" w:ascii="宋体" w:hAnsi="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1E4BA7B7">
            <w:pPr>
              <w:rPr>
                <w:rFonts w:hint="eastAsia" w:ascii="宋体" w:hAnsi="宋体" w:cs="宋体"/>
                <w:color w:val="auto"/>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6711FC63">
            <w:pPr>
              <w:rPr>
                <w:rFonts w:hint="eastAsia" w:ascii="宋体" w:hAnsi="宋体" w:cs="宋体"/>
                <w:color w:val="auto"/>
                <w:highlight w:val="none"/>
              </w:rPr>
            </w:pPr>
          </w:p>
        </w:tc>
      </w:tr>
      <w:tr w14:paraId="79D273BD">
        <w:tblPrEx>
          <w:tblCellMar>
            <w:top w:w="0" w:type="dxa"/>
            <w:left w:w="0" w:type="dxa"/>
            <w:bottom w:w="0" w:type="dxa"/>
            <w:right w:w="0" w:type="dxa"/>
          </w:tblCellMar>
        </w:tblPrEx>
        <w:trPr>
          <w:trHeight w:val="511"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73EF627B">
            <w:pPr>
              <w:rPr>
                <w:rFonts w:hint="eastAsia" w:ascii="宋体" w:hAnsi="宋体" w:cs="宋体"/>
                <w:color w:val="auto"/>
                <w:highlight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8CF11BD">
            <w:pPr>
              <w:rPr>
                <w:rFonts w:hint="eastAsia" w:ascii="宋体" w:hAnsi="宋体" w:cs="宋体"/>
                <w:color w:val="auto"/>
                <w:highlight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7D6B430C">
            <w:pPr>
              <w:rPr>
                <w:rFonts w:hint="eastAsia" w:ascii="宋体" w:hAnsi="宋体" w:cs="宋体"/>
                <w:color w:val="auto"/>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730C163">
            <w:pPr>
              <w:rPr>
                <w:rFonts w:hint="eastAsia" w:ascii="宋体" w:hAnsi="宋体" w:cs="宋体"/>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2D40FCF">
            <w:pPr>
              <w:rPr>
                <w:rFonts w:hint="eastAsia" w:ascii="宋体" w:hAnsi="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13518350">
            <w:pPr>
              <w:rPr>
                <w:rFonts w:hint="eastAsia" w:ascii="宋体" w:hAnsi="宋体" w:cs="宋体"/>
                <w:color w:val="auto"/>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15C892DF">
            <w:pPr>
              <w:rPr>
                <w:rFonts w:hint="eastAsia" w:ascii="宋体" w:hAnsi="宋体" w:cs="宋体"/>
                <w:color w:val="auto"/>
                <w:highlight w:val="none"/>
              </w:rPr>
            </w:pPr>
          </w:p>
        </w:tc>
      </w:tr>
      <w:tr w14:paraId="20078B13">
        <w:tblPrEx>
          <w:tblCellMar>
            <w:top w:w="0" w:type="dxa"/>
            <w:left w:w="0" w:type="dxa"/>
            <w:bottom w:w="0" w:type="dxa"/>
            <w:right w:w="0" w:type="dxa"/>
          </w:tblCellMar>
        </w:tblPrEx>
        <w:trPr>
          <w:trHeight w:val="509"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5936D879">
            <w:pPr>
              <w:rPr>
                <w:rFonts w:hint="eastAsia" w:ascii="宋体" w:hAnsi="宋体" w:cs="宋体"/>
                <w:color w:val="auto"/>
                <w:highlight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DFC0317">
            <w:pPr>
              <w:rPr>
                <w:rFonts w:hint="eastAsia" w:ascii="宋体" w:hAnsi="宋体" w:cs="宋体"/>
                <w:color w:val="auto"/>
                <w:highlight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7F029A77">
            <w:pPr>
              <w:rPr>
                <w:rFonts w:hint="eastAsia" w:ascii="宋体" w:hAnsi="宋体" w:cs="宋体"/>
                <w:color w:val="auto"/>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67BE39E">
            <w:pPr>
              <w:rPr>
                <w:rFonts w:hint="eastAsia" w:ascii="宋体" w:hAnsi="宋体" w:cs="宋体"/>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D270DBB">
            <w:pPr>
              <w:rPr>
                <w:rFonts w:hint="eastAsia" w:ascii="宋体" w:hAnsi="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580929AE">
            <w:pPr>
              <w:rPr>
                <w:rFonts w:hint="eastAsia" w:ascii="宋体" w:hAnsi="宋体" w:cs="宋体"/>
                <w:color w:val="auto"/>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34A1A028">
            <w:pPr>
              <w:rPr>
                <w:rFonts w:hint="eastAsia" w:ascii="宋体" w:hAnsi="宋体" w:cs="宋体"/>
                <w:color w:val="auto"/>
                <w:highlight w:val="none"/>
              </w:rPr>
            </w:pPr>
          </w:p>
        </w:tc>
      </w:tr>
      <w:tr w14:paraId="13895943">
        <w:tblPrEx>
          <w:tblCellMar>
            <w:top w:w="0" w:type="dxa"/>
            <w:left w:w="0" w:type="dxa"/>
            <w:bottom w:w="0" w:type="dxa"/>
            <w:right w:w="0" w:type="dxa"/>
          </w:tblCellMar>
        </w:tblPrEx>
        <w:trPr>
          <w:trHeight w:val="511"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445552D5">
            <w:pPr>
              <w:rPr>
                <w:rFonts w:hint="eastAsia" w:ascii="宋体" w:hAnsi="宋体" w:cs="宋体"/>
                <w:color w:val="auto"/>
                <w:highlight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4662040">
            <w:pPr>
              <w:rPr>
                <w:rFonts w:hint="eastAsia" w:ascii="宋体" w:hAnsi="宋体" w:cs="宋体"/>
                <w:color w:val="auto"/>
                <w:highlight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33E6352D">
            <w:pPr>
              <w:rPr>
                <w:rFonts w:hint="eastAsia" w:ascii="宋体" w:hAnsi="宋体" w:cs="宋体"/>
                <w:color w:val="auto"/>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F9BB2FE">
            <w:pPr>
              <w:rPr>
                <w:rFonts w:hint="eastAsia" w:ascii="宋体" w:hAnsi="宋体" w:cs="宋体"/>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757467A5">
            <w:pPr>
              <w:rPr>
                <w:rFonts w:hint="eastAsia" w:ascii="宋体" w:hAnsi="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7A7BD073">
            <w:pPr>
              <w:rPr>
                <w:rFonts w:hint="eastAsia" w:ascii="宋体" w:hAnsi="宋体" w:cs="宋体"/>
                <w:color w:val="auto"/>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3EE34FE">
            <w:pPr>
              <w:rPr>
                <w:rFonts w:hint="eastAsia" w:ascii="宋体" w:hAnsi="宋体" w:cs="宋体"/>
                <w:color w:val="auto"/>
                <w:highlight w:val="none"/>
              </w:rPr>
            </w:pPr>
          </w:p>
        </w:tc>
      </w:tr>
      <w:tr w14:paraId="4349ECFB">
        <w:tblPrEx>
          <w:tblCellMar>
            <w:top w:w="0" w:type="dxa"/>
            <w:left w:w="0" w:type="dxa"/>
            <w:bottom w:w="0" w:type="dxa"/>
            <w:right w:w="0" w:type="dxa"/>
          </w:tblCellMar>
        </w:tblPrEx>
        <w:trPr>
          <w:trHeight w:val="509"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5D9D7F0E">
            <w:pPr>
              <w:rPr>
                <w:rFonts w:hint="eastAsia" w:ascii="宋体" w:hAnsi="宋体" w:cs="宋体"/>
                <w:color w:val="auto"/>
                <w:highlight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2F9B088">
            <w:pPr>
              <w:rPr>
                <w:rFonts w:hint="eastAsia" w:ascii="宋体" w:hAnsi="宋体" w:cs="宋体"/>
                <w:color w:val="auto"/>
                <w:highlight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6C931799">
            <w:pPr>
              <w:rPr>
                <w:rFonts w:hint="eastAsia" w:ascii="宋体" w:hAnsi="宋体" w:cs="宋体"/>
                <w:color w:val="auto"/>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99356DC">
            <w:pPr>
              <w:rPr>
                <w:rFonts w:hint="eastAsia" w:ascii="宋体" w:hAnsi="宋体" w:cs="宋体"/>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590A2F8">
            <w:pPr>
              <w:rPr>
                <w:rFonts w:hint="eastAsia" w:ascii="宋体" w:hAnsi="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268BA2A4">
            <w:pPr>
              <w:rPr>
                <w:rFonts w:hint="eastAsia" w:ascii="宋体" w:hAnsi="宋体" w:cs="宋体"/>
                <w:color w:val="auto"/>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42C0B1D6">
            <w:pPr>
              <w:rPr>
                <w:rFonts w:hint="eastAsia" w:ascii="宋体" w:hAnsi="宋体" w:cs="宋体"/>
                <w:color w:val="auto"/>
                <w:highlight w:val="none"/>
              </w:rPr>
            </w:pPr>
          </w:p>
        </w:tc>
      </w:tr>
      <w:tr w14:paraId="7E017D0F">
        <w:tblPrEx>
          <w:tblCellMar>
            <w:top w:w="0" w:type="dxa"/>
            <w:left w:w="0" w:type="dxa"/>
            <w:bottom w:w="0" w:type="dxa"/>
            <w:right w:w="0" w:type="dxa"/>
          </w:tblCellMar>
        </w:tblPrEx>
        <w:trPr>
          <w:trHeight w:val="511"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30436CE8">
            <w:pPr>
              <w:rPr>
                <w:rFonts w:hint="eastAsia" w:ascii="宋体" w:hAnsi="宋体" w:cs="宋体"/>
                <w:color w:val="auto"/>
                <w:highlight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61077109">
            <w:pPr>
              <w:rPr>
                <w:rFonts w:hint="eastAsia" w:ascii="宋体" w:hAnsi="宋体" w:cs="宋体"/>
                <w:color w:val="auto"/>
                <w:highlight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5A3E329A">
            <w:pPr>
              <w:rPr>
                <w:rFonts w:hint="eastAsia" w:ascii="宋体" w:hAnsi="宋体" w:cs="宋体"/>
                <w:color w:val="auto"/>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BFE5CBD">
            <w:pPr>
              <w:rPr>
                <w:rFonts w:hint="eastAsia" w:ascii="宋体" w:hAnsi="宋体" w:cs="宋体"/>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0813667E">
            <w:pPr>
              <w:rPr>
                <w:rFonts w:hint="eastAsia" w:ascii="宋体" w:hAnsi="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6614B386">
            <w:pPr>
              <w:rPr>
                <w:rFonts w:hint="eastAsia" w:ascii="宋体" w:hAnsi="宋体" w:cs="宋体"/>
                <w:color w:val="auto"/>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729C785">
            <w:pPr>
              <w:rPr>
                <w:rFonts w:hint="eastAsia" w:ascii="宋体" w:hAnsi="宋体" w:cs="宋体"/>
                <w:color w:val="auto"/>
                <w:highlight w:val="none"/>
              </w:rPr>
            </w:pPr>
          </w:p>
        </w:tc>
      </w:tr>
      <w:tr w14:paraId="336A5FC2">
        <w:tblPrEx>
          <w:tblCellMar>
            <w:top w:w="0" w:type="dxa"/>
            <w:left w:w="0" w:type="dxa"/>
            <w:bottom w:w="0" w:type="dxa"/>
            <w:right w:w="0" w:type="dxa"/>
          </w:tblCellMar>
        </w:tblPrEx>
        <w:trPr>
          <w:trHeight w:val="509"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64171F9C">
            <w:pPr>
              <w:rPr>
                <w:rFonts w:hint="eastAsia" w:ascii="宋体" w:hAnsi="宋体" w:cs="宋体"/>
                <w:color w:val="auto"/>
                <w:highlight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9D82E98">
            <w:pPr>
              <w:rPr>
                <w:rFonts w:hint="eastAsia" w:ascii="宋体" w:hAnsi="宋体" w:cs="宋体"/>
                <w:color w:val="auto"/>
                <w:highlight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1964E74B">
            <w:pPr>
              <w:rPr>
                <w:rFonts w:hint="eastAsia" w:ascii="宋体" w:hAnsi="宋体" w:cs="宋体"/>
                <w:color w:val="auto"/>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24E4CE6">
            <w:pPr>
              <w:rPr>
                <w:rFonts w:hint="eastAsia" w:ascii="宋体" w:hAnsi="宋体" w:cs="宋体"/>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BC666B7">
            <w:pPr>
              <w:rPr>
                <w:rFonts w:hint="eastAsia" w:ascii="宋体" w:hAnsi="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008BD97E">
            <w:pPr>
              <w:rPr>
                <w:rFonts w:hint="eastAsia" w:ascii="宋体" w:hAnsi="宋体" w:cs="宋体"/>
                <w:color w:val="auto"/>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64234168">
            <w:pPr>
              <w:rPr>
                <w:rFonts w:hint="eastAsia" w:ascii="宋体" w:hAnsi="宋体" w:cs="宋体"/>
                <w:color w:val="auto"/>
                <w:highlight w:val="none"/>
              </w:rPr>
            </w:pPr>
          </w:p>
        </w:tc>
      </w:tr>
      <w:tr w14:paraId="7901DEA0">
        <w:tblPrEx>
          <w:tblCellMar>
            <w:top w:w="0" w:type="dxa"/>
            <w:left w:w="0" w:type="dxa"/>
            <w:bottom w:w="0" w:type="dxa"/>
            <w:right w:w="0" w:type="dxa"/>
          </w:tblCellMar>
        </w:tblPrEx>
        <w:trPr>
          <w:trHeight w:val="511"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04E7F655">
            <w:pPr>
              <w:rPr>
                <w:rFonts w:hint="eastAsia" w:ascii="宋体" w:hAnsi="宋体" w:cs="宋体"/>
                <w:color w:val="auto"/>
                <w:highlight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EA63FBD">
            <w:pPr>
              <w:rPr>
                <w:rFonts w:hint="eastAsia" w:ascii="宋体" w:hAnsi="宋体" w:cs="宋体"/>
                <w:color w:val="auto"/>
                <w:highlight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57F66974">
            <w:pPr>
              <w:rPr>
                <w:rFonts w:hint="eastAsia" w:ascii="宋体" w:hAnsi="宋体" w:cs="宋体"/>
                <w:color w:val="auto"/>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C53051D">
            <w:pPr>
              <w:rPr>
                <w:rFonts w:hint="eastAsia" w:ascii="宋体" w:hAnsi="宋体" w:cs="宋体"/>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13BC4A4">
            <w:pPr>
              <w:rPr>
                <w:rFonts w:hint="eastAsia" w:ascii="宋体" w:hAnsi="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61E2F112">
            <w:pPr>
              <w:rPr>
                <w:rFonts w:hint="eastAsia" w:ascii="宋体" w:hAnsi="宋体" w:cs="宋体"/>
                <w:color w:val="auto"/>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302F5E93">
            <w:pPr>
              <w:rPr>
                <w:rFonts w:hint="eastAsia" w:ascii="宋体" w:hAnsi="宋体" w:cs="宋体"/>
                <w:color w:val="auto"/>
                <w:highlight w:val="none"/>
              </w:rPr>
            </w:pPr>
          </w:p>
        </w:tc>
      </w:tr>
      <w:tr w14:paraId="38A5742C">
        <w:tblPrEx>
          <w:tblCellMar>
            <w:top w:w="0" w:type="dxa"/>
            <w:left w:w="0" w:type="dxa"/>
            <w:bottom w:w="0" w:type="dxa"/>
            <w:right w:w="0" w:type="dxa"/>
          </w:tblCellMar>
        </w:tblPrEx>
        <w:trPr>
          <w:trHeight w:val="511"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3AD5D3D3">
            <w:pPr>
              <w:rPr>
                <w:rFonts w:hint="eastAsia" w:ascii="宋体" w:hAnsi="宋体" w:cs="宋体"/>
                <w:color w:val="auto"/>
                <w:highlight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6216AA2">
            <w:pPr>
              <w:rPr>
                <w:rFonts w:hint="eastAsia" w:ascii="宋体" w:hAnsi="宋体" w:cs="宋体"/>
                <w:color w:val="auto"/>
                <w:highlight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0104B947">
            <w:pPr>
              <w:rPr>
                <w:rFonts w:hint="eastAsia" w:ascii="宋体" w:hAnsi="宋体" w:cs="宋体"/>
                <w:color w:val="auto"/>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F92BFAC">
            <w:pPr>
              <w:rPr>
                <w:rFonts w:hint="eastAsia" w:ascii="宋体" w:hAnsi="宋体" w:cs="宋体"/>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2751B4D">
            <w:pPr>
              <w:rPr>
                <w:rFonts w:hint="eastAsia" w:ascii="宋体" w:hAnsi="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4E697B5F">
            <w:pPr>
              <w:rPr>
                <w:rFonts w:hint="eastAsia" w:ascii="宋体" w:hAnsi="宋体" w:cs="宋体"/>
                <w:color w:val="auto"/>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3E239052">
            <w:pPr>
              <w:rPr>
                <w:rFonts w:hint="eastAsia" w:ascii="宋体" w:hAnsi="宋体" w:cs="宋体"/>
                <w:color w:val="auto"/>
                <w:highlight w:val="none"/>
              </w:rPr>
            </w:pPr>
          </w:p>
        </w:tc>
      </w:tr>
      <w:tr w14:paraId="39801BA5">
        <w:tblPrEx>
          <w:tblCellMar>
            <w:top w:w="0" w:type="dxa"/>
            <w:left w:w="0" w:type="dxa"/>
            <w:bottom w:w="0" w:type="dxa"/>
            <w:right w:w="0" w:type="dxa"/>
          </w:tblCellMar>
        </w:tblPrEx>
        <w:trPr>
          <w:trHeight w:val="511"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1C259FD7">
            <w:pPr>
              <w:rPr>
                <w:rFonts w:hint="eastAsia" w:ascii="宋体" w:hAnsi="宋体" w:cs="宋体"/>
                <w:color w:val="auto"/>
                <w:highlight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518907E1">
            <w:pPr>
              <w:rPr>
                <w:rFonts w:hint="eastAsia" w:ascii="宋体" w:hAnsi="宋体" w:cs="宋体"/>
                <w:color w:val="auto"/>
                <w:highlight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4A603142">
            <w:pPr>
              <w:rPr>
                <w:rFonts w:hint="eastAsia" w:ascii="宋体" w:hAnsi="宋体" w:cs="宋体"/>
                <w:color w:val="auto"/>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7FAAF88">
            <w:pPr>
              <w:rPr>
                <w:rFonts w:hint="eastAsia" w:ascii="宋体" w:hAnsi="宋体" w:cs="宋体"/>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F826F8A">
            <w:pPr>
              <w:rPr>
                <w:rFonts w:hint="eastAsia" w:ascii="宋体" w:hAnsi="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64ED9FAE">
            <w:pPr>
              <w:rPr>
                <w:rFonts w:hint="eastAsia" w:ascii="宋体" w:hAnsi="宋体" w:cs="宋体"/>
                <w:color w:val="auto"/>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B44554D">
            <w:pPr>
              <w:rPr>
                <w:rFonts w:hint="eastAsia" w:ascii="宋体" w:hAnsi="宋体" w:cs="宋体"/>
                <w:color w:val="auto"/>
                <w:highlight w:val="none"/>
              </w:rPr>
            </w:pPr>
          </w:p>
        </w:tc>
      </w:tr>
      <w:tr w14:paraId="2B66A549">
        <w:tblPrEx>
          <w:tblCellMar>
            <w:top w:w="0" w:type="dxa"/>
            <w:left w:w="0" w:type="dxa"/>
            <w:bottom w:w="0" w:type="dxa"/>
            <w:right w:w="0" w:type="dxa"/>
          </w:tblCellMar>
        </w:tblPrEx>
        <w:trPr>
          <w:trHeight w:val="509" w:hRule="exact"/>
        </w:trPr>
        <w:tc>
          <w:tcPr>
            <w:tcW w:w="698" w:type="dxa"/>
            <w:tcBorders>
              <w:top w:val="single" w:color="000000" w:sz="4" w:space="0"/>
              <w:left w:val="single" w:color="000000" w:sz="4" w:space="0"/>
              <w:bottom w:val="single" w:color="000000" w:sz="4" w:space="0"/>
              <w:right w:val="single" w:color="000000" w:sz="4" w:space="0"/>
            </w:tcBorders>
            <w:vAlign w:val="center"/>
          </w:tcPr>
          <w:p w14:paraId="3BBA15FC">
            <w:pPr>
              <w:rPr>
                <w:rFonts w:hint="eastAsia" w:ascii="宋体" w:hAnsi="宋体" w:cs="宋体"/>
                <w:color w:val="auto"/>
                <w:highlight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792482D">
            <w:pPr>
              <w:rPr>
                <w:rFonts w:hint="eastAsia" w:ascii="宋体" w:hAnsi="宋体" w:cs="宋体"/>
                <w:color w:val="auto"/>
                <w:highlight w:val="none"/>
              </w:rPr>
            </w:pPr>
          </w:p>
        </w:tc>
        <w:tc>
          <w:tcPr>
            <w:tcW w:w="1326" w:type="dxa"/>
            <w:tcBorders>
              <w:top w:val="single" w:color="000000" w:sz="4" w:space="0"/>
              <w:left w:val="single" w:color="000000" w:sz="4" w:space="0"/>
              <w:bottom w:val="single" w:color="000000" w:sz="4" w:space="0"/>
              <w:right w:val="single" w:color="000000" w:sz="4" w:space="0"/>
            </w:tcBorders>
            <w:vAlign w:val="center"/>
          </w:tcPr>
          <w:p w14:paraId="5E8EFEE2">
            <w:pPr>
              <w:rPr>
                <w:rFonts w:hint="eastAsia" w:ascii="宋体" w:hAnsi="宋体" w:cs="宋体"/>
                <w:color w:val="auto"/>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90C08BB">
            <w:pPr>
              <w:rPr>
                <w:rFonts w:hint="eastAsia" w:ascii="宋体" w:hAnsi="宋体" w:cs="宋体"/>
                <w:color w:val="auto"/>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C486EE9">
            <w:pPr>
              <w:rPr>
                <w:rFonts w:hint="eastAsia" w:ascii="宋体" w:hAnsi="宋体" w:cs="宋体"/>
                <w:color w:val="auto"/>
                <w:highlight w:val="none"/>
              </w:rPr>
            </w:pPr>
          </w:p>
        </w:tc>
        <w:tc>
          <w:tcPr>
            <w:tcW w:w="1232" w:type="dxa"/>
            <w:tcBorders>
              <w:top w:val="single" w:color="000000" w:sz="4" w:space="0"/>
              <w:left w:val="single" w:color="000000" w:sz="4" w:space="0"/>
              <w:bottom w:val="single" w:color="000000" w:sz="4" w:space="0"/>
              <w:right w:val="single" w:color="000000" w:sz="4" w:space="0"/>
            </w:tcBorders>
            <w:vAlign w:val="center"/>
          </w:tcPr>
          <w:p w14:paraId="2F0F2F7D">
            <w:pPr>
              <w:rPr>
                <w:rFonts w:hint="eastAsia" w:ascii="宋体" w:hAnsi="宋体" w:cs="宋体"/>
                <w:color w:val="auto"/>
                <w:highlight w:val="none"/>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7AAAF100">
            <w:pPr>
              <w:rPr>
                <w:rFonts w:hint="eastAsia" w:ascii="宋体" w:hAnsi="宋体" w:cs="宋体"/>
                <w:color w:val="auto"/>
                <w:highlight w:val="none"/>
              </w:rPr>
            </w:pPr>
          </w:p>
        </w:tc>
      </w:tr>
      <w:tr w14:paraId="267D4081">
        <w:tblPrEx>
          <w:tblCellMar>
            <w:top w:w="0" w:type="dxa"/>
            <w:left w:w="0" w:type="dxa"/>
            <w:bottom w:w="0" w:type="dxa"/>
            <w:right w:w="0" w:type="dxa"/>
          </w:tblCellMar>
        </w:tblPrEx>
        <w:trPr>
          <w:trHeight w:val="511" w:hRule="exact"/>
        </w:trPr>
        <w:tc>
          <w:tcPr>
            <w:tcW w:w="3124" w:type="dxa"/>
            <w:gridSpan w:val="3"/>
            <w:tcBorders>
              <w:top w:val="single" w:color="000000" w:sz="4" w:space="0"/>
              <w:left w:val="single" w:color="000000" w:sz="4" w:space="0"/>
              <w:bottom w:val="single" w:color="000000" w:sz="4" w:space="0"/>
              <w:right w:val="single" w:color="000000" w:sz="4" w:space="0"/>
            </w:tcBorders>
            <w:vAlign w:val="center"/>
          </w:tcPr>
          <w:p w14:paraId="0BB1175B">
            <w:pPr>
              <w:pStyle w:val="37"/>
              <w:rPr>
                <w:rFonts w:hint="eastAsia" w:ascii="宋体" w:hAnsi="宋体" w:eastAsia="宋体" w:cs="宋体"/>
                <w:color w:val="auto"/>
                <w:highlight w:val="none"/>
              </w:rPr>
            </w:pPr>
            <w:r>
              <w:rPr>
                <w:rFonts w:hint="eastAsia" w:ascii="宋体" w:hAnsi="宋体" w:eastAsia="宋体" w:cs="宋体"/>
                <w:color w:val="auto"/>
                <w:highlight w:val="none"/>
              </w:rPr>
              <w:t>最高投标限价：</w:t>
            </w:r>
          </w:p>
        </w:tc>
        <w:tc>
          <w:tcPr>
            <w:tcW w:w="5812" w:type="dxa"/>
            <w:gridSpan w:val="4"/>
            <w:tcBorders>
              <w:top w:val="single" w:color="auto" w:sz="4" w:space="0"/>
              <w:bottom w:val="single" w:color="auto" w:sz="4" w:space="0"/>
              <w:right w:val="single" w:color="auto" w:sz="4" w:space="0"/>
            </w:tcBorders>
          </w:tcPr>
          <w:p w14:paraId="7D2959BC">
            <w:pPr>
              <w:rPr>
                <w:rFonts w:hint="eastAsia" w:ascii="宋体" w:hAnsi="宋体" w:cs="宋体"/>
                <w:color w:val="auto"/>
                <w:highlight w:val="none"/>
              </w:rPr>
            </w:pPr>
          </w:p>
        </w:tc>
      </w:tr>
    </w:tbl>
    <w:p w14:paraId="37509841">
      <w:pPr>
        <w:pStyle w:val="3"/>
        <w:rPr>
          <w:rFonts w:hint="eastAsia" w:cs="宋体"/>
          <w:color w:val="auto"/>
          <w:highlight w:val="none"/>
          <w:lang w:eastAsia="zh-CN"/>
        </w:rPr>
      </w:pPr>
      <w:r>
        <w:rPr>
          <w:rFonts w:hint="eastAsia" w:cs="宋体"/>
          <w:color w:val="auto"/>
          <w:highlight w:val="none"/>
          <w:lang w:eastAsia="zh-CN"/>
        </w:rPr>
        <w:t>注：本表仅供参考，具体以开标时的开标记录表为准。</w:t>
      </w:r>
    </w:p>
    <w:p w14:paraId="6F52F09B">
      <w:pPr>
        <w:rPr>
          <w:rFonts w:hint="eastAsia" w:ascii="宋体" w:hAnsi="宋体" w:cs="宋体"/>
          <w:color w:val="auto"/>
          <w:highlight w:val="none"/>
        </w:rPr>
      </w:pPr>
    </w:p>
    <w:p w14:paraId="44D2BC36">
      <w:pPr>
        <w:pStyle w:val="3"/>
        <w:rPr>
          <w:rFonts w:hint="eastAsia" w:cs="宋体"/>
          <w:color w:val="auto"/>
          <w:highlight w:val="none"/>
          <w:lang w:eastAsia="zh-CN"/>
        </w:rPr>
      </w:pPr>
      <w:r>
        <w:rPr>
          <w:rFonts w:hint="eastAsia" w:cs="宋体"/>
          <w:color w:val="auto"/>
          <w:highlight w:val="none"/>
          <w:lang w:eastAsia="zh-CN"/>
        </w:rPr>
        <w:t>招标人代表：</w:t>
      </w:r>
      <w:r>
        <w:rPr>
          <w:rFonts w:hint="eastAsia" w:cs="宋体"/>
          <w:color w:val="auto"/>
          <w:highlight w:val="none"/>
          <w:u w:val="single" w:color="000000"/>
          <w:lang w:eastAsia="zh-CN"/>
        </w:rPr>
        <w:tab/>
      </w:r>
      <w:r>
        <w:rPr>
          <w:rFonts w:hint="eastAsia" w:cs="宋体"/>
          <w:color w:val="auto"/>
          <w:highlight w:val="none"/>
          <w:lang w:eastAsia="zh-CN"/>
        </w:rPr>
        <w:tab/>
      </w:r>
      <w:r>
        <w:rPr>
          <w:rFonts w:hint="eastAsia" w:cs="宋体"/>
          <w:color w:val="auto"/>
          <w:highlight w:val="none"/>
          <w:lang w:eastAsia="zh-CN"/>
        </w:rPr>
        <w:t>记录人：</w:t>
      </w:r>
      <w:r>
        <w:rPr>
          <w:rFonts w:hint="eastAsia" w:cs="宋体"/>
          <w:color w:val="auto"/>
          <w:highlight w:val="none"/>
          <w:u w:val="single" w:color="000000"/>
          <w:lang w:eastAsia="zh-CN"/>
        </w:rPr>
        <w:tab/>
      </w:r>
      <w:r>
        <w:rPr>
          <w:rFonts w:hint="eastAsia" w:cs="宋体"/>
          <w:color w:val="auto"/>
          <w:highlight w:val="none"/>
          <w:lang w:eastAsia="zh-CN"/>
        </w:rPr>
        <w:tab/>
      </w:r>
      <w:r>
        <w:rPr>
          <w:rFonts w:hint="eastAsia" w:cs="宋体"/>
          <w:color w:val="auto"/>
          <w:highlight w:val="none"/>
          <w:lang w:eastAsia="zh-CN"/>
        </w:rPr>
        <w:t>监标人：</w:t>
      </w:r>
      <w:r>
        <w:rPr>
          <w:rFonts w:hint="eastAsia" w:cs="宋体"/>
          <w:color w:val="auto"/>
          <w:highlight w:val="none"/>
          <w:u w:val="single" w:color="000000"/>
          <w:lang w:eastAsia="zh-CN"/>
        </w:rPr>
        <w:tab/>
      </w:r>
    </w:p>
    <w:p w14:paraId="07CAB126">
      <w:pPr>
        <w:rPr>
          <w:rFonts w:hint="eastAsia" w:ascii="宋体" w:hAnsi="宋体" w:cs="宋体"/>
          <w:color w:val="auto"/>
          <w:highlight w:val="none"/>
        </w:rPr>
      </w:pPr>
    </w:p>
    <w:p w14:paraId="53483D99">
      <w:pPr>
        <w:pStyle w:val="3"/>
        <w:rPr>
          <w:rFonts w:hint="eastAsia" w:cs="宋体"/>
          <w:color w:val="auto"/>
          <w:highlight w:val="none"/>
          <w:lang w:eastAsia="zh-CN"/>
        </w:rPr>
      </w:pPr>
      <w:r>
        <w:rPr>
          <w:rFonts w:hint="eastAsia" w:cs="宋体"/>
          <w:color w:val="auto"/>
          <w:highlight w:val="none"/>
          <w:u w:val="single" w:color="000000"/>
          <w:lang w:eastAsia="zh-CN"/>
        </w:rPr>
        <w:tab/>
      </w:r>
      <w:r>
        <w:rPr>
          <w:rFonts w:hint="eastAsia" w:cs="宋体"/>
          <w:color w:val="auto"/>
          <w:highlight w:val="none"/>
          <w:lang w:eastAsia="zh-CN"/>
        </w:rPr>
        <w:t>年</w:t>
      </w:r>
      <w:r>
        <w:rPr>
          <w:rFonts w:hint="eastAsia" w:cs="宋体"/>
          <w:color w:val="auto"/>
          <w:highlight w:val="none"/>
          <w:u w:val="single" w:color="000000"/>
          <w:lang w:eastAsia="zh-CN"/>
        </w:rPr>
        <w:tab/>
      </w:r>
      <w:r>
        <w:rPr>
          <w:rFonts w:hint="eastAsia" w:cs="宋体"/>
          <w:color w:val="auto"/>
          <w:spacing w:val="-3"/>
          <w:highlight w:val="none"/>
          <w:lang w:eastAsia="zh-CN"/>
        </w:rPr>
        <w:t>月</w:t>
      </w:r>
      <w:r>
        <w:rPr>
          <w:rFonts w:hint="eastAsia" w:cs="宋体"/>
          <w:color w:val="auto"/>
          <w:spacing w:val="-3"/>
          <w:highlight w:val="none"/>
          <w:u w:val="single" w:color="000000"/>
          <w:lang w:eastAsia="zh-CN"/>
        </w:rPr>
        <w:tab/>
      </w:r>
      <w:r>
        <w:rPr>
          <w:rFonts w:hint="eastAsia" w:cs="宋体"/>
          <w:color w:val="auto"/>
          <w:highlight w:val="none"/>
          <w:lang w:eastAsia="zh-CN"/>
        </w:rPr>
        <w:t>日</w:t>
      </w:r>
    </w:p>
    <w:p w14:paraId="435DABD2">
      <w:pPr>
        <w:pStyle w:val="3"/>
        <w:rPr>
          <w:rFonts w:hint="eastAsia" w:cs="宋体"/>
          <w:color w:val="auto"/>
          <w:highlight w:val="none"/>
          <w:lang w:eastAsia="zh-CN"/>
        </w:rPr>
      </w:pPr>
    </w:p>
    <w:p w14:paraId="05BE3FF0">
      <w:pPr>
        <w:pStyle w:val="3"/>
        <w:rPr>
          <w:rFonts w:hint="eastAsia" w:cs="宋体"/>
          <w:color w:val="auto"/>
          <w:highlight w:val="none"/>
          <w:lang w:eastAsia="zh-CN"/>
        </w:rPr>
      </w:pPr>
    </w:p>
    <w:p w14:paraId="0F57D4B5">
      <w:pPr>
        <w:rPr>
          <w:rFonts w:hint="eastAsia" w:ascii="宋体" w:hAnsi="宋体" w:eastAsia="宋体" w:cs="宋体"/>
          <w:color w:val="auto"/>
          <w:highlight w:val="none"/>
        </w:rPr>
        <w:sectPr>
          <w:pgSz w:w="12240" w:h="15840"/>
          <w:pgMar w:top="1400" w:right="1680" w:bottom="1120" w:left="1580" w:header="0" w:footer="921" w:gutter="0"/>
          <w:pgNumType w:fmt="decimal"/>
          <w:cols w:space="720" w:num="1"/>
        </w:sectPr>
      </w:pPr>
    </w:p>
    <w:p w14:paraId="55AE8C30">
      <w:pPr>
        <w:pStyle w:val="8"/>
        <w:spacing w:before="0" w:after="0" w:line="24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附件二：问题澄清通知</w:t>
      </w:r>
    </w:p>
    <w:p w14:paraId="54A6E80A">
      <w:pPr>
        <w:rPr>
          <w:rFonts w:hint="eastAsia" w:ascii="宋体" w:hAnsi="宋体" w:cs="宋体"/>
          <w:color w:val="auto"/>
          <w:highlight w:val="none"/>
        </w:rPr>
      </w:pPr>
    </w:p>
    <w:p w14:paraId="394295D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问题澄清通知</w:t>
      </w:r>
    </w:p>
    <w:p w14:paraId="6A7C8742">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（编号：</w:t>
      </w:r>
      <w:r>
        <w:rPr>
          <w:rFonts w:hint="eastAsia" w:ascii="宋体" w:hAnsi="宋体" w:cs="宋体"/>
          <w:color w:val="auto"/>
          <w:sz w:val="21"/>
          <w:szCs w:val="21"/>
          <w:highlight w:val="none"/>
        </w:rPr>
        <w:tab/>
      </w:r>
      <w:r>
        <w:rPr>
          <w:rFonts w:hint="eastAsia" w:ascii="宋体" w:hAnsi="宋体" w:cs="宋体"/>
          <w:color w:val="auto"/>
          <w:sz w:val="21"/>
          <w:szCs w:val="21"/>
          <w:highlight w:val="none"/>
        </w:rPr>
        <w:t>）</w:t>
      </w:r>
    </w:p>
    <w:p w14:paraId="1E17FC5C">
      <w:pPr>
        <w:rPr>
          <w:rFonts w:hint="eastAsia" w:ascii="宋体" w:hAnsi="宋体" w:cs="宋体"/>
          <w:color w:val="auto"/>
          <w:highlight w:val="none"/>
        </w:rPr>
      </w:pPr>
    </w:p>
    <w:p w14:paraId="3D7A7979">
      <w:pPr>
        <w:rPr>
          <w:rFonts w:hint="eastAsia" w:ascii="宋体" w:hAnsi="宋体" w:cs="宋体"/>
          <w:color w:val="auto"/>
          <w:highlight w:val="none"/>
        </w:rPr>
      </w:pPr>
    </w:p>
    <w:p w14:paraId="794380E2">
      <w:pPr>
        <w:spacing w:line="360" w:lineRule="exact"/>
        <w:rPr>
          <w:rFonts w:hint="eastAsia" w:ascii="宋体" w:hAnsi="宋体" w:cs="宋体"/>
          <w:color w:val="auto"/>
          <w:sz w:val="21"/>
          <w:szCs w:val="21"/>
          <w:highlight w:val="none"/>
        </w:rPr>
      </w:pPr>
    </w:p>
    <w:p w14:paraId="59A801C6">
      <w:pPr>
        <w:pStyle w:val="3"/>
        <w:spacing w:line="360" w:lineRule="exact"/>
        <w:rPr>
          <w:rFonts w:hint="eastAsia" w:cs="宋体"/>
          <w:color w:val="auto"/>
          <w:sz w:val="21"/>
          <w:szCs w:val="21"/>
          <w:highlight w:val="none"/>
          <w:lang w:eastAsia="zh-CN"/>
        </w:rPr>
      </w:pPr>
      <w:r>
        <w:rPr>
          <w:rFonts w:hint="eastAsia" w:cs="宋体"/>
          <w:color w:val="auto"/>
          <w:w w:val="201"/>
          <w:sz w:val="21"/>
          <w:szCs w:val="21"/>
          <w:highlight w:val="none"/>
          <w:u w:val="single"/>
          <w:lang w:eastAsia="zh-CN"/>
        </w:rPr>
        <w:t xml:space="preserve"> </w:t>
      </w:r>
      <w:r>
        <w:rPr>
          <w:rFonts w:hint="eastAsia" w:cs="宋体"/>
          <w:color w:val="auto"/>
          <w:sz w:val="21"/>
          <w:szCs w:val="21"/>
          <w:highlight w:val="none"/>
          <w:u w:val="single"/>
          <w:lang w:eastAsia="zh-CN"/>
        </w:rPr>
        <w:tab/>
      </w:r>
      <w:r>
        <w:rPr>
          <w:rFonts w:hint="eastAsia" w:cs="宋体"/>
          <w:color w:val="auto"/>
          <w:sz w:val="21"/>
          <w:szCs w:val="21"/>
          <w:highlight w:val="none"/>
          <w:u w:val="single"/>
          <w:lang w:eastAsia="zh-CN"/>
        </w:rPr>
        <w:t xml:space="preserve">        </w:t>
      </w:r>
      <w:r>
        <w:rPr>
          <w:rFonts w:hint="eastAsia" w:cs="宋体"/>
          <w:color w:val="auto"/>
          <w:spacing w:val="-3"/>
          <w:sz w:val="21"/>
          <w:szCs w:val="21"/>
          <w:highlight w:val="none"/>
          <w:lang w:eastAsia="zh-CN"/>
        </w:rPr>
        <w:t>（</w:t>
      </w:r>
      <w:r>
        <w:rPr>
          <w:rFonts w:hint="eastAsia" w:cs="宋体"/>
          <w:color w:val="auto"/>
          <w:sz w:val="21"/>
          <w:szCs w:val="21"/>
          <w:highlight w:val="none"/>
          <w:lang w:eastAsia="zh-CN"/>
        </w:rPr>
        <w:t>投标</w:t>
      </w:r>
      <w:r>
        <w:rPr>
          <w:rFonts w:hint="eastAsia" w:cs="宋体"/>
          <w:color w:val="auto"/>
          <w:spacing w:val="-3"/>
          <w:sz w:val="21"/>
          <w:szCs w:val="21"/>
          <w:highlight w:val="none"/>
          <w:lang w:eastAsia="zh-CN"/>
        </w:rPr>
        <w:t>人</w:t>
      </w:r>
      <w:r>
        <w:rPr>
          <w:rFonts w:hint="eastAsia" w:cs="宋体"/>
          <w:color w:val="auto"/>
          <w:sz w:val="21"/>
          <w:szCs w:val="21"/>
          <w:highlight w:val="none"/>
          <w:lang w:eastAsia="zh-CN"/>
        </w:rPr>
        <w:t>名</w:t>
      </w:r>
      <w:r>
        <w:rPr>
          <w:rFonts w:hint="eastAsia" w:cs="宋体"/>
          <w:color w:val="auto"/>
          <w:spacing w:val="-3"/>
          <w:sz w:val="21"/>
          <w:szCs w:val="21"/>
          <w:highlight w:val="none"/>
          <w:lang w:eastAsia="zh-CN"/>
        </w:rPr>
        <w:t>称</w:t>
      </w:r>
      <w:r>
        <w:rPr>
          <w:rFonts w:hint="eastAsia" w:cs="宋体"/>
          <w:color w:val="auto"/>
          <w:spacing w:val="-106"/>
          <w:sz w:val="21"/>
          <w:szCs w:val="21"/>
          <w:highlight w:val="none"/>
          <w:lang w:eastAsia="zh-CN"/>
        </w:rPr>
        <w:t>）</w:t>
      </w:r>
      <w:r>
        <w:rPr>
          <w:rFonts w:hint="eastAsia" w:cs="宋体"/>
          <w:color w:val="auto"/>
          <w:sz w:val="21"/>
          <w:szCs w:val="21"/>
          <w:highlight w:val="none"/>
          <w:lang w:eastAsia="zh-CN"/>
        </w:rPr>
        <w:t>：</w:t>
      </w:r>
    </w:p>
    <w:p w14:paraId="79D50594">
      <w:pPr>
        <w:spacing w:line="360" w:lineRule="exact"/>
        <w:rPr>
          <w:rFonts w:hint="eastAsia" w:ascii="宋体" w:hAnsi="宋体" w:cs="宋体"/>
          <w:color w:val="auto"/>
          <w:sz w:val="21"/>
          <w:szCs w:val="21"/>
          <w:highlight w:val="none"/>
        </w:rPr>
      </w:pPr>
    </w:p>
    <w:p w14:paraId="5B99CBF5">
      <w:pPr>
        <w:spacing w:line="360" w:lineRule="exact"/>
        <w:rPr>
          <w:rFonts w:hint="eastAsia" w:ascii="宋体" w:hAnsi="宋体" w:cs="宋体"/>
          <w:color w:val="auto"/>
          <w:sz w:val="21"/>
          <w:szCs w:val="21"/>
          <w:highlight w:val="none"/>
        </w:rPr>
      </w:pPr>
    </w:p>
    <w:p w14:paraId="62751F16">
      <w:pPr>
        <w:spacing w:line="360" w:lineRule="exact"/>
        <w:rPr>
          <w:rFonts w:hint="eastAsia" w:ascii="宋体" w:hAnsi="宋体" w:cs="宋体"/>
          <w:color w:val="auto"/>
          <w:sz w:val="21"/>
          <w:szCs w:val="21"/>
          <w:highlight w:val="none"/>
        </w:rPr>
      </w:pPr>
    </w:p>
    <w:p w14:paraId="117F7C05">
      <w:pPr>
        <w:pStyle w:val="3"/>
        <w:spacing w:line="360" w:lineRule="exact"/>
        <w:rPr>
          <w:rFonts w:hint="eastAsia" w:cs="宋体"/>
          <w:color w:val="auto"/>
          <w:sz w:val="21"/>
          <w:szCs w:val="21"/>
          <w:highlight w:val="none"/>
          <w:lang w:eastAsia="zh-CN"/>
        </w:rPr>
      </w:pPr>
      <w:r>
        <w:rPr>
          <w:rFonts w:hint="eastAsia" w:cs="宋体"/>
          <w:color w:val="auto"/>
          <w:sz w:val="21"/>
          <w:szCs w:val="21"/>
          <w:highlight w:val="none"/>
          <w:lang w:eastAsia="zh-CN"/>
        </w:rPr>
        <w:t>评标委员会</w:t>
      </w:r>
      <w:r>
        <w:rPr>
          <w:rFonts w:hint="eastAsia" w:cs="宋体"/>
          <w:color w:val="auto"/>
          <w:spacing w:val="-3"/>
          <w:sz w:val="21"/>
          <w:szCs w:val="21"/>
          <w:highlight w:val="none"/>
          <w:lang w:eastAsia="zh-CN"/>
        </w:rPr>
        <w:t>对</w:t>
      </w:r>
      <w:r>
        <w:rPr>
          <w:rFonts w:hint="eastAsia" w:cs="宋体"/>
          <w:color w:val="auto"/>
          <w:sz w:val="21"/>
          <w:szCs w:val="21"/>
          <w:highlight w:val="none"/>
          <w:lang w:eastAsia="zh-CN"/>
        </w:rPr>
        <w:t>你方</w:t>
      </w:r>
      <w:r>
        <w:rPr>
          <w:rFonts w:hint="eastAsia" w:cs="宋体"/>
          <w:color w:val="auto"/>
          <w:spacing w:val="-3"/>
          <w:sz w:val="21"/>
          <w:szCs w:val="21"/>
          <w:highlight w:val="none"/>
          <w:lang w:eastAsia="zh-CN"/>
        </w:rPr>
        <w:t>的</w:t>
      </w:r>
      <w:r>
        <w:rPr>
          <w:rFonts w:hint="eastAsia" w:cs="宋体"/>
          <w:color w:val="auto"/>
          <w:sz w:val="21"/>
          <w:szCs w:val="21"/>
          <w:highlight w:val="none"/>
          <w:lang w:eastAsia="zh-CN"/>
        </w:rPr>
        <w:t>投标文件进行了</w:t>
      </w:r>
      <w:r>
        <w:rPr>
          <w:rFonts w:hint="eastAsia" w:cs="宋体"/>
          <w:color w:val="auto"/>
          <w:spacing w:val="-3"/>
          <w:sz w:val="21"/>
          <w:szCs w:val="21"/>
          <w:highlight w:val="none"/>
          <w:lang w:eastAsia="zh-CN"/>
        </w:rPr>
        <w:t>仔</w:t>
      </w:r>
      <w:r>
        <w:rPr>
          <w:rFonts w:hint="eastAsia" w:cs="宋体"/>
          <w:color w:val="auto"/>
          <w:sz w:val="21"/>
          <w:szCs w:val="21"/>
          <w:highlight w:val="none"/>
          <w:lang w:eastAsia="zh-CN"/>
        </w:rPr>
        <w:t>细的</w:t>
      </w:r>
      <w:r>
        <w:rPr>
          <w:rFonts w:hint="eastAsia" w:cs="宋体"/>
          <w:color w:val="auto"/>
          <w:spacing w:val="-3"/>
          <w:sz w:val="21"/>
          <w:szCs w:val="21"/>
          <w:highlight w:val="none"/>
          <w:lang w:eastAsia="zh-CN"/>
        </w:rPr>
        <w:t>审</w:t>
      </w:r>
      <w:r>
        <w:rPr>
          <w:rFonts w:hint="eastAsia" w:cs="宋体"/>
          <w:color w:val="auto"/>
          <w:sz w:val="21"/>
          <w:szCs w:val="21"/>
          <w:highlight w:val="none"/>
          <w:lang w:eastAsia="zh-CN"/>
        </w:rPr>
        <w:t>查，现需你方对</w:t>
      </w:r>
      <w:r>
        <w:rPr>
          <w:rFonts w:hint="eastAsia" w:cs="宋体"/>
          <w:color w:val="auto"/>
          <w:spacing w:val="-3"/>
          <w:sz w:val="21"/>
          <w:szCs w:val="21"/>
          <w:highlight w:val="none"/>
          <w:lang w:eastAsia="zh-CN"/>
        </w:rPr>
        <w:t>下</w:t>
      </w:r>
      <w:r>
        <w:rPr>
          <w:rFonts w:hint="eastAsia" w:cs="宋体"/>
          <w:color w:val="auto"/>
          <w:sz w:val="21"/>
          <w:szCs w:val="21"/>
          <w:highlight w:val="none"/>
          <w:lang w:eastAsia="zh-CN"/>
        </w:rPr>
        <w:t>列问</w:t>
      </w:r>
      <w:r>
        <w:rPr>
          <w:rFonts w:hint="eastAsia" w:cs="宋体"/>
          <w:color w:val="auto"/>
          <w:spacing w:val="-3"/>
          <w:sz w:val="21"/>
          <w:szCs w:val="21"/>
          <w:highlight w:val="none"/>
          <w:lang w:eastAsia="zh-CN"/>
        </w:rPr>
        <w:t>题</w:t>
      </w:r>
      <w:r>
        <w:rPr>
          <w:rFonts w:hint="eastAsia" w:cs="宋体"/>
          <w:color w:val="auto"/>
          <w:sz w:val="21"/>
          <w:szCs w:val="21"/>
          <w:highlight w:val="none"/>
          <w:lang w:eastAsia="zh-CN"/>
        </w:rPr>
        <w:t>以书面形式予</w:t>
      </w:r>
      <w:r>
        <w:rPr>
          <w:rFonts w:hint="eastAsia" w:cs="宋体"/>
          <w:color w:val="auto"/>
          <w:spacing w:val="-3"/>
          <w:sz w:val="21"/>
          <w:szCs w:val="21"/>
          <w:highlight w:val="none"/>
          <w:lang w:eastAsia="zh-CN"/>
        </w:rPr>
        <w:t>以</w:t>
      </w:r>
      <w:r>
        <w:rPr>
          <w:rFonts w:hint="eastAsia" w:cs="宋体"/>
          <w:color w:val="auto"/>
          <w:sz w:val="21"/>
          <w:szCs w:val="21"/>
          <w:highlight w:val="none"/>
          <w:lang w:eastAsia="zh-CN"/>
        </w:rPr>
        <w:t>澄清、</w:t>
      </w:r>
      <w:r>
        <w:rPr>
          <w:rFonts w:hint="eastAsia" w:cs="宋体"/>
          <w:color w:val="auto"/>
          <w:spacing w:val="-3"/>
          <w:sz w:val="21"/>
          <w:szCs w:val="21"/>
          <w:highlight w:val="none"/>
          <w:lang w:eastAsia="zh-CN"/>
        </w:rPr>
        <w:t>说</w:t>
      </w:r>
      <w:r>
        <w:rPr>
          <w:rFonts w:hint="eastAsia" w:cs="宋体"/>
          <w:color w:val="auto"/>
          <w:sz w:val="21"/>
          <w:szCs w:val="21"/>
          <w:highlight w:val="none"/>
          <w:lang w:eastAsia="zh-CN"/>
        </w:rPr>
        <w:t>明</w:t>
      </w:r>
      <w:r>
        <w:rPr>
          <w:rFonts w:hint="eastAsia" w:cs="宋体"/>
          <w:color w:val="auto"/>
          <w:spacing w:val="-3"/>
          <w:sz w:val="21"/>
          <w:szCs w:val="21"/>
          <w:highlight w:val="none"/>
          <w:lang w:eastAsia="zh-CN"/>
        </w:rPr>
        <w:t>或</w:t>
      </w:r>
      <w:r>
        <w:rPr>
          <w:rFonts w:hint="eastAsia" w:cs="宋体"/>
          <w:color w:val="auto"/>
          <w:sz w:val="21"/>
          <w:szCs w:val="21"/>
          <w:highlight w:val="none"/>
          <w:lang w:eastAsia="zh-CN"/>
        </w:rPr>
        <w:t>补</w:t>
      </w:r>
      <w:r>
        <w:rPr>
          <w:rFonts w:hint="eastAsia" w:cs="宋体"/>
          <w:color w:val="auto"/>
          <w:spacing w:val="-3"/>
          <w:sz w:val="21"/>
          <w:szCs w:val="21"/>
          <w:highlight w:val="none"/>
          <w:lang w:eastAsia="zh-CN"/>
        </w:rPr>
        <w:t>正</w:t>
      </w:r>
      <w:r>
        <w:rPr>
          <w:rFonts w:hint="eastAsia" w:cs="宋体"/>
          <w:color w:val="auto"/>
          <w:sz w:val="21"/>
          <w:szCs w:val="21"/>
          <w:highlight w:val="none"/>
          <w:lang w:eastAsia="zh-CN"/>
        </w:rPr>
        <w:t>：</w:t>
      </w:r>
    </w:p>
    <w:p w14:paraId="2850BCB8">
      <w:pPr>
        <w:spacing w:line="360" w:lineRule="exact"/>
        <w:rPr>
          <w:rFonts w:hint="eastAsia" w:ascii="宋体" w:hAnsi="宋体" w:cs="宋体"/>
          <w:color w:val="auto"/>
          <w:sz w:val="21"/>
          <w:szCs w:val="21"/>
          <w:highlight w:val="none"/>
        </w:rPr>
      </w:pPr>
    </w:p>
    <w:p w14:paraId="026FE2D4">
      <w:pPr>
        <w:spacing w:line="360" w:lineRule="exact"/>
        <w:rPr>
          <w:rFonts w:hint="eastAsia" w:ascii="宋体" w:hAnsi="宋体" w:cs="宋体"/>
          <w:color w:val="auto"/>
          <w:sz w:val="21"/>
          <w:szCs w:val="21"/>
          <w:highlight w:val="none"/>
        </w:rPr>
      </w:pPr>
    </w:p>
    <w:p w14:paraId="7018EB8B">
      <w:pPr>
        <w:spacing w:line="360" w:lineRule="exact"/>
        <w:rPr>
          <w:rFonts w:hint="eastAsia" w:ascii="宋体" w:hAnsi="宋体" w:cs="宋体"/>
          <w:color w:val="auto"/>
          <w:sz w:val="21"/>
          <w:szCs w:val="21"/>
          <w:highlight w:val="none"/>
        </w:rPr>
      </w:pPr>
    </w:p>
    <w:p w14:paraId="03D8602A">
      <w:pPr>
        <w:pStyle w:val="3"/>
        <w:spacing w:line="360" w:lineRule="exact"/>
        <w:rPr>
          <w:rFonts w:hint="eastAsia" w:cs="宋体"/>
          <w:color w:val="auto"/>
          <w:sz w:val="21"/>
          <w:szCs w:val="21"/>
          <w:highlight w:val="none"/>
          <w:lang w:eastAsia="zh-CN"/>
        </w:rPr>
      </w:pPr>
      <w:r>
        <w:rPr>
          <w:rFonts w:hint="eastAsia" w:cs="宋体"/>
          <w:color w:val="auto"/>
          <w:sz w:val="21"/>
          <w:szCs w:val="21"/>
          <w:highlight w:val="none"/>
          <w:lang w:eastAsia="zh-CN"/>
        </w:rPr>
        <w:t>1.</w:t>
      </w:r>
    </w:p>
    <w:p w14:paraId="3DC924F6">
      <w:pPr>
        <w:spacing w:line="360" w:lineRule="exact"/>
        <w:rPr>
          <w:rFonts w:hint="eastAsia" w:ascii="宋体" w:hAnsi="宋体" w:cs="宋体"/>
          <w:color w:val="auto"/>
          <w:sz w:val="21"/>
          <w:szCs w:val="21"/>
          <w:highlight w:val="none"/>
        </w:rPr>
      </w:pPr>
    </w:p>
    <w:p w14:paraId="44066722">
      <w:pPr>
        <w:pStyle w:val="3"/>
        <w:spacing w:line="360" w:lineRule="exact"/>
        <w:rPr>
          <w:rFonts w:hint="eastAsia" w:cs="宋体"/>
          <w:color w:val="auto"/>
          <w:sz w:val="21"/>
          <w:szCs w:val="21"/>
          <w:highlight w:val="none"/>
          <w:lang w:eastAsia="zh-CN"/>
        </w:rPr>
      </w:pPr>
      <w:r>
        <w:rPr>
          <w:rFonts w:hint="eastAsia" w:cs="宋体"/>
          <w:color w:val="auto"/>
          <w:sz w:val="21"/>
          <w:szCs w:val="21"/>
          <w:highlight w:val="none"/>
          <w:lang w:eastAsia="zh-CN"/>
        </w:rPr>
        <w:t>2.</w:t>
      </w:r>
    </w:p>
    <w:p w14:paraId="138A6F7A">
      <w:pPr>
        <w:spacing w:line="360" w:lineRule="exact"/>
        <w:rPr>
          <w:rFonts w:hint="eastAsia" w:ascii="宋体" w:hAnsi="宋体" w:cs="宋体"/>
          <w:color w:val="auto"/>
          <w:sz w:val="21"/>
          <w:szCs w:val="21"/>
          <w:highlight w:val="none"/>
        </w:rPr>
      </w:pPr>
    </w:p>
    <w:p w14:paraId="3E11BCFA">
      <w:pPr>
        <w:pStyle w:val="3"/>
        <w:spacing w:line="360" w:lineRule="exact"/>
        <w:rPr>
          <w:rFonts w:hint="eastAsia" w:cs="宋体"/>
          <w:color w:val="auto"/>
          <w:sz w:val="21"/>
          <w:szCs w:val="21"/>
          <w:highlight w:val="none"/>
          <w:lang w:eastAsia="zh-CN"/>
        </w:rPr>
      </w:pPr>
      <w:r>
        <w:rPr>
          <w:rFonts w:hint="eastAsia" w:cs="宋体"/>
          <w:color w:val="auto"/>
          <w:sz w:val="21"/>
          <w:szCs w:val="21"/>
          <w:highlight w:val="none"/>
          <w:lang w:eastAsia="zh-CN"/>
        </w:rPr>
        <w:t>.</w:t>
      </w:r>
      <w:r>
        <w:rPr>
          <w:rFonts w:hint="eastAsia" w:cs="宋体"/>
          <w:color w:val="auto"/>
          <w:spacing w:val="-3"/>
          <w:sz w:val="21"/>
          <w:szCs w:val="21"/>
          <w:highlight w:val="none"/>
          <w:lang w:eastAsia="zh-CN"/>
        </w:rPr>
        <w:t>.</w:t>
      </w:r>
      <w:r>
        <w:rPr>
          <w:rFonts w:hint="eastAsia" w:cs="宋体"/>
          <w:color w:val="auto"/>
          <w:sz w:val="21"/>
          <w:szCs w:val="21"/>
          <w:highlight w:val="none"/>
          <w:lang w:eastAsia="zh-CN"/>
        </w:rPr>
        <w:t>....</w:t>
      </w:r>
    </w:p>
    <w:p w14:paraId="68B9ADF9">
      <w:pPr>
        <w:spacing w:line="360" w:lineRule="exact"/>
        <w:rPr>
          <w:rFonts w:hint="eastAsia" w:ascii="宋体" w:hAnsi="宋体" w:cs="宋体"/>
          <w:color w:val="auto"/>
          <w:sz w:val="21"/>
          <w:szCs w:val="21"/>
          <w:highlight w:val="none"/>
        </w:rPr>
      </w:pPr>
    </w:p>
    <w:p w14:paraId="550C65F8">
      <w:pPr>
        <w:spacing w:line="360" w:lineRule="exact"/>
        <w:rPr>
          <w:rFonts w:hint="eastAsia" w:ascii="宋体" w:hAnsi="宋体" w:cs="宋体"/>
          <w:color w:val="auto"/>
          <w:sz w:val="21"/>
          <w:szCs w:val="21"/>
          <w:highlight w:val="none"/>
        </w:rPr>
      </w:pPr>
    </w:p>
    <w:p w14:paraId="12B8DF3B">
      <w:pPr>
        <w:pStyle w:val="3"/>
        <w:spacing w:line="360" w:lineRule="exact"/>
        <w:rPr>
          <w:rFonts w:hint="eastAsia" w:cs="宋体"/>
          <w:color w:val="auto"/>
          <w:sz w:val="21"/>
          <w:szCs w:val="21"/>
          <w:highlight w:val="none"/>
          <w:lang w:eastAsia="zh-CN"/>
        </w:rPr>
      </w:pPr>
      <w:r>
        <w:rPr>
          <w:rFonts w:hint="eastAsia" w:cs="宋体"/>
          <w:color w:val="auto"/>
          <w:sz w:val="21"/>
          <w:szCs w:val="21"/>
          <w:highlight w:val="none"/>
          <w:lang w:eastAsia="zh-CN"/>
        </w:rPr>
        <w:t>请将</w:t>
      </w:r>
      <w:r>
        <w:rPr>
          <w:rFonts w:hint="eastAsia" w:cs="宋体"/>
          <w:color w:val="auto"/>
          <w:spacing w:val="-3"/>
          <w:sz w:val="21"/>
          <w:szCs w:val="21"/>
          <w:highlight w:val="none"/>
          <w:lang w:eastAsia="zh-CN"/>
        </w:rPr>
        <w:t>上</w:t>
      </w:r>
      <w:r>
        <w:rPr>
          <w:rFonts w:hint="eastAsia" w:cs="宋体"/>
          <w:color w:val="auto"/>
          <w:sz w:val="21"/>
          <w:szCs w:val="21"/>
          <w:highlight w:val="none"/>
          <w:lang w:eastAsia="zh-CN"/>
        </w:rPr>
        <w:t>述</w:t>
      </w:r>
      <w:r>
        <w:rPr>
          <w:rFonts w:hint="eastAsia" w:cs="宋体"/>
          <w:color w:val="auto"/>
          <w:spacing w:val="-3"/>
          <w:sz w:val="21"/>
          <w:szCs w:val="21"/>
          <w:highlight w:val="none"/>
          <w:lang w:eastAsia="zh-CN"/>
        </w:rPr>
        <w:t>问</w:t>
      </w:r>
      <w:r>
        <w:rPr>
          <w:rFonts w:hint="eastAsia" w:cs="宋体"/>
          <w:color w:val="auto"/>
          <w:sz w:val="21"/>
          <w:szCs w:val="21"/>
          <w:highlight w:val="none"/>
          <w:lang w:eastAsia="zh-CN"/>
        </w:rPr>
        <w:t>题</w:t>
      </w:r>
      <w:r>
        <w:rPr>
          <w:rFonts w:hint="eastAsia" w:cs="宋体"/>
          <w:color w:val="auto"/>
          <w:spacing w:val="-3"/>
          <w:sz w:val="21"/>
          <w:szCs w:val="21"/>
          <w:highlight w:val="none"/>
          <w:lang w:eastAsia="zh-CN"/>
        </w:rPr>
        <w:t>的</w:t>
      </w:r>
      <w:r>
        <w:rPr>
          <w:rFonts w:hint="eastAsia" w:cs="宋体"/>
          <w:color w:val="auto"/>
          <w:sz w:val="21"/>
          <w:szCs w:val="21"/>
          <w:highlight w:val="none"/>
          <w:lang w:eastAsia="zh-CN"/>
        </w:rPr>
        <w:t>澄</w:t>
      </w:r>
      <w:r>
        <w:rPr>
          <w:rFonts w:hint="eastAsia" w:cs="宋体"/>
          <w:color w:val="auto"/>
          <w:spacing w:val="-3"/>
          <w:sz w:val="21"/>
          <w:szCs w:val="21"/>
          <w:highlight w:val="none"/>
          <w:lang w:eastAsia="zh-CN"/>
        </w:rPr>
        <w:t>清</w:t>
      </w:r>
      <w:r>
        <w:rPr>
          <w:rFonts w:hint="eastAsia" w:cs="宋体"/>
          <w:color w:val="auto"/>
          <w:sz w:val="21"/>
          <w:szCs w:val="21"/>
          <w:highlight w:val="none"/>
          <w:lang w:eastAsia="zh-CN"/>
        </w:rPr>
        <w:t>、</w:t>
      </w:r>
      <w:r>
        <w:rPr>
          <w:rFonts w:hint="eastAsia" w:cs="宋体"/>
          <w:color w:val="auto"/>
          <w:spacing w:val="-3"/>
          <w:sz w:val="21"/>
          <w:szCs w:val="21"/>
          <w:highlight w:val="none"/>
          <w:lang w:eastAsia="zh-CN"/>
        </w:rPr>
        <w:t>说</w:t>
      </w:r>
      <w:r>
        <w:rPr>
          <w:rFonts w:hint="eastAsia" w:cs="宋体"/>
          <w:color w:val="auto"/>
          <w:sz w:val="21"/>
          <w:szCs w:val="21"/>
          <w:highlight w:val="none"/>
          <w:lang w:eastAsia="zh-CN"/>
        </w:rPr>
        <w:t>明或</w:t>
      </w:r>
      <w:r>
        <w:rPr>
          <w:rFonts w:hint="eastAsia" w:cs="宋体"/>
          <w:color w:val="auto"/>
          <w:spacing w:val="-3"/>
          <w:sz w:val="21"/>
          <w:szCs w:val="21"/>
          <w:highlight w:val="none"/>
          <w:lang w:eastAsia="zh-CN"/>
        </w:rPr>
        <w:t>补</w:t>
      </w:r>
      <w:r>
        <w:rPr>
          <w:rFonts w:hint="eastAsia" w:cs="宋体"/>
          <w:color w:val="auto"/>
          <w:sz w:val="21"/>
          <w:szCs w:val="21"/>
          <w:highlight w:val="none"/>
          <w:lang w:eastAsia="zh-CN"/>
        </w:rPr>
        <w:t>正</w:t>
      </w:r>
      <w:r>
        <w:rPr>
          <w:rFonts w:hint="eastAsia" w:cs="宋体"/>
          <w:color w:val="auto"/>
          <w:spacing w:val="-3"/>
          <w:sz w:val="21"/>
          <w:szCs w:val="21"/>
          <w:highlight w:val="none"/>
          <w:lang w:eastAsia="zh-CN"/>
        </w:rPr>
        <w:t>于</w:t>
      </w:r>
      <w:r>
        <w:rPr>
          <w:rFonts w:hint="eastAsia" w:cs="宋体"/>
          <w:color w:val="auto"/>
          <w:spacing w:val="-3"/>
          <w:sz w:val="21"/>
          <w:szCs w:val="21"/>
          <w:highlight w:val="none"/>
          <w:u w:val="single"/>
          <w:lang w:eastAsia="zh-CN"/>
        </w:rPr>
        <w:tab/>
      </w:r>
      <w:r>
        <w:rPr>
          <w:rFonts w:hint="eastAsia" w:cs="宋体"/>
          <w:color w:val="auto"/>
          <w:spacing w:val="-3"/>
          <w:sz w:val="21"/>
          <w:szCs w:val="21"/>
          <w:highlight w:val="none"/>
          <w:u w:val="single"/>
          <w:lang w:eastAsia="zh-CN"/>
        </w:rPr>
        <w:t xml:space="preserve">  </w:t>
      </w:r>
      <w:r>
        <w:rPr>
          <w:rFonts w:hint="eastAsia" w:cs="宋体"/>
          <w:color w:val="auto"/>
          <w:sz w:val="21"/>
          <w:szCs w:val="21"/>
          <w:highlight w:val="none"/>
          <w:lang w:eastAsia="zh-CN"/>
        </w:rPr>
        <w:t>年</w:t>
      </w:r>
      <w:r>
        <w:rPr>
          <w:rFonts w:hint="eastAsia" w:cs="宋体"/>
          <w:color w:val="auto"/>
          <w:sz w:val="21"/>
          <w:szCs w:val="21"/>
          <w:highlight w:val="none"/>
          <w:u w:val="single"/>
          <w:lang w:eastAsia="zh-CN"/>
        </w:rPr>
        <w:tab/>
      </w:r>
      <w:r>
        <w:rPr>
          <w:rFonts w:hint="eastAsia" w:cs="宋体"/>
          <w:color w:val="auto"/>
          <w:sz w:val="21"/>
          <w:szCs w:val="21"/>
          <w:highlight w:val="none"/>
          <w:u w:val="single"/>
          <w:lang w:eastAsia="zh-CN"/>
        </w:rPr>
        <w:t xml:space="preserve">  </w:t>
      </w:r>
      <w:r>
        <w:rPr>
          <w:rFonts w:hint="eastAsia" w:cs="宋体"/>
          <w:color w:val="auto"/>
          <w:sz w:val="21"/>
          <w:szCs w:val="21"/>
          <w:highlight w:val="none"/>
          <w:lang w:eastAsia="zh-CN"/>
        </w:rPr>
        <w:t>月</w:t>
      </w:r>
      <w:r>
        <w:rPr>
          <w:rFonts w:hint="eastAsia" w:cs="宋体"/>
          <w:color w:val="auto"/>
          <w:sz w:val="21"/>
          <w:szCs w:val="21"/>
          <w:highlight w:val="none"/>
          <w:u w:val="single"/>
          <w:lang w:eastAsia="zh-CN"/>
        </w:rPr>
        <w:tab/>
      </w:r>
      <w:r>
        <w:rPr>
          <w:rFonts w:hint="eastAsia" w:cs="宋体"/>
          <w:color w:val="auto"/>
          <w:sz w:val="21"/>
          <w:szCs w:val="21"/>
          <w:highlight w:val="none"/>
          <w:u w:val="single"/>
          <w:lang w:eastAsia="zh-CN"/>
        </w:rPr>
        <w:t xml:space="preserve">  </w:t>
      </w:r>
      <w:r>
        <w:rPr>
          <w:rFonts w:hint="eastAsia" w:cs="宋体"/>
          <w:color w:val="auto"/>
          <w:spacing w:val="-3"/>
          <w:sz w:val="21"/>
          <w:szCs w:val="21"/>
          <w:highlight w:val="none"/>
          <w:lang w:eastAsia="zh-CN"/>
        </w:rPr>
        <w:t>日</w:t>
      </w:r>
      <w:r>
        <w:rPr>
          <w:rFonts w:hint="eastAsia" w:cs="宋体"/>
          <w:color w:val="auto"/>
          <w:spacing w:val="-3"/>
          <w:sz w:val="21"/>
          <w:szCs w:val="21"/>
          <w:highlight w:val="none"/>
          <w:u w:val="single"/>
          <w:lang w:eastAsia="zh-CN"/>
        </w:rPr>
        <w:tab/>
      </w:r>
      <w:r>
        <w:rPr>
          <w:rFonts w:hint="eastAsia" w:cs="宋体"/>
          <w:color w:val="auto"/>
          <w:spacing w:val="-3"/>
          <w:sz w:val="21"/>
          <w:szCs w:val="21"/>
          <w:highlight w:val="none"/>
          <w:u w:val="single"/>
          <w:lang w:eastAsia="zh-CN"/>
        </w:rPr>
        <w:t xml:space="preserve">  </w:t>
      </w:r>
      <w:r>
        <w:rPr>
          <w:rFonts w:hint="eastAsia" w:cs="宋体"/>
          <w:color w:val="auto"/>
          <w:spacing w:val="-3"/>
          <w:sz w:val="21"/>
          <w:szCs w:val="21"/>
          <w:highlight w:val="none"/>
          <w:lang w:eastAsia="zh-CN"/>
        </w:rPr>
        <w:t>时</w:t>
      </w:r>
      <w:r>
        <w:rPr>
          <w:rFonts w:hint="eastAsia" w:cs="宋体"/>
          <w:color w:val="auto"/>
          <w:sz w:val="21"/>
          <w:szCs w:val="21"/>
          <w:highlight w:val="none"/>
          <w:lang w:eastAsia="zh-CN"/>
        </w:rPr>
        <w:t>前递</w:t>
      </w:r>
      <w:r>
        <w:rPr>
          <w:rFonts w:hint="eastAsia" w:cs="宋体"/>
          <w:color w:val="auto"/>
          <w:spacing w:val="-3"/>
          <w:sz w:val="21"/>
          <w:szCs w:val="21"/>
          <w:highlight w:val="none"/>
          <w:lang w:eastAsia="zh-CN"/>
        </w:rPr>
        <w:t>交</w:t>
      </w:r>
      <w:r>
        <w:rPr>
          <w:rFonts w:hint="eastAsia" w:cs="宋体"/>
          <w:color w:val="auto"/>
          <w:sz w:val="21"/>
          <w:szCs w:val="21"/>
          <w:highlight w:val="none"/>
          <w:lang w:eastAsia="zh-CN"/>
        </w:rPr>
        <w:t>至</w:t>
      </w:r>
      <w:r>
        <w:rPr>
          <w:rFonts w:hint="eastAsia" w:cs="宋体"/>
          <w:color w:val="auto"/>
          <w:w w:val="201"/>
          <w:sz w:val="21"/>
          <w:szCs w:val="21"/>
          <w:highlight w:val="none"/>
          <w:u w:val="single"/>
          <w:lang w:eastAsia="zh-CN"/>
        </w:rPr>
        <w:t xml:space="preserve"> </w:t>
      </w:r>
      <w:r>
        <w:rPr>
          <w:rFonts w:hint="eastAsia" w:cs="宋体"/>
          <w:color w:val="auto"/>
          <w:sz w:val="21"/>
          <w:szCs w:val="21"/>
          <w:highlight w:val="none"/>
          <w:u w:val="single"/>
          <w:lang w:eastAsia="zh-CN"/>
        </w:rPr>
        <w:tab/>
      </w:r>
      <w:r>
        <w:rPr>
          <w:rFonts w:hint="eastAsia" w:cs="宋体"/>
          <w:color w:val="auto"/>
          <w:sz w:val="21"/>
          <w:szCs w:val="21"/>
          <w:highlight w:val="none"/>
          <w:lang w:eastAsia="zh-CN"/>
        </w:rPr>
        <w:t>（</w:t>
      </w:r>
      <w:r>
        <w:rPr>
          <w:rFonts w:hint="eastAsia" w:cs="宋体"/>
          <w:color w:val="auto"/>
          <w:spacing w:val="-3"/>
          <w:sz w:val="21"/>
          <w:szCs w:val="21"/>
          <w:highlight w:val="none"/>
          <w:lang w:eastAsia="zh-CN"/>
        </w:rPr>
        <w:t>详</w:t>
      </w:r>
      <w:r>
        <w:rPr>
          <w:rFonts w:hint="eastAsia" w:cs="宋体"/>
          <w:color w:val="auto"/>
          <w:sz w:val="21"/>
          <w:szCs w:val="21"/>
          <w:highlight w:val="none"/>
          <w:lang w:eastAsia="zh-CN"/>
        </w:rPr>
        <w:t>细</w:t>
      </w:r>
      <w:r>
        <w:rPr>
          <w:rFonts w:hint="eastAsia" w:cs="宋体"/>
          <w:color w:val="auto"/>
          <w:spacing w:val="-3"/>
          <w:sz w:val="21"/>
          <w:szCs w:val="21"/>
          <w:highlight w:val="none"/>
          <w:lang w:eastAsia="zh-CN"/>
        </w:rPr>
        <w:t>地址</w:t>
      </w:r>
      <w:r>
        <w:rPr>
          <w:rFonts w:hint="eastAsia" w:cs="宋体"/>
          <w:color w:val="auto"/>
          <w:spacing w:val="-25"/>
          <w:sz w:val="21"/>
          <w:szCs w:val="21"/>
          <w:highlight w:val="none"/>
          <w:lang w:eastAsia="zh-CN"/>
        </w:rPr>
        <w:t>）</w:t>
      </w:r>
      <w:r>
        <w:rPr>
          <w:rFonts w:hint="eastAsia" w:cs="宋体"/>
          <w:color w:val="auto"/>
          <w:spacing w:val="-3"/>
          <w:sz w:val="21"/>
          <w:szCs w:val="21"/>
          <w:highlight w:val="none"/>
          <w:lang w:eastAsia="zh-CN"/>
        </w:rPr>
        <w:t>或</w:t>
      </w:r>
      <w:r>
        <w:rPr>
          <w:rFonts w:hint="eastAsia" w:cs="宋体"/>
          <w:color w:val="auto"/>
          <w:sz w:val="21"/>
          <w:szCs w:val="21"/>
          <w:highlight w:val="none"/>
          <w:lang w:eastAsia="zh-CN"/>
        </w:rPr>
        <w:t>传</w:t>
      </w:r>
      <w:r>
        <w:rPr>
          <w:rFonts w:hint="eastAsia" w:cs="宋体"/>
          <w:color w:val="auto"/>
          <w:spacing w:val="-3"/>
          <w:sz w:val="21"/>
          <w:szCs w:val="21"/>
          <w:highlight w:val="none"/>
          <w:lang w:eastAsia="zh-CN"/>
        </w:rPr>
        <w:t>真</w:t>
      </w:r>
      <w:r>
        <w:rPr>
          <w:rFonts w:hint="eastAsia" w:cs="宋体"/>
          <w:color w:val="auto"/>
          <w:spacing w:val="-1"/>
          <w:sz w:val="21"/>
          <w:szCs w:val="21"/>
          <w:highlight w:val="none"/>
          <w:lang w:eastAsia="zh-CN"/>
        </w:rPr>
        <w:t>至</w:t>
      </w:r>
      <w:r>
        <w:rPr>
          <w:rFonts w:hint="eastAsia" w:cs="宋体"/>
          <w:color w:val="auto"/>
          <w:spacing w:val="-1"/>
          <w:sz w:val="21"/>
          <w:szCs w:val="21"/>
          <w:highlight w:val="none"/>
          <w:u w:val="single"/>
          <w:lang w:eastAsia="zh-CN"/>
        </w:rPr>
        <w:tab/>
      </w:r>
      <w:r>
        <w:rPr>
          <w:rFonts w:hint="eastAsia" w:cs="宋体"/>
          <w:color w:val="auto"/>
          <w:sz w:val="21"/>
          <w:szCs w:val="21"/>
          <w:highlight w:val="none"/>
          <w:lang w:eastAsia="zh-CN"/>
        </w:rPr>
        <w:t>（</w:t>
      </w:r>
      <w:r>
        <w:rPr>
          <w:rFonts w:hint="eastAsia" w:cs="宋体"/>
          <w:color w:val="auto"/>
          <w:spacing w:val="-3"/>
          <w:sz w:val="21"/>
          <w:szCs w:val="21"/>
          <w:highlight w:val="none"/>
          <w:lang w:eastAsia="zh-CN"/>
        </w:rPr>
        <w:t>传</w:t>
      </w:r>
      <w:r>
        <w:rPr>
          <w:rFonts w:hint="eastAsia" w:cs="宋体"/>
          <w:color w:val="auto"/>
          <w:sz w:val="21"/>
          <w:szCs w:val="21"/>
          <w:highlight w:val="none"/>
          <w:lang w:eastAsia="zh-CN"/>
        </w:rPr>
        <w:t>真</w:t>
      </w:r>
      <w:r>
        <w:rPr>
          <w:rFonts w:hint="eastAsia" w:cs="宋体"/>
          <w:color w:val="auto"/>
          <w:spacing w:val="-3"/>
          <w:sz w:val="21"/>
          <w:szCs w:val="21"/>
          <w:highlight w:val="none"/>
          <w:lang w:eastAsia="zh-CN"/>
        </w:rPr>
        <w:t>号码</w:t>
      </w:r>
      <w:r>
        <w:rPr>
          <w:rFonts w:hint="eastAsia" w:cs="宋体"/>
          <w:color w:val="auto"/>
          <w:spacing w:val="-25"/>
          <w:sz w:val="21"/>
          <w:szCs w:val="21"/>
          <w:highlight w:val="none"/>
          <w:lang w:eastAsia="zh-CN"/>
        </w:rPr>
        <w:t>）</w:t>
      </w:r>
      <w:r>
        <w:rPr>
          <w:rFonts w:hint="eastAsia" w:cs="宋体"/>
          <w:color w:val="auto"/>
          <w:sz w:val="21"/>
          <w:szCs w:val="21"/>
          <w:highlight w:val="none"/>
          <w:lang w:eastAsia="zh-CN"/>
        </w:rPr>
        <w:t>或通过</w:t>
      </w:r>
      <w:r>
        <w:rPr>
          <w:rFonts w:hint="eastAsia" w:cs="宋体"/>
          <w:color w:val="auto"/>
          <w:spacing w:val="-3"/>
          <w:sz w:val="21"/>
          <w:szCs w:val="21"/>
          <w:highlight w:val="none"/>
          <w:lang w:eastAsia="zh-CN"/>
        </w:rPr>
        <w:t>下</w:t>
      </w:r>
      <w:r>
        <w:rPr>
          <w:rFonts w:hint="eastAsia" w:cs="宋体"/>
          <w:color w:val="auto"/>
          <w:sz w:val="21"/>
          <w:szCs w:val="21"/>
          <w:highlight w:val="none"/>
          <w:lang w:eastAsia="zh-CN"/>
        </w:rPr>
        <w:t>载</w:t>
      </w:r>
      <w:r>
        <w:rPr>
          <w:rFonts w:hint="eastAsia" w:cs="宋体"/>
          <w:color w:val="auto"/>
          <w:spacing w:val="-3"/>
          <w:sz w:val="21"/>
          <w:szCs w:val="21"/>
          <w:highlight w:val="none"/>
          <w:lang w:eastAsia="zh-CN"/>
        </w:rPr>
        <w:t>招</w:t>
      </w:r>
      <w:r>
        <w:rPr>
          <w:rFonts w:hint="eastAsia" w:cs="宋体"/>
          <w:color w:val="auto"/>
          <w:sz w:val="21"/>
          <w:szCs w:val="21"/>
          <w:highlight w:val="none"/>
          <w:lang w:eastAsia="zh-CN"/>
        </w:rPr>
        <w:t>标</w:t>
      </w:r>
      <w:r>
        <w:rPr>
          <w:rFonts w:hint="eastAsia" w:cs="宋体"/>
          <w:color w:val="auto"/>
          <w:spacing w:val="-3"/>
          <w:sz w:val="21"/>
          <w:szCs w:val="21"/>
          <w:highlight w:val="none"/>
          <w:lang w:eastAsia="zh-CN"/>
        </w:rPr>
        <w:t>文</w:t>
      </w:r>
      <w:r>
        <w:rPr>
          <w:rFonts w:hint="eastAsia" w:cs="宋体"/>
          <w:color w:val="auto"/>
          <w:sz w:val="21"/>
          <w:szCs w:val="21"/>
          <w:highlight w:val="none"/>
          <w:lang w:eastAsia="zh-CN"/>
        </w:rPr>
        <w:t>件</w:t>
      </w:r>
      <w:r>
        <w:rPr>
          <w:rFonts w:hint="eastAsia" w:cs="宋体"/>
          <w:color w:val="auto"/>
          <w:spacing w:val="-3"/>
          <w:sz w:val="21"/>
          <w:szCs w:val="21"/>
          <w:highlight w:val="none"/>
          <w:lang w:eastAsia="zh-CN"/>
        </w:rPr>
        <w:t>的</w:t>
      </w:r>
      <w:r>
        <w:rPr>
          <w:rFonts w:hint="eastAsia" w:cs="宋体"/>
          <w:color w:val="auto"/>
          <w:sz w:val="21"/>
          <w:szCs w:val="21"/>
          <w:highlight w:val="none"/>
          <w:lang w:eastAsia="zh-CN"/>
        </w:rPr>
        <w:t>电</w:t>
      </w:r>
      <w:r>
        <w:rPr>
          <w:rFonts w:hint="eastAsia" w:cs="宋体"/>
          <w:color w:val="auto"/>
          <w:spacing w:val="-3"/>
          <w:sz w:val="21"/>
          <w:szCs w:val="21"/>
          <w:highlight w:val="none"/>
          <w:lang w:eastAsia="zh-CN"/>
        </w:rPr>
        <w:t>子</w:t>
      </w:r>
      <w:r>
        <w:rPr>
          <w:rFonts w:hint="eastAsia" w:cs="宋体"/>
          <w:color w:val="auto"/>
          <w:sz w:val="21"/>
          <w:szCs w:val="21"/>
          <w:highlight w:val="none"/>
          <w:lang w:eastAsia="zh-CN"/>
        </w:rPr>
        <w:t>招标</w:t>
      </w:r>
      <w:r>
        <w:rPr>
          <w:rFonts w:hint="eastAsia" w:cs="宋体"/>
          <w:color w:val="auto"/>
          <w:spacing w:val="-3"/>
          <w:sz w:val="21"/>
          <w:szCs w:val="21"/>
          <w:highlight w:val="none"/>
          <w:lang w:eastAsia="zh-CN"/>
        </w:rPr>
        <w:t>交</w:t>
      </w:r>
      <w:r>
        <w:rPr>
          <w:rFonts w:hint="eastAsia" w:cs="宋体"/>
          <w:color w:val="auto"/>
          <w:sz w:val="21"/>
          <w:szCs w:val="21"/>
          <w:highlight w:val="none"/>
          <w:lang w:eastAsia="zh-CN"/>
        </w:rPr>
        <w:t>易</w:t>
      </w:r>
      <w:r>
        <w:rPr>
          <w:rFonts w:hint="eastAsia" w:cs="宋体"/>
          <w:color w:val="auto"/>
          <w:spacing w:val="-3"/>
          <w:sz w:val="21"/>
          <w:szCs w:val="21"/>
          <w:highlight w:val="none"/>
          <w:lang w:eastAsia="zh-CN"/>
        </w:rPr>
        <w:t>平</w:t>
      </w:r>
      <w:r>
        <w:rPr>
          <w:rFonts w:hint="eastAsia" w:cs="宋体"/>
          <w:color w:val="auto"/>
          <w:sz w:val="21"/>
          <w:szCs w:val="21"/>
          <w:highlight w:val="none"/>
          <w:lang w:eastAsia="zh-CN"/>
        </w:rPr>
        <w:t>台</w:t>
      </w:r>
      <w:r>
        <w:rPr>
          <w:rFonts w:hint="eastAsia" w:cs="宋体"/>
          <w:color w:val="auto"/>
          <w:spacing w:val="-3"/>
          <w:sz w:val="21"/>
          <w:szCs w:val="21"/>
          <w:highlight w:val="none"/>
          <w:lang w:eastAsia="zh-CN"/>
        </w:rPr>
        <w:t>上</w:t>
      </w:r>
      <w:r>
        <w:rPr>
          <w:rFonts w:hint="eastAsia" w:cs="宋体"/>
          <w:color w:val="auto"/>
          <w:sz w:val="21"/>
          <w:szCs w:val="21"/>
          <w:highlight w:val="none"/>
          <w:lang w:eastAsia="zh-CN"/>
        </w:rPr>
        <w:t>传</w:t>
      </w:r>
      <w:r>
        <w:rPr>
          <w:rFonts w:hint="eastAsia" w:cs="宋体"/>
          <w:color w:val="auto"/>
          <w:spacing w:val="-3"/>
          <w:sz w:val="21"/>
          <w:szCs w:val="21"/>
          <w:highlight w:val="none"/>
          <w:lang w:eastAsia="zh-CN"/>
        </w:rPr>
        <w:t>。</w:t>
      </w:r>
      <w:r>
        <w:rPr>
          <w:rFonts w:hint="eastAsia" w:cs="宋体"/>
          <w:color w:val="auto"/>
          <w:sz w:val="21"/>
          <w:szCs w:val="21"/>
          <w:highlight w:val="none"/>
          <w:lang w:eastAsia="zh-CN"/>
        </w:rPr>
        <w:t>采</w:t>
      </w:r>
      <w:r>
        <w:rPr>
          <w:rFonts w:hint="eastAsia" w:cs="宋体"/>
          <w:color w:val="auto"/>
          <w:spacing w:val="-3"/>
          <w:sz w:val="21"/>
          <w:szCs w:val="21"/>
          <w:highlight w:val="none"/>
          <w:lang w:eastAsia="zh-CN"/>
        </w:rPr>
        <w:t>用</w:t>
      </w:r>
      <w:r>
        <w:rPr>
          <w:rFonts w:hint="eastAsia" w:cs="宋体"/>
          <w:color w:val="auto"/>
          <w:sz w:val="21"/>
          <w:szCs w:val="21"/>
          <w:highlight w:val="none"/>
          <w:lang w:eastAsia="zh-CN"/>
        </w:rPr>
        <w:t>传真</w:t>
      </w:r>
      <w:r>
        <w:rPr>
          <w:rFonts w:hint="eastAsia" w:cs="宋体"/>
          <w:color w:val="auto"/>
          <w:spacing w:val="-3"/>
          <w:sz w:val="21"/>
          <w:szCs w:val="21"/>
          <w:highlight w:val="none"/>
          <w:lang w:eastAsia="zh-CN"/>
        </w:rPr>
        <w:t>方</w:t>
      </w:r>
      <w:r>
        <w:rPr>
          <w:rFonts w:hint="eastAsia" w:cs="宋体"/>
          <w:color w:val="auto"/>
          <w:sz w:val="21"/>
          <w:szCs w:val="21"/>
          <w:highlight w:val="none"/>
          <w:lang w:eastAsia="zh-CN"/>
        </w:rPr>
        <w:t>式</w:t>
      </w:r>
      <w:r>
        <w:rPr>
          <w:rFonts w:hint="eastAsia" w:cs="宋体"/>
          <w:color w:val="auto"/>
          <w:spacing w:val="-3"/>
          <w:sz w:val="21"/>
          <w:szCs w:val="21"/>
          <w:highlight w:val="none"/>
          <w:lang w:eastAsia="zh-CN"/>
        </w:rPr>
        <w:t>的</w:t>
      </w:r>
      <w:r>
        <w:rPr>
          <w:rFonts w:hint="eastAsia" w:cs="宋体"/>
          <w:color w:val="auto"/>
          <w:sz w:val="21"/>
          <w:szCs w:val="21"/>
          <w:highlight w:val="none"/>
          <w:lang w:eastAsia="zh-CN"/>
        </w:rPr>
        <w:t>，</w:t>
      </w:r>
      <w:r>
        <w:rPr>
          <w:rFonts w:hint="eastAsia" w:cs="宋体"/>
          <w:color w:val="auto"/>
          <w:spacing w:val="-3"/>
          <w:sz w:val="21"/>
          <w:szCs w:val="21"/>
          <w:highlight w:val="none"/>
          <w:lang w:eastAsia="zh-CN"/>
        </w:rPr>
        <w:t>应</w:t>
      </w:r>
      <w:r>
        <w:rPr>
          <w:rFonts w:hint="eastAsia" w:cs="宋体"/>
          <w:color w:val="auto"/>
          <w:spacing w:val="-1"/>
          <w:sz w:val="21"/>
          <w:szCs w:val="21"/>
          <w:highlight w:val="none"/>
          <w:lang w:eastAsia="zh-CN"/>
        </w:rPr>
        <w:t>在</w:t>
      </w:r>
      <w:r>
        <w:rPr>
          <w:rFonts w:hint="eastAsia" w:cs="宋体"/>
          <w:color w:val="auto"/>
          <w:spacing w:val="-1"/>
          <w:sz w:val="21"/>
          <w:szCs w:val="21"/>
          <w:highlight w:val="none"/>
          <w:u w:val="single"/>
          <w:lang w:eastAsia="zh-CN"/>
        </w:rPr>
        <w:tab/>
      </w:r>
      <w:r>
        <w:rPr>
          <w:rFonts w:hint="eastAsia" w:cs="宋体"/>
          <w:color w:val="auto"/>
          <w:spacing w:val="-1"/>
          <w:sz w:val="21"/>
          <w:szCs w:val="21"/>
          <w:highlight w:val="none"/>
          <w:u w:val="single"/>
          <w:lang w:eastAsia="zh-CN"/>
        </w:rPr>
        <w:t xml:space="preserve">  </w:t>
      </w:r>
      <w:r>
        <w:rPr>
          <w:rFonts w:hint="eastAsia" w:cs="宋体"/>
          <w:color w:val="auto"/>
          <w:sz w:val="21"/>
          <w:szCs w:val="21"/>
          <w:highlight w:val="none"/>
          <w:lang w:eastAsia="zh-CN"/>
        </w:rPr>
        <w:t>年</w:t>
      </w:r>
      <w:r>
        <w:rPr>
          <w:rFonts w:hint="eastAsia" w:cs="宋体"/>
          <w:color w:val="auto"/>
          <w:sz w:val="21"/>
          <w:szCs w:val="21"/>
          <w:highlight w:val="none"/>
          <w:u w:val="single"/>
          <w:lang w:eastAsia="zh-CN"/>
        </w:rPr>
        <w:tab/>
      </w:r>
      <w:r>
        <w:rPr>
          <w:rFonts w:hint="eastAsia" w:cs="宋体"/>
          <w:color w:val="auto"/>
          <w:sz w:val="21"/>
          <w:szCs w:val="21"/>
          <w:highlight w:val="none"/>
          <w:u w:val="single"/>
          <w:lang w:eastAsia="zh-CN"/>
        </w:rPr>
        <w:t xml:space="preserve">  </w:t>
      </w:r>
      <w:r>
        <w:rPr>
          <w:rFonts w:hint="eastAsia" w:cs="宋体"/>
          <w:color w:val="auto"/>
          <w:sz w:val="21"/>
          <w:szCs w:val="21"/>
          <w:highlight w:val="none"/>
          <w:lang w:eastAsia="zh-CN"/>
        </w:rPr>
        <w:t>月</w:t>
      </w:r>
      <w:r>
        <w:rPr>
          <w:rFonts w:hint="eastAsia" w:cs="宋体"/>
          <w:color w:val="auto"/>
          <w:w w:val="201"/>
          <w:sz w:val="21"/>
          <w:szCs w:val="21"/>
          <w:highlight w:val="none"/>
          <w:u w:val="single"/>
          <w:lang w:eastAsia="zh-CN"/>
        </w:rPr>
        <w:t xml:space="preserve"> </w:t>
      </w:r>
      <w:r>
        <w:rPr>
          <w:rFonts w:hint="eastAsia" w:cs="宋体"/>
          <w:color w:val="auto"/>
          <w:sz w:val="21"/>
          <w:szCs w:val="21"/>
          <w:highlight w:val="none"/>
          <w:u w:val="single"/>
          <w:lang w:eastAsia="zh-CN"/>
        </w:rPr>
        <w:tab/>
      </w:r>
      <w:r>
        <w:rPr>
          <w:rFonts w:hint="eastAsia" w:cs="宋体"/>
          <w:color w:val="auto"/>
          <w:sz w:val="21"/>
          <w:szCs w:val="21"/>
          <w:highlight w:val="none"/>
          <w:lang w:eastAsia="zh-CN"/>
        </w:rPr>
        <w:t>日</w:t>
      </w:r>
      <w:r>
        <w:rPr>
          <w:rFonts w:hint="eastAsia" w:cs="宋体"/>
          <w:color w:val="auto"/>
          <w:sz w:val="21"/>
          <w:szCs w:val="21"/>
          <w:highlight w:val="none"/>
          <w:u w:val="single"/>
          <w:lang w:eastAsia="zh-CN"/>
        </w:rPr>
        <w:tab/>
      </w:r>
      <w:r>
        <w:rPr>
          <w:rFonts w:hint="eastAsia" w:cs="宋体"/>
          <w:color w:val="auto"/>
          <w:spacing w:val="-3"/>
          <w:sz w:val="21"/>
          <w:szCs w:val="21"/>
          <w:highlight w:val="none"/>
          <w:lang w:eastAsia="zh-CN"/>
        </w:rPr>
        <w:t>时</w:t>
      </w:r>
      <w:r>
        <w:rPr>
          <w:rFonts w:hint="eastAsia" w:cs="宋体"/>
          <w:color w:val="auto"/>
          <w:sz w:val="21"/>
          <w:szCs w:val="21"/>
          <w:highlight w:val="none"/>
          <w:lang w:eastAsia="zh-CN"/>
        </w:rPr>
        <w:t>前</w:t>
      </w:r>
      <w:r>
        <w:rPr>
          <w:rFonts w:hint="eastAsia" w:cs="宋体"/>
          <w:color w:val="auto"/>
          <w:spacing w:val="-3"/>
          <w:sz w:val="21"/>
          <w:szCs w:val="21"/>
          <w:highlight w:val="none"/>
          <w:lang w:eastAsia="zh-CN"/>
        </w:rPr>
        <w:t>将</w:t>
      </w:r>
      <w:r>
        <w:rPr>
          <w:rFonts w:hint="eastAsia" w:cs="宋体"/>
          <w:color w:val="auto"/>
          <w:sz w:val="21"/>
          <w:szCs w:val="21"/>
          <w:highlight w:val="none"/>
          <w:lang w:eastAsia="zh-CN"/>
        </w:rPr>
        <w:t>原件</w:t>
      </w:r>
      <w:r>
        <w:rPr>
          <w:rFonts w:hint="eastAsia" w:cs="宋体"/>
          <w:color w:val="auto"/>
          <w:spacing w:val="-3"/>
          <w:sz w:val="21"/>
          <w:szCs w:val="21"/>
          <w:highlight w:val="none"/>
          <w:lang w:eastAsia="zh-CN"/>
        </w:rPr>
        <w:t>递</w:t>
      </w:r>
      <w:r>
        <w:rPr>
          <w:rFonts w:hint="eastAsia" w:cs="宋体"/>
          <w:color w:val="auto"/>
          <w:sz w:val="21"/>
          <w:szCs w:val="21"/>
          <w:highlight w:val="none"/>
          <w:lang w:eastAsia="zh-CN"/>
        </w:rPr>
        <w:t>交</w:t>
      </w:r>
      <w:r>
        <w:rPr>
          <w:rFonts w:hint="eastAsia" w:cs="宋体"/>
          <w:color w:val="auto"/>
          <w:spacing w:val="-3"/>
          <w:sz w:val="21"/>
          <w:szCs w:val="21"/>
          <w:highlight w:val="none"/>
          <w:lang w:eastAsia="zh-CN"/>
        </w:rPr>
        <w:t>至</w:t>
      </w:r>
      <w:r>
        <w:rPr>
          <w:rFonts w:hint="eastAsia" w:cs="宋体"/>
          <w:color w:val="auto"/>
          <w:spacing w:val="-3"/>
          <w:sz w:val="21"/>
          <w:szCs w:val="21"/>
          <w:highlight w:val="none"/>
          <w:u w:val="single"/>
          <w:lang w:eastAsia="zh-CN"/>
        </w:rPr>
        <w:tab/>
      </w:r>
      <w:r>
        <w:rPr>
          <w:rFonts w:hint="eastAsia" w:cs="宋体"/>
          <w:color w:val="auto"/>
          <w:spacing w:val="-3"/>
          <w:sz w:val="21"/>
          <w:szCs w:val="21"/>
          <w:highlight w:val="none"/>
          <w:lang w:eastAsia="zh-CN"/>
        </w:rPr>
        <w:t>（</w:t>
      </w:r>
      <w:r>
        <w:rPr>
          <w:rFonts w:hint="eastAsia" w:cs="宋体"/>
          <w:color w:val="auto"/>
          <w:sz w:val="21"/>
          <w:szCs w:val="21"/>
          <w:highlight w:val="none"/>
          <w:lang w:eastAsia="zh-CN"/>
        </w:rPr>
        <w:t>详</w:t>
      </w:r>
      <w:r>
        <w:rPr>
          <w:rFonts w:hint="eastAsia" w:cs="宋体"/>
          <w:color w:val="auto"/>
          <w:spacing w:val="-3"/>
          <w:sz w:val="21"/>
          <w:szCs w:val="21"/>
          <w:highlight w:val="none"/>
          <w:lang w:eastAsia="zh-CN"/>
        </w:rPr>
        <w:t>细</w:t>
      </w:r>
      <w:r>
        <w:rPr>
          <w:rFonts w:hint="eastAsia" w:cs="宋体"/>
          <w:color w:val="auto"/>
          <w:sz w:val="21"/>
          <w:szCs w:val="21"/>
          <w:highlight w:val="none"/>
          <w:lang w:eastAsia="zh-CN"/>
        </w:rPr>
        <w:t>地</w:t>
      </w:r>
      <w:r>
        <w:rPr>
          <w:rFonts w:hint="eastAsia" w:cs="宋体"/>
          <w:color w:val="auto"/>
          <w:spacing w:val="-3"/>
          <w:sz w:val="21"/>
          <w:szCs w:val="21"/>
          <w:highlight w:val="none"/>
          <w:lang w:eastAsia="zh-CN"/>
        </w:rPr>
        <w:t>址</w:t>
      </w:r>
      <w:r>
        <w:rPr>
          <w:rFonts w:hint="eastAsia" w:cs="宋体"/>
          <w:color w:val="auto"/>
          <w:spacing w:val="-106"/>
          <w:sz w:val="21"/>
          <w:szCs w:val="21"/>
          <w:highlight w:val="none"/>
          <w:lang w:eastAsia="zh-CN"/>
        </w:rPr>
        <w:t>）</w:t>
      </w:r>
      <w:r>
        <w:rPr>
          <w:rFonts w:hint="eastAsia" w:cs="宋体"/>
          <w:color w:val="auto"/>
          <w:sz w:val="21"/>
          <w:szCs w:val="21"/>
          <w:highlight w:val="none"/>
          <w:lang w:eastAsia="zh-CN"/>
        </w:rPr>
        <w:t>。</w:t>
      </w:r>
    </w:p>
    <w:p w14:paraId="478B85F2">
      <w:pPr>
        <w:spacing w:line="360" w:lineRule="exact"/>
        <w:rPr>
          <w:rFonts w:hint="eastAsia" w:ascii="宋体" w:hAnsi="宋体" w:cs="宋体"/>
          <w:color w:val="auto"/>
          <w:sz w:val="21"/>
          <w:szCs w:val="21"/>
          <w:highlight w:val="none"/>
        </w:rPr>
      </w:pPr>
    </w:p>
    <w:p w14:paraId="678DE5A3">
      <w:pPr>
        <w:spacing w:line="360" w:lineRule="exact"/>
        <w:rPr>
          <w:rFonts w:hint="eastAsia" w:ascii="宋体" w:hAnsi="宋体" w:cs="宋体"/>
          <w:color w:val="auto"/>
          <w:sz w:val="21"/>
          <w:szCs w:val="21"/>
          <w:highlight w:val="none"/>
        </w:rPr>
      </w:pPr>
    </w:p>
    <w:p w14:paraId="6E49CC51">
      <w:pPr>
        <w:pStyle w:val="3"/>
        <w:spacing w:line="360" w:lineRule="exact"/>
        <w:rPr>
          <w:rFonts w:hint="eastAsia" w:cs="宋体"/>
          <w:color w:val="auto"/>
          <w:sz w:val="21"/>
          <w:szCs w:val="21"/>
          <w:highlight w:val="none"/>
          <w:lang w:eastAsia="zh-CN"/>
        </w:rPr>
      </w:pPr>
      <w:r>
        <w:rPr>
          <w:rFonts w:hint="eastAsia" w:cs="宋体"/>
          <w:color w:val="auto"/>
          <w:sz w:val="21"/>
          <w:szCs w:val="21"/>
          <w:highlight w:val="none"/>
          <w:lang w:eastAsia="zh-CN"/>
        </w:rPr>
        <w:t>评标</w:t>
      </w:r>
      <w:r>
        <w:rPr>
          <w:rFonts w:hint="eastAsia" w:cs="宋体"/>
          <w:color w:val="auto"/>
          <w:spacing w:val="-3"/>
          <w:sz w:val="21"/>
          <w:szCs w:val="21"/>
          <w:highlight w:val="none"/>
          <w:lang w:eastAsia="zh-CN"/>
        </w:rPr>
        <w:t>委</w:t>
      </w:r>
      <w:r>
        <w:rPr>
          <w:rFonts w:hint="eastAsia" w:cs="宋体"/>
          <w:color w:val="auto"/>
          <w:sz w:val="21"/>
          <w:szCs w:val="21"/>
          <w:highlight w:val="none"/>
          <w:lang w:eastAsia="zh-CN"/>
        </w:rPr>
        <w:t>员</w:t>
      </w:r>
      <w:r>
        <w:rPr>
          <w:rFonts w:hint="eastAsia" w:cs="宋体"/>
          <w:color w:val="auto"/>
          <w:spacing w:val="-3"/>
          <w:sz w:val="21"/>
          <w:szCs w:val="21"/>
          <w:highlight w:val="none"/>
          <w:lang w:eastAsia="zh-CN"/>
        </w:rPr>
        <w:t>会</w:t>
      </w:r>
      <w:r>
        <w:rPr>
          <w:rFonts w:hint="eastAsia" w:cs="宋体"/>
          <w:color w:val="auto"/>
          <w:sz w:val="21"/>
          <w:szCs w:val="21"/>
          <w:highlight w:val="none"/>
          <w:lang w:eastAsia="zh-CN"/>
        </w:rPr>
        <w:t>授</w:t>
      </w:r>
      <w:r>
        <w:rPr>
          <w:rFonts w:hint="eastAsia" w:cs="宋体"/>
          <w:color w:val="auto"/>
          <w:spacing w:val="-3"/>
          <w:sz w:val="21"/>
          <w:szCs w:val="21"/>
          <w:highlight w:val="none"/>
          <w:lang w:eastAsia="zh-CN"/>
        </w:rPr>
        <w:t>权</w:t>
      </w:r>
      <w:r>
        <w:rPr>
          <w:rFonts w:hint="eastAsia" w:cs="宋体"/>
          <w:color w:val="auto"/>
          <w:sz w:val="21"/>
          <w:szCs w:val="21"/>
          <w:highlight w:val="none"/>
          <w:lang w:eastAsia="zh-CN"/>
        </w:rPr>
        <w:t>的</w:t>
      </w:r>
      <w:r>
        <w:rPr>
          <w:rFonts w:hint="eastAsia" w:cs="宋体"/>
          <w:color w:val="auto"/>
          <w:spacing w:val="-3"/>
          <w:sz w:val="21"/>
          <w:szCs w:val="21"/>
          <w:highlight w:val="none"/>
          <w:lang w:eastAsia="zh-CN"/>
        </w:rPr>
        <w:t>招</w:t>
      </w:r>
      <w:r>
        <w:rPr>
          <w:rFonts w:hint="eastAsia" w:cs="宋体"/>
          <w:color w:val="auto"/>
          <w:sz w:val="21"/>
          <w:szCs w:val="21"/>
          <w:highlight w:val="none"/>
          <w:lang w:eastAsia="zh-CN"/>
        </w:rPr>
        <w:t>标</w:t>
      </w:r>
      <w:r>
        <w:rPr>
          <w:rFonts w:hint="eastAsia" w:cs="宋体"/>
          <w:color w:val="auto"/>
          <w:spacing w:val="-3"/>
          <w:sz w:val="21"/>
          <w:szCs w:val="21"/>
          <w:highlight w:val="none"/>
          <w:lang w:eastAsia="zh-CN"/>
        </w:rPr>
        <w:t>人</w:t>
      </w:r>
      <w:r>
        <w:rPr>
          <w:rFonts w:hint="eastAsia" w:cs="宋体"/>
          <w:color w:val="auto"/>
          <w:sz w:val="21"/>
          <w:szCs w:val="21"/>
          <w:highlight w:val="none"/>
          <w:lang w:eastAsia="zh-CN"/>
        </w:rPr>
        <w:t>或招</w:t>
      </w:r>
      <w:r>
        <w:rPr>
          <w:rFonts w:hint="eastAsia" w:cs="宋体"/>
          <w:color w:val="auto"/>
          <w:spacing w:val="-3"/>
          <w:sz w:val="21"/>
          <w:szCs w:val="21"/>
          <w:highlight w:val="none"/>
          <w:lang w:eastAsia="zh-CN"/>
        </w:rPr>
        <w:t>标</w:t>
      </w:r>
      <w:r>
        <w:rPr>
          <w:rFonts w:hint="eastAsia" w:cs="宋体"/>
          <w:color w:val="auto"/>
          <w:sz w:val="21"/>
          <w:szCs w:val="21"/>
          <w:highlight w:val="none"/>
          <w:lang w:eastAsia="zh-CN"/>
        </w:rPr>
        <w:t>代</w:t>
      </w:r>
      <w:r>
        <w:rPr>
          <w:rFonts w:hint="eastAsia" w:cs="宋体"/>
          <w:color w:val="auto"/>
          <w:spacing w:val="-3"/>
          <w:sz w:val="21"/>
          <w:szCs w:val="21"/>
          <w:highlight w:val="none"/>
          <w:lang w:eastAsia="zh-CN"/>
        </w:rPr>
        <w:t>理</w:t>
      </w:r>
      <w:r>
        <w:rPr>
          <w:rFonts w:hint="eastAsia" w:cs="宋体"/>
          <w:color w:val="auto"/>
          <w:sz w:val="21"/>
          <w:szCs w:val="21"/>
          <w:highlight w:val="none"/>
          <w:lang w:eastAsia="zh-CN"/>
        </w:rPr>
        <w:t>机</w:t>
      </w:r>
      <w:r>
        <w:rPr>
          <w:rFonts w:hint="eastAsia" w:cs="宋体"/>
          <w:color w:val="auto"/>
          <w:spacing w:val="-3"/>
          <w:sz w:val="21"/>
          <w:szCs w:val="21"/>
          <w:highlight w:val="none"/>
          <w:lang w:eastAsia="zh-CN"/>
        </w:rPr>
        <w:t>构</w:t>
      </w:r>
      <w:r>
        <w:rPr>
          <w:rFonts w:hint="eastAsia" w:cs="宋体"/>
          <w:color w:val="auto"/>
          <w:sz w:val="21"/>
          <w:szCs w:val="21"/>
          <w:highlight w:val="none"/>
          <w:lang w:eastAsia="zh-CN"/>
        </w:rPr>
        <w:t>：</w:t>
      </w:r>
      <w:r>
        <w:rPr>
          <w:rFonts w:hint="eastAsia" w:cs="宋体"/>
          <w:color w:val="auto"/>
          <w:sz w:val="21"/>
          <w:szCs w:val="21"/>
          <w:highlight w:val="none"/>
          <w:u w:val="single"/>
          <w:lang w:eastAsia="zh-CN"/>
        </w:rPr>
        <w:tab/>
      </w:r>
      <w:r>
        <w:rPr>
          <w:rFonts w:hint="eastAsia" w:cs="宋体"/>
          <w:color w:val="auto"/>
          <w:sz w:val="21"/>
          <w:szCs w:val="21"/>
          <w:highlight w:val="none"/>
          <w:lang w:eastAsia="zh-CN"/>
        </w:rPr>
        <w:t>（签</w:t>
      </w:r>
      <w:r>
        <w:rPr>
          <w:rFonts w:hint="eastAsia" w:cs="宋体"/>
          <w:color w:val="auto"/>
          <w:spacing w:val="-3"/>
          <w:sz w:val="21"/>
          <w:szCs w:val="21"/>
          <w:highlight w:val="none"/>
          <w:lang w:eastAsia="zh-CN"/>
        </w:rPr>
        <w:t>字</w:t>
      </w:r>
      <w:r>
        <w:rPr>
          <w:rFonts w:hint="eastAsia" w:cs="宋体"/>
          <w:color w:val="auto"/>
          <w:sz w:val="21"/>
          <w:szCs w:val="21"/>
          <w:highlight w:val="none"/>
          <w:lang w:eastAsia="zh-CN"/>
        </w:rPr>
        <w:t>或</w:t>
      </w:r>
      <w:r>
        <w:rPr>
          <w:rFonts w:hint="eastAsia" w:cs="宋体"/>
          <w:color w:val="auto"/>
          <w:spacing w:val="-3"/>
          <w:sz w:val="21"/>
          <w:szCs w:val="21"/>
          <w:highlight w:val="none"/>
          <w:lang w:eastAsia="zh-CN"/>
        </w:rPr>
        <w:t>盖</w:t>
      </w:r>
      <w:r>
        <w:rPr>
          <w:rFonts w:hint="eastAsia" w:cs="宋体"/>
          <w:color w:val="auto"/>
          <w:sz w:val="21"/>
          <w:szCs w:val="21"/>
          <w:highlight w:val="none"/>
          <w:lang w:eastAsia="zh-CN"/>
        </w:rPr>
        <w:t>章）</w:t>
      </w:r>
    </w:p>
    <w:p w14:paraId="690FF4A1">
      <w:pPr>
        <w:spacing w:line="360" w:lineRule="exact"/>
        <w:rPr>
          <w:rFonts w:hint="eastAsia" w:ascii="宋体" w:hAnsi="宋体" w:cs="宋体"/>
          <w:color w:val="auto"/>
          <w:sz w:val="21"/>
          <w:szCs w:val="21"/>
          <w:highlight w:val="none"/>
        </w:rPr>
      </w:pPr>
    </w:p>
    <w:p w14:paraId="6718C81C">
      <w:pPr>
        <w:spacing w:line="360" w:lineRule="exact"/>
        <w:rPr>
          <w:rFonts w:hint="eastAsia" w:ascii="宋体" w:hAnsi="宋体" w:cs="宋体"/>
          <w:color w:val="auto"/>
          <w:sz w:val="21"/>
          <w:szCs w:val="21"/>
          <w:highlight w:val="none"/>
        </w:rPr>
      </w:pPr>
    </w:p>
    <w:p w14:paraId="162746F3">
      <w:pPr>
        <w:pStyle w:val="9"/>
        <w:spacing w:line="360" w:lineRule="exact"/>
        <w:rPr>
          <w:rFonts w:hint="eastAsia" w:ascii="宋体" w:hAnsi="宋体" w:eastAsia="宋体" w:cs="宋体"/>
          <w:color w:val="auto"/>
          <w:sz w:val="21"/>
          <w:szCs w:val="21"/>
          <w:highlight w:val="none"/>
          <w:lang w:eastAsia="zh-CN"/>
        </w:rPr>
      </w:pPr>
    </w:p>
    <w:p w14:paraId="7585BE4C">
      <w:pPr>
        <w:spacing w:line="360" w:lineRule="exact"/>
        <w:rPr>
          <w:rFonts w:hint="eastAsia" w:ascii="宋体" w:hAnsi="宋体" w:cs="宋体"/>
          <w:color w:val="auto"/>
          <w:sz w:val="21"/>
          <w:szCs w:val="21"/>
          <w:highlight w:val="none"/>
        </w:rPr>
      </w:pPr>
      <w:r>
        <w:rPr>
          <w:rFonts w:hint="eastAsia" w:ascii="宋体" w:hAnsi="宋体" w:cs="宋体"/>
          <w:color w:val="auto"/>
          <w:w w:val="201"/>
          <w:sz w:val="21"/>
          <w:szCs w:val="21"/>
          <w:highlight w:val="none"/>
        </w:rPr>
        <w:t xml:space="preserve"> </w:t>
      </w:r>
      <w:r>
        <w:rPr>
          <w:rFonts w:hint="eastAsia" w:ascii="宋体" w:hAnsi="宋体" w:cs="宋体"/>
          <w:color w:val="auto"/>
          <w:sz w:val="21"/>
          <w:szCs w:val="21"/>
          <w:highlight w:val="none"/>
        </w:rPr>
        <w:tab/>
      </w:r>
      <w:r>
        <w:rPr>
          <w:rFonts w:hint="eastAsia" w:ascii="宋体" w:hAnsi="宋体" w:cs="宋体"/>
          <w:color w:val="auto"/>
          <w:spacing w:val="-3"/>
          <w:sz w:val="21"/>
          <w:szCs w:val="21"/>
          <w:highlight w:val="none"/>
        </w:rPr>
        <w:t>年</w:t>
      </w:r>
      <w:r>
        <w:rPr>
          <w:rFonts w:hint="eastAsia" w:ascii="宋体" w:hAnsi="宋体" w:cs="宋体"/>
          <w:color w:val="auto"/>
          <w:spacing w:val="-3"/>
          <w:sz w:val="21"/>
          <w:szCs w:val="21"/>
          <w:highlight w:val="none"/>
        </w:rPr>
        <w:tab/>
      </w:r>
      <w:r>
        <w:rPr>
          <w:rFonts w:hint="eastAsia" w:ascii="宋体" w:hAnsi="宋体" w:cs="宋体"/>
          <w:color w:val="auto"/>
          <w:sz w:val="21"/>
          <w:szCs w:val="21"/>
          <w:highlight w:val="none"/>
        </w:rPr>
        <w:t>月</w:t>
      </w:r>
      <w:r>
        <w:rPr>
          <w:rFonts w:hint="eastAsia" w:ascii="宋体" w:hAnsi="宋体" w:cs="宋体"/>
          <w:color w:val="auto"/>
          <w:sz w:val="21"/>
          <w:szCs w:val="21"/>
          <w:highlight w:val="none"/>
        </w:rPr>
        <w:tab/>
      </w:r>
      <w:r>
        <w:rPr>
          <w:rFonts w:hint="eastAsia" w:ascii="宋体" w:hAnsi="宋体" w:cs="宋体"/>
          <w:color w:val="auto"/>
          <w:sz w:val="21"/>
          <w:szCs w:val="21"/>
          <w:highlight w:val="none"/>
        </w:rPr>
        <w:t>日</w:t>
      </w:r>
    </w:p>
    <w:p w14:paraId="170830F7">
      <w:pPr>
        <w:rPr>
          <w:rFonts w:hint="eastAsia" w:ascii="宋体" w:hAnsi="宋体" w:cs="宋体"/>
          <w:color w:val="auto"/>
          <w:highlight w:val="none"/>
        </w:rPr>
      </w:pPr>
    </w:p>
    <w:p w14:paraId="0F7251AC">
      <w:pPr>
        <w:rPr>
          <w:rFonts w:hint="eastAsia" w:ascii="宋体" w:hAnsi="宋体" w:cs="宋体"/>
          <w:color w:val="auto"/>
          <w:highlight w:val="none"/>
        </w:rPr>
      </w:pPr>
    </w:p>
    <w:p w14:paraId="4BC4760D">
      <w:pPr>
        <w:pStyle w:val="9"/>
        <w:rPr>
          <w:rFonts w:hint="eastAsia" w:ascii="宋体" w:hAnsi="宋体" w:eastAsia="宋体" w:cs="宋体"/>
          <w:color w:val="auto"/>
          <w:highlight w:val="none"/>
          <w:lang w:eastAsia="zh-CN"/>
        </w:rPr>
      </w:pPr>
    </w:p>
    <w:p w14:paraId="7E27B286">
      <w:pPr>
        <w:pStyle w:val="9"/>
        <w:rPr>
          <w:rFonts w:hint="eastAsia" w:ascii="宋体" w:hAnsi="宋体" w:eastAsia="宋体" w:cs="宋体"/>
          <w:color w:val="auto"/>
          <w:highlight w:val="none"/>
          <w:lang w:eastAsia="zh-CN"/>
        </w:rPr>
        <w:sectPr>
          <w:pgSz w:w="12240" w:h="15840"/>
          <w:pgMar w:top="1400" w:right="1680" w:bottom="1120" w:left="1700" w:header="0" w:footer="921" w:gutter="0"/>
          <w:pgNumType w:fmt="decimal"/>
          <w:cols w:space="720" w:num="1"/>
        </w:sectPr>
      </w:pPr>
    </w:p>
    <w:p w14:paraId="54D841C8">
      <w:pPr>
        <w:pStyle w:val="8"/>
        <w:spacing w:before="0" w:after="0" w:line="24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附件三：问题的澄清</w:t>
      </w:r>
    </w:p>
    <w:p w14:paraId="769D0508">
      <w:pPr>
        <w:rPr>
          <w:rFonts w:hint="eastAsia" w:ascii="宋体" w:hAnsi="宋体" w:cs="宋体"/>
          <w:color w:val="auto"/>
          <w:highlight w:val="none"/>
        </w:rPr>
      </w:pPr>
    </w:p>
    <w:p w14:paraId="5AC64AA2">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问题的</w:t>
      </w:r>
      <w:r>
        <w:rPr>
          <w:rFonts w:hint="eastAsia" w:ascii="宋体" w:hAnsi="宋体" w:cs="宋体"/>
          <w:color w:val="auto"/>
          <w:spacing w:val="0"/>
          <w:sz w:val="24"/>
          <w:szCs w:val="24"/>
          <w:highlight w:val="none"/>
        </w:rPr>
        <w:t>澄</w:t>
      </w:r>
      <w:r>
        <w:rPr>
          <w:rFonts w:hint="eastAsia" w:ascii="宋体" w:hAnsi="宋体" w:cs="宋体"/>
          <w:color w:val="auto"/>
          <w:sz w:val="24"/>
          <w:szCs w:val="24"/>
          <w:highlight w:val="none"/>
        </w:rPr>
        <w:t>清</w:t>
      </w:r>
    </w:p>
    <w:p w14:paraId="4F628689">
      <w:pPr>
        <w:pStyle w:val="3"/>
        <w:jc w:val="center"/>
        <w:rPr>
          <w:rFonts w:hint="eastAsia" w:cs="宋体"/>
          <w:color w:val="auto"/>
          <w:sz w:val="21"/>
          <w:szCs w:val="21"/>
          <w:highlight w:val="none"/>
          <w:lang w:eastAsia="zh-CN"/>
        </w:rPr>
      </w:pPr>
      <w:r>
        <w:rPr>
          <w:rFonts w:hint="eastAsia" w:cs="宋体"/>
          <w:color w:val="auto"/>
          <w:sz w:val="21"/>
          <w:szCs w:val="21"/>
          <w:highlight w:val="none"/>
          <w:lang w:eastAsia="zh-CN"/>
        </w:rPr>
        <w:t>（编</w:t>
      </w:r>
      <w:r>
        <w:rPr>
          <w:rFonts w:hint="eastAsia" w:cs="宋体"/>
          <w:color w:val="auto"/>
          <w:spacing w:val="-3"/>
          <w:sz w:val="21"/>
          <w:szCs w:val="21"/>
          <w:highlight w:val="none"/>
          <w:lang w:eastAsia="zh-CN"/>
        </w:rPr>
        <w:t>号</w:t>
      </w:r>
      <w:r>
        <w:rPr>
          <w:rFonts w:hint="eastAsia" w:cs="宋体"/>
          <w:color w:val="auto"/>
          <w:spacing w:val="-1"/>
          <w:sz w:val="21"/>
          <w:szCs w:val="21"/>
          <w:highlight w:val="none"/>
          <w:lang w:eastAsia="zh-CN"/>
        </w:rPr>
        <w:t>：</w:t>
      </w:r>
      <w:r>
        <w:rPr>
          <w:rFonts w:hint="eastAsia" w:cs="宋体"/>
          <w:color w:val="auto"/>
          <w:spacing w:val="-1"/>
          <w:sz w:val="21"/>
          <w:szCs w:val="21"/>
          <w:highlight w:val="none"/>
          <w:u w:val="single"/>
          <w:lang w:eastAsia="zh-CN"/>
        </w:rPr>
        <w:tab/>
      </w:r>
      <w:r>
        <w:rPr>
          <w:rFonts w:hint="eastAsia" w:cs="宋体"/>
          <w:color w:val="auto"/>
          <w:sz w:val="21"/>
          <w:szCs w:val="21"/>
          <w:highlight w:val="none"/>
          <w:lang w:eastAsia="zh-CN"/>
        </w:rPr>
        <w:t>）</w:t>
      </w:r>
    </w:p>
    <w:p w14:paraId="09DD6538">
      <w:pPr>
        <w:rPr>
          <w:rFonts w:hint="eastAsia" w:ascii="宋体" w:hAnsi="宋体" w:cs="宋体"/>
          <w:color w:val="auto"/>
          <w:highlight w:val="none"/>
        </w:rPr>
      </w:pPr>
    </w:p>
    <w:p w14:paraId="0150A5FE">
      <w:pPr>
        <w:spacing w:line="360" w:lineRule="exact"/>
        <w:rPr>
          <w:rFonts w:hint="eastAsia" w:ascii="宋体" w:hAnsi="宋体" w:cs="宋体"/>
          <w:color w:val="auto"/>
          <w:sz w:val="21"/>
          <w:szCs w:val="21"/>
          <w:highlight w:val="none"/>
        </w:rPr>
      </w:pPr>
    </w:p>
    <w:p w14:paraId="7E59E21C">
      <w:pPr>
        <w:spacing w:line="360" w:lineRule="exact"/>
        <w:rPr>
          <w:rFonts w:hint="eastAsia" w:ascii="宋体" w:hAnsi="宋体" w:cs="宋体"/>
          <w:color w:val="auto"/>
          <w:sz w:val="21"/>
          <w:szCs w:val="21"/>
          <w:highlight w:val="none"/>
        </w:rPr>
      </w:pPr>
    </w:p>
    <w:p w14:paraId="73469FC7">
      <w:pPr>
        <w:pStyle w:val="3"/>
        <w:spacing w:line="360" w:lineRule="exact"/>
        <w:rPr>
          <w:rFonts w:hint="eastAsia" w:cs="宋体"/>
          <w:color w:val="auto"/>
          <w:sz w:val="21"/>
          <w:szCs w:val="21"/>
          <w:highlight w:val="none"/>
          <w:lang w:eastAsia="zh-CN"/>
        </w:rPr>
      </w:pPr>
      <w:r>
        <w:rPr>
          <w:rFonts w:hint="eastAsia" w:cs="宋体"/>
          <w:color w:val="auto"/>
          <w:sz w:val="21"/>
          <w:szCs w:val="21"/>
          <w:highlight w:val="none"/>
          <w:lang w:eastAsia="zh-CN"/>
        </w:rPr>
        <w:t>评标</w:t>
      </w:r>
      <w:r>
        <w:rPr>
          <w:rFonts w:hint="eastAsia" w:cs="宋体"/>
          <w:color w:val="auto"/>
          <w:spacing w:val="-3"/>
          <w:sz w:val="21"/>
          <w:szCs w:val="21"/>
          <w:highlight w:val="none"/>
          <w:lang w:eastAsia="zh-CN"/>
        </w:rPr>
        <w:t>委</w:t>
      </w:r>
      <w:r>
        <w:rPr>
          <w:rFonts w:hint="eastAsia" w:cs="宋体"/>
          <w:color w:val="auto"/>
          <w:sz w:val="21"/>
          <w:szCs w:val="21"/>
          <w:highlight w:val="none"/>
          <w:lang w:eastAsia="zh-CN"/>
        </w:rPr>
        <w:t>员</w:t>
      </w:r>
      <w:r>
        <w:rPr>
          <w:rFonts w:hint="eastAsia" w:cs="宋体"/>
          <w:color w:val="auto"/>
          <w:spacing w:val="-3"/>
          <w:sz w:val="21"/>
          <w:szCs w:val="21"/>
          <w:highlight w:val="none"/>
          <w:lang w:eastAsia="zh-CN"/>
        </w:rPr>
        <w:t>会</w:t>
      </w:r>
      <w:r>
        <w:rPr>
          <w:rFonts w:hint="eastAsia" w:cs="宋体"/>
          <w:color w:val="auto"/>
          <w:sz w:val="21"/>
          <w:szCs w:val="21"/>
          <w:highlight w:val="none"/>
          <w:lang w:eastAsia="zh-CN"/>
        </w:rPr>
        <w:t>：</w:t>
      </w:r>
    </w:p>
    <w:p w14:paraId="66A1D3C5">
      <w:pPr>
        <w:spacing w:line="360" w:lineRule="exact"/>
        <w:rPr>
          <w:rFonts w:hint="eastAsia" w:ascii="宋体" w:hAnsi="宋体" w:cs="宋体"/>
          <w:color w:val="auto"/>
          <w:sz w:val="21"/>
          <w:szCs w:val="21"/>
          <w:highlight w:val="none"/>
        </w:rPr>
      </w:pPr>
    </w:p>
    <w:p w14:paraId="0C15D199">
      <w:pPr>
        <w:spacing w:line="360" w:lineRule="exact"/>
        <w:rPr>
          <w:rFonts w:hint="eastAsia" w:ascii="宋体" w:hAnsi="宋体" w:cs="宋体"/>
          <w:color w:val="auto"/>
          <w:sz w:val="21"/>
          <w:szCs w:val="21"/>
          <w:highlight w:val="none"/>
        </w:rPr>
      </w:pPr>
    </w:p>
    <w:p w14:paraId="55B9DE8F">
      <w:pPr>
        <w:spacing w:line="360" w:lineRule="exact"/>
        <w:rPr>
          <w:rFonts w:hint="eastAsia" w:ascii="宋体" w:hAnsi="宋体" w:cs="宋体"/>
          <w:color w:val="auto"/>
          <w:sz w:val="21"/>
          <w:szCs w:val="21"/>
          <w:highlight w:val="none"/>
        </w:rPr>
      </w:pPr>
    </w:p>
    <w:p w14:paraId="26B38306">
      <w:pPr>
        <w:pStyle w:val="3"/>
        <w:spacing w:line="360" w:lineRule="exact"/>
        <w:rPr>
          <w:rFonts w:hint="eastAsia" w:cs="宋体"/>
          <w:color w:val="auto"/>
          <w:sz w:val="21"/>
          <w:szCs w:val="21"/>
          <w:highlight w:val="none"/>
          <w:lang w:eastAsia="zh-CN"/>
        </w:rPr>
      </w:pPr>
      <w:r>
        <w:rPr>
          <w:rFonts w:hint="eastAsia" w:cs="宋体"/>
          <w:color w:val="auto"/>
          <w:spacing w:val="-3"/>
          <w:sz w:val="21"/>
          <w:szCs w:val="21"/>
          <w:highlight w:val="none"/>
          <w:lang w:eastAsia="zh-CN"/>
        </w:rPr>
        <w:t>问</w:t>
      </w:r>
      <w:r>
        <w:rPr>
          <w:rFonts w:hint="eastAsia" w:cs="宋体"/>
          <w:color w:val="auto"/>
          <w:sz w:val="21"/>
          <w:szCs w:val="21"/>
          <w:highlight w:val="none"/>
          <w:lang w:eastAsia="zh-CN"/>
        </w:rPr>
        <w:t>题</w:t>
      </w:r>
      <w:r>
        <w:rPr>
          <w:rFonts w:hint="eastAsia" w:cs="宋体"/>
          <w:color w:val="auto"/>
          <w:spacing w:val="-3"/>
          <w:sz w:val="21"/>
          <w:szCs w:val="21"/>
          <w:highlight w:val="none"/>
          <w:lang w:eastAsia="zh-CN"/>
        </w:rPr>
        <w:t>澄</w:t>
      </w:r>
      <w:r>
        <w:rPr>
          <w:rFonts w:hint="eastAsia" w:cs="宋体"/>
          <w:color w:val="auto"/>
          <w:sz w:val="21"/>
          <w:szCs w:val="21"/>
          <w:highlight w:val="none"/>
          <w:lang w:eastAsia="zh-CN"/>
        </w:rPr>
        <w:t>清</w:t>
      </w:r>
      <w:r>
        <w:rPr>
          <w:rFonts w:hint="eastAsia" w:cs="宋体"/>
          <w:color w:val="auto"/>
          <w:spacing w:val="-3"/>
          <w:sz w:val="21"/>
          <w:szCs w:val="21"/>
          <w:highlight w:val="none"/>
          <w:lang w:eastAsia="zh-CN"/>
        </w:rPr>
        <w:t>通</w:t>
      </w:r>
      <w:r>
        <w:rPr>
          <w:rFonts w:hint="eastAsia" w:cs="宋体"/>
          <w:color w:val="auto"/>
          <w:sz w:val="21"/>
          <w:szCs w:val="21"/>
          <w:highlight w:val="none"/>
          <w:lang w:eastAsia="zh-CN"/>
        </w:rPr>
        <w:t>知</w:t>
      </w:r>
      <w:r>
        <w:rPr>
          <w:rFonts w:hint="eastAsia" w:cs="宋体"/>
          <w:color w:val="auto"/>
          <w:spacing w:val="-3"/>
          <w:sz w:val="21"/>
          <w:szCs w:val="21"/>
          <w:highlight w:val="none"/>
          <w:lang w:eastAsia="zh-CN"/>
        </w:rPr>
        <w:t>（</w:t>
      </w:r>
      <w:r>
        <w:rPr>
          <w:rFonts w:hint="eastAsia" w:cs="宋体"/>
          <w:color w:val="auto"/>
          <w:sz w:val="21"/>
          <w:szCs w:val="21"/>
          <w:highlight w:val="none"/>
          <w:lang w:eastAsia="zh-CN"/>
        </w:rPr>
        <w:t>编</w:t>
      </w:r>
      <w:r>
        <w:rPr>
          <w:rFonts w:hint="eastAsia" w:cs="宋体"/>
          <w:color w:val="auto"/>
          <w:spacing w:val="-3"/>
          <w:sz w:val="21"/>
          <w:szCs w:val="21"/>
          <w:highlight w:val="none"/>
          <w:lang w:eastAsia="zh-CN"/>
        </w:rPr>
        <w:t>号</w:t>
      </w:r>
      <w:r>
        <w:rPr>
          <w:rFonts w:hint="eastAsia" w:cs="宋体"/>
          <w:color w:val="auto"/>
          <w:sz w:val="21"/>
          <w:szCs w:val="21"/>
          <w:highlight w:val="none"/>
          <w:lang w:eastAsia="zh-CN"/>
        </w:rPr>
        <w:t>：</w:t>
      </w:r>
      <w:r>
        <w:rPr>
          <w:rFonts w:hint="eastAsia" w:cs="宋体"/>
          <w:color w:val="auto"/>
          <w:sz w:val="21"/>
          <w:szCs w:val="21"/>
          <w:highlight w:val="none"/>
          <w:u w:val="single"/>
          <w:lang w:eastAsia="zh-CN"/>
        </w:rPr>
        <w:tab/>
      </w:r>
      <w:r>
        <w:rPr>
          <w:rFonts w:hint="eastAsia" w:cs="宋体"/>
          <w:color w:val="auto"/>
          <w:sz w:val="21"/>
          <w:szCs w:val="21"/>
          <w:highlight w:val="none"/>
          <w:lang w:eastAsia="zh-CN"/>
        </w:rPr>
        <w:t>）已收</w:t>
      </w:r>
      <w:r>
        <w:rPr>
          <w:rFonts w:hint="eastAsia" w:cs="宋体"/>
          <w:color w:val="auto"/>
          <w:spacing w:val="-3"/>
          <w:sz w:val="21"/>
          <w:szCs w:val="21"/>
          <w:highlight w:val="none"/>
          <w:lang w:eastAsia="zh-CN"/>
        </w:rPr>
        <w:t>悉</w:t>
      </w:r>
      <w:r>
        <w:rPr>
          <w:rFonts w:hint="eastAsia" w:cs="宋体"/>
          <w:color w:val="auto"/>
          <w:sz w:val="21"/>
          <w:szCs w:val="21"/>
          <w:highlight w:val="none"/>
          <w:lang w:eastAsia="zh-CN"/>
        </w:rPr>
        <w:t>，</w:t>
      </w:r>
      <w:r>
        <w:rPr>
          <w:rFonts w:hint="eastAsia" w:cs="宋体"/>
          <w:color w:val="auto"/>
          <w:spacing w:val="-3"/>
          <w:sz w:val="21"/>
          <w:szCs w:val="21"/>
          <w:highlight w:val="none"/>
          <w:lang w:eastAsia="zh-CN"/>
        </w:rPr>
        <w:t>现</w:t>
      </w:r>
      <w:r>
        <w:rPr>
          <w:rFonts w:hint="eastAsia" w:cs="宋体"/>
          <w:color w:val="auto"/>
          <w:sz w:val="21"/>
          <w:szCs w:val="21"/>
          <w:highlight w:val="none"/>
          <w:lang w:eastAsia="zh-CN"/>
        </w:rPr>
        <w:t>澄清</w:t>
      </w:r>
      <w:r>
        <w:rPr>
          <w:rFonts w:hint="eastAsia" w:cs="宋体"/>
          <w:color w:val="auto"/>
          <w:spacing w:val="-3"/>
          <w:sz w:val="21"/>
          <w:szCs w:val="21"/>
          <w:highlight w:val="none"/>
          <w:lang w:eastAsia="zh-CN"/>
        </w:rPr>
        <w:t>、</w:t>
      </w:r>
      <w:r>
        <w:rPr>
          <w:rFonts w:hint="eastAsia" w:cs="宋体"/>
          <w:color w:val="auto"/>
          <w:sz w:val="21"/>
          <w:szCs w:val="21"/>
          <w:highlight w:val="none"/>
          <w:lang w:eastAsia="zh-CN"/>
        </w:rPr>
        <w:t>说</w:t>
      </w:r>
      <w:r>
        <w:rPr>
          <w:rFonts w:hint="eastAsia" w:cs="宋体"/>
          <w:color w:val="auto"/>
          <w:spacing w:val="-3"/>
          <w:sz w:val="21"/>
          <w:szCs w:val="21"/>
          <w:highlight w:val="none"/>
          <w:lang w:eastAsia="zh-CN"/>
        </w:rPr>
        <w:t>明</w:t>
      </w:r>
      <w:r>
        <w:rPr>
          <w:rFonts w:hint="eastAsia" w:cs="宋体"/>
          <w:color w:val="auto"/>
          <w:sz w:val="21"/>
          <w:szCs w:val="21"/>
          <w:highlight w:val="none"/>
          <w:lang w:eastAsia="zh-CN"/>
        </w:rPr>
        <w:t>或</w:t>
      </w:r>
      <w:r>
        <w:rPr>
          <w:rFonts w:hint="eastAsia" w:cs="宋体"/>
          <w:color w:val="auto"/>
          <w:spacing w:val="-3"/>
          <w:sz w:val="21"/>
          <w:szCs w:val="21"/>
          <w:highlight w:val="none"/>
          <w:lang w:eastAsia="zh-CN"/>
        </w:rPr>
        <w:t>补</w:t>
      </w:r>
      <w:r>
        <w:rPr>
          <w:rFonts w:hint="eastAsia" w:cs="宋体"/>
          <w:color w:val="auto"/>
          <w:sz w:val="21"/>
          <w:szCs w:val="21"/>
          <w:highlight w:val="none"/>
          <w:lang w:eastAsia="zh-CN"/>
        </w:rPr>
        <w:t>正</w:t>
      </w:r>
      <w:r>
        <w:rPr>
          <w:rFonts w:hint="eastAsia" w:cs="宋体"/>
          <w:color w:val="auto"/>
          <w:spacing w:val="-3"/>
          <w:sz w:val="21"/>
          <w:szCs w:val="21"/>
          <w:highlight w:val="none"/>
          <w:lang w:eastAsia="zh-CN"/>
        </w:rPr>
        <w:t>如</w:t>
      </w:r>
      <w:r>
        <w:rPr>
          <w:rFonts w:hint="eastAsia" w:cs="宋体"/>
          <w:color w:val="auto"/>
          <w:sz w:val="21"/>
          <w:szCs w:val="21"/>
          <w:highlight w:val="none"/>
          <w:lang w:eastAsia="zh-CN"/>
        </w:rPr>
        <w:t>下：</w:t>
      </w:r>
    </w:p>
    <w:p w14:paraId="0E53CA5C">
      <w:pPr>
        <w:spacing w:line="360" w:lineRule="exact"/>
        <w:rPr>
          <w:rFonts w:hint="eastAsia" w:ascii="宋体" w:hAnsi="宋体" w:cs="宋体"/>
          <w:color w:val="auto"/>
          <w:sz w:val="21"/>
          <w:szCs w:val="21"/>
          <w:highlight w:val="none"/>
        </w:rPr>
      </w:pPr>
    </w:p>
    <w:p w14:paraId="6F95FB05">
      <w:pPr>
        <w:pStyle w:val="3"/>
        <w:spacing w:line="360" w:lineRule="exact"/>
        <w:rPr>
          <w:rFonts w:hint="eastAsia" w:cs="宋体"/>
          <w:color w:val="auto"/>
          <w:sz w:val="21"/>
          <w:szCs w:val="21"/>
          <w:highlight w:val="none"/>
          <w:lang w:eastAsia="zh-CN"/>
        </w:rPr>
      </w:pPr>
      <w:r>
        <w:rPr>
          <w:rFonts w:hint="eastAsia" w:cs="宋体"/>
          <w:color w:val="auto"/>
          <w:sz w:val="21"/>
          <w:szCs w:val="21"/>
          <w:highlight w:val="none"/>
          <w:lang w:eastAsia="zh-CN"/>
        </w:rPr>
        <w:t>1.</w:t>
      </w:r>
    </w:p>
    <w:p w14:paraId="431E7C88">
      <w:pPr>
        <w:spacing w:line="360" w:lineRule="exact"/>
        <w:rPr>
          <w:rFonts w:hint="eastAsia" w:ascii="宋体" w:hAnsi="宋体" w:cs="宋体"/>
          <w:color w:val="auto"/>
          <w:sz w:val="21"/>
          <w:szCs w:val="21"/>
          <w:highlight w:val="none"/>
        </w:rPr>
      </w:pPr>
    </w:p>
    <w:p w14:paraId="735D058F">
      <w:pPr>
        <w:pStyle w:val="3"/>
        <w:spacing w:line="360" w:lineRule="exact"/>
        <w:rPr>
          <w:rFonts w:hint="eastAsia" w:cs="宋体"/>
          <w:color w:val="auto"/>
          <w:sz w:val="21"/>
          <w:szCs w:val="21"/>
          <w:highlight w:val="none"/>
          <w:lang w:eastAsia="zh-CN"/>
        </w:rPr>
      </w:pPr>
      <w:r>
        <w:rPr>
          <w:rFonts w:hint="eastAsia" w:cs="宋体"/>
          <w:color w:val="auto"/>
          <w:sz w:val="21"/>
          <w:szCs w:val="21"/>
          <w:highlight w:val="none"/>
          <w:lang w:eastAsia="zh-CN"/>
        </w:rPr>
        <w:t>2.</w:t>
      </w:r>
    </w:p>
    <w:p w14:paraId="041FC966">
      <w:pPr>
        <w:spacing w:line="360" w:lineRule="exact"/>
        <w:rPr>
          <w:rFonts w:hint="eastAsia" w:ascii="宋体" w:hAnsi="宋体" w:cs="宋体"/>
          <w:color w:val="auto"/>
          <w:sz w:val="21"/>
          <w:szCs w:val="21"/>
          <w:highlight w:val="none"/>
        </w:rPr>
      </w:pPr>
    </w:p>
    <w:p w14:paraId="6EABF6C0">
      <w:pPr>
        <w:pStyle w:val="3"/>
        <w:spacing w:line="360" w:lineRule="exact"/>
        <w:rPr>
          <w:rFonts w:hint="eastAsia" w:cs="宋体"/>
          <w:color w:val="auto"/>
          <w:sz w:val="21"/>
          <w:szCs w:val="21"/>
          <w:highlight w:val="none"/>
          <w:lang w:eastAsia="zh-CN"/>
        </w:rPr>
      </w:pPr>
      <w:r>
        <w:rPr>
          <w:rFonts w:hint="eastAsia" w:cs="宋体"/>
          <w:color w:val="auto"/>
          <w:sz w:val="21"/>
          <w:szCs w:val="21"/>
          <w:highlight w:val="none"/>
          <w:lang w:eastAsia="zh-CN"/>
        </w:rPr>
        <w:t>.....</w:t>
      </w:r>
    </w:p>
    <w:p w14:paraId="0FF218F9">
      <w:pPr>
        <w:spacing w:line="360" w:lineRule="exact"/>
        <w:rPr>
          <w:rFonts w:hint="eastAsia" w:ascii="宋体" w:hAnsi="宋体" w:cs="宋体"/>
          <w:color w:val="auto"/>
          <w:sz w:val="21"/>
          <w:szCs w:val="21"/>
          <w:highlight w:val="none"/>
        </w:rPr>
      </w:pPr>
    </w:p>
    <w:p w14:paraId="468EFF44">
      <w:pPr>
        <w:spacing w:line="360" w:lineRule="exact"/>
        <w:rPr>
          <w:rFonts w:hint="eastAsia" w:ascii="宋体" w:hAnsi="宋体" w:cs="宋体"/>
          <w:color w:val="auto"/>
          <w:sz w:val="21"/>
          <w:szCs w:val="21"/>
          <w:highlight w:val="none"/>
        </w:rPr>
      </w:pPr>
    </w:p>
    <w:p w14:paraId="78C3BB2F">
      <w:pPr>
        <w:spacing w:line="360" w:lineRule="exact"/>
        <w:rPr>
          <w:rFonts w:hint="eastAsia" w:ascii="宋体" w:hAnsi="宋体" w:cs="宋体"/>
          <w:color w:val="auto"/>
          <w:sz w:val="21"/>
          <w:szCs w:val="21"/>
          <w:highlight w:val="none"/>
        </w:rPr>
      </w:pPr>
    </w:p>
    <w:p w14:paraId="775EE392">
      <w:pPr>
        <w:spacing w:line="360" w:lineRule="exact"/>
        <w:rPr>
          <w:rFonts w:hint="eastAsia" w:ascii="宋体" w:hAnsi="宋体" w:cs="宋体"/>
          <w:color w:val="auto"/>
          <w:sz w:val="21"/>
          <w:szCs w:val="21"/>
          <w:highlight w:val="none"/>
        </w:rPr>
      </w:pPr>
    </w:p>
    <w:p w14:paraId="0BD1B749">
      <w:pPr>
        <w:spacing w:line="360" w:lineRule="exact"/>
        <w:rPr>
          <w:rFonts w:hint="eastAsia" w:ascii="宋体" w:hAnsi="宋体" w:cs="宋体"/>
          <w:color w:val="auto"/>
          <w:sz w:val="21"/>
          <w:szCs w:val="21"/>
          <w:highlight w:val="none"/>
        </w:rPr>
      </w:pPr>
    </w:p>
    <w:p w14:paraId="7CCF6509">
      <w:pPr>
        <w:spacing w:line="360" w:lineRule="exact"/>
        <w:rPr>
          <w:rFonts w:hint="eastAsia" w:ascii="宋体" w:hAnsi="宋体" w:cs="宋体"/>
          <w:color w:val="auto"/>
          <w:sz w:val="21"/>
          <w:szCs w:val="21"/>
          <w:highlight w:val="none"/>
        </w:rPr>
      </w:pPr>
    </w:p>
    <w:p w14:paraId="1C2268EE">
      <w:pPr>
        <w:spacing w:line="360" w:lineRule="exact"/>
        <w:rPr>
          <w:rFonts w:hint="eastAsia" w:ascii="宋体" w:hAnsi="宋体" w:cs="宋体"/>
          <w:color w:val="auto"/>
          <w:sz w:val="21"/>
          <w:szCs w:val="21"/>
          <w:highlight w:val="none"/>
        </w:rPr>
      </w:pPr>
    </w:p>
    <w:p w14:paraId="26A448FF">
      <w:pPr>
        <w:pStyle w:val="3"/>
        <w:spacing w:line="360" w:lineRule="exact"/>
        <w:rPr>
          <w:rFonts w:hint="eastAsia" w:cs="宋体"/>
          <w:color w:val="auto"/>
          <w:sz w:val="21"/>
          <w:szCs w:val="21"/>
          <w:highlight w:val="none"/>
          <w:lang w:eastAsia="zh-CN"/>
        </w:rPr>
      </w:pPr>
      <w:r>
        <w:rPr>
          <w:rFonts w:hint="eastAsia" w:cs="宋体"/>
          <w:color w:val="auto"/>
          <w:sz w:val="21"/>
          <w:szCs w:val="21"/>
          <w:highlight w:val="none"/>
          <w:lang w:eastAsia="zh-CN"/>
        </w:rPr>
        <w:t>上述问题澄清、说</w:t>
      </w:r>
      <w:r>
        <w:rPr>
          <w:rFonts w:hint="eastAsia" w:cs="宋体"/>
          <w:color w:val="auto"/>
          <w:spacing w:val="-3"/>
          <w:sz w:val="21"/>
          <w:szCs w:val="21"/>
          <w:highlight w:val="none"/>
          <w:lang w:eastAsia="zh-CN"/>
        </w:rPr>
        <w:t>明</w:t>
      </w:r>
      <w:r>
        <w:rPr>
          <w:rFonts w:hint="eastAsia" w:cs="宋体"/>
          <w:color w:val="auto"/>
          <w:sz w:val="21"/>
          <w:szCs w:val="21"/>
          <w:highlight w:val="none"/>
          <w:lang w:eastAsia="zh-CN"/>
        </w:rPr>
        <w:t>或</w:t>
      </w:r>
      <w:r>
        <w:rPr>
          <w:rFonts w:hint="eastAsia" w:cs="宋体"/>
          <w:color w:val="auto"/>
          <w:spacing w:val="-3"/>
          <w:sz w:val="21"/>
          <w:szCs w:val="21"/>
          <w:highlight w:val="none"/>
          <w:lang w:eastAsia="zh-CN"/>
        </w:rPr>
        <w:t>补</w:t>
      </w:r>
      <w:r>
        <w:rPr>
          <w:rFonts w:hint="eastAsia" w:cs="宋体"/>
          <w:color w:val="auto"/>
          <w:sz w:val="21"/>
          <w:szCs w:val="21"/>
          <w:highlight w:val="none"/>
          <w:lang w:eastAsia="zh-CN"/>
        </w:rPr>
        <w:t>正，不改变我方投</w:t>
      </w:r>
      <w:r>
        <w:rPr>
          <w:rFonts w:hint="eastAsia" w:cs="宋体"/>
          <w:color w:val="auto"/>
          <w:spacing w:val="-3"/>
          <w:sz w:val="21"/>
          <w:szCs w:val="21"/>
          <w:highlight w:val="none"/>
          <w:lang w:eastAsia="zh-CN"/>
        </w:rPr>
        <w:t>标</w:t>
      </w:r>
      <w:r>
        <w:rPr>
          <w:rFonts w:hint="eastAsia" w:cs="宋体"/>
          <w:color w:val="auto"/>
          <w:sz w:val="21"/>
          <w:szCs w:val="21"/>
          <w:highlight w:val="none"/>
          <w:lang w:eastAsia="zh-CN"/>
        </w:rPr>
        <w:t>文</w:t>
      </w:r>
      <w:r>
        <w:rPr>
          <w:rFonts w:hint="eastAsia" w:cs="宋体"/>
          <w:color w:val="auto"/>
          <w:spacing w:val="-3"/>
          <w:sz w:val="21"/>
          <w:szCs w:val="21"/>
          <w:highlight w:val="none"/>
          <w:lang w:eastAsia="zh-CN"/>
        </w:rPr>
        <w:t>件</w:t>
      </w:r>
      <w:r>
        <w:rPr>
          <w:rFonts w:hint="eastAsia" w:cs="宋体"/>
          <w:color w:val="auto"/>
          <w:sz w:val="21"/>
          <w:szCs w:val="21"/>
          <w:highlight w:val="none"/>
          <w:lang w:eastAsia="zh-CN"/>
        </w:rPr>
        <w:t>的实质性内容，构</w:t>
      </w:r>
      <w:r>
        <w:rPr>
          <w:rFonts w:hint="eastAsia" w:cs="宋体"/>
          <w:color w:val="auto"/>
          <w:spacing w:val="-3"/>
          <w:sz w:val="21"/>
          <w:szCs w:val="21"/>
          <w:highlight w:val="none"/>
          <w:lang w:eastAsia="zh-CN"/>
        </w:rPr>
        <w:t>成</w:t>
      </w:r>
      <w:r>
        <w:rPr>
          <w:rFonts w:hint="eastAsia" w:cs="宋体"/>
          <w:color w:val="auto"/>
          <w:sz w:val="21"/>
          <w:szCs w:val="21"/>
          <w:highlight w:val="none"/>
          <w:lang w:eastAsia="zh-CN"/>
        </w:rPr>
        <w:t>我</w:t>
      </w:r>
      <w:r>
        <w:rPr>
          <w:rFonts w:hint="eastAsia" w:cs="宋体"/>
          <w:color w:val="auto"/>
          <w:spacing w:val="-3"/>
          <w:sz w:val="21"/>
          <w:szCs w:val="21"/>
          <w:highlight w:val="none"/>
          <w:lang w:eastAsia="zh-CN"/>
        </w:rPr>
        <w:t>方</w:t>
      </w:r>
      <w:r>
        <w:rPr>
          <w:rFonts w:hint="eastAsia" w:cs="宋体"/>
          <w:color w:val="auto"/>
          <w:sz w:val="21"/>
          <w:szCs w:val="21"/>
          <w:highlight w:val="none"/>
          <w:lang w:eastAsia="zh-CN"/>
        </w:rPr>
        <w:t>投标文件的组成部</w:t>
      </w:r>
      <w:r>
        <w:rPr>
          <w:rFonts w:hint="eastAsia" w:cs="宋体"/>
          <w:color w:val="auto"/>
          <w:spacing w:val="-3"/>
          <w:sz w:val="21"/>
          <w:szCs w:val="21"/>
          <w:highlight w:val="none"/>
          <w:lang w:eastAsia="zh-CN"/>
        </w:rPr>
        <w:t>分</w:t>
      </w:r>
      <w:r>
        <w:rPr>
          <w:rFonts w:hint="eastAsia" w:cs="宋体"/>
          <w:color w:val="auto"/>
          <w:sz w:val="21"/>
          <w:szCs w:val="21"/>
          <w:highlight w:val="none"/>
          <w:lang w:eastAsia="zh-CN"/>
        </w:rPr>
        <w:t>。</w:t>
      </w:r>
    </w:p>
    <w:p w14:paraId="08FCA70B">
      <w:pPr>
        <w:spacing w:line="360" w:lineRule="exact"/>
        <w:rPr>
          <w:rFonts w:hint="eastAsia" w:ascii="宋体" w:hAnsi="宋体" w:cs="宋体"/>
          <w:color w:val="auto"/>
          <w:sz w:val="21"/>
          <w:szCs w:val="21"/>
          <w:highlight w:val="none"/>
        </w:rPr>
      </w:pPr>
    </w:p>
    <w:p w14:paraId="123B8A88">
      <w:pPr>
        <w:spacing w:line="360" w:lineRule="exact"/>
        <w:rPr>
          <w:rFonts w:hint="eastAsia" w:ascii="宋体" w:hAnsi="宋体" w:cs="宋体"/>
          <w:color w:val="auto"/>
          <w:sz w:val="21"/>
          <w:szCs w:val="21"/>
          <w:highlight w:val="none"/>
        </w:rPr>
      </w:pPr>
    </w:p>
    <w:p w14:paraId="5839FCEC">
      <w:pPr>
        <w:spacing w:line="360" w:lineRule="exact"/>
        <w:rPr>
          <w:rFonts w:hint="eastAsia" w:ascii="宋体" w:hAnsi="宋体" w:cs="宋体"/>
          <w:color w:val="auto"/>
          <w:sz w:val="21"/>
          <w:szCs w:val="21"/>
          <w:highlight w:val="none"/>
        </w:rPr>
      </w:pPr>
    </w:p>
    <w:p w14:paraId="7A450122">
      <w:pPr>
        <w:spacing w:line="360" w:lineRule="exact"/>
        <w:rPr>
          <w:rFonts w:hint="eastAsia" w:ascii="宋体" w:hAnsi="宋体" w:cs="宋体"/>
          <w:color w:val="auto"/>
          <w:sz w:val="21"/>
          <w:szCs w:val="21"/>
          <w:highlight w:val="none"/>
        </w:rPr>
      </w:pPr>
    </w:p>
    <w:p w14:paraId="0C4E6C41">
      <w:pPr>
        <w:pStyle w:val="3"/>
        <w:spacing w:line="360" w:lineRule="exact"/>
        <w:rPr>
          <w:rFonts w:hint="eastAsia" w:cs="宋体"/>
          <w:color w:val="auto"/>
          <w:sz w:val="21"/>
          <w:szCs w:val="21"/>
          <w:highlight w:val="none"/>
          <w:lang w:eastAsia="zh-CN"/>
        </w:rPr>
      </w:pPr>
      <w:r>
        <w:rPr>
          <w:rFonts w:hint="eastAsia" w:cs="宋体"/>
          <w:color w:val="auto"/>
          <w:sz w:val="21"/>
          <w:szCs w:val="21"/>
          <w:highlight w:val="none"/>
          <w:lang w:eastAsia="zh-CN"/>
        </w:rPr>
        <w:t>投</w:t>
      </w:r>
      <w:r>
        <w:rPr>
          <w:rFonts w:hint="eastAsia" w:cs="宋体"/>
          <w:color w:val="auto"/>
          <w:spacing w:val="-3"/>
          <w:sz w:val="21"/>
          <w:szCs w:val="21"/>
          <w:highlight w:val="none"/>
          <w:lang w:eastAsia="zh-CN"/>
        </w:rPr>
        <w:t>标</w:t>
      </w:r>
      <w:r>
        <w:rPr>
          <w:rFonts w:hint="eastAsia" w:cs="宋体"/>
          <w:color w:val="auto"/>
          <w:sz w:val="21"/>
          <w:szCs w:val="21"/>
          <w:highlight w:val="none"/>
          <w:lang w:eastAsia="zh-CN"/>
        </w:rPr>
        <w:t>人</w:t>
      </w:r>
      <w:r>
        <w:rPr>
          <w:rFonts w:hint="eastAsia" w:cs="宋体"/>
          <w:color w:val="auto"/>
          <w:spacing w:val="-1"/>
          <w:sz w:val="21"/>
          <w:szCs w:val="21"/>
          <w:highlight w:val="none"/>
          <w:lang w:eastAsia="zh-CN"/>
        </w:rPr>
        <w:t>：</w:t>
      </w:r>
      <w:r>
        <w:rPr>
          <w:rFonts w:hint="eastAsia" w:cs="宋体"/>
          <w:color w:val="auto"/>
          <w:spacing w:val="-1"/>
          <w:sz w:val="21"/>
          <w:szCs w:val="21"/>
          <w:highlight w:val="none"/>
          <w:u w:val="single"/>
          <w:lang w:eastAsia="zh-CN"/>
        </w:rPr>
        <w:tab/>
      </w:r>
      <w:r>
        <w:rPr>
          <w:rFonts w:hint="eastAsia" w:cs="宋体"/>
          <w:color w:val="auto"/>
          <w:sz w:val="21"/>
          <w:szCs w:val="21"/>
          <w:highlight w:val="none"/>
          <w:lang w:eastAsia="zh-CN"/>
        </w:rPr>
        <w:t>（盖</w:t>
      </w:r>
      <w:r>
        <w:rPr>
          <w:rFonts w:hint="eastAsia" w:cs="宋体"/>
          <w:color w:val="auto"/>
          <w:spacing w:val="-3"/>
          <w:sz w:val="21"/>
          <w:szCs w:val="21"/>
          <w:highlight w:val="none"/>
          <w:lang w:eastAsia="zh-CN"/>
        </w:rPr>
        <w:t>单</w:t>
      </w:r>
      <w:r>
        <w:rPr>
          <w:rFonts w:hint="eastAsia" w:cs="宋体"/>
          <w:color w:val="auto"/>
          <w:sz w:val="21"/>
          <w:szCs w:val="21"/>
          <w:highlight w:val="none"/>
          <w:lang w:eastAsia="zh-CN"/>
        </w:rPr>
        <w:t>位</w:t>
      </w:r>
      <w:r>
        <w:rPr>
          <w:rFonts w:hint="eastAsia" w:cs="宋体"/>
          <w:color w:val="auto"/>
          <w:spacing w:val="-3"/>
          <w:sz w:val="21"/>
          <w:szCs w:val="21"/>
          <w:highlight w:val="none"/>
          <w:lang w:eastAsia="zh-CN"/>
        </w:rPr>
        <w:t>章</w:t>
      </w:r>
      <w:r>
        <w:rPr>
          <w:rFonts w:hint="eastAsia" w:cs="宋体"/>
          <w:color w:val="auto"/>
          <w:sz w:val="21"/>
          <w:szCs w:val="21"/>
          <w:highlight w:val="none"/>
          <w:lang w:eastAsia="zh-CN"/>
        </w:rPr>
        <w:t>）</w:t>
      </w:r>
    </w:p>
    <w:p w14:paraId="584D2480">
      <w:pPr>
        <w:spacing w:line="360" w:lineRule="exact"/>
        <w:rPr>
          <w:rFonts w:hint="eastAsia" w:ascii="宋体" w:hAnsi="宋体" w:cs="宋体"/>
          <w:color w:val="auto"/>
          <w:sz w:val="21"/>
          <w:szCs w:val="21"/>
          <w:highlight w:val="none"/>
        </w:rPr>
      </w:pPr>
    </w:p>
    <w:p w14:paraId="2671496F">
      <w:pPr>
        <w:pStyle w:val="3"/>
        <w:spacing w:line="360" w:lineRule="exact"/>
        <w:rPr>
          <w:rFonts w:hint="eastAsia" w:cs="宋体"/>
          <w:color w:val="auto"/>
          <w:sz w:val="21"/>
          <w:szCs w:val="21"/>
          <w:highlight w:val="none"/>
          <w:lang w:eastAsia="zh-CN"/>
        </w:rPr>
      </w:pPr>
      <w:r>
        <w:rPr>
          <w:rFonts w:hint="eastAsia" w:cs="宋体"/>
          <w:color w:val="auto"/>
          <w:sz w:val="21"/>
          <w:szCs w:val="21"/>
          <w:highlight w:val="none"/>
          <w:lang w:eastAsia="zh-CN"/>
        </w:rPr>
        <w:t>法</w:t>
      </w:r>
      <w:r>
        <w:rPr>
          <w:rFonts w:hint="eastAsia" w:cs="宋体"/>
          <w:color w:val="auto"/>
          <w:spacing w:val="-3"/>
          <w:sz w:val="21"/>
          <w:szCs w:val="21"/>
          <w:highlight w:val="none"/>
          <w:lang w:eastAsia="zh-CN"/>
        </w:rPr>
        <w:t>定</w:t>
      </w:r>
      <w:r>
        <w:rPr>
          <w:rFonts w:hint="eastAsia" w:cs="宋体"/>
          <w:color w:val="auto"/>
          <w:sz w:val="21"/>
          <w:szCs w:val="21"/>
          <w:highlight w:val="none"/>
          <w:lang w:eastAsia="zh-CN"/>
        </w:rPr>
        <w:t>代</w:t>
      </w:r>
      <w:r>
        <w:rPr>
          <w:rFonts w:hint="eastAsia" w:cs="宋体"/>
          <w:color w:val="auto"/>
          <w:spacing w:val="-3"/>
          <w:sz w:val="21"/>
          <w:szCs w:val="21"/>
          <w:highlight w:val="none"/>
          <w:lang w:eastAsia="zh-CN"/>
        </w:rPr>
        <w:t>表</w:t>
      </w:r>
      <w:r>
        <w:rPr>
          <w:rFonts w:hint="eastAsia" w:cs="宋体"/>
          <w:color w:val="auto"/>
          <w:sz w:val="21"/>
          <w:szCs w:val="21"/>
          <w:highlight w:val="none"/>
          <w:lang w:eastAsia="zh-CN"/>
        </w:rPr>
        <w:t>人</w:t>
      </w:r>
      <w:r>
        <w:rPr>
          <w:rFonts w:hint="eastAsia" w:cs="宋体"/>
          <w:color w:val="auto"/>
          <w:spacing w:val="-3"/>
          <w:sz w:val="21"/>
          <w:szCs w:val="21"/>
          <w:highlight w:val="none"/>
          <w:lang w:eastAsia="zh-CN"/>
        </w:rPr>
        <w:t>或</w:t>
      </w:r>
      <w:r>
        <w:rPr>
          <w:rFonts w:hint="eastAsia" w:cs="宋体"/>
          <w:color w:val="auto"/>
          <w:sz w:val="21"/>
          <w:szCs w:val="21"/>
          <w:highlight w:val="none"/>
          <w:lang w:eastAsia="zh-CN"/>
        </w:rPr>
        <w:t>其</w:t>
      </w:r>
      <w:r>
        <w:rPr>
          <w:rFonts w:hint="eastAsia" w:cs="宋体"/>
          <w:color w:val="auto"/>
          <w:spacing w:val="-3"/>
          <w:sz w:val="21"/>
          <w:szCs w:val="21"/>
          <w:highlight w:val="none"/>
          <w:lang w:eastAsia="zh-CN"/>
        </w:rPr>
        <w:t>委</w:t>
      </w:r>
      <w:r>
        <w:rPr>
          <w:rFonts w:hint="eastAsia" w:cs="宋体"/>
          <w:color w:val="auto"/>
          <w:sz w:val="21"/>
          <w:szCs w:val="21"/>
          <w:highlight w:val="none"/>
          <w:lang w:eastAsia="zh-CN"/>
        </w:rPr>
        <w:t>托</w:t>
      </w:r>
      <w:r>
        <w:rPr>
          <w:rFonts w:hint="eastAsia" w:cs="宋体"/>
          <w:color w:val="auto"/>
          <w:spacing w:val="-3"/>
          <w:sz w:val="21"/>
          <w:szCs w:val="21"/>
          <w:highlight w:val="none"/>
          <w:lang w:eastAsia="zh-CN"/>
        </w:rPr>
        <w:t>代理</w:t>
      </w:r>
      <w:r>
        <w:rPr>
          <w:rFonts w:hint="eastAsia" w:cs="宋体"/>
          <w:color w:val="auto"/>
          <w:sz w:val="21"/>
          <w:szCs w:val="21"/>
          <w:highlight w:val="none"/>
          <w:lang w:eastAsia="zh-CN"/>
        </w:rPr>
        <w:t>人</w:t>
      </w:r>
      <w:r>
        <w:rPr>
          <w:rFonts w:hint="eastAsia" w:cs="宋体"/>
          <w:color w:val="auto"/>
          <w:spacing w:val="-1"/>
          <w:sz w:val="21"/>
          <w:szCs w:val="21"/>
          <w:highlight w:val="none"/>
          <w:lang w:eastAsia="zh-CN"/>
        </w:rPr>
        <w:t>：</w:t>
      </w:r>
      <w:r>
        <w:rPr>
          <w:rFonts w:hint="eastAsia" w:cs="宋体"/>
          <w:color w:val="auto"/>
          <w:spacing w:val="-1"/>
          <w:sz w:val="21"/>
          <w:szCs w:val="21"/>
          <w:highlight w:val="none"/>
          <w:u w:val="single"/>
          <w:lang w:eastAsia="zh-CN"/>
        </w:rPr>
        <w:tab/>
      </w:r>
      <w:r>
        <w:rPr>
          <w:rFonts w:hint="eastAsia" w:cs="宋体"/>
          <w:color w:val="auto"/>
          <w:spacing w:val="-3"/>
          <w:sz w:val="21"/>
          <w:szCs w:val="21"/>
          <w:highlight w:val="none"/>
          <w:lang w:eastAsia="zh-CN"/>
        </w:rPr>
        <w:t>（</w:t>
      </w:r>
      <w:r>
        <w:rPr>
          <w:rFonts w:hint="eastAsia" w:cs="宋体"/>
          <w:color w:val="auto"/>
          <w:sz w:val="21"/>
          <w:szCs w:val="21"/>
          <w:highlight w:val="none"/>
          <w:lang w:eastAsia="zh-CN"/>
        </w:rPr>
        <w:t>签</w:t>
      </w:r>
      <w:r>
        <w:rPr>
          <w:rFonts w:hint="eastAsia" w:cs="宋体"/>
          <w:color w:val="auto"/>
          <w:spacing w:val="-3"/>
          <w:sz w:val="21"/>
          <w:szCs w:val="21"/>
          <w:highlight w:val="none"/>
          <w:lang w:eastAsia="zh-CN"/>
        </w:rPr>
        <w:t>字</w:t>
      </w:r>
      <w:r>
        <w:rPr>
          <w:rFonts w:hint="eastAsia" w:cs="宋体"/>
          <w:color w:val="auto"/>
          <w:sz w:val="21"/>
          <w:szCs w:val="21"/>
          <w:highlight w:val="none"/>
          <w:lang w:eastAsia="zh-CN"/>
        </w:rPr>
        <w:t>）</w:t>
      </w:r>
    </w:p>
    <w:p w14:paraId="1A4A9781">
      <w:pPr>
        <w:spacing w:line="360" w:lineRule="exact"/>
        <w:rPr>
          <w:rFonts w:hint="eastAsia" w:ascii="宋体" w:hAnsi="宋体" w:cs="宋体"/>
          <w:color w:val="auto"/>
          <w:sz w:val="21"/>
          <w:szCs w:val="21"/>
          <w:highlight w:val="none"/>
        </w:rPr>
      </w:pPr>
    </w:p>
    <w:p w14:paraId="02687347">
      <w:pPr>
        <w:pStyle w:val="3"/>
        <w:spacing w:line="360" w:lineRule="exact"/>
        <w:ind w:firstLine="844" w:firstLineChars="200"/>
        <w:rPr>
          <w:rFonts w:hint="eastAsia" w:cs="宋体"/>
          <w:color w:val="auto"/>
          <w:sz w:val="21"/>
          <w:szCs w:val="21"/>
          <w:highlight w:val="none"/>
          <w:lang w:eastAsia="zh-CN"/>
        </w:rPr>
      </w:pPr>
      <w:r>
        <w:rPr>
          <w:rFonts w:hint="eastAsia" w:cs="宋体"/>
          <w:color w:val="auto"/>
          <w:w w:val="201"/>
          <w:sz w:val="21"/>
          <w:szCs w:val="21"/>
          <w:highlight w:val="none"/>
          <w:lang w:eastAsia="zh-CN"/>
        </w:rPr>
        <w:t xml:space="preserve"> </w:t>
      </w:r>
      <w:r>
        <w:rPr>
          <w:rFonts w:hint="eastAsia" w:cs="宋体"/>
          <w:color w:val="auto"/>
          <w:sz w:val="21"/>
          <w:szCs w:val="21"/>
          <w:highlight w:val="none"/>
          <w:lang w:eastAsia="zh-CN"/>
        </w:rPr>
        <w:tab/>
      </w:r>
      <w:r>
        <w:rPr>
          <w:rFonts w:hint="eastAsia" w:cs="宋体"/>
          <w:color w:val="auto"/>
          <w:spacing w:val="-3"/>
          <w:sz w:val="21"/>
          <w:szCs w:val="21"/>
          <w:highlight w:val="none"/>
          <w:lang w:eastAsia="zh-CN"/>
        </w:rPr>
        <w:t>年</w:t>
      </w:r>
      <w:r>
        <w:rPr>
          <w:rFonts w:hint="eastAsia" w:cs="宋体"/>
          <w:color w:val="auto"/>
          <w:spacing w:val="-3"/>
          <w:sz w:val="21"/>
          <w:szCs w:val="21"/>
          <w:highlight w:val="none"/>
          <w:lang w:eastAsia="zh-CN"/>
        </w:rPr>
        <w:tab/>
      </w:r>
      <w:r>
        <w:rPr>
          <w:rFonts w:hint="eastAsia" w:cs="宋体"/>
          <w:color w:val="auto"/>
          <w:sz w:val="21"/>
          <w:szCs w:val="21"/>
          <w:highlight w:val="none"/>
          <w:lang w:eastAsia="zh-CN"/>
        </w:rPr>
        <w:t>月</w:t>
      </w:r>
      <w:r>
        <w:rPr>
          <w:rFonts w:hint="eastAsia" w:cs="宋体"/>
          <w:color w:val="auto"/>
          <w:sz w:val="21"/>
          <w:szCs w:val="21"/>
          <w:highlight w:val="none"/>
          <w:lang w:eastAsia="zh-CN"/>
        </w:rPr>
        <w:tab/>
      </w:r>
      <w:r>
        <w:rPr>
          <w:rFonts w:hint="eastAsia" w:cs="宋体"/>
          <w:color w:val="auto"/>
          <w:sz w:val="21"/>
          <w:szCs w:val="21"/>
          <w:highlight w:val="none"/>
          <w:lang w:eastAsia="zh-CN"/>
        </w:rPr>
        <w:t>日</w:t>
      </w:r>
    </w:p>
    <w:p w14:paraId="75F30739">
      <w:pPr>
        <w:pStyle w:val="9"/>
        <w:rPr>
          <w:rFonts w:hint="eastAsia" w:ascii="宋体" w:hAnsi="宋体" w:eastAsia="宋体" w:cs="宋体"/>
          <w:color w:val="auto"/>
          <w:highlight w:val="none"/>
          <w:lang w:eastAsia="zh-CN"/>
        </w:rPr>
      </w:pPr>
    </w:p>
    <w:p w14:paraId="3A0A93D5">
      <w:pPr>
        <w:pStyle w:val="9"/>
        <w:rPr>
          <w:rFonts w:hint="eastAsia" w:ascii="宋体" w:hAnsi="宋体" w:eastAsia="宋体" w:cs="宋体"/>
          <w:color w:val="auto"/>
          <w:highlight w:val="none"/>
          <w:lang w:eastAsia="zh-CN"/>
        </w:rPr>
      </w:pPr>
    </w:p>
    <w:p w14:paraId="4C8F9CB1">
      <w:pPr>
        <w:pStyle w:val="9"/>
        <w:rPr>
          <w:rFonts w:hint="eastAsia" w:ascii="宋体" w:hAnsi="宋体" w:eastAsia="宋体" w:cs="宋体"/>
          <w:color w:val="auto"/>
          <w:highlight w:val="none"/>
          <w:lang w:eastAsia="zh-CN"/>
        </w:rPr>
        <w:sectPr>
          <w:footerReference r:id="rId7" w:type="default"/>
          <w:pgSz w:w="12240" w:h="15840"/>
          <w:pgMar w:top="1400" w:right="1680" w:bottom="1120" w:left="1700" w:header="0" w:footer="921" w:gutter="0"/>
          <w:pgNumType w:fmt="decimal"/>
          <w:cols w:space="720" w:num="1"/>
        </w:sectPr>
      </w:pPr>
    </w:p>
    <w:p w14:paraId="0C3CD532">
      <w:pPr>
        <w:pStyle w:val="8"/>
        <w:spacing w:before="0" w:after="0" w:line="24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附件四：中标通知书（按广州公共资源交易中心格式）</w:t>
      </w:r>
    </w:p>
    <w:p w14:paraId="3C31DECD">
      <w:pPr>
        <w:rPr>
          <w:rFonts w:hint="eastAsia" w:ascii="宋体" w:hAnsi="宋体" w:cs="宋体"/>
          <w:color w:val="auto"/>
          <w:highlight w:val="none"/>
        </w:rPr>
      </w:pPr>
      <w:r>
        <w:rPr>
          <w:rFonts w:hint="eastAsia" w:ascii="宋体" w:hAnsi="宋体" w:cs="宋体"/>
          <w:color w:val="auto"/>
          <w:highlight w:val="none"/>
        </w:rPr>
        <w:br w:type="page"/>
      </w:r>
    </w:p>
    <w:p w14:paraId="3640BD4A">
      <w:pPr>
        <w:pStyle w:val="8"/>
        <w:spacing w:before="0" w:after="0" w:line="24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附件五：《评标委员会成员声明》</w:t>
      </w:r>
    </w:p>
    <w:p w14:paraId="3373C605">
      <w:pPr>
        <w:spacing w:line="360" w:lineRule="auto"/>
        <w:jc w:val="center"/>
        <w:rPr>
          <w:rFonts w:hint="eastAsia" w:ascii="宋体" w:hAnsi="宋体" w:cs="宋体"/>
          <w:b/>
          <w:bCs/>
          <w:color w:val="auto"/>
          <w:sz w:val="24"/>
          <w:szCs w:val="24"/>
          <w:highlight w:val="none"/>
        </w:rPr>
      </w:pPr>
    </w:p>
    <w:p w14:paraId="79107772">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评标委员会成员声明</w:t>
      </w:r>
    </w:p>
    <w:p w14:paraId="58B6F3C1">
      <w:pPr>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 xml:space="preserve">   本项目招标人  </w:t>
      </w:r>
      <w:r>
        <w:rPr>
          <w:rFonts w:hint="eastAsia" w:ascii="宋体" w:hAnsi="宋体" w:cs="宋体"/>
          <w:color w:val="auto"/>
          <w:sz w:val="21"/>
          <w:szCs w:val="21"/>
          <w:highlight w:val="none"/>
        </w:rPr>
        <w:t>：</w:t>
      </w:r>
    </w:p>
    <w:p w14:paraId="1B219448">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本人就参与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项目的评标工作，作出郑重声明：</w:t>
      </w:r>
    </w:p>
    <w:p w14:paraId="1C447320">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D86AB3A">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D4CD82E">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ACD11A8">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FFB7743">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6AB89A6">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如果本人违反上述声明内容，造成的后果由本人自行承担。</w:t>
      </w:r>
    </w:p>
    <w:p w14:paraId="2D90D6DD">
      <w:pPr>
        <w:spacing w:line="360" w:lineRule="exact"/>
        <w:rPr>
          <w:rFonts w:hint="eastAsia" w:ascii="宋体" w:hAnsi="宋体" w:cs="宋体"/>
          <w:color w:val="auto"/>
          <w:sz w:val="21"/>
          <w:szCs w:val="21"/>
          <w:highlight w:val="none"/>
        </w:rPr>
      </w:pPr>
    </w:p>
    <w:p w14:paraId="32ADCBAB">
      <w:pPr>
        <w:spacing w:line="360" w:lineRule="exact"/>
        <w:ind w:firstLine="5670" w:firstLineChars="27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声明人：（签名）  </w:t>
      </w:r>
    </w:p>
    <w:p w14:paraId="6A3AFA8C">
      <w:pPr>
        <w:pStyle w:val="4"/>
        <w:spacing w:after="0" w:line="360" w:lineRule="exact"/>
        <w:ind w:left="0" w:leftChars="0" w:firstLine="0"/>
        <w:rPr>
          <w:rFonts w:hint="eastAsia" w:ascii="宋体" w:hAnsi="宋体" w:cs="宋体"/>
          <w:color w:val="auto"/>
          <w:sz w:val="21"/>
          <w:szCs w:val="21"/>
          <w:highlight w:val="none"/>
          <w:lang w:eastAsia="zh-CN"/>
        </w:rPr>
      </w:pPr>
    </w:p>
    <w:p w14:paraId="4D0D468A">
      <w:pPr>
        <w:pStyle w:val="8"/>
        <w:spacing w:before="0" w:after="0" w:line="240" w:lineRule="auto"/>
        <w:rPr>
          <w:rFonts w:hint="eastAsia" w:ascii="宋体" w:hAnsi="宋体" w:eastAsia="宋体" w:cs="宋体"/>
          <w:b w:val="0"/>
          <w:bCs w:val="0"/>
          <w:color w:val="auto"/>
          <w:sz w:val="21"/>
          <w:szCs w:val="21"/>
          <w:highlight w:val="none"/>
          <w:lang w:val="en-US" w:eastAsia="zh-CN"/>
        </w:rPr>
      </w:pPr>
      <w:bookmarkStart w:id="77" w:name="_Toc186418340"/>
      <w:r>
        <w:rPr>
          <w:rFonts w:hint="eastAsia" w:ascii="宋体" w:hAnsi="宋体" w:cs="宋体"/>
          <w:color w:val="auto"/>
          <w:highlight w:val="none"/>
        </w:rPr>
        <w:br w:type="page"/>
      </w:r>
      <w:bookmarkStart w:id="78" w:name="_Toc13428"/>
      <w:r>
        <w:rPr>
          <w:rFonts w:hint="eastAsia" w:ascii="宋体" w:hAnsi="宋体" w:eastAsia="宋体" w:cs="宋体"/>
          <w:b w:val="0"/>
          <w:bCs w:val="0"/>
          <w:color w:val="auto"/>
          <w:sz w:val="21"/>
          <w:szCs w:val="21"/>
          <w:highlight w:val="none"/>
          <w:lang w:val="en-US" w:eastAsia="zh-CN"/>
        </w:rPr>
        <w:t>附件</w:t>
      </w:r>
      <w:r>
        <w:rPr>
          <w:rFonts w:hint="eastAsia" w:ascii="宋体" w:hAnsi="宋体" w:cs="宋体"/>
          <w:b w:val="0"/>
          <w:bCs w:val="0"/>
          <w:color w:val="auto"/>
          <w:sz w:val="21"/>
          <w:szCs w:val="21"/>
          <w:highlight w:val="none"/>
          <w:lang w:val="en-US" w:eastAsia="zh-CN"/>
        </w:rPr>
        <w:t>六</w:t>
      </w:r>
      <w:r>
        <w:rPr>
          <w:rFonts w:hint="eastAsia" w:ascii="宋体" w:hAnsi="宋体" w:eastAsia="宋体" w:cs="宋体"/>
          <w:b w:val="0"/>
          <w:bCs w:val="0"/>
          <w:color w:val="auto"/>
          <w:sz w:val="21"/>
          <w:szCs w:val="21"/>
          <w:highlight w:val="none"/>
          <w:lang w:val="en-US" w:eastAsia="zh-CN"/>
        </w:rPr>
        <w:t>：招标代理费用计算方法</w:t>
      </w:r>
      <w:bookmarkEnd w:id="78"/>
    </w:p>
    <w:p w14:paraId="3576BC04">
      <w:pPr>
        <w:jc w:val="center"/>
        <w:rPr>
          <w:rFonts w:hint="eastAsia" w:ascii="宋体" w:hAnsi="宋体" w:eastAsia="宋体" w:cs="宋体"/>
          <w:color w:val="auto"/>
          <w:sz w:val="32"/>
          <w:szCs w:val="32"/>
          <w:highlight w:val="none"/>
        </w:rPr>
      </w:pPr>
    </w:p>
    <w:p w14:paraId="6E590DE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招标代理费用计算方法</w:t>
      </w:r>
    </w:p>
    <w:p w14:paraId="561A82CA">
      <w:pPr>
        <w:spacing w:line="360" w:lineRule="exact"/>
        <w:ind w:firstLine="420" w:firstLineChars="200"/>
        <w:rPr>
          <w:rFonts w:hint="eastAsia" w:ascii="宋体" w:hAnsi="宋体" w:eastAsia="宋体" w:cs="Times New Roman"/>
          <w:color w:val="auto"/>
          <w:sz w:val="21"/>
          <w:szCs w:val="21"/>
          <w:highlight w:val="none"/>
          <w:lang w:val="en-US" w:eastAsia="zh-CN"/>
        </w:rPr>
      </w:pPr>
    </w:p>
    <w:p w14:paraId="637024F8">
      <w:pPr>
        <w:spacing w:line="360" w:lineRule="exact"/>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以中标金额为基准参照国家发展计划委员会颁发的[2002]1980号文《招标代理服务收费管理暂行办法》及发改价格[2011]534号文规定×72%计取招标代理服务费，具体如下：</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9"/>
        <w:gridCol w:w="2777"/>
      </w:tblGrid>
      <w:tr w14:paraId="185E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3496" w:type="pct"/>
            <w:tcBorders>
              <w:tl2br w:val="single" w:color="auto" w:sz="2" w:space="0"/>
            </w:tcBorders>
            <w:noWrap w:val="0"/>
            <w:vAlign w:val="center"/>
          </w:tcPr>
          <w:p w14:paraId="1A0E0852">
            <w:pPr>
              <w:wordWrap w:val="0"/>
              <w:adjustRightInd w:val="0"/>
              <w:snapToGrid w:val="0"/>
              <w:spacing w:line="440" w:lineRule="exact"/>
              <w:ind w:firstLine="0" w:firstLine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费率类别</w:t>
            </w:r>
          </w:p>
          <w:p w14:paraId="28F0636F">
            <w:pPr>
              <w:wordWrap w:val="0"/>
              <w:adjustRightInd w:val="0"/>
              <w:snapToGri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中标金额（万元人民币）</w:t>
            </w:r>
          </w:p>
        </w:tc>
        <w:tc>
          <w:tcPr>
            <w:tcW w:w="1503" w:type="pct"/>
            <w:noWrap w:val="0"/>
            <w:vAlign w:val="center"/>
          </w:tcPr>
          <w:p w14:paraId="3FA2F98F">
            <w:pPr>
              <w:wordWrap w:val="0"/>
              <w:adjustRightInd w:val="0"/>
              <w:snapToGrid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服务招标费率</w:t>
            </w:r>
          </w:p>
        </w:tc>
      </w:tr>
      <w:tr w14:paraId="0EBD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pct"/>
            <w:noWrap w:val="0"/>
            <w:vAlign w:val="center"/>
          </w:tcPr>
          <w:p w14:paraId="1DB16049">
            <w:pPr>
              <w:wordWrap w:val="0"/>
              <w:adjustRightInd w:val="0"/>
              <w:snapToGrid w:val="0"/>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100以下部分</w:t>
            </w:r>
          </w:p>
        </w:tc>
        <w:tc>
          <w:tcPr>
            <w:tcW w:w="1503" w:type="pct"/>
            <w:noWrap w:val="0"/>
            <w:vAlign w:val="center"/>
          </w:tcPr>
          <w:p w14:paraId="0633B5F8">
            <w:pPr>
              <w:wordWrap w:val="0"/>
              <w:adjustRightInd w:val="0"/>
              <w:snapToGrid w:val="0"/>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r>
      <w:tr w14:paraId="3BC8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6" w:type="pct"/>
            <w:noWrap w:val="0"/>
            <w:vAlign w:val="center"/>
          </w:tcPr>
          <w:p w14:paraId="08D13581">
            <w:pPr>
              <w:wordWrap w:val="0"/>
              <w:adjustRightInd w:val="0"/>
              <w:snapToGrid w:val="0"/>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100-500部分</w:t>
            </w:r>
          </w:p>
        </w:tc>
        <w:tc>
          <w:tcPr>
            <w:tcW w:w="1503" w:type="pct"/>
            <w:noWrap w:val="0"/>
            <w:vAlign w:val="center"/>
          </w:tcPr>
          <w:p w14:paraId="6A117E8F">
            <w:pPr>
              <w:wordWrap w:val="0"/>
              <w:adjustRightInd w:val="0"/>
              <w:snapToGrid w:val="0"/>
              <w:spacing w:line="44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r>
    </w:tbl>
    <w:p w14:paraId="16702E37">
      <w:pPr>
        <w:spacing w:line="360" w:lineRule="exact"/>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注</w:t>
      </w:r>
      <w:r>
        <w:rPr>
          <w:rFonts w:hint="eastAsia" w:ascii="宋体" w:hAnsi="宋体" w:eastAsia="宋体" w:cs="Times New Roman"/>
          <w:color w:val="auto"/>
          <w:sz w:val="21"/>
          <w:szCs w:val="21"/>
          <w:highlight w:val="none"/>
          <w:lang w:val="en-US" w:eastAsia="zh-CN"/>
        </w:rPr>
        <w:t>：1、按本表费率计算的收费为招标代理全过程的收费基准价格。</w:t>
      </w:r>
    </w:p>
    <w:p w14:paraId="0E16EC2D">
      <w:pPr>
        <w:spacing w:line="360" w:lineRule="exact"/>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2、招标代理服务收费按差额定率累进法计算，计费基数为项目中标金额。例如：中标金额为110万元（招标代理服务费下浮28%），计算招标代理费额如下：</w:t>
      </w:r>
    </w:p>
    <w:p w14:paraId="13B683EF">
      <w:pPr>
        <w:spacing w:line="360" w:lineRule="exact"/>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100万元×1.5%=1.5万元</w:t>
      </w:r>
    </w:p>
    <w:p w14:paraId="2E90D426">
      <w:pPr>
        <w:spacing w:line="360" w:lineRule="exact"/>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（110-100）万元×0.8%=0.08万元</w:t>
      </w:r>
    </w:p>
    <w:p w14:paraId="5EADAC4D">
      <w:pPr>
        <w:spacing w:line="360" w:lineRule="exact"/>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合计收费=（1.5＋0.08）×（72%）=1.1376（万元）</w:t>
      </w:r>
    </w:p>
    <w:p w14:paraId="3C3EA9F2">
      <w:pPr>
        <w:rPr>
          <w:rFonts w:hint="eastAsia" w:ascii="宋体" w:hAnsi="宋体" w:cs="宋体"/>
          <w:color w:val="auto"/>
          <w:highlight w:val="none"/>
        </w:rPr>
      </w:pPr>
      <w:r>
        <w:rPr>
          <w:rFonts w:hint="eastAsia" w:ascii="宋体" w:hAnsi="宋体" w:cs="宋体"/>
          <w:color w:val="auto"/>
          <w:highlight w:val="none"/>
        </w:rPr>
        <w:br w:type="page"/>
      </w:r>
    </w:p>
    <w:p w14:paraId="5E940D10">
      <w:pPr>
        <w:rPr>
          <w:rFonts w:hint="eastAsia" w:ascii="宋体" w:hAnsi="宋体" w:cs="宋体"/>
          <w:color w:val="auto"/>
          <w:highlight w:val="none"/>
        </w:rPr>
      </w:pPr>
    </w:p>
    <w:p w14:paraId="0CCA498C">
      <w:pPr>
        <w:pStyle w:val="5"/>
        <w:rPr>
          <w:rFonts w:hint="eastAsia" w:ascii="宋体" w:hAnsi="宋体" w:cs="宋体"/>
          <w:color w:val="auto"/>
          <w:sz w:val="32"/>
          <w:szCs w:val="32"/>
          <w:highlight w:val="none"/>
        </w:rPr>
      </w:pPr>
      <w:bookmarkStart w:id="79" w:name="_Toc12930"/>
      <w:r>
        <w:rPr>
          <w:rFonts w:hint="eastAsia" w:ascii="宋体" w:hAnsi="宋体" w:cs="宋体"/>
          <w:color w:val="auto"/>
          <w:sz w:val="32"/>
          <w:szCs w:val="32"/>
          <w:highlight w:val="none"/>
        </w:rPr>
        <w:t>第三章 评标办法（综合评估法）</w:t>
      </w:r>
      <w:bookmarkEnd w:id="77"/>
      <w:bookmarkEnd w:id="79"/>
    </w:p>
    <w:p w14:paraId="501470C1">
      <w:pPr>
        <w:pStyle w:val="6"/>
        <w:spacing w:line="240" w:lineRule="auto"/>
        <w:ind w:left="6"/>
        <w:jc w:val="left"/>
        <w:rPr>
          <w:rFonts w:hint="eastAsia" w:cs="宋体"/>
          <w:b/>
          <w:bCs/>
          <w:color w:val="auto"/>
          <w:sz w:val="24"/>
          <w:szCs w:val="24"/>
          <w:highlight w:val="none"/>
        </w:rPr>
      </w:pPr>
      <w:bookmarkStart w:id="80" w:name="_Toc3810"/>
      <w:r>
        <w:rPr>
          <w:rFonts w:hint="eastAsia" w:cs="宋体"/>
          <w:b/>
          <w:bCs/>
          <w:color w:val="auto"/>
          <w:sz w:val="24"/>
          <w:szCs w:val="24"/>
          <w:highlight w:val="none"/>
        </w:rPr>
        <w:t>评标办法前附表</w:t>
      </w:r>
      <w:bookmarkEnd w:id="80"/>
    </w:p>
    <w:tbl>
      <w:tblPr>
        <w:tblStyle w:val="26"/>
        <w:tblpPr w:leftFromText="180" w:rightFromText="180" w:vertAnchor="text" w:horzAnchor="page" w:tblpX="1492" w:tblpY="393"/>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2"/>
        <w:gridCol w:w="1382"/>
        <w:gridCol w:w="2083"/>
        <w:gridCol w:w="4983"/>
      </w:tblGrid>
      <w:tr w14:paraId="124F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rPr>
        <w:tc>
          <w:tcPr>
            <w:tcW w:w="2234" w:type="dxa"/>
            <w:gridSpan w:val="2"/>
            <w:vAlign w:val="center"/>
          </w:tcPr>
          <w:p w14:paraId="667A1F12">
            <w:pPr>
              <w:pStyle w:val="37"/>
              <w:spacing w:before="0" w:line="240" w:lineRule="auto"/>
              <w:ind w:left="110" w:leftChars="50"/>
              <w:rPr>
                <w:rFonts w:hint="eastAsia" w:ascii="宋体" w:hAnsi="宋体" w:eastAsia="宋体" w:cs="宋体"/>
                <w:color w:val="auto"/>
                <w:sz w:val="21"/>
                <w:szCs w:val="21"/>
                <w:highlight w:val="none"/>
              </w:rPr>
            </w:pPr>
            <w:bookmarkStart w:id="81" w:name="_Toc10518"/>
            <w:bookmarkStart w:id="82" w:name="_Toc186418341"/>
            <w:r>
              <w:rPr>
                <w:rFonts w:hint="eastAsia" w:ascii="宋体" w:hAnsi="宋体" w:eastAsia="宋体" w:cs="宋体"/>
                <w:color w:val="auto"/>
                <w:sz w:val="21"/>
                <w:szCs w:val="21"/>
                <w:highlight w:val="none"/>
              </w:rPr>
              <w:t>条款号</w:t>
            </w:r>
          </w:p>
        </w:tc>
        <w:tc>
          <w:tcPr>
            <w:tcW w:w="2083" w:type="dxa"/>
            <w:vAlign w:val="center"/>
          </w:tcPr>
          <w:p w14:paraId="03E40700">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4983" w:type="dxa"/>
            <w:vAlign w:val="center"/>
          </w:tcPr>
          <w:p w14:paraId="4E526AC3">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22CC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8" w:hRule="atLeast"/>
        </w:trPr>
        <w:tc>
          <w:tcPr>
            <w:tcW w:w="852" w:type="dxa"/>
            <w:vAlign w:val="center"/>
          </w:tcPr>
          <w:p w14:paraId="0E54B527">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82" w:type="dxa"/>
            <w:vAlign w:val="center"/>
          </w:tcPr>
          <w:p w14:paraId="0F18F290">
            <w:pPr>
              <w:pStyle w:val="37"/>
              <w:spacing w:before="0" w:line="240" w:lineRule="auto"/>
              <w:ind w:left="110" w:leftChars="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2083" w:type="dxa"/>
            <w:vAlign w:val="center"/>
          </w:tcPr>
          <w:p w14:paraId="3687BA52">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中标候选人排序方法</w:t>
            </w:r>
          </w:p>
        </w:tc>
        <w:tc>
          <w:tcPr>
            <w:tcW w:w="4983" w:type="dxa"/>
            <w:vAlign w:val="center"/>
          </w:tcPr>
          <w:p w14:paraId="18683D1E">
            <w:pPr>
              <w:spacing w:line="240" w:lineRule="auto"/>
              <w:ind w:left="110" w:leftChars="5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本次评标采用综合评估法。评标委员会对满足招标文件实质性要求的投标文件，按照本章规定的评分标准进行打分，并按得分由高到低顺序推荐前三名作为中标候选人，综合评分相等的，以技术方案（技术文件）得分高的优先；技术方案（技术文件）得分也相等的，以资信业绩（商务文件）得分高的优先；如果资信业绩（商务文件）得分也相等，</w:t>
            </w:r>
            <w:r>
              <w:rPr>
                <w:rFonts w:hint="eastAsia" w:ascii="宋体" w:hAnsi="宋体" w:cs="宋体"/>
                <w:color w:val="auto"/>
                <w:sz w:val="21"/>
                <w:szCs w:val="21"/>
                <w:highlight w:val="none"/>
                <w:lang w:bidi="ar"/>
              </w:rPr>
              <w:t>以报价低者优先；如果报价也相等，</w:t>
            </w:r>
            <w:r>
              <w:rPr>
                <w:rFonts w:hint="eastAsia" w:ascii="宋体" w:hAnsi="宋体" w:cs="宋体"/>
                <w:color w:val="auto"/>
                <w:sz w:val="21"/>
                <w:szCs w:val="21"/>
                <w:highlight w:val="none"/>
              </w:rPr>
              <w:t>则由评委以投票方式进行表决，确定相等得分的中标候选人的排序。</w:t>
            </w:r>
          </w:p>
        </w:tc>
      </w:tr>
      <w:tr w14:paraId="282C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852" w:type="dxa"/>
            <w:vMerge w:val="restart"/>
            <w:vAlign w:val="center"/>
          </w:tcPr>
          <w:p w14:paraId="3D346291">
            <w:pPr>
              <w:pStyle w:val="37"/>
              <w:spacing w:before="0" w:line="24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eastAsia="zh-CN"/>
              </w:rPr>
              <w:t>1</w:t>
            </w:r>
          </w:p>
        </w:tc>
        <w:tc>
          <w:tcPr>
            <w:tcW w:w="1382" w:type="dxa"/>
            <w:vMerge w:val="restart"/>
            <w:vAlign w:val="center"/>
          </w:tcPr>
          <w:p w14:paraId="50761DA7">
            <w:pPr>
              <w:pStyle w:val="37"/>
              <w:spacing w:before="0" w:line="24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形式评审标准</w:t>
            </w:r>
          </w:p>
        </w:tc>
        <w:tc>
          <w:tcPr>
            <w:tcW w:w="2083" w:type="dxa"/>
            <w:vAlign w:val="center"/>
          </w:tcPr>
          <w:p w14:paraId="73FEB0BC">
            <w:pPr>
              <w:pStyle w:val="37"/>
              <w:spacing w:before="0" w:line="24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投标人名称</w:t>
            </w:r>
          </w:p>
        </w:tc>
        <w:tc>
          <w:tcPr>
            <w:tcW w:w="4983" w:type="dxa"/>
            <w:vAlign w:val="center"/>
          </w:tcPr>
          <w:p w14:paraId="74C90B6F">
            <w:pPr>
              <w:pStyle w:val="37"/>
              <w:spacing w:before="0" w:line="240" w:lineRule="auto"/>
              <w:ind w:left="110" w:leftChars="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与营业执照、资质证书一致</w:t>
            </w:r>
          </w:p>
        </w:tc>
      </w:tr>
      <w:tr w14:paraId="0CA2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2" w:type="dxa"/>
            <w:vMerge w:val="continue"/>
            <w:vAlign w:val="center"/>
          </w:tcPr>
          <w:p w14:paraId="1991D3EE">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1382" w:type="dxa"/>
            <w:vMerge w:val="continue"/>
            <w:vAlign w:val="center"/>
          </w:tcPr>
          <w:p w14:paraId="4B9214BF">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2083" w:type="dxa"/>
            <w:vAlign w:val="center"/>
          </w:tcPr>
          <w:p w14:paraId="5FBEB8DB">
            <w:pPr>
              <w:pStyle w:val="37"/>
              <w:spacing w:before="0" w:line="24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投标书及投标书附录签字盖章</w:t>
            </w:r>
          </w:p>
        </w:tc>
        <w:tc>
          <w:tcPr>
            <w:tcW w:w="4983" w:type="dxa"/>
            <w:vAlign w:val="center"/>
          </w:tcPr>
          <w:p w14:paraId="662747E6">
            <w:pPr>
              <w:pStyle w:val="37"/>
              <w:spacing w:before="0" w:line="240" w:lineRule="auto"/>
              <w:ind w:left="110" w:leftChars="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有法定代表人或被授权人签字或盖章，</w:t>
            </w:r>
            <w:r>
              <w:rPr>
                <w:rFonts w:hint="eastAsia" w:ascii="宋体" w:hAnsi="宋体" w:eastAsia="宋体" w:cs="宋体"/>
                <w:color w:val="auto"/>
                <w:sz w:val="21"/>
                <w:highlight w:val="none"/>
                <w:lang w:val="en-US" w:eastAsia="zh-CN"/>
              </w:rPr>
              <w:t>并加盖投标人电子印章</w:t>
            </w:r>
          </w:p>
        </w:tc>
      </w:tr>
      <w:tr w14:paraId="3EE0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2" w:type="dxa"/>
            <w:vMerge w:val="continue"/>
            <w:vAlign w:val="center"/>
          </w:tcPr>
          <w:p w14:paraId="1A481C0D">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1382" w:type="dxa"/>
            <w:vMerge w:val="continue"/>
            <w:vAlign w:val="center"/>
          </w:tcPr>
          <w:p w14:paraId="09208352">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2083" w:type="dxa"/>
            <w:vAlign w:val="center"/>
          </w:tcPr>
          <w:p w14:paraId="606FA60A">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4983" w:type="dxa"/>
            <w:vAlign w:val="center"/>
          </w:tcPr>
          <w:p w14:paraId="0A188BD5">
            <w:pPr>
              <w:pStyle w:val="37"/>
              <w:spacing w:before="0" w:line="240" w:lineRule="auto"/>
              <w:ind w:left="110" w:leftChars="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highlight w:val="none"/>
              </w:rPr>
              <w:t>符合第六章“投标文件格式”的规定</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指格式一、格式四、格式五</w:t>
            </w:r>
            <w:r>
              <w:rPr>
                <w:rFonts w:hint="eastAsia" w:ascii="宋体" w:hAnsi="宋体" w:eastAsia="宋体" w:cs="宋体"/>
                <w:color w:val="auto"/>
                <w:sz w:val="21"/>
                <w:highlight w:val="none"/>
                <w:lang w:eastAsia="zh-CN"/>
              </w:rPr>
              <w:t>）</w:t>
            </w:r>
          </w:p>
        </w:tc>
      </w:tr>
      <w:tr w14:paraId="657C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852" w:type="dxa"/>
            <w:vMerge w:val="continue"/>
            <w:vAlign w:val="center"/>
          </w:tcPr>
          <w:p w14:paraId="51AE32E6">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1382" w:type="dxa"/>
            <w:vMerge w:val="continue"/>
            <w:vAlign w:val="center"/>
          </w:tcPr>
          <w:p w14:paraId="1FE4D8AE">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2083" w:type="dxa"/>
            <w:vAlign w:val="center"/>
          </w:tcPr>
          <w:p w14:paraId="053E6A6D">
            <w:pPr>
              <w:pStyle w:val="37"/>
              <w:spacing w:before="0" w:line="240" w:lineRule="auto"/>
              <w:ind w:left="110" w:leftChars="5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备选投标方案</w:t>
            </w:r>
          </w:p>
        </w:tc>
        <w:tc>
          <w:tcPr>
            <w:tcW w:w="4983" w:type="dxa"/>
            <w:vAlign w:val="center"/>
          </w:tcPr>
          <w:p w14:paraId="028A35CD">
            <w:pPr>
              <w:pStyle w:val="37"/>
              <w:spacing w:before="0" w:line="240" w:lineRule="auto"/>
              <w:ind w:left="110" w:leftChars="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不允许提交备选投标方案</w:t>
            </w:r>
          </w:p>
        </w:tc>
      </w:tr>
      <w:tr w14:paraId="5711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2" w:type="dxa"/>
            <w:vMerge w:val="continue"/>
            <w:vAlign w:val="center"/>
          </w:tcPr>
          <w:p w14:paraId="7A010248">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1382" w:type="dxa"/>
            <w:vMerge w:val="continue"/>
            <w:vAlign w:val="center"/>
          </w:tcPr>
          <w:p w14:paraId="36696264">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2083" w:type="dxa"/>
            <w:vAlign w:val="center"/>
          </w:tcPr>
          <w:p w14:paraId="4D1A78D0">
            <w:pPr>
              <w:pStyle w:val="37"/>
              <w:spacing w:before="0" w:line="24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投标人机器码</w:t>
            </w:r>
          </w:p>
        </w:tc>
        <w:tc>
          <w:tcPr>
            <w:tcW w:w="4983" w:type="dxa"/>
            <w:vAlign w:val="center"/>
          </w:tcPr>
          <w:p w14:paraId="4D8C2B9B">
            <w:pPr>
              <w:pStyle w:val="37"/>
              <w:spacing w:before="0" w:line="240" w:lineRule="auto"/>
              <w:ind w:left="110" w:leftChars="5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投标人与</w:t>
            </w:r>
            <w:r>
              <w:rPr>
                <w:rFonts w:hint="eastAsia" w:ascii="宋体" w:hAnsi="宋体" w:eastAsia="宋体" w:cs="宋体"/>
                <w:color w:val="auto"/>
                <w:sz w:val="21"/>
                <w:szCs w:val="21"/>
                <w:highlight w:val="none"/>
                <w:u w:val="single"/>
                <w:lang w:eastAsia="zh-CN"/>
              </w:rPr>
              <w:t>本项目</w:t>
            </w:r>
            <w:r>
              <w:rPr>
                <w:rFonts w:hint="eastAsia" w:ascii="宋体" w:hAnsi="宋体" w:eastAsia="宋体" w:cs="宋体"/>
                <w:color w:val="auto"/>
                <w:sz w:val="21"/>
                <w:szCs w:val="21"/>
                <w:highlight w:val="none"/>
                <w:lang w:eastAsia="zh-CN"/>
              </w:rPr>
              <w:t>其他投标人加密打包投标文件电脑机器特征码一致的（以广州公共资源交易中心评标系统的检索信息为准），其投标将被否决</w:t>
            </w:r>
          </w:p>
        </w:tc>
      </w:tr>
      <w:tr w14:paraId="14E9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2" w:type="dxa"/>
            <w:vAlign w:val="center"/>
          </w:tcPr>
          <w:p w14:paraId="348F2CDF">
            <w:pPr>
              <w:pStyle w:val="37"/>
              <w:spacing w:before="0" w:line="24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eastAsia="zh-CN"/>
              </w:rPr>
              <w:t>2</w:t>
            </w:r>
          </w:p>
        </w:tc>
        <w:tc>
          <w:tcPr>
            <w:tcW w:w="1382" w:type="dxa"/>
            <w:vAlign w:val="center"/>
          </w:tcPr>
          <w:p w14:paraId="63E39546">
            <w:pPr>
              <w:pStyle w:val="37"/>
              <w:spacing w:before="0" w:line="24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资格评审标准</w:t>
            </w:r>
          </w:p>
        </w:tc>
        <w:tc>
          <w:tcPr>
            <w:tcW w:w="2083" w:type="dxa"/>
            <w:vAlign w:val="center"/>
          </w:tcPr>
          <w:p w14:paraId="173F4188">
            <w:pPr>
              <w:pStyle w:val="37"/>
              <w:spacing w:line="24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资格审查表</w:t>
            </w:r>
          </w:p>
        </w:tc>
        <w:tc>
          <w:tcPr>
            <w:tcW w:w="4983" w:type="dxa"/>
            <w:vAlign w:val="center"/>
          </w:tcPr>
          <w:p w14:paraId="7730FE62">
            <w:pPr>
              <w:pStyle w:val="37"/>
              <w:kinsoku/>
              <w:overflowPunct/>
              <w:spacing w:line="240" w:lineRule="auto"/>
              <w:ind w:left="22" w:leftChars="10" w:right="22" w:rightChars="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见后</w:t>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一</w:t>
            </w:r>
          </w:p>
        </w:tc>
      </w:tr>
      <w:tr w14:paraId="03C4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52" w:type="dxa"/>
            <w:vMerge w:val="restart"/>
            <w:vAlign w:val="center"/>
          </w:tcPr>
          <w:p w14:paraId="09FDF505">
            <w:pPr>
              <w:pStyle w:val="37"/>
              <w:spacing w:before="0" w:line="24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2.1.3</w:t>
            </w:r>
          </w:p>
        </w:tc>
        <w:tc>
          <w:tcPr>
            <w:tcW w:w="1382" w:type="dxa"/>
            <w:vMerge w:val="restart"/>
            <w:vAlign w:val="center"/>
          </w:tcPr>
          <w:p w14:paraId="0B957EF0">
            <w:pPr>
              <w:pStyle w:val="37"/>
              <w:spacing w:before="0" w:line="240" w:lineRule="auto"/>
              <w:ind w:left="110" w:leftChar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响应性评审标准</w:t>
            </w:r>
          </w:p>
        </w:tc>
        <w:tc>
          <w:tcPr>
            <w:tcW w:w="2083" w:type="dxa"/>
            <w:vAlign w:val="center"/>
          </w:tcPr>
          <w:p w14:paraId="317AD0A2">
            <w:pPr>
              <w:pStyle w:val="37"/>
              <w:spacing w:line="24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983" w:type="dxa"/>
            <w:vAlign w:val="center"/>
          </w:tcPr>
          <w:p w14:paraId="745083A4">
            <w:pPr>
              <w:pStyle w:val="37"/>
              <w:kinsoku/>
              <w:overflowPunct/>
              <w:spacing w:line="240" w:lineRule="auto"/>
              <w:ind w:left="22" w:leftChars="10" w:right="22" w:rightChars="10"/>
              <w:jc w:val="left"/>
              <w:rPr>
                <w:rFonts w:hint="eastAsia" w:ascii="宋体" w:hAnsi="宋体" w:eastAsia="宋体" w:cs="宋体"/>
                <w:color w:val="auto"/>
                <w:sz w:val="21"/>
                <w:szCs w:val="21"/>
                <w:highlight w:val="none"/>
                <w:lang w:eastAsia="zh-CN"/>
              </w:rPr>
            </w:pPr>
            <w:r>
              <w:rPr>
                <w:rFonts w:ascii="Calibri" w:hAnsi="Calibri" w:eastAsia="宋体"/>
                <w:color w:val="auto"/>
                <w:kern w:val="2"/>
                <w:sz w:val="21"/>
                <w:highlight w:val="none"/>
                <w:lang w:eastAsia="zh-CN"/>
              </w:rPr>
              <w:t>符合第二章</w:t>
            </w:r>
            <w:r>
              <w:rPr>
                <w:rFonts w:hint="eastAsia" w:ascii="Calibri" w:hAnsi="Calibri" w:eastAsia="宋体"/>
                <w:color w:val="auto"/>
                <w:kern w:val="2"/>
                <w:sz w:val="21"/>
                <w:highlight w:val="none"/>
                <w:lang w:eastAsia="zh-CN"/>
              </w:rPr>
              <w:t>“</w:t>
            </w:r>
            <w:r>
              <w:rPr>
                <w:rFonts w:ascii="Calibri" w:hAnsi="Calibri" w:eastAsia="宋体"/>
                <w:color w:val="auto"/>
                <w:kern w:val="2"/>
                <w:sz w:val="21"/>
                <w:highlight w:val="none"/>
                <w:lang w:eastAsia="zh-CN"/>
              </w:rPr>
              <w:t>投标人须</w:t>
            </w:r>
            <w:r>
              <w:rPr>
                <w:rFonts w:hint="eastAsia" w:ascii="宋体" w:hAnsi="宋体" w:eastAsia="宋体" w:cs="宋体"/>
                <w:color w:val="auto"/>
                <w:kern w:val="2"/>
                <w:sz w:val="21"/>
                <w:highlight w:val="none"/>
                <w:lang w:eastAsia="zh-CN"/>
              </w:rPr>
              <w:t>知”第3.2款规</w:t>
            </w:r>
            <w:r>
              <w:rPr>
                <w:rFonts w:ascii="Calibri" w:hAnsi="Calibri" w:eastAsia="宋体"/>
                <w:color w:val="auto"/>
                <w:kern w:val="2"/>
                <w:sz w:val="21"/>
                <w:highlight w:val="none"/>
                <w:lang w:eastAsia="zh-CN"/>
              </w:rPr>
              <w:t>定</w:t>
            </w:r>
          </w:p>
        </w:tc>
      </w:tr>
      <w:tr w14:paraId="615E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2" w:type="dxa"/>
            <w:vMerge w:val="continue"/>
            <w:vAlign w:val="center"/>
          </w:tcPr>
          <w:p w14:paraId="0AB94C23">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1382" w:type="dxa"/>
            <w:vMerge w:val="continue"/>
            <w:vAlign w:val="center"/>
          </w:tcPr>
          <w:p w14:paraId="10E2E87A">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2083" w:type="dxa"/>
            <w:vAlign w:val="center"/>
          </w:tcPr>
          <w:p w14:paraId="33DFFB57">
            <w:pPr>
              <w:pStyle w:val="37"/>
              <w:spacing w:line="24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服务期限</w:t>
            </w:r>
          </w:p>
        </w:tc>
        <w:tc>
          <w:tcPr>
            <w:tcW w:w="4983" w:type="dxa"/>
            <w:vAlign w:val="center"/>
          </w:tcPr>
          <w:p w14:paraId="65615408">
            <w:pPr>
              <w:pStyle w:val="37"/>
              <w:kinsoku/>
              <w:overflowPunct/>
              <w:spacing w:line="240" w:lineRule="auto"/>
              <w:ind w:left="22" w:leftChars="10" w:right="22" w:rightChars="1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符合第二章“投标人须知”第1.3.2项规定，以投标人在投标书附录中的承诺为准</w:t>
            </w:r>
          </w:p>
        </w:tc>
      </w:tr>
      <w:tr w14:paraId="5A24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2" w:type="dxa"/>
            <w:vMerge w:val="continue"/>
            <w:vAlign w:val="center"/>
          </w:tcPr>
          <w:p w14:paraId="43FAAD64">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1382" w:type="dxa"/>
            <w:vMerge w:val="continue"/>
            <w:vAlign w:val="center"/>
          </w:tcPr>
          <w:p w14:paraId="03E8D2D2">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2083" w:type="dxa"/>
            <w:vAlign w:val="center"/>
          </w:tcPr>
          <w:p w14:paraId="38C0FD49">
            <w:pPr>
              <w:pStyle w:val="37"/>
              <w:spacing w:line="24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4983" w:type="dxa"/>
            <w:vAlign w:val="center"/>
          </w:tcPr>
          <w:p w14:paraId="7FEA36E6">
            <w:pPr>
              <w:pStyle w:val="37"/>
              <w:kinsoku/>
              <w:overflowPunct/>
              <w:spacing w:line="240" w:lineRule="auto"/>
              <w:ind w:left="22" w:leftChars="10" w:right="22" w:rightChars="1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符合第二章“投标人须知”第1.3.3项规定，以投标人在投标书附录中的承诺为准</w:t>
            </w:r>
          </w:p>
        </w:tc>
      </w:tr>
      <w:tr w14:paraId="01DC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2" w:type="dxa"/>
            <w:vMerge w:val="continue"/>
            <w:vAlign w:val="center"/>
          </w:tcPr>
          <w:p w14:paraId="3CD65656">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1382" w:type="dxa"/>
            <w:vMerge w:val="continue"/>
            <w:vAlign w:val="center"/>
          </w:tcPr>
          <w:p w14:paraId="4FAF6B12">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2083" w:type="dxa"/>
            <w:vAlign w:val="center"/>
          </w:tcPr>
          <w:p w14:paraId="3440023B">
            <w:pPr>
              <w:pStyle w:val="37"/>
              <w:spacing w:line="24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4983" w:type="dxa"/>
            <w:vAlign w:val="center"/>
          </w:tcPr>
          <w:p w14:paraId="0DCBA393">
            <w:pPr>
              <w:pStyle w:val="37"/>
              <w:kinsoku/>
              <w:overflowPunct/>
              <w:spacing w:line="240" w:lineRule="auto"/>
              <w:ind w:left="22" w:leftChars="10" w:right="22" w:rightChars="1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符合第二章“投标人须知”第3.3.1项规定，以投标人在投标书附录中的承诺为准</w:t>
            </w:r>
          </w:p>
        </w:tc>
      </w:tr>
      <w:tr w14:paraId="1F46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2" w:type="dxa"/>
            <w:vMerge w:val="continue"/>
            <w:vAlign w:val="center"/>
          </w:tcPr>
          <w:p w14:paraId="3B59A846">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1382" w:type="dxa"/>
            <w:vMerge w:val="continue"/>
            <w:vAlign w:val="center"/>
          </w:tcPr>
          <w:p w14:paraId="47223625">
            <w:pPr>
              <w:pStyle w:val="37"/>
              <w:spacing w:before="0" w:line="240" w:lineRule="auto"/>
              <w:ind w:left="110" w:leftChars="50"/>
              <w:rPr>
                <w:rFonts w:hint="eastAsia" w:ascii="宋体" w:hAnsi="宋体" w:eastAsia="宋体" w:cs="宋体"/>
                <w:color w:val="auto"/>
                <w:sz w:val="21"/>
                <w:szCs w:val="21"/>
                <w:highlight w:val="none"/>
                <w:lang w:eastAsia="zh-CN"/>
              </w:rPr>
            </w:pPr>
          </w:p>
        </w:tc>
        <w:tc>
          <w:tcPr>
            <w:tcW w:w="2083" w:type="dxa"/>
            <w:vAlign w:val="center"/>
          </w:tcPr>
          <w:p w14:paraId="5CC38900">
            <w:pPr>
              <w:spacing w:line="240" w:lineRule="auto"/>
              <w:ind w:left="0" w:leftChars="0"/>
              <w:jc w:val="center"/>
              <w:rPr>
                <w:rFonts w:hint="eastAsia" w:ascii="宋体" w:hAnsi="宋体" w:eastAsia="宋体" w:cs="宋体"/>
                <w:color w:val="auto"/>
                <w:sz w:val="21"/>
                <w:szCs w:val="21"/>
                <w:highlight w:val="none"/>
              </w:rPr>
            </w:pPr>
            <w:r>
              <w:rPr>
                <w:rFonts w:hint="eastAsia"/>
                <w:color w:val="auto"/>
                <w:sz w:val="21"/>
                <w:highlight w:val="none"/>
                <w:lang w:eastAsia="zh-CN"/>
              </w:rPr>
              <w:t>串</w:t>
            </w:r>
            <w:r>
              <w:rPr>
                <w:rFonts w:hint="eastAsia" w:ascii="Calibri" w:hAnsi="Calibri" w:eastAsia="宋体"/>
                <w:color w:val="auto"/>
                <w:sz w:val="21"/>
                <w:highlight w:val="none"/>
              </w:rPr>
              <w:t>通投标情形</w:t>
            </w:r>
          </w:p>
        </w:tc>
        <w:tc>
          <w:tcPr>
            <w:tcW w:w="4983" w:type="dxa"/>
            <w:vAlign w:val="center"/>
          </w:tcPr>
          <w:p w14:paraId="6DBD9379">
            <w:pPr>
              <w:pStyle w:val="37"/>
              <w:kinsoku/>
              <w:overflowPunct/>
              <w:spacing w:line="240" w:lineRule="auto"/>
              <w:ind w:left="22" w:leftChars="10" w:right="22" w:rightChars="1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不存在串通投标情形（串通投标情形以《广东省实施&lt;中华人民共和国招标投标法&gt;办法》第十六条的规定为准）</w:t>
            </w:r>
          </w:p>
        </w:tc>
      </w:tr>
      <w:tr w14:paraId="5716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34" w:type="dxa"/>
            <w:gridSpan w:val="2"/>
            <w:vAlign w:val="center"/>
          </w:tcPr>
          <w:p w14:paraId="4E61B815">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083" w:type="dxa"/>
            <w:vAlign w:val="center"/>
          </w:tcPr>
          <w:p w14:paraId="123BDF4F">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条款内容</w:t>
            </w:r>
          </w:p>
        </w:tc>
        <w:tc>
          <w:tcPr>
            <w:tcW w:w="4983" w:type="dxa"/>
            <w:vAlign w:val="center"/>
          </w:tcPr>
          <w:p w14:paraId="0EE5A48C">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6845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2234" w:type="dxa"/>
            <w:gridSpan w:val="2"/>
            <w:vAlign w:val="center"/>
          </w:tcPr>
          <w:p w14:paraId="1F642EC8">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083" w:type="dxa"/>
            <w:vAlign w:val="center"/>
          </w:tcPr>
          <w:p w14:paraId="11BFD390">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63BFA668">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4983" w:type="dxa"/>
            <w:vAlign w:val="center"/>
          </w:tcPr>
          <w:p w14:paraId="20F91EEA">
            <w:pPr>
              <w:pStyle w:val="37"/>
              <w:keepNext w:val="0"/>
              <w:keepLines w:val="0"/>
              <w:pageBreakBefore w:val="0"/>
              <w:widowControl w:val="0"/>
              <w:kinsoku/>
              <w:wordWrap/>
              <w:overflowPunct/>
              <w:topLinePunct w:val="0"/>
              <w:autoSpaceDE/>
              <w:autoSpaceDN/>
              <w:bidi w:val="0"/>
              <w:adjustRightInd/>
              <w:snapToGrid/>
              <w:spacing w:line="240" w:lineRule="auto"/>
              <w:ind w:left="22" w:leftChars="10" w:right="22" w:rightChars="1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商务文件（</w:t>
            </w:r>
            <w:r>
              <w:rPr>
                <w:rFonts w:hint="eastAsia" w:ascii="宋体" w:hAnsi="宋体" w:eastAsia="宋体" w:cs="宋体"/>
                <w:color w:val="auto"/>
                <w:sz w:val="21"/>
                <w:szCs w:val="21"/>
                <w:highlight w:val="none"/>
                <w:lang w:eastAsia="zh-CN"/>
              </w:rPr>
              <w:t>资信业绩部分）：</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lang w:eastAsia="zh-CN"/>
              </w:rPr>
              <w:t>分</w:t>
            </w:r>
          </w:p>
          <w:p w14:paraId="2C0ED20B">
            <w:pPr>
              <w:pStyle w:val="37"/>
              <w:keepNext w:val="0"/>
              <w:keepLines w:val="0"/>
              <w:pageBreakBefore w:val="0"/>
              <w:widowControl w:val="0"/>
              <w:kinsoku/>
              <w:wordWrap/>
              <w:overflowPunct/>
              <w:topLinePunct w:val="0"/>
              <w:autoSpaceDE/>
              <w:autoSpaceDN/>
              <w:bidi w:val="0"/>
              <w:adjustRightInd/>
              <w:snapToGrid/>
              <w:spacing w:line="240" w:lineRule="auto"/>
              <w:ind w:left="22" w:leftChars="10" w:right="22" w:rightChars="1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技术文件（</w:t>
            </w:r>
            <w:r>
              <w:rPr>
                <w:rFonts w:hint="eastAsia" w:ascii="宋体" w:hAnsi="宋体" w:eastAsia="宋体" w:cs="宋体"/>
                <w:color w:val="auto"/>
                <w:sz w:val="21"/>
                <w:szCs w:val="21"/>
                <w:highlight w:val="none"/>
                <w:lang w:eastAsia="zh-CN"/>
              </w:rPr>
              <w:t>服务方案部分）：</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lang w:eastAsia="zh-CN"/>
              </w:rPr>
              <w:t>分</w:t>
            </w:r>
          </w:p>
          <w:p w14:paraId="05B4531C">
            <w:pPr>
              <w:pStyle w:val="37"/>
              <w:keepNext w:val="0"/>
              <w:keepLines w:val="0"/>
              <w:pageBreakBefore w:val="0"/>
              <w:widowControl w:val="0"/>
              <w:kinsoku/>
              <w:wordWrap/>
              <w:overflowPunct/>
              <w:topLinePunct w:val="0"/>
              <w:autoSpaceDE/>
              <w:autoSpaceDN/>
              <w:bidi w:val="0"/>
              <w:adjustRightInd/>
              <w:snapToGrid/>
              <w:spacing w:line="240" w:lineRule="auto"/>
              <w:ind w:left="22" w:leftChars="10" w:right="22" w:rightChars="1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eastAsia="zh-CN"/>
              </w:rPr>
              <w:t>投标报价部分：</w:t>
            </w:r>
            <w:r>
              <w:rPr>
                <w:rFonts w:hint="eastAsia" w:ascii="宋体" w:hAnsi="宋体"/>
                <w:color w:val="auto"/>
                <w:sz w:val="21"/>
                <w:szCs w:val="21"/>
                <w:highlight w:val="none"/>
                <w:lang w:val="en-US" w:eastAsia="zh-CN"/>
              </w:rPr>
              <w:t>20分</w:t>
            </w:r>
          </w:p>
          <w:p w14:paraId="4E4A6D15">
            <w:pPr>
              <w:spacing w:line="240" w:lineRule="auto"/>
              <w:ind w:left="110" w:leftChars="50"/>
              <w:rPr>
                <w:rFonts w:hint="eastAsia" w:ascii="宋体" w:hAnsi="宋体" w:cs="宋体"/>
                <w:color w:val="auto"/>
                <w:sz w:val="21"/>
                <w:szCs w:val="21"/>
                <w:highlight w:val="none"/>
                <w:u w:val="single"/>
              </w:rPr>
            </w:pPr>
            <w:r>
              <w:rPr>
                <w:rFonts w:hint="eastAsia" w:ascii="宋体" w:hAnsi="宋体"/>
                <w:b/>
                <w:bCs/>
                <w:color w:val="auto"/>
                <w:highlight w:val="none"/>
                <w:lang w:eastAsia="zh-CN"/>
              </w:rPr>
              <w:t>综合</w:t>
            </w:r>
            <w:r>
              <w:rPr>
                <w:rFonts w:hint="eastAsia" w:ascii="宋体" w:hAnsi="宋体" w:eastAsia="宋体" w:cs="宋体"/>
                <w:b/>
                <w:bCs/>
                <w:color w:val="auto"/>
                <w:sz w:val="21"/>
                <w:szCs w:val="21"/>
                <w:highlight w:val="none"/>
                <w:lang w:val="en-US" w:eastAsia="zh-CN"/>
              </w:rPr>
              <w:t>总得分=商务文件（</w:t>
            </w:r>
            <w:r>
              <w:rPr>
                <w:rFonts w:hint="eastAsia" w:ascii="宋体" w:hAnsi="宋体" w:eastAsia="宋体" w:cs="宋体"/>
                <w:b/>
                <w:bCs/>
                <w:color w:val="auto"/>
                <w:sz w:val="21"/>
                <w:szCs w:val="21"/>
                <w:highlight w:val="none"/>
                <w:lang w:eastAsia="zh-CN"/>
              </w:rPr>
              <w:t>资信业绩部分）</w:t>
            </w:r>
            <w:r>
              <w:rPr>
                <w:rFonts w:hint="eastAsia" w:ascii="宋体" w:hAnsi="宋体" w:eastAsia="宋体" w:cs="宋体"/>
                <w:b/>
                <w:bCs/>
                <w:color w:val="auto"/>
                <w:sz w:val="21"/>
                <w:szCs w:val="21"/>
                <w:highlight w:val="none"/>
                <w:lang w:val="en-US" w:eastAsia="zh-CN"/>
              </w:rPr>
              <w:t>40分+技术文件（</w:t>
            </w:r>
            <w:r>
              <w:rPr>
                <w:rFonts w:hint="eastAsia" w:ascii="宋体" w:hAnsi="宋体" w:cs="宋体"/>
                <w:b/>
                <w:bCs/>
                <w:color w:val="auto"/>
                <w:sz w:val="21"/>
                <w:szCs w:val="21"/>
                <w:highlight w:val="none"/>
                <w:lang w:eastAsia="zh-CN"/>
              </w:rPr>
              <w:t>服务方案</w:t>
            </w:r>
            <w:r>
              <w:rPr>
                <w:rFonts w:hint="eastAsia" w:ascii="宋体" w:hAnsi="宋体" w:eastAsia="宋体" w:cs="宋体"/>
                <w:b/>
                <w:bCs/>
                <w:color w:val="auto"/>
                <w:sz w:val="21"/>
                <w:szCs w:val="21"/>
                <w:highlight w:val="none"/>
                <w:lang w:eastAsia="zh-CN"/>
              </w:rPr>
              <w:t>部分）</w:t>
            </w:r>
            <w:r>
              <w:rPr>
                <w:rFonts w:hint="eastAsia" w:ascii="宋体" w:hAnsi="宋体" w:eastAsia="宋体" w:cs="宋体"/>
                <w:b/>
                <w:bCs/>
                <w:color w:val="auto"/>
                <w:sz w:val="21"/>
                <w:szCs w:val="21"/>
                <w:highlight w:val="none"/>
                <w:lang w:val="en-US" w:eastAsia="zh-CN"/>
              </w:rPr>
              <w:t>40分+</w:t>
            </w:r>
            <w:r>
              <w:rPr>
                <w:rFonts w:hint="eastAsia" w:ascii="宋体" w:hAnsi="宋体" w:eastAsia="宋体" w:cs="宋体"/>
                <w:b/>
                <w:bCs/>
                <w:color w:val="auto"/>
                <w:sz w:val="21"/>
                <w:szCs w:val="21"/>
                <w:highlight w:val="none"/>
                <w:lang w:eastAsia="zh-CN"/>
              </w:rPr>
              <w:t>投标报价部分</w:t>
            </w:r>
            <w:r>
              <w:rPr>
                <w:rFonts w:hint="eastAsia" w:ascii="宋体" w:hAnsi="宋体"/>
                <w:b/>
                <w:bCs/>
                <w:color w:val="auto"/>
                <w:sz w:val="21"/>
                <w:szCs w:val="21"/>
                <w:highlight w:val="none"/>
                <w:lang w:val="en-US" w:eastAsia="zh-CN"/>
              </w:rPr>
              <w:t>20分</w:t>
            </w:r>
          </w:p>
        </w:tc>
      </w:tr>
      <w:tr w14:paraId="542C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34" w:type="dxa"/>
            <w:gridSpan w:val="2"/>
            <w:vAlign w:val="center"/>
          </w:tcPr>
          <w:p w14:paraId="0D3F2066">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083" w:type="dxa"/>
            <w:vAlign w:val="center"/>
          </w:tcPr>
          <w:p w14:paraId="07ABA57F">
            <w:pPr>
              <w:pStyle w:val="37"/>
              <w:spacing w:line="240" w:lineRule="auto"/>
              <w:ind w:left="0" w:leftChars="0"/>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评标基准价计算方法</w:t>
            </w:r>
          </w:p>
        </w:tc>
        <w:tc>
          <w:tcPr>
            <w:tcW w:w="4983" w:type="dxa"/>
            <w:vAlign w:val="center"/>
          </w:tcPr>
          <w:p w14:paraId="6C96DE2F">
            <w:pPr>
              <w:pStyle w:val="37"/>
              <w:spacing w:line="240" w:lineRule="auto"/>
              <w:ind w:left="22" w:leftChars="10" w:right="22" w:rightChars="10"/>
              <w:jc w:val="left"/>
              <w:rPr>
                <w:rFonts w:hint="eastAsia" w:ascii="宋体" w:hAnsi="宋体" w:eastAsia="宋体" w:cs="宋体"/>
                <w:color w:val="auto"/>
                <w:sz w:val="21"/>
                <w:szCs w:val="21"/>
                <w:highlight w:val="none"/>
              </w:rPr>
            </w:pPr>
            <w:r>
              <w:rPr>
                <w:rFonts w:hint="eastAsia"/>
                <w:color w:val="auto"/>
                <w:highlight w:val="none"/>
              </w:rPr>
              <w:t>当通过</w:t>
            </w:r>
            <w:r>
              <w:rPr>
                <w:rFonts w:hint="eastAsia"/>
                <w:color w:val="auto"/>
                <w:highlight w:val="none"/>
                <w:lang w:val="en-US" w:eastAsia="zh-CN"/>
              </w:rPr>
              <w:t>初步评审</w:t>
            </w:r>
            <w:r>
              <w:rPr>
                <w:rFonts w:hint="eastAsia"/>
                <w:color w:val="auto"/>
                <w:highlight w:val="none"/>
              </w:rPr>
              <w:t>并经算术复核后的投标人的投标报价为有效报价。当位于[最高投标限价×90%，最高投标限价]区间中的有效报价大于或等于5个时，所有有效报价中去掉一个最高价和一个最低价，取余下有效报价的算术平均值的作为评标基准价。当位于[最高投标限价×90%，最高投标限价]区间的有效报价小于5个时，取所有有效报价的算术平均值的作为评标基准价。当位于[最高投标限价×90%，最高投标限价]区间的有效报价为0个时，取最高投标限价×90%作为评标基准价报价基准价（保留小数点后二位，第三位小数四舍五入）</w:t>
            </w:r>
            <w:r>
              <w:rPr>
                <w:rFonts w:hint="eastAsia"/>
                <w:color w:val="auto"/>
                <w:highlight w:val="none"/>
                <w:lang w:eastAsia="zh-CN"/>
              </w:rPr>
              <w:t>。</w:t>
            </w:r>
          </w:p>
        </w:tc>
      </w:tr>
      <w:tr w14:paraId="28EA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34" w:type="dxa"/>
            <w:gridSpan w:val="2"/>
            <w:vAlign w:val="center"/>
          </w:tcPr>
          <w:p w14:paraId="6DE476DC">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083" w:type="dxa"/>
            <w:vAlign w:val="center"/>
          </w:tcPr>
          <w:p w14:paraId="0B48EB34">
            <w:pPr>
              <w:pStyle w:val="37"/>
              <w:spacing w:line="240" w:lineRule="auto"/>
              <w:ind w:left="0" w:leftChars="0"/>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投标报价的偏差率计算公式</w:t>
            </w:r>
          </w:p>
        </w:tc>
        <w:tc>
          <w:tcPr>
            <w:tcW w:w="4983" w:type="dxa"/>
            <w:vAlign w:val="center"/>
          </w:tcPr>
          <w:p w14:paraId="4263324F">
            <w:pPr>
              <w:pStyle w:val="37"/>
              <w:spacing w:line="240" w:lineRule="auto"/>
              <w:ind w:left="22" w:leftChars="10" w:right="22" w:rightChars="10"/>
              <w:jc w:val="left"/>
              <w:rPr>
                <w:rFonts w:hint="eastAsia" w:ascii="宋体" w:hAnsi="宋体" w:eastAsia="宋体" w:cs="宋体"/>
                <w:color w:val="auto"/>
                <w:sz w:val="21"/>
                <w:szCs w:val="21"/>
                <w:highlight w:val="none"/>
                <w:lang w:val="en"/>
              </w:rPr>
            </w:pPr>
            <w:r>
              <w:rPr>
                <w:rFonts w:hint="default" w:ascii="宋体" w:hAnsi="宋体" w:eastAsia="宋体" w:cs="宋体"/>
                <w:color w:val="auto"/>
                <w:sz w:val="21"/>
                <w:szCs w:val="21"/>
                <w:highlight w:val="none"/>
                <w:u w:val="none"/>
                <w:lang w:eastAsia="zh-CN"/>
              </w:rPr>
              <w:t>偏差率=100%×|（投标人有效投标报价-评标基准价）|/评标基准价（偏差率以四舍五入保留1位小数点，报价偏差率不足1%的，按直线内插法计算投标报价得分）</w:t>
            </w:r>
          </w:p>
        </w:tc>
      </w:tr>
      <w:tr w14:paraId="5288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34" w:type="dxa"/>
            <w:gridSpan w:val="2"/>
            <w:vAlign w:val="center"/>
          </w:tcPr>
          <w:p w14:paraId="496D7D5D">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2.2.4（1）</w:t>
            </w:r>
          </w:p>
        </w:tc>
        <w:tc>
          <w:tcPr>
            <w:tcW w:w="2083" w:type="dxa"/>
            <w:vAlign w:val="center"/>
          </w:tcPr>
          <w:p w14:paraId="5BDB28CF">
            <w:pPr>
              <w:pStyle w:val="37"/>
              <w:spacing w:line="24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商务文件（</w:t>
            </w:r>
            <w:r>
              <w:rPr>
                <w:rFonts w:hint="eastAsia" w:ascii="宋体" w:hAnsi="宋体" w:eastAsia="宋体" w:cs="宋体"/>
                <w:color w:val="auto"/>
                <w:sz w:val="21"/>
                <w:szCs w:val="21"/>
                <w:highlight w:val="none"/>
                <w:lang w:eastAsia="zh-CN"/>
              </w:rPr>
              <w:t>资信业绩评分）</w:t>
            </w:r>
            <w:r>
              <w:rPr>
                <w:rFonts w:hint="eastAsia" w:ascii="宋体" w:hAnsi="宋体" w:eastAsia="宋体" w:cs="宋体"/>
                <w:color w:val="auto"/>
                <w:sz w:val="21"/>
                <w:szCs w:val="21"/>
                <w:highlight w:val="none"/>
                <w:lang w:val="en-US" w:eastAsia="zh-CN"/>
              </w:rPr>
              <w:t>评分</w:t>
            </w:r>
            <w:r>
              <w:rPr>
                <w:rFonts w:hint="eastAsia" w:ascii="宋体" w:hAnsi="宋体" w:eastAsia="宋体" w:cs="宋体"/>
                <w:color w:val="auto"/>
                <w:sz w:val="21"/>
                <w:szCs w:val="21"/>
                <w:highlight w:val="none"/>
                <w:lang w:eastAsia="zh-CN"/>
              </w:rPr>
              <w:t>标准</w:t>
            </w:r>
          </w:p>
        </w:tc>
        <w:tc>
          <w:tcPr>
            <w:tcW w:w="4983" w:type="dxa"/>
            <w:vAlign w:val="center"/>
          </w:tcPr>
          <w:p w14:paraId="5E159F68">
            <w:pPr>
              <w:spacing w:line="240" w:lineRule="auto"/>
              <w:ind w:left="0" w:leftChars="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CN"/>
              </w:rPr>
              <w:t>见后附件</w:t>
            </w:r>
            <w:r>
              <w:rPr>
                <w:rFonts w:hint="eastAsia" w:ascii="宋体" w:hAnsi="宋体" w:eastAsia="宋体" w:cs="宋体"/>
                <w:color w:val="auto"/>
                <w:sz w:val="21"/>
                <w:szCs w:val="21"/>
                <w:highlight w:val="none"/>
                <w:lang w:val="en-US" w:eastAsia="zh-CN"/>
              </w:rPr>
              <w:t>二</w:t>
            </w:r>
          </w:p>
        </w:tc>
      </w:tr>
      <w:tr w14:paraId="023F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34" w:type="dxa"/>
            <w:gridSpan w:val="2"/>
            <w:vAlign w:val="center"/>
          </w:tcPr>
          <w:p w14:paraId="58607556">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2.2.4（2）</w:t>
            </w:r>
          </w:p>
        </w:tc>
        <w:tc>
          <w:tcPr>
            <w:tcW w:w="2083" w:type="dxa"/>
            <w:vAlign w:val="center"/>
          </w:tcPr>
          <w:p w14:paraId="6DFBF82E">
            <w:pPr>
              <w:pStyle w:val="37"/>
              <w:spacing w:line="240" w:lineRule="auto"/>
              <w:ind w:left="0" w:lef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技术文件（</w:t>
            </w:r>
            <w:r>
              <w:rPr>
                <w:rFonts w:hint="eastAsia" w:ascii="宋体" w:hAnsi="宋体" w:eastAsia="宋体" w:cs="宋体"/>
                <w:color w:val="auto"/>
                <w:sz w:val="21"/>
                <w:szCs w:val="21"/>
                <w:highlight w:val="none"/>
                <w:lang w:eastAsia="zh-CN"/>
              </w:rPr>
              <w:t>服务方案评分）</w:t>
            </w:r>
            <w:r>
              <w:rPr>
                <w:rFonts w:hint="eastAsia" w:ascii="宋体" w:hAnsi="宋体" w:eastAsia="宋体" w:cs="宋体"/>
                <w:color w:val="auto"/>
                <w:sz w:val="21"/>
                <w:szCs w:val="21"/>
                <w:highlight w:val="none"/>
                <w:lang w:val="en-US" w:eastAsia="zh-CN"/>
              </w:rPr>
              <w:t>评分</w:t>
            </w:r>
            <w:r>
              <w:rPr>
                <w:rFonts w:hint="eastAsia" w:ascii="宋体" w:hAnsi="宋体" w:eastAsia="宋体" w:cs="宋体"/>
                <w:color w:val="auto"/>
                <w:sz w:val="21"/>
                <w:szCs w:val="21"/>
                <w:highlight w:val="none"/>
                <w:lang w:eastAsia="zh-CN"/>
              </w:rPr>
              <w:t>标准</w:t>
            </w:r>
          </w:p>
        </w:tc>
        <w:tc>
          <w:tcPr>
            <w:tcW w:w="4983" w:type="dxa"/>
            <w:vAlign w:val="center"/>
          </w:tcPr>
          <w:p w14:paraId="6A49F204">
            <w:pPr>
              <w:spacing w:line="240" w:lineRule="auto"/>
              <w:ind w:left="0" w:leftChars="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CN"/>
              </w:rPr>
              <w:t>见后附件</w:t>
            </w:r>
            <w:r>
              <w:rPr>
                <w:rFonts w:hint="eastAsia" w:ascii="宋体" w:hAnsi="宋体" w:eastAsia="宋体" w:cs="宋体"/>
                <w:color w:val="auto"/>
                <w:sz w:val="21"/>
                <w:szCs w:val="21"/>
                <w:highlight w:val="none"/>
                <w:lang w:val="en-US" w:eastAsia="zh-CN"/>
              </w:rPr>
              <w:t>二</w:t>
            </w:r>
          </w:p>
        </w:tc>
      </w:tr>
      <w:tr w14:paraId="0ECA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34" w:type="dxa"/>
            <w:gridSpan w:val="2"/>
            <w:vAlign w:val="center"/>
          </w:tcPr>
          <w:p w14:paraId="71FEC481">
            <w:pPr>
              <w:pStyle w:val="37"/>
              <w:spacing w:before="0" w:line="240" w:lineRule="auto"/>
              <w:ind w:left="110" w:lef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w:t>
            </w:r>
          </w:p>
        </w:tc>
        <w:tc>
          <w:tcPr>
            <w:tcW w:w="2083" w:type="dxa"/>
            <w:vAlign w:val="center"/>
          </w:tcPr>
          <w:p w14:paraId="74464A86">
            <w:pPr>
              <w:pStyle w:val="37"/>
              <w:spacing w:line="24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投标报价</w:t>
            </w:r>
          </w:p>
        </w:tc>
        <w:tc>
          <w:tcPr>
            <w:tcW w:w="4983" w:type="dxa"/>
            <w:vAlign w:val="center"/>
          </w:tcPr>
          <w:p w14:paraId="4A0F94BE">
            <w:pPr>
              <w:spacing w:line="240" w:lineRule="auto"/>
              <w:ind w:left="0" w:leftChars="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CN"/>
              </w:rPr>
              <w:t>见后附件</w:t>
            </w:r>
            <w:r>
              <w:rPr>
                <w:rFonts w:hint="eastAsia" w:ascii="宋体" w:hAnsi="宋体" w:eastAsia="宋体" w:cs="宋体"/>
                <w:color w:val="auto"/>
                <w:sz w:val="21"/>
                <w:szCs w:val="21"/>
                <w:highlight w:val="none"/>
                <w:lang w:val="en-US" w:eastAsia="zh-CN"/>
              </w:rPr>
              <w:t>二</w:t>
            </w:r>
          </w:p>
        </w:tc>
      </w:tr>
      <w:bookmarkEnd w:id="81"/>
      <w:bookmarkEnd w:id="82"/>
    </w:tbl>
    <w:p w14:paraId="72F48158">
      <w:pPr>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br w:type="page"/>
      </w:r>
    </w:p>
    <w:p w14:paraId="7019BD5D">
      <w:pPr>
        <w:pStyle w:val="7"/>
        <w:spacing w:line="363" w:lineRule="exact"/>
        <w:ind w:left="0" w:leftChars="0" w:firstLine="0" w:firstLineChars="0"/>
        <w:rPr>
          <w:rFonts w:hint="eastAsia" w:ascii="宋体" w:hAnsi="宋体" w:eastAsia="宋体" w:cs="宋体"/>
          <w:b w:val="0"/>
          <w:bCs w:val="0"/>
          <w:color w:val="auto"/>
          <w:sz w:val="21"/>
          <w:szCs w:val="21"/>
          <w:highlight w:val="none"/>
          <w:lang w:eastAsia="zh-CN"/>
        </w:rPr>
      </w:pPr>
      <w:bookmarkStart w:id="83" w:name="_Toc31304"/>
      <w:r>
        <w:rPr>
          <w:rFonts w:hint="eastAsia" w:ascii="宋体" w:hAnsi="宋体" w:eastAsia="宋体" w:cs="宋体"/>
          <w:b w:val="0"/>
          <w:bCs w:val="0"/>
          <w:color w:val="auto"/>
          <w:sz w:val="21"/>
          <w:szCs w:val="21"/>
          <w:highlight w:val="none"/>
          <w:lang w:eastAsia="zh-CN"/>
        </w:rPr>
        <w:t>附件</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lang w:eastAsia="zh-CN"/>
        </w:rPr>
        <w:t>：资格审查表</w:t>
      </w:r>
      <w:bookmarkEnd w:id="83"/>
    </w:p>
    <w:p w14:paraId="5DA687B5">
      <w:pPr>
        <w:pStyle w:val="15"/>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资格审查表</w:t>
      </w:r>
    </w:p>
    <w:tbl>
      <w:tblPr>
        <w:tblStyle w:val="26"/>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8384"/>
      </w:tblGrid>
      <w:tr w14:paraId="78A18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460" w:type="pct"/>
            <w:vAlign w:val="center"/>
          </w:tcPr>
          <w:p w14:paraId="6E16A876">
            <w:pPr>
              <w:pStyle w:val="1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4539" w:type="pct"/>
            <w:vAlign w:val="center"/>
          </w:tcPr>
          <w:p w14:paraId="628F3283">
            <w:pPr>
              <w:pStyle w:val="15"/>
              <w:jc w:val="center"/>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审查项目</w:t>
            </w:r>
          </w:p>
        </w:tc>
      </w:tr>
      <w:tr w14:paraId="5E47D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60" w:type="pct"/>
            <w:vAlign w:val="center"/>
          </w:tcPr>
          <w:p w14:paraId="48202654">
            <w:pPr>
              <w:pStyle w:val="1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4539" w:type="pct"/>
            <w:vAlign w:val="center"/>
          </w:tcPr>
          <w:p w14:paraId="4D11A853">
            <w:pPr>
              <w:pStyle w:val="1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投标人与招标人过去3年内无合同履约纠纷，没有不得参加投标的情形</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（以投标人提供的《投标人声明》为评审依据）</w:t>
            </w:r>
          </w:p>
        </w:tc>
      </w:tr>
      <w:tr w14:paraId="572D0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460" w:type="pct"/>
            <w:vAlign w:val="center"/>
          </w:tcPr>
          <w:p w14:paraId="58674202">
            <w:pPr>
              <w:pStyle w:val="1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4539" w:type="pct"/>
            <w:vAlign w:val="center"/>
          </w:tcPr>
          <w:p w14:paraId="23068672">
            <w:pPr>
              <w:pStyle w:val="1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委派的项目负责人须具备一级注册造价工程师资格，且在本单位注册。若拟委派的项目负责人为香港专业人士，则需已在广东省住房和城乡建设主管部门备案且备案的业务范围相当于注册造价工程师或注册一级造价工程师的香港专业人士</w:t>
            </w:r>
            <w:r>
              <w:rPr>
                <w:rFonts w:hint="eastAsia" w:hAnsi="宋体" w:eastAsia="宋体" w:cs="宋体"/>
                <w:color w:val="auto"/>
                <w:sz w:val="21"/>
                <w:szCs w:val="21"/>
                <w:highlight w:val="none"/>
                <w:lang w:eastAsia="zh-CN"/>
              </w:rPr>
              <w:t>。</w:t>
            </w:r>
          </w:p>
          <w:p w14:paraId="70815300">
            <w:pPr>
              <w:pStyle w:val="1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tc>
      </w:tr>
      <w:tr w14:paraId="6F2F2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0" w:type="pct"/>
            <w:shd w:val="clear" w:color="auto" w:fill="auto"/>
            <w:vAlign w:val="center"/>
          </w:tcPr>
          <w:p w14:paraId="63FA46C2">
            <w:pPr>
              <w:pStyle w:val="15"/>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3</w:t>
            </w:r>
          </w:p>
        </w:tc>
        <w:tc>
          <w:tcPr>
            <w:tcW w:w="4539" w:type="pct"/>
            <w:shd w:val="clear" w:color="auto" w:fill="auto"/>
            <w:vAlign w:val="center"/>
          </w:tcPr>
          <w:p w14:paraId="734C3DDE">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自</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年1月1日至今承接过</w:t>
            </w:r>
            <w:r>
              <w:rPr>
                <w:rFonts w:hint="eastAsia" w:ascii="宋体" w:hAnsi="宋体" w:cs="宋体"/>
                <w:color w:val="auto"/>
                <w:szCs w:val="21"/>
                <w:highlight w:val="none"/>
                <w:lang w:val="en-US" w:eastAsia="zh-CN"/>
              </w:rPr>
              <w:t>至少1个</w:t>
            </w:r>
            <w:r>
              <w:rPr>
                <w:rFonts w:hint="eastAsia" w:ascii="宋体" w:hAnsi="宋体" w:cs="宋体"/>
                <w:color w:val="auto"/>
                <w:szCs w:val="21"/>
                <w:highlight w:val="none"/>
              </w:rPr>
              <w:t>建筑工程类建设管理或代建</w:t>
            </w:r>
            <w:r>
              <w:rPr>
                <w:rFonts w:hint="eastAsia" w:ascii="宋体" w:hAnsi="宋体" w:cs="宋体"/>
                <w:color w:val="auto"/>
                <w:szCs w:val="21"/>
                <w:highlight w:val="none"/>
                <w:lang w:val="en-US" w:eastAsia="zh-CN"/>
              </w:rPr>
              <w:t>或全过程咨询服务</w:t>
            </w:r>
            <w:r>
              <w:rPr>
                <w:rFonts w:hint="eastAsia" w:ascii="宋体" w:hAnsi="宋体" w:cs="宋体"/>
                <w:color w:val="auto"/>
                <w:szCs w:val="21"/>
                <w:highlight w:val="none"/>
              </w:rPr>
              <w:t>业绩。</w:t>
            </w:r>
          </w:p>
          <w:p w14:paraId="5AA7B52D">
            <w:pPr>
              <w:pStyle w:val="15"/>
              <w:rPr>
                <w:rFonts w:hint="eastAsia" w:ascii="宋体" w:hAnsi="宋体" w:eastAsia="宋体" w:cs="宋体"/>
                <w:color w:val="auto"/>
                <w:sz w:val="21"/>
                <w:szCs w:val="21"/>
                <w:highlight w:val="none"/>
                <w:lang w:eastAsia="zh-CN" w:bidi="ar"/>
              </w:rPr>
            </w:pPr>
            <w:r>
              <w:rPr>
                <w:rFonts w:hint="eastAsia" w:ascii="宋体" w:hAnsi="宋体" w:cs="宋体"/>
                <w:color w:val="auto"/>
                <w:szCs w:val="21"/>
                <w:highlight w:val="none"/>
              </w:rPr>
              <w:t>注：须提供合同关键页（须含封面页、规模页、盖章页）</w:t>
            </w:r>
            <w:r>
              <w:rPr>
                <w:rFonts w:hint="eastAsia" w:ascii="宋体" w:hAnsi="宋体" w:cs="宋体"/>
                <w:color w:val="auto"/>
                <w:szCs w:val="21"/>
                <w:highlight w:val="none"/>
                <w:lang w:eastAsia="zh-CN"/>
              </w:rPr>
              <w:t>，</w:t>
            </w:r>
            <w:r>
              <w:rPr>
                <w:rFonts w:hint="eastAsia" w:ascii="宋体" w:hAnsi="宋体" w:cs="宋体"/>
                <w:color w:val="auto"/>
                <w:szCs w:val="21"/>
                <w:highlight w:val="none"/>
              </w:rPr>
              <w:t>时间和</w:t>
            </w:r>
            <w:r>
              <w:rPr>
                <w:rFonts w:hint="eastAsia" w:hAnsi="宋体" w:eastAsia="宋体" w:cs="宋体"/>
                <w:color w:val="auto"/>
                <w:szCs w:val="21"/>
                <w:highlight w:val="none"/>
                <w:lang w:val="en-US" w:eastAsia="zh-CN"/>
              </w:rPr>
              <w:t>项目</w:t>
            </w:r>
            <w:r>
              <w:rPr>
                <w:rFonts w:hint="eastAsia" w:ascii="宋体" w:hAnsi="宋体" w:cs="宋体"/>
                <w:color w:val="auto"/>
                <w:szCs w:val="21"/>
                <w:highlight w:val="none"/>
                <w:lang w:val="en-US" w:eastAsia="zh-CN"/>
              </w:rPr>
              <w:t>内容</w:t>
            </w:r>
            <w:r>
              <w:rPr>
                <w:rFonts w:hint="eastAsia" w:ascii="宋体" w:hAnsi="宋体" w:cs="宋体"/>
                <w:color w:val="auto"/>
                <w:szCs w:val="21"/>
                <w:highlight w:val="none"/>
              </w:rPr>
              <w:t>以签订的</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为准。</w:t>
            </w:r>
          </w:p>
        </w:tc>
      </w:tr>
      <w:tr w14:paraId="417C4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60" w:type="pct"/>
            <w:shd w:val="clear" w:color="auto" w:fill="auto"/>
            <w:vAlign w:val="center"/>
          </w:tcPr>
          <w:p w14:paraId="45FFA0C9">
            <w:pPr>
              <w:pStyle w:val="15"/>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4</w:t>
            </w:r>
          </w:p>
        </w:tc>
        <w:tc>
          <w:tcPr>
            <w:tcW w:w="4539" w:type="pct"/>
            <w:shd w:val="clear" w:color="auto" w:fill="auto"/>
            <w:vAlign w:val="center"/>
          </w:tcPr>
          <w:p w14:paraId="6484B94C">
            <w:pPr>
              <w:pStyle w:val="15"/>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bidi="ar"/>
              </w:rPr>
              <w:t>本次招标不接受联合体投标。</w:t>
            </w:r>
          </w:p>
        </w:tc>
      </w:tr>
      <w:tr w14:paraId="5EB93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60" w:type="pct"/>
            <w:shd w:val="clear" w:color="auto" w:fill="auto"/>
            <w:vAlign w:val="center"/>
          </w:tcPr>
          <w:p w14:paraId="44A666BC">
            <w:pPr>
              <w:pStyle w:val="15"/>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5</w:t>
            </w:r>
          </w:p>
        </w:tc>
        <w:tc>
          <w:tcPr>
            <w:tcW w:w="4539" w:type="pct"/>
            <w:shd w:val="clear" w:color="auto" w:fill="auto"/>
            <w:vAlign w:val="center"/>
          </w:tcPr>
          <w:p w14:paraId="458820A1">
            <w:pPr>
              <w:pStyle w:val="15"/>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bidi="ar"/>
              </w:rPr>
              <w:t>投标人没有招标文件第二章第1.4.3项规定的任何一种情形（根据《投标人声明》进行评审），投标人须按《投标人声明》规定的格式填写并加盖投标人章）。</w:t>
            </w:r>
          </w:p>
        </w:tc>
      </w:tr>
      <w:tr w14:paraId="5912A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60" w:type="pct"/>
            <w:vAlign w:val="center"/>
          </w:tcPr>
          <w:p w14:paraId="1DAB6582">
            <w:pPr>
              <w:pStyle w:val="15"/>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6</w:t>
            </w:r>
          </w:p>
        </w:tc>
        <w:tc>
          <w:tcPr>
            <w:tcW w:w="4539" w:type="pct"/>
            <w:shd w:val="clear" w:color="auto" w:fill="auto"/>
            <w:vAlign w:val="center"/>
          </w:tcPr>
          <w:p w14:paraId="71C90A98">
            <w:pPr>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0"/>
                <w:sz w:val="21"/>
                <w:szCs w:val="21"/>
                <w:highlight w:val="none"/>
                <w:lang w:val="en-US" w:eastAsia="zh-CN" w:bidi="ar"/>
              </w:rPr>
              <w:t>信誉要求：</w:t>
            </w:r>
            <w:r>
              <w:rPr>
                <w:rFonts w:hint="eastAsia" w:ascii="宋体" w:hAnsi="宋体" w:eastAsia="宋体" w:cs="宋体"/>
                <w:color w:val="auto"/>
                <w:kern w:val="0"/>
                <w:sz w:val="21"/>
                <w:szCs w:val="21"/>
                <w:highlight w:val="none"/>
                <w:lang w:bidi="ar"/>
              </w:rPr>
              <w:t>未被列入拖欠农民工工资失信联合惩戒对象名单</w:t>
            </w:r>
            <w:r>
              <w:rPr>
                <w:rFonts w:hint="eastAsia" w:cs="宋体"/>
                <w:color w:val="auto"/>
                <w:kern w:val="0"/>
                <w:sz w:val="21"/>
                <w:szCs w:val="21"/>
                <w:highlight w:val="none"/>
                <w:lang w:eastAsia="zh-CN" w:bidi="ar"/>
              </w:rPr>
              <w:t>。</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u w:val="single"/>
                <w:lang w:val="en-US" w:eastAsia="zh-CN"/>
              </w:rPr>
              <w:t>投标截止时间</w:t>
            </w:r>
            <w:r>
              <w:rPr>
                <w:rFonts w:hint="eastAsia" w:ascii="宋体" w:hAnsi="宋体" w:eastAsia="宋体" w:cs="宋体"/>
                <w:color w:val="auto"/>
                <w:sz w:val="21"/>
                <w:szCs w:val="21"/>
                <w:highlight w:val="none"/>
                <w:lang w:eastAsia="zh-CN"/>
              </w:rPr>
              <w:t>广州公共资源交易中心交易系统比对结果进行评审）</w:t>
            </w:r>
          </w:p>
        </w:tc>
      </w:tr>
      <w:tr w14:paraId="292F2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60" w:type="pct"/>
            <w:vAlign w:val="center"/>
          </w:tcPr>
          <w:p w14:paraId="35317507">
            <w:pPr>
              <w:pStyle w:val="15"/>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结论</w:t>
            </w:r>
          </w:p>
        </w:tc>
        <w:tc>
          <w:tcPr>
            <w:tcW w:w="4539" w:type="pct"/>
            <w:vAlign w:val="center"/>
          </w:tcPr>
          <w:p w14:paraId="7CAE0BFC">
            <w:pPr>
              <w:pStyle w:val="1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是否通过并进入下一阶段评审</w:t>
            </w:r>
          </w:p>
        </w:tc>
      </w:tr>
    </w:tbl>
    <w:p w14:paraId="44F5E2CA">
      <w:pPr>
        <w:snapToGrid w:val="0"/>
        <w:rPr>
          <w:rFonts w:ascii="宋体" w:hAnsi="宋体" w:cs="Calibri"/>
          <w:color w:val="auto"/>
          <w:szCs w:val="21"/>
          <w:highlight w:val="none"/>
        </w:rPr>
      </w:pPr>
      <w:r>
        <w:rPr>
          <w:rFonts w:hint="eastAsia" w:ascii="宋体" w:hAnsi="宋体"/>
          <w:color w:val="auto"/>
          <w:highlight w:val="none"/>
        </w:rPr>
        <w:t>注：1、根据本表的审查项目，填“通过”或“不通过”。</w:t>
      </w:r>
    </w:p>
    <w:p w14:paraId="343CA517">
      <w:pPr>
        <w:ind w:firstLine="440" w:firstLineChars="200"/>
        <w:rPr>
          <w:rFonts w:hint="eastAsia" w:ascii="宋体" w:hAnsi="宋体" w:eastAsia="宋体" w:cs="宋体"/>
          <w:color w:val="auto"/>
          <w:szCs w:val="21"/>
          <w:highlight w:val="none"/>
          <w:lang w:val="en-US" w:eastAsia="zh-CN"/>
        </w:rPr>
      </w:pPr>
      <w:r>
        <w:rPr>
          <w:rFonts w:hint="eastAsia" w:ascii="宋体" w:hAnsi="宋体"/>
          <w:color w:val="auto"/>
          <w:highlight w:val="none"/>
        </w:rPr>
        <w:t>2、表</w:t>
      </w:r>
      <w:r>
        <w:rPr>
          <w:rFonts w:hint="eastAsia" w:ascii="宋体" w:hAnsi="宋体" w:eastAsia="宋体" w:cs="宋体"/>
          <w:color w:val="auto"/>
          <w:szCs w:val="21"/>
          <w:highlight w:val="none"/>
          <w:lang w:val="en-US" w:eastAsia="zh-CN"/>
        </w:rPr>
        <w:t>中出现一个或以上“不通过”，即该投标人的评审“结论”为“不通过”。</w:t>
      </w:r>
    </w:p>
    <w:p w14:paraId="6FCD6FF5">
      <w:pPr>
        <w:ind w:firstLine="440" w:firstLineChars="200"/>
        <w:rPr>
          <w:rStyle w:val="34"/>
          <w:color w:val="auto"/>
          <w:highlight w:val="none"/>
        </w:rPr>
      </w:pPr>
      <w:r>
        <w:rPr>
          <w:rFonts w:hint="eastAsia" w:ascii="宋体" w:hAnsi="宋体" w:eastAsia="宋体" w:cs="宋体"/>
          <w:color w:val="auto"/>
          <w:szCs w:val="21"/>
          <w:highlight w:val="none"/>
          <w:lang w:val="en-US" w:eastAsia="zh-CN"/>
        </w:rPr>
        <w:t>3、表中</w:t>
      </w:r>
      <w:r>
        <w:rPr>
          <w:rFonts w:hint="eastAsia" w:ascii="宋体" w:hAnsi="宋体"/>
          <w:color w:val="auto"/>
          <w:highlight w:val="none"/>
        </w:rPr>
        <w:t>全部评审结果为“通过”，即该投标人的评审“结论”为“通过”。</w:t>
      </w:r>
    </w:p>
    <w:p w14:paraId="504A09BD">
      <w:pPr>
        <w:ind w:firstLine="440" w:firstLineChars="200"/>
        <w:rPr>
          <w:rFonts w:eastAsia="宋体"/>
          <w:color w:val="auto"/>
          <w:highlight w:val="none"/>
          <w:lang w:eastAsia="zh-CN"/>
        </w:rPr>
      </w:pPr>
      <w:r>
        <w:rPr>
          <w:rFonts w:hint="eastAsia" w:ascii="宋体" w:hAnsi="宋体" w:eastAsia="宋体" w:cs="宋体"/>
          <w:color w:val="auto"/>
          <w:kern w:val="0"/>
          <w:sz w:val="22"/>
          <w:szCs w:val="22"/>
          <w:highlight w:val="none"/>
          <w:lang w:val="en-US" w:eastAsia="zh-CN" w:bidi="ar-SA"/>
        </w:rPr>
        <w:t>4、不得将文件</w:t>
      </w:r>
      <w:r>
        <w:rPr>
          <w:rFonts w:hint="eastAsia" w:ascii="宋体" w:hAnsi="宋体" w:eastAsia="宋体"/>
          <w:color w:val="auto"/>
          <w:highlight w:val="none"/>
          <w:lang w:val="en-US" w:eastAsia="zh-CN"/>
        </w:rPr>
        <w:t>顺序</w:t>
      </w:r>
      <w:r>
        <w:rPr>
          <w:rFonts w:hint="eastAsia" w:ascii="宋体" w:hAnsi="宋体" w:eastAsia="宋体" w:cs="宋体"/>
          <w:color w:val="auto"/>
          <w:kern w:val="0"/>
          <w:sz w:val="22"/>
          <w:szCs w:val="22"/>
          <w:highlight w:val="none"/>
          <w:lang w:val="en-US" w:eastAsia="zh-CN" w:bidi="ar-SA"/>
        </w:rPr>
        <w:t>、明显的文字错误等列为否决投标的情形。评委发现资格审查文件中含义不</w:t>
      </w:r>
      <w:r>
        <w:rPr>
          <w:rFonts w:hint="eastAsia" w:ascii="宋体" w:hAnsi="宋体" w:eastAsia="宋体" w:cs="宋体"/>
          <w:color w:val="auto"/>
          <w:szCs w:val="21"/>
          <w:highlight w:val="none"/>
          <w:lang w:val="en-US" w:eastAsia="zh-CN"/>
        </w:rPr>
        <w:t>明确</w:t>
      </w:r>
      <w:r>
        <w:rPr>
          <w:rFonts w:hint="eastAsia" w:ascii="宋体" w:hAnsi="宋体" w:eastAsia="宋体" w:cs="宋体"/>
          <w:color w:val="auto"/>
          <w:kern w:val="0"/>
          <w:sz w:val="22"/>
          <w:szCs w:val="22"/>
          <w:highlight w:val="none"/>
          <w:lang w:val="en-US" w:eastAsia="zh-CN" w:bidi="ar-SA"/>
        </w:rPr>
        <w:t>、对同类问题表述不一致、有明显文字和计算错误的，应当要求投标人作必要的澄清、说明后再判定投标</w:t>
      </w:r>
      <w:r>
        <w:rPr>
          <w:rStyle w:val="34"/>
          <w:rFonts w:hint="eastAsia" w:eastAsia="宋体"/>
          <w:color w:val="auto"/>
          <w:highlight w:val="none"/>
          <w:lang w:eastAsia="zh-CN"/>
        </w:rPr>
        <w:t>人是否通过资格审查，不得直接认定其不通过资格审查。</w:t>
      </w:r>
    </w:p>
    <w:p w14:paraId="6E474880">
      <w:pPr>
        <w:spacing w:line="360" w:lineRule="auto"/>
        <w:ind w:firstLine="435"/>
        <w:rPr>
          <w:rFonts w:hint="eastAsia" w:ascii="宋体" w:hAnsi="宋体" w:cs="宋体"/>
          <w:color w:val="auto"/>
          <w:sz w:val="21"/>
          <w:szCs w:val="21"/>
          <w:highlight w:val="none"/>
          <w:u w:val="single"/>
        </w:rPr>
      </w:pPr>
    </w:p>
    <w:p w14:paraId="2ABCECC3">
      <w:pPr>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br w:type="page"/>
      </w:r>
    </w:p>
    <w:p w14:paraId="283C0232">
      <w:pPr>
        <w:pStyle w:val="7"/>
        <w:spacing w:line="363" w:lineRule="exact"/>
        <w:ind w:left="0" w:leftChars="0" w:firstLine="0" w:firstLineChars="0"/>
        <w:rPr>
          <w:rFonts w:hint="eastAsia" w:ascii="宋体" w:hAnsi="宋体" w:eastAsia="宋体" w:cs="宋体"/>
          <w:b w:val="0"/>
          <w:bCs w:val="0"/>
          <w:color w:val="auto"/>
          <w:sz w:val="21"/>
          <w:szCs w:val="21"/>
          <w:highlight w:val="none"/>
          <w:lang w:eastAsia="zh-CN"/>
        </w:rPr>
      </w:pPr>
      <w:bookmarkStart w:id="84" w:name="_Toc13370"/>
      <w:r>
        <w:rPr>
          <w:rFonts w:hint="eastAsia" w:ascii="宋体" w:hAnsi="宋体" w:eastAsia="宋体" w:cs="宋体"/>
          <w:b w:val="0"/>
          <w:bCs w:val="0"/>
          <w:color w:val="auto"/>
          <w:sz w:val="21"/>
          <w:szCs w:val="21"/>
          <w:highlight w:val="none"/>
          <w:lang w:eastAsia="zh-CN"/>
        </w:rPr>
        <w:t>附件</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综合评分</w:t>
      </w:r>
      <w:r>
        <w:rPr>
          <w:rFonts w:hint="eastAsia" w:ascii="宋体" w:hAnsi="宋体" w:eastAsia="宋体" w:cs="宋体"/>
          <w:b w:val="0"/>
          <w:bCs w:val="0"/>
          <w:color w:val="auto"/>
          <w:sz w:val="21"/>
          <w:szCs w:val="21"/>
          <w:highlight w:val="none"/>
          <w:lang w:eastAsia="zh-CN"/>
        </w:rPr>
        <w:t>表</w:t>
      </w:r>
      <w:bookmarkEnd w:id="84"/>
    </w:p>
    <w:p w14:paraId="5D014734">
      <w:pPr>
        <w:pStyle w:val="15"/>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综合评分表</w:t>
      </w:r>
    </w:p>
    <w:tbl>
      <w:tblPr>
        <w:tblStyle w:val="26"/>
        <w:tblW w:w="4996" w:type="pct"/>
        <w:tblInd w:w="0" w:type="dxa"/>
        <w:tblLayout w:type="autofit"/>
        <w:tblCellMar>
          <w:top w:w="0" w:type="dxa"/>
          <w:left w:w="108" w:type="dxa"/>
          <w:bottom w:w="0" w:type="dxa"/>
          <w:right w:w="108" w:type="dxa"/>
        </w:tblCellMar>
      </w:tblPr>
      <w:tblGrid>
        <w:gridCol w:w="585"/>
        <w:gridCol w:w="1568"/>
        <w:gridCol w:w="750"/>
        <w:gridCol w:w="6330"/>
      </w:tblGrid>
      <w:tr w14:paraId="781B7194">
        <w:tblPrEx>
          <w:tblCellMar>
            <w:top w:w="0" w:type="dxa"/>
            <w:left w:w="108" w:type="dxa"/>
            <w:bottom w:w="0" w:type="dxa"/>
            <w:right w:w="108" w:type="dxa"/>
          </w:tblCellMar>
        </w:tblPrEx>
        <w:trPr>
          <w:trHeight w:val="664"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03B1D3C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一</w:t>
            </w:r>
          </w:p>
        </w:tc>
        <w:tc>
          <w:tcPr>
            <w:tcW w:w="8648" w:type="dxa"/>
            <w:gridSpan w:val="3"/>
            <w:tcBorders>
              <w:top w:val="single" w:color="auto" w:sz="4" w:space="0"/>
              <w:left w:val="single" w:color="auto" w:sz="4" w:space="0"/>
              <w:bottom w:val="single" w:color="auto" w:sz="4" w:space="0"/>
              <w:right w:val="single" w:color="auto" w:sz="4" w:space="0"/>
            </w:tcBorders>
            <w:noWrap w:val="0"/>
            <w:vAlign w:val="center"/>
          </w:tcPr>
          <w:p w14:paraId="59E2A38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商务文件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资信业绩部分</w:t>
            </w:r>
            <w:r>
              <w:rPr>
                <w:rFonts w:hint="eastAsia" w:ascii="宋体" w:hAnsi="宋体" w:cs="宋体"/>
                <w:b/>
                <w:bCs/>
                <w:color w:val="auto"/>
                <w:szCs w:val="21"/>
                <w:highlight w:val="none"/>
                <w:lang w:eastAsia="zh-CN"/>
              </w:rPr>
              <w:t>）</w:t>
            </w:r>
          </w:p>
        </w:tc>
      </w:tr>
      <w:tr w14:paraId="16C71A33">
        <w:tblPrEx>
          <w:tblCellMar>
            <w:top w:w="0" w:type="dxa"/>
            <w:left w:w="108" w:type="dxa"/>
            <w:bottom w:w="0" w:type="dxa"/>
            <w:right w:w="108" w:type="dxa"/>
          </w:tblCellMar>
        </w:tblPrEx>
        <w:trPr>
          <w:trHeight w:val="1601"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6828421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F62FE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val="zh-CN"/>
              </w:rPr>
              <w:t>类似业绩</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01250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10</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269B9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自</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年1月1日至今承接过建筑工程类建设管理或代建</w:t>
            </w:r>
            <w:r>
              <w:rPr>
                <w:rFonts w:hint="eastAsia" w:ascii="宋体" w:hAnsi="宋体" w:cs="宋体"/>
                <w:color w:val="auto"/>
                <w:szCs w:val="21"/>
                <w:highlight w:val="none"/>
                <w:lang w:val="en-US" w:eastAsia="zh-CN"/>
              </w:rPr>
              <w:t>或全过程咨询服务</w:t>
            </w:r>
            <w:r>
              <w:rPr>
                <w:rFonts w:hint="eastAsia" w:ascii="宋体" w:hAnsi="宋体" w:cs="宋体"/>
                <w:color w:val="auto"/>
                <w:szCs w:val="21"/>
                <w:highlight w:val="none"/>
              </w:rPr>
              <w:t>业绩，每项得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分，本项最多得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50933EF7">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cs="宋体"/>
                <w:b/>
                <w:color w:val="auto"/>
                <w:kern w:val="2"/>
                <w:sz w:val="21"/>
                <w:szCs w:val="21"/>
                <w:highlight w:val="none"/>
                <w:lang w:val="en-US" w:eastAsia="zh-CN" w:bidi="ar-SA"/>
              </w:rPr>
            </w:pPr>
            <w:r>
              <w:rPr>
                <w:rFonts w:hint="eastAsia" w:ascii="宋体" w:hAnsi="宋体" w:cs="宋体"/>
                <w:color w:val="auto"/>
                <w:szCs w:val="21"/>
                <w:highlight w:val="none"/>
              </w:rPr>
              <w:t>注：须提供合同关键页（须含封面页、规模页、盖章页）</w:t>
            </w:r>
            <w:r>
              <w:rPr>
                <w:rFonts w:hint="eastAsia" w:ascii="宋体" w:hAnsi="宋体" w:cs="宋体"/>
                <w:color w:val="auto"/>
                <w:szCs w:val="21"/>
                <w:highlight w:val="none"/>
                <w:lang w:eastAsia="zh-CN"/>
              </w:rPr>
              <w:t>，</w:t>
            </w:r>
            <w:r>
              <w:rPr>
                <w:rFonts w:hint="eastAsia" w:ascii="宋体" w:hAnsi="宋体" w:cs="宋体"/>
                <w:color w:val="auto"/>
                <w:szCs w:val="21"/>
                <w:highlight w:val="none"/>
              </w:rPr>
              <w:t>时间和建设</w:t>
            </w:r>
            <w:r>
              <w:rPr>
                <w:rFonts w:hint="eastAsia" w:ascii="宋体" w:hAnsi="宋体" w:cs="宋体"/>
                <w:color w:val="auto"/>
                <w:szCs w:val="21"/>
                <w:highlight w:val="none"/>
                <w:lang w:val="en-US" w:eastAsia="zh-CN"/>
              </w:rPr>
              <w:t>内容</w:t>
            </w:r>
            <w:r>
              <w:rPr>
                <w:rFonts w:hint="eastAsia" w:ascii="宋体" w:hAnsi="宋体" w:cs="宋体"/>
                <w:color w:val="auto"/>
                <w:szCs w:val="21"/>
                <w:highlight w:val="none"/>
              </w:rPr>
              <w:t>以签订的</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为准。</w:t>
            </w:r>
            <w:r>
              <w:rPr>
                <w:rFonts w:hint="eastAsia" w:ascii="宋体" w:hAnsi="宋体" w:cs="宋体"/>
                <w:color w:val="auto"/>
                <w:szCs w:val="21"/>
                <w:highlight w:val="none"/>
                <w:lang w:val="en-US" w:eastAsia="zh-CN"/>
              </w:rPr>
              <w:t>同一甲方的多个合同视为同一个业绩，</w:t>
            </w:r>
            <w:r>
              <w:rPr>
                <w:rFonts w:hint="eastAsia" w:ascii="宋体" w:hAnsi="宋体" w:cs="宋体"/>
                <w:color w:val="auto"/>
                <w:szCs w:val="21"/>
                <w:highlight w:val="none"/>
              </w:rPr>
              <w:t>未提供</w:t>
            </w:r>
            <w:r>
              <w:rPr>
                <w:rFonts w:hint="eastAsia" w:ascii="宋体" w:hAnsi="宋体" w:eastAsia="宋体" w:cs="宋体"/>
                <w:color w:val="auto"/>
                <w:szCs w:val="21"/>
                <w:highlight w:val="none"/>
                <w:lang w:val="en-US" w:eastAsia="zh-CN"/>
              </w:rPr>
              <w:t>相应</w:t>
            </w:r>
            <w:r>
              <w:rPr>
                <w:rFonts w:hint="eastAsia" w:ascii="宋体" w:hAnsi="宋体" w:cs="宋体"/>
                <w:color w:val="auto"/>
                <w:szCs w:val="21"/>
                <w:highlight w:val="none"/>
              </w:rPr>
              <w:t>证明文件的，不得分。</w:t>
            </w:r>
          </w:p>
        </w:tc>
      </w:tr>
      <w:tr w14:paraId="3AB402DF">
        <w:tblPrEx>
          <w:tblCellMar>
            <w:top w:w="0" w:type="dxa"/>
            <w:left w:w="108" w:type="dxa"/>
            <w:bottom w:w="0" w:type="dxa"/>
            <w:right w:w="108" w:type="dxa"/>
          </w:tblCellMar>
        </w:tblPrEx>
        <w:trPr>
          <w:trHeight w:val="1326"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221F9C9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3B54C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lang w:val="zh-CN"/>
              </w:rPr>
              <w:t>企业</w:t>
            </w:r>
            <w:r>
              <w:rPr>
                <w:rFonts w:hint="eastAsia" w:ascii="宋体" w:hAnsi="宋体" w:cs="宋体"/>
                <w:color w:val="auto"/>
                <w:szCs w:val="21"/>
                <w:highlight w:val="none"/>
                <w:lang w:val="en-US" w:eastAsia="zh-CN"/>
              </w:rPr>
              <w:t>信誉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6691D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5</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5071F">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投标人具备有效的质量管理体系认证、职业健康安全管理体系认证、环境管理体系认证、履约能力评价体系认证及诚信管理体系认证的，</w:t>
            </w:r>
            <w:r>
              <w:rPr>
                <w:rFonts w:hint="eastAsia" w:ascii="宋体" w:hAnsi="宋体" w:eastAsia="宋体" w:cs="宋体"/>
                <w:color w:val="auto"/>
                <w:szCs w:val="21"/>
                <w:highlight w:val="none"/>
                <w:lang w:val="en-US" w:eastAsia="zh-CN"/>
              </w:rPr>
              <w:t>每</w:t>
            </w:r>
            <w:r>
              <w:rPr>
                <w:rFonts w:hint="eastAsia" w:ascii="宋体" w:hAnsi="宋体" w:eastAsia="宋体" w:cs="宋体"/>
                <w:color w:val="auto"/>
                <w:szCs w:val="21"/>
                <w:highlight w:val="none"/>
              </w:rPr>
              <w:t>个得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分，本项最多得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2DD2B89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val="zh-CN"/>
              </w:rPr>
              <w:t>须提供相关</w:t>
            </w:r>
            <w:r>
              <w:rPr>
                <w:rFonts w:hint="eastAsia" w:ascii="宋体" w:hAnsi="宋体" w:eastAsia="宋体" w:cs="宋体"/>
                <w:color w:val="auto"/>
                <w:szCs w:val="21"/>
                <w:highlight w:val="none"/>
              </w:rPr>
              <w:t>证书复印件。未提供</w:t>
            </w:r>
            <w:r>
              <w:rPr>
                <w:rFonts w:hint="eastAsia" w:ascii="宋体" w:hAnsi="宋体" w:eastAsia="宋体" w:cs="宋体"/>
                <w:color w:val="auto"/>
                <w:szCs w:val="21"/>
                <w:highlight w:val="none"/>
                <w:lang w:val="en-US" w:eastAsia="zh-CN"/>
              </w:rPr>
              <w:t>相应</w:t>
            </w:r>
            <w:r>
              <w:rPr>
                <w:rFonts w:hint="eastAsia" w:ascii="宋体" w:hAnsi="宋体" w:eastAsia="宋体" w:cs="宋体"/>
                <w:color w:val="auto"/>
                <w:szCs w:val="21"/>
                <w:highlight w:val="none"/>
              </w:rPr>
              <w:t>证明文件的，不得分。</w:t>
            </w:r>
          </w:p>
        </w:tc>
      </w:tr>
      <w:tr w14:paraId="4F09ADC0">
        <w:tblPrEx>
          <w:tblCellMar>
            <w:top w:w="0" w:type="dxa"/>
            <w:left w:w="108" w:type="dxa"/>
            <w:bottom w:w="0" w:type="dxa"/>
            <w:right w:w="108" w:type="dxa"/>
          </w:tblCellMar>
        </w:tblPrEx>
        <w:trPr>
          <w:trHeight w:val="2978"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59A635F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EAB6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拟派人员团队</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C117A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10</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0A9320">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投标人拟派人员团队</w:t>
            </w:r>
            <w:r>
              <w:rPr>
                <w:rFonts w:hint="eastAsia" w:ascii="宋体" w:hAnsi="宋体" w:cs="宋体"/>
                <w:color w:val="auto"/>
                <w:szCs w:val="21"/>
                <w:highlight w:val="none"/>
                <w:lang w:val="en-US" w:eastAsia="zh-CN"/>
              </w:rPr>
              <w:t>在满足</w:t>
            </w:r>
            <w:r>
              <w:rPr>
                <w:rFonts w:hint="eastAsia" w:ascii="宋体" w:hAnsi="宋体" w:eastAsia="宋体" w:cs="宋体"/>
                <w:color w:val="auto"/>
                <w:szCs w:val="21"/>
                <w:highlight w:val="none"/>
              </w:rPr>
              <w:t>第五章服务要求</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项目管理人员配备要求表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的基础上</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另配备有①</w:t>
            </w:r>
            <w:r>
              <w:rPr>
                <w:rFonts w:hint="eastAsia" w:ascii="宋体" w:hAnsi="宋体" w:eastAsia="宋体" w:cs="宋体"/>
                <w:color w:val="auto"/>
                <w:szCs w:val="21"/>
                <w:highlight w:val="none"/>
              </w:rPr>
              <w:t>注册一级造价工程师或未实行分级的注册造价工程师资格、</w:t>
            </w:r>
            <w:r>
              <w:rPr>
                <w:rFonts w:hint="eastAsia" w:ascii="宋体" w:hAnsi="宋体" w:cs="宋体"/>
                <w:color w:val="auto"/>
                <w:szCs w:val="21"/>
                <w:highlight w:val="none"/>
                <w:lang w:val="en-US" w:eastAsia="zh-CN"/>
              </w:rPr>
              <w:t>②</w:t>
            </w:r>
            <w:r>
              <w:rPr>
                <w:rFonts w:hint="eastAsia" w:ascii="宋体" w:hAnsi="宋体" w:eastAsia="宋体" w:cs="宋体"/>
                <w:color w:val="auto"/>
                <w:szCs w:val="21"/>
                <w:highlight w:val="none"/>
              </w:rPr>
              <w:t>注册监理工程师资格、</w:t>
            </w:r>
            <w:r>
              <w:rPr>
                <w:rFonts w:hint="eastAsia" w:ascii="宋体" w:hAnsi="宋体" w:cs="宋体"/>
                <w:color w:val="auto"/>
                <w:szCs w:val="21"/>
                <w:highlight w:val="none"/>
                <w:lang w:val="en-US" w:eastAsia="zh-CN"/>
              </w:rPr>
              <w:t>③</w:t>
            </w:r>
            <w:r>
              <w:rPr>
                <w:rFonts w:hint="eastAsia" w:ascii="宋体" w:hAnsi="宋体" w:eastAsia="宋体" w:cs="宋体"/>
                <w:color w:val="auto"/>
                <w:szCs w:val="21"/>
                <w:highlight w:val="none"/>
              </w:rPr>
              <w:t>一级注册建造师资格、</w:t>
            </w:r>
            <w:r>
              <w:rPr>
                <w:rFonts w:hint="eastAsia" w:ascii="宋体" w:hAnsi="宋体" w:cs="宋体"/>
                <w:color w:val="auto"/>
                <w:szCs w:val="21"/>
                <w:highlight w:val="none"/>
                <w:lang w:val="en-US" w:eastAsia="zh-CN"/>
              </w:rPr>
              <w:t>④</w:t>
            </w:r>
            <w:r>
              <w:rPr>
                <w:rFonts w:hint="eastAsia" w:ascii="宋体" w:hAnsi="宋体" w:eastAsia="宋体" w:cs="宋体"/>
                <w:color w:val="auto"/>
                <w:szCs w:val="21"/>
                <w:highlight w:val="none"/>
              </w:rPr>
              <w:t>一级注册建筑师资格</w:t>
            </w:r>
            <w:r>
              <w:rPr>
                <w:rFonts w:hint="eastAsia" w:ascii="宋体" w:hAnsi="宋体" w:cs="宋体"/>
                <w:color w:val="auto"/>
                <w:szCs w:val="21"/>
                <w:highlight w:val="none"/>
                <w:lang w:val="en-US" w:eastAsia="zh-CN"/>
              </w:rPr>
              <w:t>的人员，每个</w:t>
            </w:r>
            <w:r>
              <w:rPr>
                <w:rFonts w:hint="eastAsia" w:ascii="宋体" w:hAnsi="宋体" w:eastAsia="宋体" w:cs="宋体"/>
                <w:color w:val="auto"/>
                <w:szCs w:val="21"/>
                <w:highlight w:val="none"/>
              </w:rPr>
              <w:t>资格</w:t>
            </w:r>
            <w:r>
              <w:rPr>
                <w:rFonts w:hint="eastAsia" w:ascii="宋体" w:hAnsi="宋体" w:cs="宋体"/>
                <w:color w:val="auto"/>
                <w:szCs w:val="21"/>
                <w:highlight w:val="none"/>
                <w:lang w:val="en-US" w:eastAsia="zh-CN"/>
              </w:rPr>
              <w:t>得2</w:t>
            </w:r>
            <w:r>
              <w:rPr>
                <w:rFonts w:hint="eastAsia" w:ascii="宋体" w:hAnsi="宋体" w:cs="宋体"/>
                <w:color w:val="auto"/>
                <w:szCs w:val="21"/>
                <w:highlight w:val="none"/>
              </w:rPr>
              <w:t>分，本项最多得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r>
              <w:rPr>
                <w:rFonts w:hint="eastAsia" w:ascii="宋体" w:hAnsi="宋体" w:eastAsia="宋体" w:cs="宋体"/>
                <w:color w:val="auto"/>
                <w:szCs w:val="21"/>
                <w:highlight w:val="none"/>
              </w:rPr>
              <w:t>。</w:t>
            </w:r>
            <w:bookmarkStart w:id="343" w:name="_GoBack"/>
            <w:bookmarkEnd w:id="343"/>
          </w:p>
          <w:p w14:paraId="598E367E">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注：同一人同时具备多个资格</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按最高分值只计算一次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不重复计算。</w:t>
            </w:r>
            <w:r>
              <w:rPr>
                <w:rFonts w:hint="eastAsia" w:ascii="宋体" w:hAnsi="宋体" w:eastAsia="宋体" w:cs="宋体"/>
                <w:color w:val="auto"/>
                <w:szCs w:val="21"/>
                <w:highlight w:val="none"/>
                <w:lang w:val="en-US" w:eastAsia="zh-CN"/>
              </w:rPr>
              <w:t>拟</w:t>
            </w:r>
            <w:r>
              <w:rPr>
                <w:rFonts w:hint="eastAsia" w:ascii="宋体" w:hAnsi="宋体" w:eastAsia="宋体" w:cs="宋体"/>
                <w:color w:val="auto"/>
                <w:szCs w:val="21"/>
                <w:highlight w:val="none"/>
              </w:rPr>
              <w:t>投入人员必须为投标单位人员，须提供</w:t>
            </w:r>
            <w:r>
              <w:rPr>
                <w:rFonts w:hint="eastAsia" w:ascii="宋体" w:hAnsi="宋体" w:cs="宋体"/>
                <w:color w:val="auto"/>
                <w:szCs w:val="21"/>
                <w:highlight w:val="none"/>
                <w:lang w:eastAsia="zh-CN"/>
              </w:rPr>
              <w:t>2025年8月</w:t>
            </w:r>
            <w:r>
              <w:rPr>
                <w:rFonts w:hint="eastAsia" w:ascii="宋体" w:hAnsi="宋体" w:eastAsia="宋体" w:cs="宋体"/>
                <w:color w:val="auto"/>
                <w:szCs w:val="21"/>
                <w:highlight w:val="none"/>
                <w:lang w:eastAsia="zh-CN"/>
              </w:rPr>
              <w:t>社保</w:t>
            </w:r>
            <w:r>
              <w:rPr>
                <w:rFonts w:hint="eastAsia" w:ascii="宋体" w:hAnsi="宋体" w:eastAsia="宋体" w:cs="宋体"/>
                <w:color w:val="auto"/>
                <w:szCs w:val="21"/>
                <w:highlight w:val="none"/>
              </w:rPr>
              <w:t>证明资料</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未提供</w:t>
            </w:r>
            <w:r>
              <w:rPr>
                <w:rFonts w:hint="eastAsia" w:ascii="宋体" w:hAnsi="宋体" w:eastAsia="宋体" w:cs="宋体"/>
                <w:color w:val="auto"/>
                <w:szCs w:val="21"/>
                <w:highlight w:val="none"/>
                <w:lang w:val="en-US" w:eastAsia="zh-CN"/>
              </w:rPr>
              <w:t>相应</w:t>
            </w:r>
            <w:r>
              <w:rPr>
                <w:rFonts w:hint="eastAsia" w:ascii="宋体" w:hAnsi="宋体" w:eastAsia="宋体" w:cs="宋体"/>
                <w:color w:val="auto"/>
                <w:szCs w:val="21"/>
                <w:highlight w:val="none"/>
              </w:rPr>
              <w:t>证明文件的，不得分</w:t>
            </w:r>
            <w:r>
              <w:rPr>
                <w:rFonts w:hint="eastAsia" w:ascii="宋体" w:hAnsi="宋体" w:eastAsia="宋体" w:cs="宋体"/>
                <w:color w:val="auto"/>
                <w:szCs w:val="21"/>
                <w:highlight w:val="none"/>
                <w:lang w:val="en-US" w:eastAsia="zh-CN"/>
              </w:rPr>
              <w:t>。上述人员为香港专业人士的，仅需提供资格备案的业务范围符合本招标项目对上述人员要求的香港专业人士的证明材料扫描件。</w:t>
            </w:r>
          </w:p>
        </w:tc>
      </w:tr>
      <w:tr w14:paraId="629E88BA">
        <w:tblPrEx>
          <w:tblCellMar>
            <w:top w:w="0" w:type="dxa"/>
            <w:left w:w="108" w:type="dxa"/>
            <w:bottom w:w="0" w:type="dxa"/>
            <w:right w:w="108" w:type="dxa"/>
          </w:tblCellMar>
        </w:tblPrEx>
        <w:trPr>
          <w:trHeight w:val="664"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284973F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E330F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color w:val="auto"/>
                <w:kern w:val="2"/>
                <w:sz w:val="21"/>
                <w:szCs w:val="21"/>
                <w:highlight w:val="none"/>
                <w:lang w:val="zh-CN" w:eastAsia="zh-CN" w:bidi="ar-SA"/>
              </w:rPr>
            </w:pPr>
            <w:r>
              <w:rPr>
                <w:rFonts w:hint="eastAsia" w:hAnsi="宋体"/>
                <w:color w:val="auto"/>
                <w:sz w:val="21"/>
                <w:szCs w:val="21"/>
                <w:highlight w:val="none"/>
              </w:rPr>
              <w:t>企业</w:t>
            </w:r>
            <w:r>
              <w:rPr>
                <w:rFonts w:hint="eastAsia" w:hAnsi="宋体"/>
                <w:color w:val="auto"/>
                <w:sz w:val="21"/>
                <w:szCs w:val="21"/>
                <w:highlight w:val="none"/>
                <w:lang w:val="en-US" w:eastAsia="zh-CN"/>
              </w:rPr>
              <w:t>荣誉</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ED14AB">
            <w:pPr>
              <w:adjustRightInd w:val="0"/>
              <w:snapToGrid w:val="0"/>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10</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92606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投标人（不含其分支机构）</w:t>
            </w:r>
            <w:r>
              <w:rPr>
                <w:rFonts w:hint="eastAsia" w:ascii="宋体" w:hAnsi="宋体" w:eastAsia="宋体" w:cs="宋体"/>
                <w:color w:val="auto"/>
                <w:szCs w:val="21"/>
                <w:highlight w:val="none"/>
              </w:rPr>
              <w:t>连续获得“纳税信用A级纳税人”称号(含最近评审年度202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连续获得3个年度或以上的，得5分；获得</w:t>
            </w:r>
            <w:r>
              <w:rPr>
                <w:rFonts w:hint="eastAsia" w:ascii="宋体" w:hAnsi="宋体" w:eastAsia="宋体" w:cs="宋体"/>
                <w:color w:val="auto"/>
                <w:szCs w:val="21"/>
                <w:highlight w:val="none"/>
                <w:lang w:val="en-US" w:eastAsia="zh-CN"/>
              </w:rPr>
              <w:t>其中</w:t>
            </w:r>
            <w:r>
              <w:rPr>
                <w:rFonts w:hint="eastAsia" w:ascii="宋体" w:hAnsi="宋体" w:eastAsia="宋体" w:cs="宋体"/>
                <w:color w:val="auto"/>
                <w:szCs w:val="21"/>
                <w:highlight w:val="none"/>
              </w:rPr>
              <w:t>2个年度的，得3分；仅获得1个年度的，得1分。本项最多得5分</w:t>
            </w:r>
            <w:r>
              <w:rPr>
                <w:rFonts w:hint="eastAsia" w:ascii="宋体" w:hAnsi="宋体" w:eastAsia="宋体" w:cs="宋体"/>
                <w:color w:val="auto"/>
                <w:szCs w:val="21"/>
                <w:highlight w:val="none"/>
                <w:lang w:val="zh-CN"/>
              </w:rPr>
              <w:t>。</w:t>
            </w:r>
          </w:p>
          <w:p w14:paraId="7631770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自</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年1月1日至今</w:t>
            </w:r>
            <w:r>
              <w:rPr>
                <w:rFonts w:hint="eastAsia" w:ascii="宋体" w:hAnsi="宋体" w:eastAsia="宋体" w:cs="宋体"/>
                <w:color w:val="auto"/>
                <w:szCs w:val="21"/>
                <w:highlight w:val="none"/>
                <w:lang w:val="zh-CN"/>
              </w:rPr>
              <w:t>获得过省级或以上政府</w:t>
            </w:r>
            <w:r>
              <w:rPr>
                <w:rFonts w:hint="eastAsia" w:ascii="宋体" w:hAnsi="宋体" w:cs="宋体"/>
                <w:color w:val="auto"/>
                <w:szCs w:val="21"/>
                <w:highlight w:val="none"/>
                <w:lang w:val="en-US" w:eastAsia="zh-CN"/>
              </w:rPr>
              <w:t>部门</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含其授权颁发的单位</w:t>
            </w:r>
            <w:r>
              <w:rPr>
                <w:rFonts w:hint="eastAsia" w:ascii="宋体" w:hAnsi="宋体" w:cs="宋体"/>
                <w:color w:val="auto"/>
                <w:szCs w:val="21"/>
                <w:highlight w:val="none"/>
                <w:lang w:val="zh-CN"/>
              </w:rPr>
              <w:t>）</w:t>
            </w:r>
            <w:r>
              <w:rPr>
                <w:rFonts w:hint="eastAsia" w:ascii="宋体" w:hAnsi="宋体" w:eastAsia="宋体" w:cs="宋体"/>
                <w:color w:val="auto"/>
                <w:szCs w:val="21"/>
                <w:highlight w:val="none"/>
                <w:lang w:val="zh-CN"/>
              </w:rPr>
              <w:t>颁发的与建设工程相关的“科学技术奖”或“科技进步奖”或“科学技术进步奖”奖项的得5分；获得过</w:t>
            </w:r>
            <w:r>
              <w:rPr>
                <w:rFonts w:hint="eastAsia" w:ascii="宋体" w:hAnsi="宋体" w:cs="宋体"/>
                <w:color w:val="auto"/>
                <w:szCs w:val="21"/>
                <w:highlight w:val="none"/>
                <w:lang w:val="en-US" w:eastAsia="zh-CN"/>
              </w:rPr>
              <w:t>市</w:t>
            </w:r>
            <w:r>
              <w:rPr>
                <w:rFonts w:hint="eastAsia" w:ascii="宋体" w:hAnsi="宋体" w:eastAsia="宋体" w:cs="宋体"/>
                <w:color w:val="auto"/>
                <w:szCs w:val="21"/>
                <w:highlight w:val="none"/>
                <w:lang w:val="zh-CN"/>
              </w:rPr>
              <w:t>级政府</w:t>
            </w:r>
            <w:r>
              <w:rPr>
                <w:rFonts w:hint="eastAsia" w:ascii="宋体" w:hAnsi="宋体" w:cs="宋体"/>
                <w:color w:val="auto"/>
                <w:szCs w:val="21"/>
                <w:highlight w:val="none"/>
                <w:lang w:val="en-US" w:eastAsia="zh-CN"/>
              </w:rPr>
              <w:t>部门</w:t>
            </w: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含其授权颁发的单位</w:t>
            </w:r>
            <w:r>
              <w:rPr>
                <w:rFonts w:hint="eastAsia" w:ascii="宋体" w:hAnsi="宋体" w:cs="宋体"/>
                <w:color w:val="auto"/>
                <w:szCs w:val="21"/>
                <w:highlight w:val="none"/>
                <w:lang w:val="zh-CN"/>
              </w:rPr>
              <w:t>）</w:t>
            </w:r>
            <w:r>
              <w:rPr>
                <w:rFonts w:hint="eastAsia" w:ascii="宋体" w:hAnsi="宋体" w:eastAsia="宋体" w:cs="宋体"/>
                <w:color w:val="auto"/>
                <w:szCs w:val="21"/>
                <w:highlight w:val="none"/>
                <w:lang w:val="zh-CN"/>
              </w:rPr>
              <w:t>颁发的与建设工程相关的“科学技术奖”或“科技进步奖”或“科学技术进步奖”奖项的得2分。本项最多得5分。</w:t>
            </w:r>
          </w:p>
          <w:p w14:paraId="39EFE10F">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注:须提供相关证书</w:t>
            </w:r>
            <w:r>
              <w:rPr>
                <w:rFonts w:hint="eastAsia" w:ascii="宋体" w:hAnsi="宋体" w:cs="宋体"/>
                <w:color w:val="auto"/>
                <w:szCs w:val="21"/>
                <w:highlight w:val="none"/>
                <w:lang w:val="en-US" w:eastAsia="zh-CN"/>
              </w:rPr>
              <w:t>复印件</w:t>
            </w:r>
            <w:r>
              <w:rPr>
                <w:rFonts w:hint="eastAsia" w:ascii="宋体" w:hAnsi="宋体" w:eastAsia="宋体" w:cs="宋体"/>
                <w:color w:val="auto"/>
                <w:szCs w:val="21"/>
                <w:highlight w:val="none"/>
              </w:rPr>
              <w:t>。</w:t>
            </w:r>
          </w:p>
        </w:tc>
      </w:tr>
      <w:tr w14:paraId="57B479AC">
        <w:tblPrEx>
          <w:tblCellMar>
            <w:top w:w="0" w:type="dxa"/>
            <w:left w:w="108" w:type="dxa"/>
            <w:bottom w:w="0" w:type="dxa"/>
            <w:right w:w="108" w:type="dxa"/>
          </w:tblCellMar>
        </w:tblPrEx>
        <w:trPr>
          <w:trHeight w:val="664"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223EE03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9C63BD">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企业获奖</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6F1F1">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B44DF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投标人自2022年1月1日至今，获得建筑</w:t>
            </w:r>
            <w:r>
              <w:rPr>
                <w:rFonts w:hint="eastAsia" w:ascii="宋体" w:hAnsi="宋体" w:cs="宋体"/>
                <w:color w:val="auto"/>
                <w:szCs w:val="21"/>
                <w:highlight w:val="none"/>
                <w:lang w:val="en-US" w:eastAsia="zh-CN"/>
              </w:rPr>
              <w:t>类</w:t>
            </w:r>
            <w:r>
              <w:rPr>
                <w:rFonts w:hint="eastAsia" w:ascii="宋体" w:hAnsi="宋体" w:eastAsia="宋体" w:cs="宋体"/>
                <w:color w:val="auto"/>
                <w:szCs w:val="21"/>
                <w:highlight w:val="none"/>
                <w:lang w:val="en-US" w:eastAsia="zh-CN"/>
              </w:rPr>
              <w:t>奖项：</w:t>
            </w:r>
          </w:p>
          <w:p w14:paraId="6EC005E5">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（1）获得国家级奖项，每项得2分；</w:t>
            </w:r>
          </w:p>
          <w:p w14:paraId="5F791C3E">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获得省级（含直辖市、自治区）奖项，每项得1分；</w:t>
            </w:r>
          </w:p>
          <w:p w14:paraId="52B8332E">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（3）获得市级</w:t>
            </w:r>
            <w:r>
              <w:rPr>
                <w:rFonts w:hint="eastAsia" w:ascii="宋体" w:hAnsi="宋体" w:eastAsia="宋体" w:cs="宋体"/>
                <w:color w:val="auto"/>
                <w:szCs w:val="21"/>
                <w:highlight w:val="none"/>
              </w:rPr>
              <w:t>（含副省级）</w:t>
            </w:r>
            <w:r>
              <w:rPr>
                <w:rFonts w:hint="eastAsia" w:ascii="宋体" w:hAnsi="宋体" w:eastAsia="宋体" w:cs="宋体"/>
                <w:color w:val="auto"/>
                <w:szCs w:val="21"/>
                <w:highlight w:val="none"/>
                <w:lang w:val="en-US" w:eastAsia="zh-CN"/>
              </w:rPr>
              <w:t>奖项，每项得0.5分，本小项最高得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095B687F">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注：本项最高得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分。提供获奖证明材料，时间以获奖证明材料上的颁发日期为准，未提供不得分。同一项目获多个奖项的，按最高级别只计一次得分。</w:t>
            </w:r>
          </w:p>
        </w:tc>
      </w:tr>
      <w:tr w14:paraId="031C50F8">
        <w:tblPrEx>
          <w:tblCellMar>
            <w:top w:w="0" w:type="dxa"/>
            <w:left w:w="108" w:type="dxa"/>
            <w:bottom w:w="0" w:type="dxa"/>
            <w:right w:w="108" w:type="dxa"/>
          </w:tblCellMar>
        </w:tblPrEx>
        <w:trPr>
          <w:trHeight w:val="664"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4FEE95A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二</w:t>
            </w:r>
          </w:p>
        </w:tc>
        <w:tc>
          <w:tcPr>
            <w:tcW w:w="8648" w:type="dxa"/>
            <w:gridSpan w:val="3"/>
            <w:tcBorders>
              <w:top w:val="single" w:color="auto" w:sz="4" w:space="0"/>
              <w:left w:val="single" w:color="auto" w:sz="4" w:space="0"/>
              <w:bottom w:val="single" w:color="auto" w:sz="4" w:space="0"/>
              <w:right w:val="single" w:color="auto" w:sz="4" w:space="0"/>
            </w:tcBorders>
            <w:noWrap w:val="0"/>
            <w:vAlign w:val="center"/>
          </w:tcPr>
          <w:p w14:paraId="483884F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技术文件（</w:t>
            </w:r>
            <w:r>
              <w:rPr>
                <w:rFonts w:hint="eastAsia" w:ascii="宋体" w:hAnsi="宋体" w:cs="宋体"/>
                <w:b/>
                <w:bCs/>
                <w:color w:val="auto"/>
                <w:szCs w:val="21"/>
                <w:highlight w:val="none"/>
                <w:lang w:val="en-US" w:eastAsia="zh-CN"/>
              </w:rPr>
              <w:t>服务方案</w:t>
            </w:r>
            <w:r>
              <w:rPr>
                <w:rFonts w:hint="eastAsia" w:ascii="宋体" w:hAnsi="宋体" w:eastAsia="宋体" w:cs="宋体"/>
                <w:b/>
                <w:bCs/>
                <w:color w:val="auto"/>
                <w:szCs w:val="21"/>
                <w:highlight w:val="none"/>
                <w:lang w:val="en-US" w:eastAsia="zh-CN"/>
              </w:rPr>
              <w:t>部分）</w:t>
            </w:r>
          </w:p>
        </w:tc>
      </w:tr>
      <w:tr w14:paraId="33FA47B7">
        <w:tblPrEx>
          <w:tblCellMar>
            <w:top w:w="0" w:type="dxa"/>
            <w:left w:w="108" w:type="dxa"/>
            <w:bottom w:w="0" w:type="dxa"/>
            <w:right w:w="108" w:type="dxa"/>
          </w:tblCellMar>
        </w:tblPrEx>
        <w:trPr>
          <w:trHeight w:val="252"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095F82B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97D92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项目管理方案总体框架、思路</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B4D75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4A025">
            <w:pPr>
              <w:adjustRightInd w:val="0"/>
              <w:snapToGrid w:val="0"/>
              <w:ind w:firstLine="0" w:firstLineChars="0"/>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 xml:space="preserve">项目管理方案优得 </w:t>
            </w:r>
            <w:r>
              <w:rPr>
                <w:rFonts w:hAnsi="宋体"/>
                <w:color w:val="auto"/>
                <w:sz w:val="21"/>
                <w:szCs w:val="21"/>
                <w:highlight w:val="none"/>
              </w:rPr>
              <w:t>4</w:t>
            </w:r>
            <w:r>
              <w:rPr>
                <w:rFonts w:hint="eastAsia" w:hAnsi="宋体"/>
                <w:color w:val="auto"/>
                <w:sz w:val="21"/>
                <w:szCs w:val="21"/>
                <w:highlight w:val="none"/>
              </w:rPr>
              <w:t>分；良得</w:t>
            </w:r>
            <w:r>
              <w:rPr>
                <w:rFonts w:hint="eastAsia" w:hAnsi="宋体"/>
                <w:color w:val="auto"/>
                <w:sz w:val="21"/>
                <w:szCs w:val="21"/>
                <w:highlight w:val="none"/>
                <w:lang w:val="en-US" w:eastAsia="zh-CN"/>
              </w:rPr>
              <w:t>3</w:t>
            </w:r>
            <w:r>
              <w:rPr>
                <w:rFonts w:hint="eastAsia" w:hAnsi="宋体"/>
                <w:color w:val="auto"/>
                <w:sz w:val="21"/>
                <w:szCs w:val="21"/>
                <w:highlight w:val="none"/>
              </w:rPr>
              <w:t>分；一般得</w:t>
            </w:r>
            <w:r>
              <w:rPr>
                <w:rFonts w:hint="eastAsia" w:hAnsi="宋体"/>
                <w:color w:val="auto"/>
                <w:sz w:val="21"/>
                <w:szCs w:val="21"/>
                <w:highlight w:val="none"/>
                <w:lang w:val="en-US" w:eastAsia="zh-CN"/>
              </w:rPr>
              <w:t>2</w:t>
            </w:r>
            <w:r>
              <w:rPr>
                <w:rFonts w:hint="eastAsia" w:hAnsi="宋体"/>
                <w:color w:val="auto"/>
                <w:sz w:val="21"/>
                <w:szCs w:val="21"/>
                <w:highlight w:val="none"/>
              </w:rPr>
              <w:t>分；差得</w:t>
            </w:r>
            <w:r>
              <w:rPr>
                <w:rFonts w:hint="eastAsia" w:hAnsi="宋体"/>
                <w:color w:val="auto"/>
                <w:sz w:val="21"/>
                <w:szCs w:val="21"/>
                <w:highlight w:val="none"/>
                <w:lang w:val="en-US" w:eastAsia="zh-CN"/>
              </w:rPr>
              <w:t>1</w:t>
            </w:r>
            <w:r>
              <w:rPr>
                <w:rFonts w:hint="eastAsia" w:hAnsi="宋体"/>
                <w:color w:val="auto"/>
                <w:sz w:val="21"/>
                <w:szCs w:val="21"/>
                <w:highlight w:val="none"/>
              </w:rPr>
              <w:t>分</w:t>
            </w:r>
            <w:r>
              <w:rPr>
                <w:rFonts w:hint="eastAsia" w:hAnsi="宋体"/>
                <w:color w:val="auto"/>
                <w:sz w:val="21"/>
                <w:szCs w:val="21"/>
                <w:highlight w:val="none"/>
                <w:lang w:eastAsia="zh-CN"/>
              </w:rPr>
              <w:t>；</w:t>
            </w:r>
            <w:r>
              <w:rPr>
                <w:rFonts w:hint="eastAsia" w:hAnsi="宋体"/>
                <w:color w:val="auto"/>
                <w:sz w:val="21"/>
                <w:szCs w:val="21"/>
                <w:highlight w:val="none"/>
              </w:rPr>
              <w:t>无措施不得分。</w:t>
            </w:r>
          </w:p>
        </w:tc>
      </w:tr>
      <w:tr w14:paraId="76ECB66D">
        <w:tblPrEx>
          <w:tblCellMar>
            <w:top w:w="0" w:type="dxa"/>
            <w:left w:w="108" w:type="dxa"/>
            <w:bottom w:w="0" w:type="dxa"/>
            <w:right w:w="108" w:type="dxa"/>
          </w:tblCellMar>
        </w:tblPrEx>
        <w:trPr>
          <w:trHeight w:val="565"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4B35817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76A8BC">
            <w:pPr>
              <w:ind w:firstLine="0" w:firstLineChars="0"/>
              <w:contextualSpacing/>
              <w:jc w:val="center"/>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项目管理的工作程序和工作制度</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90B517">
            <w:pPr>
              <w:ind w:firstLine="0" w:firstLineChars="0"/>
              <w:contextualSpacing/>
              <w:jc w:val="center"/>
              <w:rPr>
                <w:rFonts w:hint="default" w:ascii="Calibri" w:hAnsi="宋体" w:eastAsia="宋体" w:cs="Times New Roman"/>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FC9F3F">
            <w:pPr>
              <w:adjustRightInd w:val="0"/>
              <w:snapToGrid w:val="0"/>
              <w:ind w:firstLine="0" w:firstLineChars="0"/>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 xml:space="preserve">工作程序和制度优得 </w:t>
            </w:r>
            <w:r>
              <w:rPr>
                <w:rFonts w:hAnsi="宋体"/>
                <w:color w:val="auto"/>
                <w:sz w:val="21"/>
                <w:szCs w:val="21"/>
                <w:highlight w:val="none"/>
              </w:rPr>
              <w:t>4</w:t>
            </w:r>
            <w:r>
              <w:rPr>
                <w:rFonts w:hint="eastAsia" w:hAnsi="宋体"/>
                <w:color w:val="auto"/>
                <w:sz w:val="21"/>
                <w:szCs w:val="21"/>
                <w:highlight w:val="none"/>
              </w:rPr>
              <w:t>分；良得</w:t>
            </w:r>
            <w:r>
              <w:rPr>
                <w:rFonts w:hint="eastAsia" w:hAnsi="宋体"/>
                <w:color w:val="auto"/>
                <w:sz w:val="21"/>
                <w:szCs w:val="21"/>
                <w:highlight w:val="none"/>
                <w:lang w:val="en-US" w:eastAsia="zh-CN"/>
              </w:rPr>
              <w:t>3</w:t>
            </w:r>
            <w:r>
              <w:rPr>
                <w:rFonts w:hint="eastAsia" w:hAnsi="宋体"/>
                <w:color w:val="auto"/>
                <w:sz w:val="21"/>
                <w:szCs w:val="21"/>
                <w:highlight w:val="none"/>
              </w:rPr>
              <w:t>分；一般得</w:t>
            </w:r>
            <w:r>
              <w:rPr>
                <w:rFonts w:hint="eastAsia" w:hAnsi="宋体"/>
                <w:color w:val="auto"/>
                <w:sz w:val="21"/>
                <w:szCs w:val="21"/>
                <w:highlight w:val="none"/>
                <w:lang w:val="en-US" w:eastAsia="zh-CN"/>
              </w:rPr>
              <w:t>2</w:t>
            </w:r>
            <w:r>
              <w:rPr>
                <w:rFonts w:hint="eastAsia" w:hAnsi="宋体"/>
                <w:color w:val="auto"/>
                <w:sz w:val="21"/>
                <w:szCs w:val="21"/>
                <w:highlight w:val="none"/>
              </w:rPr>
              <w:t>分；差得</w:t>
            </w:r>
            <w:r>
              <w:rPr>
                <w:rFonts w:hint="eastAsia" w:hAnsi="宋体"/>
                <w:color w:val="auto"/>
                <w:sz w:val="21"/>
                <w:szCs w:val="21"/>
                <w:highlight w:val="none"/>
                <w:lang w:val="en-US" w:eastAsia="zh-CN"/>
              </w:rPr>
              <w:t>1</w:t>
            </w:r>
            <w:r>
              <w:rPr>
                <w:rFonts w:hint="eastAsia" w:hAnsi="宋体"/>
                <w:color w:val="auto"/>
                <w:sz w:val="21"/>
                <w:szCs w:val="21"/>
                <w:highlight w:val="none"/>
              </w:rPr>
              <w:t>分</w:t>
            </w:r>
            <w:r>
              <w:rPr>
                <w:rFonts w:hint="eastAsia" w:hAnsi="宋体"/>
                <w:color w:val="auto"/>
                <w:sz w:val="21"/>
                <w:szCs w:val="21"/>
                <w:highlight w:val="none"/>
                <w:lang w:eastAsia="zh-CN"/>
              </w:rPr>
              <w:t>；</w:t>
            </w:r>
            <w:r>
              <w:rPr>
                <w:rFonts w:hint="eastAsia" w:hAnsi="宋体"/>
                <w:color w:val="auto"/>
                <w:sz w:val="21"/>
                <w:szCs w:val="21"/>
                <w:highlight w:val="none"/>
              </w:rPr>
              <w:t>无措施不得分。</w:t>
            </w:r>
          </w:p>
        </w:tc>
      </w:tr>
      <w:tr w14:paraId="11B9FAC3">
        <w:tblPrEx>
          <w:tblCellMar>
            <w:top w:w="0" w:type="dxa"/>
            <w:left w:w="108" w:type="dxa"/>
            <w:bottom w:w="0" w:type="dxa"/>
            <w:right w:w="108" w:type="dxa"/>
          </w:tblCellMar>
        </w:tblPrEx>
        <w:trPr>
          <w:trHeight w:val="502"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24711D7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23A224">
            <w:pPr>
              <w:ind w:firstLine="0" w:firstLineChars="0"/>
              <w:contextualSpacing/>
              <w:jc w:val="center"/>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项目管理重点难点分析、合理化建议及应对不定性因素的措施</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416753">
            <w:pPr>
              <w:ind w:firstLine="0" w:firstLineChars="0"/>
              <w:contextualSpacing/>
              <w:jc w:val="center"/>
              <w:rPr>
                <w:rFonts w:hint="default" w:ascii="Calibri" w:hAnsi="宋体" w:eastAsia="宋体" w:cs="Times New Roman"/>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A6A7C">
            <w:pPr>
              <w:adjustRightInd w:val="0"/>
              <w:snapToGrid w:val="0"/>
              <w:ind w:firstLine="0" w:firstLineChars="0"/>
              <w:rPr>
                <w:rFonts w:hint="default"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 xml:space="preserve">管理措施优得 </w:t>
            </w:r>
            <w:r>
              <w:rPr>
                <w:rFonts w:hAnsi="宋体"/>
                <w:color w:val="auto"/>
                <w:sz w:val="21"/>
                <w:szCs w:val="21"/>
                <w:highlight w:val="none"/>
              </w:rPr>
              <w:t>4</w:t>
            </w:r>
            <w:r>
              <w:rPr>
                <w:rFonts w:hint="eastAsia" w:hAnsi="宋体"/>
                <w:color w:val="auto"/>
                <w:sz w:val="21"/>
                <w:szCs w:val="21"/>
                <w:highlight w:val="none"/>
              </w:rPr>
              <w:t>分；良得</w:t>
            </w:r>
            <w:r>
              <w:rPr>
                <w:rFonts w:hint="eastAsia" w:hAnsi="宋体"/>
                <w:color w:val="auto"/>
                <w:sz w:val="21"/>
                <w:szCs w:val="21"/>
                <w:highlight w:val="none"/>
                <w:lang w:val="en-US" w:eastAsia="zh-CN"/>
              </w:rPr>
              <w:t>3</w:t>
            </w:r>
            <w:r>
              <w:rPr>
                <w:rFonts w:hint="eastAsia" w:hAnsi="宋体"/>
                <w:color w:val="auto"/>
                <w:sz w:val="21"/>
                <w:szCs w:val="21"/>
                <w:highlight w:val="none"/>
              </w:rPr>
              <w:t>分；一般得</w:t>
            </w:r>
            <w:r>
              <w:rPr>
                <w:rFonts w:hint="eastAsia" w:hAnsi="宋体"/>
                <w:color w:val="auto"/>
                <w:sz w:val="21"/>
                <w:szCs w:val="21"/>
                <w:highlight w:val="none"/>
                <w:lang w:val="en-US" w:eastAsia="zh-CN"/>
              </w:rPr>
              <w:t>2</w:t>
            </w:r>
            <w:r>
              <w:rPr>
                <w:rFonts w:hint="eastAsia" w:hAnsi="宋体"/>
                <w:color w:val="auto"/>
                <w:sz w:val="21"/>
                <w:szCs w:val="21"/>
                <w:highlight w:val="none"/>
              </w:rPr>
              <w:t>分；差得</w:t>
            </w:r>
            <w:r>
              <w:rPr>
                <w:rFonts w:hint="eastAsia" w:hAnsi="宋体"/>
                <w:color w:val="auto"/>
                <w:sz w:val="21"/>
                <w:szCs w:val="21"/>
                <w:highlight w:val="none"/>
                <w:lang w:val="en-US" w:eastAsia="zh-CN"/>
              </w:rPr>
              <w:t>1</w:t>
            </w:r>
            <w:r>
              <w:rPr>
                <w:rFonts w:hint="eastAsia" w:hAnsi="宋体"/>
                <w:color w:val="auto"/>
                <w:sz w:val="21"/>
                <w:szCs w:val="21"/>
                <w:highlight w:val="none"/>
              </w:rPr>
              <w:t>分</w:t>
            </w:r>
            <w:r>
              <w:rPr>
                <w:rFonts w:hint="eastAsia" w:hAnsi="宋体"/>
                <w:color w:val="auto"/>
                <w:sz w:val="21"/>
                <w:szCs w:val="21"/>
                <w:highlight w:val="none"/>
                <w:lang w:eastAsia="zh-CN"/>
              </w:rPr>
              <w:t>；</w:t>
            </w:r>
            <w:r>
              <w:rPr>
                <w:rFonts w:hint="eastAsia" w:hAnsi="宋体"/>
                <w:color w:val="auto"/>
                <w:sz w:val="21"/>
                <w:szCs w:val="21"/>
                <w:highlight w:val="none"/>
              </w:rPr>
              <w:t>无措施不得分。</w:t>
            </w:r>
          </w:p>
        </w:tc>
      </w:tr>
      <w:tr w14:paraId="67DD2E14">
        <w:tblPrEx>
          <w:tblCellMar>
            <w:top w:w="0" w:type="dxa"/>
            <w:left w:w="108" w:type="dxa"/>
            <w:bottom w:w="0" w:type="dxa"/>
            <w:right w:w="108" w:type="dxa"/>
          </w:tblCellMar>
        </w:tblPrEx>
        <w:trPr>
          <w:trHeight w:val="502"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59C5954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D73EE2">
            <w:pPr>
              <w:ind w:firstLine="0" w:firstLineChars="0"/>
              <w:contextualSpacing/>
              <w:jc w:val="center"/>
              <w:rPr>
                <w:rFonts w:hint="default"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项目过程中与有关部门的协调能力</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016B61">
            <w:pPr>
              <w:ind w:firstLine="0" w:firstLineChars="0"/>
              <w:contextualSpacing/>
              <w:jc w:val="center"/>
              <w:rPr>
                <w:rFonts w:hint="default" w:ascii="Calibri" w:hAnsi="宋体" w:eastAsia="宋体" w:cs="Times New Roman"/>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D1F39A">
            <w:pPr>
              <w:adjustRightInd w:val="0"/>
              <w:snapToGrid w:val="0"/>
              <w:ind w:firstLine="0" w:firstLineChars="0"/>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 xml:space="preserve">协调措施优得 </w:t>
            </w:r>
            <w:r>
              <w:rPr>
                <w:rFonts w:hAnsi="宋体"/>
                <w:color w:val="auto"/>
                <w:sz w:val="21"/>
                <w:szCs w:val="21"/>
                <w:highlight w:val="none"/>
              </w:rPr>
              <w:t>4</w:t>
            </w:r>
            <w:r>
              <w:rPr>
                <w:rFonts w:hint="eastAsia" w:hAnsi="宋体"/>
                <w:color w:val="auto"/>
                <w:sz w:val="21"/>
                <w:szCs w:val="21"/>
                <w:highlight w:val="none"/>
              </w:rPr>
              <w:t>分；良得</w:t>
            </w:r>
            <w:r>
              <w:rPr>
                <w:rFonts w:hint="eastAsia" w:hAnsi="宋体"/>
                <w:color w:val="auto"/>
                <w:sz w:val="21"/>
                <w:szCs w:val="21"/>
                <w:highlight w:val="none"/>
                <w:lang w:val="en-US" w:eastAsia="zh-CN"/>
              </w:rPr>
              <w:t>3</w:t>
            </w:r>
            <w:r>
              <w:rPr>
                <w:rFonts w:hint="eastAsia" w:hAnsi="宋体"/>
                <w:color w:val="auto"/>
                <w:sz w:val="21"/>
                <w:szCs w:val="21"/>
                <w:highlight w:val="none"/>
              </w:rPr>
              <w:t>分；一般得</w:t>
            </w:r>
            <w:r>
              <w:rPr>
                <w:rFonts w:hint="eastAsia" w:hAnsi="宋体"/>
                <w:color w:val="auto"/>
                <w:sz w:val="21"/>
                <w:szCs w:val="21"/>
                <w:highlight w:val="none"/>
                <w:lang w:val="en-US" w:eastAsia="zh-CN"/>
              </w:rPr>
              <w:t>2</w:t>
            </w:r>
            <w:r>
              <w:rPr>
                <w:rFonts w:hint="eastAsia" w:hAnsi="宋体"/>
                <w:color w:val="auto"/>
                <w:sz w:val="21"/>
                <w:szCs w:val="21"/>
                <w:highlight w:val="none"/>
              </w:rPr>
              <w:t>分；差得</w:t>
            </w:r>
            <w:r>
              <w:rPr>
                <w:rFonts w:hint="eastAsia" w:hAnsi="宋体"/>
                <w:color w:val="auto"/>
                <w:sz w:val="21"/>
                <w:szCs w:val="21"/>
                <w:highlight w:val="none"/>
                <w:lang w:val="en-US" w:eastAsia="zh-CN"/>
              </w:rPr>
              <w:t>1</w:t>
            </w:r>
            <w:r>
              <w:rPr>
                <w:rFonts w:hint="eastAsia" w:hAnsi="宋体"/>
                <w:color w:val="auto"/>
                <w:sz w:val="21"/>
                <w:szCs w:val="21"/>
                <w:highlight w:val="none"/>
              </w:rPr>
              <w:t>分</w:t>
            </w:r>
            <w:r>
              <w:rPr>
                <w:rFonts w:hint="eastAsia" w:hAnsi="宋体"/>
                <w:color w:val="auto"/>
                <w:sz w:val="21"/>
                <w:szCs w:val="21"/>
                <w:highlight w:val="none"/>
                <w:lang w:eastAsia="zh-CN"/>
              </w:rPr>
              <w:t>；</w:t>
            </w:r>
            <w:r>
              <w:rPr>
                <w:rFonts w:hint="eastAsia" w:hAnsi="宋体"/>
                <w:color w:val="auto"/>
                <w:sz w:val="21"/>
                <w:szCs w:val="21"/>
                <w:highlight w:val="none"/>
              </w:rPr>
              <w:t>无措施不得分。</w:t>
            </w:r>
          </w:p>
        </w:tc>
      </w:tr>
      <w:tr w14:paraId="53C056EE">
        <w:tblPrEx>
          <w:tblCellMar>
            <w:top w:w="0" w:type="dxa"/>
            <w:left w:w="108" w:type="dxa"/>
            <w:bottom w:w="0" w:type="dxa"/>
            <w:right w:w="108" w:type="dxa"/>
          </w:tblCellMar>
        </w:tblPrEx>
        <w:trPr>
          <w:trHeight w:val="734"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0FC9843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75899E">
            <w:pPr>
              <w:ind w:firstLine="0" w:firstLineChars="0"/>
              <w:contextualSpacing/>
              <w:jc w:val="center"/>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项目总体计划安排</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940F7C">
            <w:pPr>
              <w:ind w:firstLine="0" w:firstLineChars="0"/>
              <w:contextualSpacing/>
              <w:jc w:val="center"/>
              <w:rPr>
                <w:rFonts w:hint="default" w:ascii="Calibri" w:hAnsi="宋体" w:eastAsia="宋体" w:cs="Times New Roman"/>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56B18">
            <w:pPr>
              <w:adjustRightInd w:val="0"/>
              <w:snapToGrid w:val="0"/>
              <w:ind w:firstLine="0" w:firstLineChars="0"/>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 xml:space="preserve">管理措施优得 </w:t>
            </w:r>
            <w:r>
              <w:rPr>
                <w:rFonts w:hAnsi="宋体"/>
                <w:color w:val="auto"/>
                <w:sz w:val="21"/>
                <w:szCs w:val="21"/>
                <w:highlight w:val="none"/>
              </w:rPr>
              <w:t>4</w:t>
            </w:r>
            <w:r>
              <w:rPr>
                <w:rFonts w:hint="eastAsia" w:hAnsi="宋体"/>
                <w:color w:val="auto"/>
                <w:sz w:val="21"/>
                <w:szCs w:val="21"/>
                <w:highlight w:val="none"/>
              </w:rPr>
              <w:t>分；良得</w:t>
            </w:r>
            <w:r>
              <w:rPr>
                <w:rFonts w:hint="eastAsia" w:hAnsi="宋体"/>
                <w:color w:val="auto"/>
                <w:sz w:val="21"/>
                <w:szCs w:val="21"/>
                <w:highlight w:val="none"/>
                <w:lang w:val="en-US" w:eastAsia="zh-CN"/>
              </w:rPr>
              <w:t>3</w:t>
            </w:r>
            <w:r>
              <w:rPr>
                <w:rFonts w:hint="eastAsia" w:hAnsi="宋体"/>
                <w:color w:val="auto"/>
                <w:sz w:val="21"/>
                <w:szCs w:val="21"/>
                <w:highlight w:val="none"/>
              </w:rPr>
              <w:t>分；一般得</w:t>
            </w:r>
            <w:r>
              <w:rPr>
                <w:rFonts w:hint="eastAsia" w:hAnsi="宋体"/>
                <w:color w:val="auto"/>
                <w:sz w:val="21"/>
                <w:szCs w:val="21"/>
                <w:highlight w:val="none"/>
                <w:lang w:val="en-US" w:eastAsia="zh-CN"/>
              </w:rPr>
              <w:t>2</w:t>
            </w:r>
            <w:r>
              <w:rPr>
                <w:rFonts w:hint="eastAsia" w:hAnsi="宋体"/>
                <w:color w:val="auto"/>
                <w:sz w:val="21"/>
                <w:szCs w:val="21"/>
                <w:highlight w:val="none"/>
              </w:rPr>
              <w:t>分；差得</w:t>
            </w:r>
            <w:r>
              <w:rPr>
                <w:rFonts w:hint="eastAsia" w:hAnsi="宋体"/>
                <w:color w:val="auto"/>
                <w:sz w:val="21"/>
                <w:szCs w:val="21"/>
                <w:highlight w:val="none"/>
                <w:lang w:val="en-US" w:eastAsia="zh-CN"/>
              </w:rPr>
              <w:t>1</w:t>
            </w:r>
            <w:r>
              <w:rPr>
                <w:rFonts w:hint="eastAsia" w:hAnsi="宋体"/>
                <w:color w:val="auto"/>
                <w:sz w:val="21"/>
                <w:szCs w:val="21"/>
                <w:highlight w:val="none"/>
              </w:rPr>
              <w:t>分</w:t>
            </w:r>
            <w:r>
              <w:rPr>
                <w:rFonts w:hint="eastAsia" w:hAnsi="宋体"/>
                <w:color w:val="auto"/>
                <w:sz w:val="21"/>
                <w:szCs w:val="21"/>
                <w:highlight w:val="none"/>
                <w:lang w:eastAsia="zh-CN"/>
              </w:rPr>
              <w:t>；</w:t>
            </w:r>
            <w:r>
              <w:rPr>
                <w:rFonts w:hint="eastAsia" w:hAnsi="宋体"/>
                <w:color w:val="auto"/>
                <w:sz w:val="21"/>
                <w:szCs w:val="21"/>
                <w:highlight w:val="none"/>
              </w:rPr>
              <w:t>无措施不得分。</w:t>
            </w:r>
          </w:p>
        </w:tc>
      </w:tr>
      <w:tr w14:paraId="6F78F440">
        <w:tblPrEx>
          <w:tblCellMar>
            <w:top w:w="0" w:type="dxa"/>
            <w:left w:w="108" w:type="dxa"/>
            <w:bottom w:w="0" w:type="dxa"/>
            <w:right w:w="108" w:type="dxa"/>
          </w:tblCellMar>
        </w:tblPrEx>
        <w:trPr>
          <w:trHeight w:val="794"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2AD1978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0B3CFB">
            <w:pPr>
              <w:ind w:firstLine="0" w:firstLineChars="0"/>
              <w:contextualSpacing/>
              <w:jc w:val="center"/>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项目质量管理方案和措施</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644CEB">
            <w:pPr>
              <w:ind w:firstLine="0" w:firstLineChars="0"/>
              <w:contextualSpacing/>
              <w:jc w:val="center"/>
              <w:rPr>
                <w:rFonts w:hint="eastAsia" w:ascii="Calibri" w:hAnsi="宋体" w:eastAsia="宋体" w:cs="Times New Roman"/>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B6197D">
            <w:pPr>
              <w:adjustRightInd w:val="0"/>
              <w:snapToGrid w:val="0"/>
              <w:ind w:firstLine="0" w:firstLineChars="0"/>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 xml:space="preserve">管理措施优得 </w:t>
            </w:r>
            <w:r>
              <w:rPr>
                <w:rFonts w:hAnsi="宋体"/>
                <w:color w:val="auto"/>
                <w:sz w:val="21"/>
                <w:szCs w:val="21"/>
                <w:highlight w:val="none"/>
              </w:rPr>
              <w:t>4</w:t>
            </w:r>
            <w:r>
              <w:rPr>
                <w:rFonts w:hint="eastAsia" w:hAnsi="宋体"/>
                <w:color w:val="auto"/>
                <w:sz w:val="21"/>
                <w:szCs w:val="21"/>
                <w:highlight w:val="none"/>
              </w:rPr>
              <w:t>分；良得</w:t>
            </w:r>
            <w:r>
              <w:rPr>
                <w:rFonts w:hint="eastAsia" w:hAnsi="宋体"/>
                <w:color w:val="auto"/>
                <w:sz w:val="21"/>
                <w:szCs w:val="21"/>
                <w:highlight w:val="none"/>
                <w:lang w:val="en-US" w:eastAsia="zh-CN"/>
              </w:rPr>
              <w:t>3</w:t>
            </w:r>
            <w:r>
              <w:rPr>
                <w:rFonts w:hint="eastAsia" w:hAnsi="宋体"/>
                <w:color w:val="auto"/>
                <w:sz w:val="21"/>
                <w:szCs w:val="21"/>
                <w:highlight w:val="none"/>
              </w:rPr>
              <w:t>分；一般得</w:t>
            </w:r>
            <w:r>
              <w:rPr>
                <w:rFonts w:hint="eastAsia" w:hAnsi="宋体"/>
                <w:color w:val="auto"/>
                <w:sz w:val="21"/>
                <w:szCs w:val="21"/>
                <w:highlight w:val="none"/>
                <w:lang w:val="en-US" w:eastAsia="zh-CN"/>
              </w:rPr>
              <w:t>2</w:t>
            </w:r>
            <w:r>
              <w:rPr>
                <w:rFonts w:hint="eastAsia" w:hAnsi="宋体"/>
                <w:color w:val="auto"/>
                <w:sz w:val="21"/>
                <w:szCs w:val="21"/>
                <w:highlight w:val="none"/>
              </w:rPr>
              <w:t>分；差得</w:t>
            </w:r>
            <w:r>
              <w:rPr>
                <w:rFonts w:hint="eastAsia" w:hAnsi="宋体"/>
                <w:color w:val="auto"/>
                <w:sz w:val="21"/>
                <w:szCs w:val="21"/>
                <w:highlight w:val="none"/>
                <w:lang w:val="en-US" w:eastAsia="zh-CN"/>
              </w:rPr>
              <w:t>1</w:t>
            </w:r>
            <w:r>
              <w:rPr>
                <w:rFonts w:hint="eastAsia" w:hAnsi="宋体"/>
                <w:color w:val="auto"/>
                <w:sz w:val="21"/>
                <w:szCs w:val="21"/>
                <w:highlight w:val="none"/>
              </w:rPr>
              <w:t>分</w:t>
            </w:r>
            <w:r>
              <w:rPr>
                <w:rFonts w:hint="eastAsia" w:hAnsi="宋体"/>
                <w:color w:val="auto"/>
                <w:sz w:val="21"/>
                <w:szCs w:val="21"/>
                <w:highlight w:val="none"/>
                <w:lang w:eastAsia="zh-CN"/>
              </w:rPr>
              <w:t>；</w:t>
            </w:r>
            <w:r>
              <w:rPr>
                <w:rFonts w:hint="eastAsia" w:hAnsi="宋体"/>
                <w:color w:val="auto"/>
                <w:sz w:val="21"/>
                <w:szCs w:val="21"/>
                <w:highlight w:val="none"/>
              </w:rPr>
              <w:t>无措施不得分。</w:t>
            </w:r>
          </w:p>
        </w:tc>
      </w:tr>
      <w:tr w14:paraId="10B2DA3F">
        <w:tblPrEx>
          <w:tblCellMar>
            <w:top w:w="0" w:type="dxa"/>
            <w:left w:w="108" w:type="dxa"/>
            <w:bottom w:w="0" w:type="dxa"/>
            <w:right w:w="108" w:type="dxa"/>
          </w:tblCellMar>
        </w:tblPrEx>
        <w:trPr>
          <w:trHeight w:val="734"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3FC3882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C430F2">
            <w:pPr>
              <w:ind w:firstLine="0" w:firstLineChars="0"/>
              <w:contextualSpacing/>
              <w:jc w:val="center"/>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项目进度管理方案和措施</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5141D8">
            <w:pPr>
              <w:ind w:firstLine="0" w:firstLineChars="0"/>
              <w:contextualSpacing/>
              <w:jc w:val="center"/>
              <w:rPr>
                <w:rFonts w:hint="eastAsia" w:ascii="Calibri" w:hAnsi="宋体" w:eastAsia="宋体" w:cs="Times New Roman"/>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F31869">
            <w:pPr>
              <w:adjustRightInd w:val="0"/>
              <w:snapToGrid w:val="0"/>
              <w:ind w:firstLine="0" w:firstLineChars="0"/>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 xml:space="preserve">管理措施优得 </w:t>
            </w:r>
            <w:r>
              <w:rPr>
                <w:rFonts w:hAnsi="宋体"/>
                <w:color w:val="auto"/>
                <w:sz w:val="21"/>
                <w:szCs w:val="21"/>
                <w:highlight w:val="none"/>
              </w:rPr>
              <w:t>4</w:t>
            </w:r>
            <w:r>
              <w:rPr>
                <w:rFonts w:hint="eastAsia" w:hAnsi="宋体"/>
                <w:color w:val="auto"/>
                <w:sz w:val="21"/>
                <w:szCs w:val="21"/>
                <w:highlight w:val="none"/>
              </w:rPr>
              <w:t>分；良得</w:t>
            </w:r>
            <w:r>
              <w:rPr>
                <w:rFonts w:hint="eastAsia" w:hAnsi="宋体"/>
                <w:color w:val="auto"/>
                <w:sz w:val="21"/>
                <w:szCs w:val="21"/>
                <w:highlight w:val="none"/>
                <w:lang w:val="en-US" w:eastAsia="zh-CN"/>
              </w:rPr>
              <w:t>3</w:t>
            </w:r>
            <w:r>
              <w:rPr>
                <w:rFonts w:hint="eastAsia" w:hAnsi="宋体"/>
                <w:color w:val="auto"/>
                <w:sz w:val="21"/>
                <w:szCs w:val="21"/>
                <w:highlight w:val="none"/>
              </w:rPr>
              <w:t>分；一般得</w:t>
            </w:r>
            <w:r>
              <w:rPr>
                <w:rFonts w:hint="eastAsia" w:hAnsi="宋体"/>
                <w:color w:val="auto"/>
                <w:sz w:val="21"/>
                <w:szCs w:val="21"/>
                <w:highlight w:val="none"/>
                <w:lang w:val="en-US" w:eastAsia="zh-CN"/>
              </w:rPr>
              <w:t>2</w:t>
            </w:r>
            <w:r>
              <w:rPr>
                <w:rFonts w:hint="eastAsia" w:hAnsi="宋体"/>
                <w:color w:val="auto"/>
                <w:sz w:val="21"/>
                <w:szCs w:val="21"/>
                <w:highlight w:val="none"/>
              </w:rPr>
              <w:t>分；差得</w:t>
            </w:r>
            <w:r>
              <w:rPr>
                <w:rFonts w:hint="eastAsia" w:hAnsi="宋体"/>
                <w:color w:val="auto"/>
                <w:sz w:val="21"/>
                <w:szCs w:val="21"/>
                <w:highlight w:val="none"/>
                <w:lang w:val="en-US" w:eastAsia="zh-CN"/>
              </w:rPr>
              <w:t>1</w:t>
            </w:r>
            <w:r>
              <w:rPr>
                <w:rFonts w:hint="eastAsia" w:hAnsi="宋体"/>
                <w:color w:val="auto"/>
                <w:sz w:val="21"/>
                <w:szCs w:val="21"/>
                <w:highlight w:val="none"/>
              </w:rPr>
              <w:t>分</w:t>
            </w:r>
            <w:r>
              <w:rPr>
                <w:rFonts w:hint="eastAsia" w:hAnsi="宋体"/>
                <w:color w:val="auto"/>
                <w:sz w:val="21"/>
                <w:szCs w:val="21"/>
                <w:highlight w:val="none"/>
                <w:lang w:eastAsia="zh-CN"/>
              </w:rPr>
              <w:t>；</w:t>
            </w:r>
            <w:r>
              <w:rPr>
                <w:rFonts w:hint="eastAsia" w:hAnsi="宋体"/>
                <w:color w:val="auto"/>
                <w:sz w:val="21"/>
                <w:szCs w:val="21"/>
                <w:highlight w:val="none"/>
              </w:rPr>
              <w:t>无措施不得分。</w:t>
            </w:r>
          </w:p>
        </w:tc>
      </w:tr>
      <w:tr w14:paraId="2EB76208">
        <w:tblPrEx>
          <w:tblCellMar>
            <w:top w:w="0" w:type="dxa"/>
            <w:left w:w="108" w:type="dxa"/>
            <w:bottom w:w="0" w:type="dxa"/>
            <w:right w:w="108" w:type="dxa"/>
          </w:tblCellMar>
        </w:tblPrEx>
        <w:trPr>
          <w:trHeight w:val="809"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0F6B628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7811C">
            <w:pPr>
              <w:ind w:firstLine="0" w:firstLineChars="0"/>
              <w:contextualSpacing/>
              <w:jc w:val="center"/>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项目投资管理方案和措施</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EAF1E4">
            <w:pPr>
              <w:ind w:firstLine="0" w:firstLineChars="0"/>
              <w:contextualSpacing/>
              <w:jc w:val="center"/>
              <w:rPr>
                <w:rFonts w:hint="eastAsia" w:ascii="Calibri" w:hAnsi="宋体" w:eastAsia="宋体" w:cs="Times New Roman"/>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1582F5">
            <w:pPr>
              <w:adjustRightInd w:val="0"/>
              <w:snapToGrid w:val="0"/>
              <w:ind w:firstLine="0" w:firstLineChars="0"/>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 xml:space="preserve">管理措施优得 </w:t>
            </w:r>
            <w:r>
              <w:rPr>
                <w:rFonts w:hAnsi="宋体"/>
                <w:color w:val="auto"/>
                <w:sz w:val="21"/>
                <w:szCs w:val="21"/>
                <w:highlight w:val="none"/>
              </w:rPr>
              <w:t>4</w:t>
            </w:r>
            <w:r>
              <w:rPr>
                <w:rFonts w:hint="eastAsia" w:hAnsi="宋体"/>
                <w:color w:val="auto"/>
                <w:sz w:val="21"/>
                <w:szCs w:val="21"/>
                <w:highlight w:val="none"/>
              </w:rPr>
              <w:t>分；良得</w:t>
            </w:r>
            <w:r>
              <w:rPr>
                <w:rFonts w:hint="eastAsia" w:hAnsi="宋体"/>
                <w:color w:val="auto"/>
                <w:sz w:val="21"/>
                <w:szCs w:val="21"/>
                <w:highlight w:val="none"/>
                <w:lang w:val="en-US" w:eastAsia="zh-CN"/>
              </w:rPr>
              <w:t>3</w:t>
            </w:r>
            <w:r>
              <w:rPr>
                <w:rFonts w:hint="eastAsia" w:hAnsi="宋体"/>
                <w:color w:val="auto"/>
                <w:sz w:val="21"/>
                <w:szCs w:val="21"/>
                <w:highlight w:val="none"/>
              </w:rPr>
              <w:t>分；一般得</w:t>
            </w:r>
            <w:r>
              <w:rPr>
                <w:rFonts w:hint="eastAsia" w:hAnsi="宋体"/>
                <w:color w:val="auto"/>
                <w:sz w:val="21"/>
                <w:szCs w:val="21"/>
                <w:highlight w:val="none"/>
                <w:lang w:val="en-US" w:eastAsia="zh-CN"/>
              </w:rPr>
              <w:t>2</w:t>
            </w:r>
            <w:r>
              <w:rPr>
                <w:rFonts w:hint="eastAsia" w:hAnsi="宋体"/>
                <w:color w:val="auto"/>
                <w:sz w:val="21"/>
                <w:szCs w:val="21"/>
                <w:highlight w:val="none"/>
              </w:rPr>
              <w:t>分；差得</w:t>
            </w:r>
            <w:r>
              <w:rPr>
                <w:rFonts w:hint="eastAsia" w:hAnsi="宋体"/>
                <w:color w:val="auto"/>
                <w:sz w:val="21"/>
                <w:szCs w:val="21"/>
                <w:highlight w:val="none"/>
                <w:lang w:val="en-US" w:eastAsia="zh-CN"/>
              </w:rPr>
              <w:t>1</w:t>
            </w:r>
            <w:r>
              <w:rPr>
                <w:rFonts w:hint="eastAsia" w:hAnsi="宋体"/>
                <w:color w:val="auto"/>
                <w:sz w:val="21"/>
                <w:szCs w:val="21"/>
                <w:highlight w:val="none"/>
              </w:rPr>
              <w:t>分</w:t>
            </w:r>
            <w:r>
              <w:rPr>
                <w:rFonts w:hint="eastAsia" w:hAnsi="宋体"/>
                <w:color w:val="auto"/>
                <w:sz w:val="21"/>
                <w:szCs w:val="21"/>
                <w:highlight w:val="none"/>
                <w:lang w:eastAsia="zh-CN"/>
              </w:rPr>
              <w:t>；</w:t>
            </w:r>
            <w:r>
              <w:rPr>
                <w:rFonts w:hint="eastAsia" w:hAnsi="宋体"/>
                <w:color w:val="auto"/>
                <w:sz w:val="21"/>
                <w:szCs w:val="21"/>
                <w:highlight w:val="none"/>
              </w:rPr>
              <w:t>无措施不得分。</w:t>
            </w:r>
          </w:p>
        </w:tc>
      </w:tr>
      <w:tr w14:paraId="3CD7380D">
        <w:tblPrEx>
          <w:tblCellMar>
            <w:top w:w="0" w:type="dxa"/>
            <w:left w:w="108" w:type="dxa"/>
            <w:bottom w:w="0" w:type="dxa"/>
            <w:right w:w="108" w:type="dxa"/>
          </w:tblCellMar>
        </w:tblPrEx>
        <w:trPr>
          <w:trHeight w:val="939"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176DBEB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341B1D">
            <w:pPr>
              <w:ind w:firstLine="0" w:firstLineChars="0"/>
              <w:contextualSpacing/>
              <w:jc w:val="center"/>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项目合同、档案及信息管理方案和措施</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5C6FC3">
            <w:pPr>
              <w:ind w:firstLine="0" w:firstLineChars="0"/>
              <w:contextualSpacing/>
              <w:jc w:val="center"/>
              <w:rPr>
                <w:rFonts w:hint="eastAsia" w:ascii="Calibri" w:hAnsi="宋体" w:eastAsia="宋体" w:cs="Times New Roman"/>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F5EAA5">
            <w:pPr>
              <w:adjustRightInd w:val="0"/>
              <w:snapToGrid w:val="0"/>
              <w:ind w:firstLine="0" w:firstLineChars="0"/>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 xml:space="preserve">管理措施优得 </w:t>
            </w:r>
            <w:r>
              <w:rPr>
                <w:rFonts w:hAnsi="宋体"/>
                <w:color w:val="auto"/>
                <w:sz w:val="21"/>
                <w:szCs w:val="21"/>
                <w:highlight w:val="none"/>
              </w:rPr>
              <w:t>4</w:t>
            </w:r>
            <w:r>
              <w:rPr>
                <w:rFonts w:hint="eastAsia" w:hAnsi="宋体"/>
                <w:color w:val="auto"/>
                <w:sz w:val="21"/>
                <w:szCs w:val="21"/>
                <w:highlight w:val="none"/>
              </w:rPr>
              <w:t>分；良得</w:t>
            </w:r>
            <w:r>
              <w:rPr>
                <w:rFonts w:hint="eastAsia" w:hAnsi="宋体"/>
                <w:color w:val="auto"/>
                <w:sz w:val="21"/>
                <w:szCs w:val="21"/>
                <w:highlight w:val="none"/>
                <w:lang w:val="en-US" w:eastAsia="zh-CN"/>
              </w:rPr>
              <w:t>3</w:t>
            </w:r>
            <w:r>
              <w:rPr>
                <w:rFonts w:hint="eastAsia" w:hAnsi="宋体"/>
                <w:color w:val="auto"/>
                <w:sz w:val="21"/>
                <w:szCs w:val="21"/>
                <w:highlight w:val="none"/>
              </w:rPr>
              <w:t>分；一般得</w:t>
            </w:r>
            <w:r>
              <w:rPr>
                <w:rFonts w:hint="eastAsia" w:hAnsi="宋体"/>
                <w:color w:val="auto"/>
                <w:sz w:val="21"/>
                <w:szCs w:val="21"/>
                <w:highlight w:val="none"/>
                <w:lang w:val="en-US" w:eastAsia="zh-CN"/>
              </w:rPr>
              <w:t>2</w:t>
            </w:r>
            <w:r>
              <w:rPr>
                <w:rFonts w:hint="eastAsia" w:hAnsi="宋体"/>
                <w:color w:val="auto"/>
                <w:sz w:val="21"/>
                <w:szCs w:val="21"/>
                <w:highlight w:val="none"/>
              </w:rPr>
              <w:t>分；差得</w:t>
            </w:r>
            <w:r>
              <w:rPr>
                <w:rFonts w:hint="eastAsia" w:hAnsi="宋体"/>
                <w:color w:val="auto"/>
                <w:sz w:val="21"/>
                <w:szCs w:val="21"/>
                <w:highlight w:val="none"/>
                <w:lang w:val="en-US" w:eastAsia="zh-CN"/>
              </w:rPr>
              <w:t>1</w:t>
            </w:r>
            <w:r>
              <w:rPr>
                <w:rFonts w:hint="eastAsia" w:hAnsi="宋体"/>
                <w:color w:val="auto"/>
                <w:sz w:val="21"/>
                <w:szCs w:val="21"/>
                <w:highlight w:val="none"/>
              </w:rPr>
              <w:t>分</w:t>
            </w:r>
            <w:r>
              <w:rPr>
                <w:rFonts w:hint="eastAsia" w:hAnsi="宋体"/>
                <w:color w:val="auto"/>
                <w:sz w:val="21"/>
                <w:szCs w:val="21"/>
                <w:highlight w:val="none"/>
                <w:lang w:eastAsia="zh-CN"/>
              </w:rPr>
              <w:t>；</w:t>
            </w:r>
            <w:r>
              <w:rPr>
                <w:rFonts w:hint="eastAsia" w:hAnsi="宋体"/>
                <w:color w:val="auto"/>
                <w:sz w:val="21"/>
                <w:szCs w:val="21"/>
                <w:highlight w:val="none"/>
              </w:rPr>
              <w:t>无措施不得分。</w:t>
            </w:r>
          </w:p>
        </w:tc>
      </w:tr>
      <w:tr w14:paraId="0C7F6A03">
        <w:tblPrEx>
          <w:tblCellMar>
            <w:top w:w="0" w:type="dxa"/>
            <w:left w:w="108" w:type="dxa"/>
            <w:bottom w:w="0" w:type="dxa"/>
            <w:right w:w="108" w:type="dxa"/>
          </w:tblCellMar>
        </w:tblPrEx>
        <w:trPr>
          <w:trHeight w:val="939"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6D13C35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5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6C33A">
            <w:pPr>
              <w:ind w:firstLine="0" w:firstLineChars="0"/>
              <w:contextualSpacing/>
              <w:jc w:val="center"/>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项目安全文明施工管理方案和措施</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47E35C">
            <w:pPr>
              <w:ind w:firstLine="0" w:firstLineChars="0"/>
              <w:contextualSpacing/>
              <w:jc w:val="center"/>
              <w:rPr>
                <w:rFonts w:hint="eastAsia" w:ascii="Calibri" w:hAnsi="宋体" w:eastAsia="宋体" w:cs="Times New Roman"/>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63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2C649">
            <w:pPr>
              <w:adjustRightInd w:val="0"/>
              <w:snapToGrid w:val="0"/>
              <w:ind w:firstLine="0" w:firstLineChars="0"/>
              <w:rPr>
                <w:rFonts w:hint="eastAsia" w:ascii="Calibri" w:hAnsi="宋体" w:eastAsia="宋体" w:cs="Times New Roman"/>
                <w:color w:val="auto"/>
                <w:kern w:val="2"/>
                <w:sz w:val="21"/>
                <w:szCs w:val="21"/>
                <w:highlight w:val="none"/>
                <w:lang w:val="en-US" w:eastAsia="zh-CN" w:bidi="ar-SA"/>
              </w:rPr>
            </w:pPr>
            <w:r>
              <w:rPr>
                <w:rFonts w:hint="eastAsia" w:hAnsi="宋体"/>
                <w:color w:val="auto"/>
                <w:sz w:val="21"/>
                <w:szCs w:val="21"/>
                <w:highlight w:val="none"/>
              </w:rPr>
              <w:t xml:space="preserve">管理措施优得 </w:t>
            </w:r>
            <w:r>
              <w:rPr>
                <w:rFonts w:hAnsi="宋体"/>
                <w:color w:val="auto"/>
                <w:sz w:val="21"/>
                <w:szCs w:val="21"/>
                <w:highlight w:val="none"/>
              </w:rPr>
              <w:t>4</w:t>
            </w:r>
            <w:r>
              <w:rPr>
                <w:rFonts w:hint="eastAsia" w:hAnsi="宋体"/>
                <w:color w:val="auto"/>
                <w:sz w:val="21"/>
                <w:szCs w:val="21"/>
                <w:highlight w:val="none"/>
              </w:rPr>
              <w:t>分；良得</w:t>
            </w:r>
            <w:r>
              <w:rPr>
                <w:rFonts w:hint="eastAsia" w:hAnsi="宋体"/>
                <w:color w:val="auto"/>
                <w:sz w:val="21"/>
                <w:szCs w:val="21"/>
                <w:highlight w:val="none"/>
                <w:lang w:val="en-US" w:eastAsia="zh-CN"/>
              </w:rPr>
              <w:t>3</w:t>
            </w:r>
            <w:r>
              <w:rPr>
                <w:rFonts w:hint="eastAsia" w:hAnsi="宋体"/>
                <w:color w:val="auto"/>
                <w:sz w:val="21"/>
                <w:szCs w:val="21"/>
                <w:highlight w:val="none"/>
              </w:rPr>
              <w:t>分；一般得</w:t>
            </w:r>
            <w:r>
              <w:rPr>
                <w:rFonts w:hint="eastAsia" w:hAnsi="宋体"/>
                <w:color w:val="auto"/>
                <w:sz w:val="21"/>
                <w:szCs w:val="21"/>
                <w:highlight w:val="none"/>
                <w:lang w:val="en-US" w:eastAsia="zh-CN"/>
              </w:rPr>
              <w:t>2</w:t>
            </w:r>
            <w:r>
              <w:rPr>
                <w:rFonts w:hint="eastAsia" w:hAnsi="宋体"/>
                <w:color w:val="auto"/>
                <w:sz w:val="21"/>
                <w:szCs w:val="21"/>
                <w:highlight w:val="none"/>
              </w:rPr>
              <w:t>分；差得</w:t>
            </w:r>
            <w:r>
              <w:rPr>
                <w:rFonts w:hint="eastAsia" w:hAnsi="宋体"/>
                <w:color w:val="auto"/>
                <w:sz w:val="21"/>
                <w:szCs w:val="21"/>
                <w:highlight w:val="none"/>
                <w:lang w:val="en-US" w:eastAsia="zh-CN"/>
              </w:rPr>
              <w:t>1</w:t>
            </w:r>
            <w:r>
              <w:rPr>
                <w:rFonts w:hint="eastAsia" w:hAnsi="宋体"/>
                <w:color w:val="auto"/>
                <w:sz w:val="21"/>
                <w:szCs w:val="21"/>
                <w:highlight w:val="none"/>
              </w:rPr>
              <w:t>分</w:t>
            </w:r>
            <w:r>
              <w:rPr>
                <w:rFonts w:hint="eastAsia" w:hAnsi="宋体"/>
                <w:color w:val="auto"/>
                <w:sz w:val="21"/>
                <w:szCs w:val="21"/>
                <w:highlight w:val="none"/>
                <w:lang w:eastAsia="zh-CN"/>
              </w:rPr>
              <w:t>；</w:t>
            </w:r>
            <w:r>
              <w:rPr>
                <w:rFonts w:hint="eastAsia" w:hAnsi="宋体"/>
                <w:color w:val="auto"/>
                <w:sz w:val="21"/>
                <w:szCs w:val="21"/>
                <w:highlight w:val="none"/>
              </w:rPr>
              <w:t>无措施不得分。</w:t>
            </w:r>
          </w:p>
        </w:tc>
      </w:tr>
      <w:tr w14:paraId="2EDD24AA">
        <w:tblPrEx>
          <w:tblCellMar>
            <w:top w:w="0" w:type="dxa"/>
            <w:left w:w="108" w:type="dxa"/>
            <w:bottom w:w="0" w:type="dxa"/>
            <w:right w:w="108" w:type="dxa"/>
          </w:tblCellMar>
        </w:tblPrEx>
        <w:trPr>
          <w:trHeight w:val="704"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1A26073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三</w:t>
            </w:r>
          </w:p>
        </w:tc>
        <w:tc>
          <w:tcPr>
            <w:tcW w:w="8648" w:type="dxa"/>
            <w:gridSpan w:val="3"/>
            <w:tcBorders>
              <w:top w:val="single" w:color="auto" w:sz="4" w:space="0"/>
              <w:left w:val="single" w:color="auto" w:sz="4" w:space="0"/>
              <w:bottom w:val="single" w:color="auto" w:sz="4" w:space="0"/>
              <w:right w:val="single" w:color="auto" w:sz="4" w:space="0"/>
            </w:tcBorders>
            <w:noWrap w:val="0"/>
            <w:vAlign w:val="center"/>
          </w:tcPr>
          <w:p w14:paraId="0563983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投标报价部分</w:t>
            </w:r>
          </w:p>
        </w:tc>
      </w:tr>
      <w:tr w14:paraId="572A9DD1">
        <w:tblPrEx>
          <w:tblCellMar>
            <w:top w:w="0" w:type="dxa"/>
            <w:left w:w="108" w:type="dxa"/>
            <w:bottom w:w="0" w:type="dxa"/>
            <w:right w:w="108" w:type="dxa"/>
          </w:tblCellMar>
        </w:tblPrEx>
        <w:trPr>
          <w:trHeight w:val="469" w:hRule="atLeast"/>
        </w:trPr>
        <w:tc>
          <w:tcPr>
            <w:tcW w:w="585" w:type="dxa"/>
            <w:vMerge w:val="restart"/>
            <w:tcBorders>
              <w:top w:val="single" w:color="auto" w:sz="4" w:space="0"/>
              <w:left w:val="single" w:color="auto" w:sz="4" w:space="0"/>
              <w:right w:val="single" w:color="auto" w:sz="4" w:space="0"/>
            </w:tcBorders>
            <w:noWrap w:val="0"/>
            <w:vAlign w:val="center"/>
          </w:tcPr>
          <w:p w14:paraId="053CEF1D">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568" w:type="dxa"/>
            <w:vMerge w:val="restart"/>
            <w:tcBorders>
              <w:top w:val="single" w:color="auto" w:sz="4" w:space="0"/>
              <w:left w:val="single" w:color="auto" w:sz="4" w:space="0"/>
              <w:right w:val="single" w:color="auto" w:sz="4" w:space="0"/>
            </w:tcBorders>
            <w:noWrap w:val="0"/>
            <w:vAlign w:val="center"/>
          </w:tcPr>
          <w:p w14:paraId="3694343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投标报价得分</w:t>
            </w:r>
          </w:p>
        </w:tc>
        <w:tc>
          <w:tcPr>
            <w:tcW w:w="750" w:type="dxa"/>
            <w:vMerge w:val="restart"/>
            <w:tcBorders>
              <w:top w:val="single" w:color="auto" w:sz="4" w:space="0"/>
              <w:left w:val="single" w:color="auto" w:sz="4" w:space="0"/>
              <w:right w:val="single" w:color="auto" w:sz="4" w:space="0"/>
            </w:tcBorders>
            <w:noWrap w:val="0"/>
            <w:vAlign w:val="center"/>
          </w:tcPr>
          <w:p w14:paraId="3AF672F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w:t>
            </w:r>
          </w:p>
        </w:tc>
        <w:tc>
          <w:tcPr>
            <w:tcW w:w="6330" w:type="dxa"/>
            <w:tcBorders>
              <w:top w:val="single" w:color="auto" w:sz="4" w:space="0"/>
              <w:left w:val="single" w:color="auto" w:sz="4" w:space="0"/>
              <w:bottom w:val="single" w:color="auto" w:sz="4" w:space="0"/>
              <w:right w:val="single" w:color="auto" w:sz="4" w:space="0"/>
            </w:tcBorders>
            <w:noWrap w:val="0"/>
            <w:vAlign w:val="center"/>
          </w:tcPr>
          <w:p w14:paraId="0A612134">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Times New Roman" w:hAnsi="Times New Roman"/>
                <w:color w:val="auto"/>
                <w:highlight w:val="none"/>
              </w:rPr>
            </w:pPr>
            <w:r>
              <w:rPr>
                <w:rFonts w:hint="eastAsia" w:ascii="宋体" w:hAnsi="宋体" w:cs="宋体"/>
                <w:color w:val="auto"/>
                <w:szCs w:val="21"/>
                <w:highlight w:val="none"/>
              </w:rPr>
              <w:t>偏差率=100×︱（有效报价-评标基准价）︱/评标基准价（偏差率四舍五入保留2位小数，报价偏差率不足1%的，按直线内插法计算投标报价得分）</w:t>
            </w:r>
            <w:r>
              <w:rPr>
                <w:rFonts w:hint="eastAsia" w:ascii="宋体" w:hAnsi="宋体" w:cs="宋体"/>
                <w:color w:val="auto"/>
                <w:szCs w:val="21"/>
                <w:highlight w:val="none"/>
                <w:lang w:eastAsia="zh-CN"/>
              </w:rPr>
              <w:t>。</w:t>
            </w:r>
          </w:p>
        </w:tc>
      </w:tr>
      <w:tr w14:paraId="0551EB22">
        <w:tblPrEx>
          <w:tblCellMar>
            <w:top w:w="0" w:type="dxa"/>
            <w:left w:w="108" w:type="dxa"/>
            <w:bottom w:w="0" w:type="dxa"/>
            <w:right w:w="108" w:type="dxa"/>
          </w:tblCellMar>
        </w:tblPrEx>
        <w:trPr>
          <w:trHeight w:val="469" w:hRule="atLeast"/>
        </w:trPr>
        <w:tc>
          <w:tcPr>
            <w:tcW w:w="585" w:type="dxa"/>
            <w:vMerge w:val="continue"/>
            <w:tcBorders>
              <w:left w:val="single" w:color="auto" w:sz="4" w:space="0"/>
              <w:bottom w:val="single" w:color="auto" w:sz="4" w:space="0"/>
              <w:right w:val="single" w:color="auto" w:sz="4" w:space="0"/>
            </w:tcBorders>
            <w:noWrap w:val="0"/>
            <w:vAlign w:val="center"/>
          </w:tcPr>
          <w:p w14:paraId="6D2A1EC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highlight w:val="none"/>
              </w:rPr>
            </w:pPr>
          </w:p>
        </w:tc>
        <w:tc>
          <w:tcPr>
            <w:tcW w:w="1568" w:type="dxa"/>
            <w:vMerge w:val="continue"/>
            <w:tcBorders>
              <w:left w:val="single" w:color="auto" w:sz="4" w:space="0"/>
              <w:bottom w:val="single" w:color="auto" w:sz="4" w:space="0"/>
              <w:right w:val="single" w:color="auto" w:sz="4" w:space="0"/>
            </w:tcBorders>
            <w:noWrap w:val="0"/>
            <w:vAlign w:val="center"/>
          </w:tcPr>
          <w:p w14:paraId="6E51ADCD">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highlight w:val="none"/>
              </w:rPr>
            </w:pPr>
          </w:p>
        </w:tc>
        <w:tc>
          <w:tcPr>
            <w:tcW w:w="750" w:type="dxa"/>
            <w:vMerge w:val="continue"/>
            <w:tcBorders>
              <w:left w:val="single" w:color="auto" w:sz="4" w:space="0"/>
              <w:bottom w:val="single" w:color="auto" w:sz="4" w:space="0"/>
              <w:right w:val="single" w:color="auto" w:sz="4" w:space="0"/>
            </w:tcBorders>
            <w:noWrap w:val="0"/>
            <w:vAlign w:val="center"/>
          </w:tcPr>
          <w:p w14:paraId="425B5ADE">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color w:val="auto"/>
                <w:highlight w:val="none"/>
              </w:rPr>
            </w:pPr>
          </w:p>
        </w:tc>
        <w:tc>
          <w:tcPr>
            <w:tcW w:w="6330" w:type="dxa"/>
            <w:tcBorders>
              <w:top w:val="single" w:color="auto" w:sz="4" w:space="0"/>
              <w:left w:val="single" w:color="auto" w:sz="4" w:space="0"/>
              <w:bottom w:val="single" w:color="auto" w:sz="4" w:space="0"/>
              <w:right w:val="single" w:color="auto" w:sz="4" w:space="0"/>
            </w:tcBorders>
            <w:noWrap w:val="0"/>
            <w:vAlign w:val="center"/>
          </w:tcPr>
          <w:p w14:paraId="2BEEEAC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Times New Roman" w:hAnsi="Times New Roman"/>
                <w:color w:val="auto"/>
                <w:highlight w:val="none"/>
              </w:rPr>
            </w:pPr>
            <w:r>
              <w:rPr>
                <w:rFonts w:hint="eastAsia" w:ascii="宋体" w:hAnsi="宋体" w:cs="宋体"/>
                <w:color w:val="auto"/>
                <w:szCs w:val="21"/>
                <w:highlight w:val="none"/>
              </w:rPr>
              <w:t>以评标基准价作为计算各</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eastAsia="zh-CN"/>
              </w:rPr>
              <w:t>报价</w:t>
            </w:r>
            <w:r>
              <w:rPr>
                <w:rFonts w:hint="eastAsia" w:ascii="宋体" w:hAnsi="宋体" w:cs="宋体"/>
                <w:color w:val="auto"/>
                <w:szCs w:val="21"/>
                <w:highlight w:val="none"/>
              </w:rPr>
              <w:t>得分的基础，当</w:t>
            </w:r>
            <w:r>
              <w:rPr>
                <w:rFonts w:hint="eastAsia" w:ascii="宋体" w:hAnsi="宋体" w:cs="宋体"/>
                <w:color w:val="auto"/>
                <w:szCs w:val="21"/>
                <w:highlight w:val="none"/>
                <w:lang w:eastAsia="zh-CN"/>
              </w:rPr>
              <w:t>有效报价</w:t>
            </w:r>
            <w:r>
              <w:rPr>
                <w:rFonts w:hint="eastAsia" w:ascii="宋体" w:hAnsi="宋体" w:cs="宋体"/>
                <w:color w:val="auto"/>
                <w:szCs w:val="21"/>
                <w:highlight w:val="none"/>
              </w:rPr>
              <w:t>等于评标基准价时</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lang w:eastAsia="zh-CN"/>
              </w:rPr>
              <w:t>报价</w:t>
            </w:r>
            <w:r>
              <w:rPr>
                <w:rFonts w:hint="eastAsia" w:ascii="宋体" w:hAnsi="宋体" w:cs="宋体"/>
                <w:color w:val="auto"/>
                <w:szCs w:val="21"/>
                <w:highlight w:val="none"/>
              </w:rPr>
              <w:t>得分</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20分，</w:t>
            </w:r>
            <w:r>
              <w:rPr>
                <w:rFonts w:hint="eastAsia" w:ascii="宋体" w:hAnsi="宋体" w:cs="宋体"/>
                <w:color w:val="auto"/>
                <w:szCs w:val="21"/>
                <w:highlight w:val="none"/>
                <w:lang w:eastAsia="zh-CN"/>
              </w:rPr>
              <w:t>有效报价</w:t>
            </w:r>
            <w:r>
              <w:rPr>
                <w:rFonts w:hint="eastAsia" w:ascii="宋体" w:hAnsi="宋体" w:cs="宋体"/>
                <w:color w:val="auto"/>
                <w:szCs w:val="21"/>
                <w:highlight w:val="none"/>
              </w:rPr>
              <w:t>每高于评标基准价1%，扣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分，每低于评标基准价1%，扣0.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分，最多扣20分，得出投标报价得分，精确到小数点后两位。</w:t>
            </w:r>
          </w:p>
        </w:tc>
      </w:tr>
    </w:tbl>
    <w:p w14:paraId="43A8BA58">
      <w:pPr>
        <w:ind w:firstLine="440" w:firstLineChars="200"/>
        <w:rPr>
          <w:rFonts w:hint="eastAsia" w:ascii="宋体" w:hAnsi="宋体" w:cs="宋体"/>
          <w:color w:val="auto"/>
          <w:szCs w:val="21"/>
          <w:highlight w:val="none"/>
          <w:lang w:val="en-US" w:eastAsia="zh-CN"/>
        </w:rPr>
      </w:pPr>
      <w:r>
        <w:rPr>
          <w:rFonts w:hint="eastAsia" w:cs="宋体"/>
          <w:color w:val="auto"/>
          <w:highlight w:val="none"/>
          <w:lang w:val="en-US" w:eastAsia="zh-CN"/>
        </w:rPr>
        <w:t>注：</w:t>
      </w:r>
      <w:r>
        <w:rPr>
          <w:rFonts w:ascii="宋体" w:hAnsi="宋体" w:cs="宋体"/>
          <w:color w:val="auto"/>
          <w:szCs w:val="21"/>
          <w:highlight w:val="none"/>
        </w:rPr>
        <w:t>1</w:t>
      </w:r>
      <w:r>
        <w:rPr>
          <w:rFonts w:hint="eastAsia" w:ascii="宋体" w:hAnsi="宋体" w:cs="宋体"/>
          <w:color w:val="auto"/>
          <w:szCs w:val="21"/>
          <w:highlight w:val="none"/>
          <w:lang w:val="en-US" w:eastAsia="zh-CN"/>
        </w:rPr>
        <w:t>.注册造价工程师指根据原人事部、原建设部发布的《造价工程师执业资格制度暂行规定》（人发〔1996〕77号）取得的造价工程师执业资格，并经注册且在有效期内。</w:t>
      </w:r>
    </w:p>
    <w:p w14:paraId="12A81BF0">
      <w:pPr>
        <w:ind w:firstLine="44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2.本评分表中所附所有证明材料必须且内容必须清晰可辨，如因提供资料内容模糊导致评标时无法判断的，后果由投标人自负。上述资料不提供或提供不完整或提供不符合要求的不得分。</w:t>
      </w:r>
    </w:p>
    <w:p w14:paraId="0E78CB9C">
      <w:pPr>
        <w:ind w:firstLine="44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3.所有评委分数汇总后的算术平均值为投标人的最终得分。分数出现小数点，保留小数点后二位小数，第三位小数四舍五入。投标人满足多个档次的，按最高档得分。</w:t>
      </w:r>
    </w:p>
    <w:p w14:paraId="3F8DA307">
      <w:pPr>
        <w:ind w:firstLine="44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6C0A0368">
      <w:pPr>
        <w:pStyle w:val="7"/>
        <w:spacing w:before="0" w:beforeLines="50" w:after="0" w:afterLines="50" w:line="360" w:lineRule="auto"/>
        <w:rPr>
          <w:rFonts w:hint="eastAsia" w:ascii="宋体" w:hAnsi="宋体" w:cs="宋体"/>
          <w:color w:val="auto"/>
          <w:sz w:val="21"/>
          <w:szCs w:val="21"/>
          <w:highlight w:val="none"/>
        </w:rPr>
      </w:pPr>
      <w:bookmarkStart w:id="85" w:name="_Toc186418345"/>
      <w:bookmarkStart w:id="86" w:name="_Toc18465"/>
      <w:bookmarkStart w:id="87" w:name="_Toc22758"/>
      <w:r>
        <w:rPr>
          <w:rFonts w:hint="eastAsia" w:ascii="宋体" w:hAnsi="宋体" w:cs="宋体"/>
          <w:color w:val="auto"/>
          <w:sz w:val="21"/>
          <w:szCs w:val="21"/>
          <w:highlight w:val="none"/>
        </w:rPr>
        <w:t>1. 评标方法</w:t>
      </w:r>
      <w:bookmarkEnd w:id="85"/>
      <w:bookmarkEnd w:id="86"/>
      <w:bookmarkEnd w:id="87"/>
    </w:p>
    <w:p w14:paraId="0F77C1BA">
      <w:pPr>
        <w:ind w:firstLine="440" w:firstLineChars="200"/>
        <w:rPr>
          <w:rFonts w:hint="eastAsia" w:ascii="宋体" w:hAnsi="宋体" w:cs="宋体"/>
          <w:color w:val="auto"/>
          <w:sz w:val="21"/>
          <w:szCs w:val="21"/>
          <w:highlight w:val="none"/>
        </w:rPr>
      </w:pPr>
      <w:r>
        <w:rPr>
          <w:rFonts w:hint="eastAsia" w:ascii="宋体" w:hAnsi="宋体" w:eastAsia="宋体" w:cs="宋体"/>
          <w:color w:val="auto"/>
          <w:highlight w:val="none"/>
        </w:rPr>
        <w:t>本次评标采用综合评估法。评标委员会对满足招标文件实质性要求的投标文件，按照本章规定的评分标准进行打分，并按得分由高到低顺序推荐前三名作为中标候选人，综合评分相等的，以投标报价低的优先；投标报价相同，以</w:t>
      </w:r>
      <w:r>
        <w:rPr>
          <w:rFonts w:hint="eastAsia" w:ascii="宋体" w:hAnsi="宋体" w:cs="宋体"/>
          <w:color w:val="auto"/>
          <w:highlight w:val="none"/>
          <w:lang w:eastAsia="zh-CN"/>
        </w:rPr>
        <w:t>服务方案</w:t>
      </w:r>
      <w:r>
        <w:rPr>
          <w:rFonts w:hint="eastAsia" w:ascii="宋体" w:hAnsi="宋体" w:eastAsia="宋体" w:cs="宋体"/>
          <w:color w:val="auto"/>
          <w:highlight w:val="none"/>
        </w:rPr>
        <w:t>得分高的优先；</w:t>
      </w:r>
      <w:r>
        <w:rPr>
          <w:rFonts w:hint="eastAsia" w:ascii="宋体" w:hAnsi="宋体" w:cs="宋体"/>
          <w:color w:val="auto"/>
          <w:highlight w:val="none"/>
          <w:lang w:eastAsia="zh-CN"/>
        </w:rPr>
        <w:t>服务方案</w:t>
      </w:r>
      <w:r>
        <w:rPr>
          <w:rFonts w:hint="eastAsia" w:ascii="宋体" w:hAnsi="宋体" w:eastAsia="宋体" w:cs="宋体"/>
          <w:color w:val="auto"/>
          <w:highlight w:val="none"/>
        </w:rPr>
        <w:t>得分也相等的，以资信业绩得分高的优先；如果资信业绩得分也相等，则由评委以投票方式进行表决，确定相等得分的中标候选人的排序（记名投票方式确定排序的具体操作步骤为：由评标委员会对出现该情况的投标人进行编号，然后通过记名投票方式依次确定投标人的排序。评标委员会各成员一人一票，得票最多且过半数的投标人优先）</w:t>
      </w:r>
      <w:r>
        <w:rPr>
          <w:rFonts w:hint="eastAsia" w:ascii="宋体" w:hAnsi="宋体" w:cs="宋体"/>
          <w:color w:val="auto"/>
          <w:sz w:val="21"/>
          <w:szCs w:val="21"/>
          <w:highlight w:val="none"/>
        </w:rPr>
        <w:t>。</w:t>
      </w:r>
    </w:p>
    <w:p w14:paraId="13F1D685">
      <w:pPr>
        <w:pStyle w:val="7"/>
        <w:spacing w:before="0" w:beforeLines="50" w:after="0" w:afterLines="0" w:line="360" w:lineRule="auto"/>
        <w:rPr>
          <w:rFonts w:hint="eastAsia" w:ascii="宋体" w:hAnsi="宋体" w:cs="宋体"/>
          <w:color w:val="auto"/>
          <w:sz w:val="21"/>
          <w:szCs w:val="21"/>
          <w:highlight w:val="none"/>
        </w:rPr>
      </w:pPr>
      <w:bookmarkStart w:id="88" w:name="_Toc186418346"/>
      <w:bookmarkStart w:id="89" w:name="_Toc8909"/>
      <w:bookmarkStart w:id="90" w:name="_Toc24207"/>
      <w:r>
        <w:rPr>
          <w:rFonts w:hint="eastAsia" w:ascii="宋体" w:hAnsi="宋体" w:cs="宋体"/>
          <w:color w:val="auto"/>
          <w:sz w:val="21"/>
          <w:szCs w:val="21"/>
          <w:highlight w:val="none"/>
        </w:rPr>
        <w:t>2. 评审标准</w:t>
      </w:r>
      <w:bookmarkEnd w:id="88"/>
      <w:bookmarkEnd w:id="89"/>
      <w:bookmarkEnd w:id="90"/>
    </w:p>
    <w:p w14:paraId="601B4A84">
      <w:pPr>
        <w:pStyle w:val="8"/>
        <w:spacing w:before="0" w:after="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2.1初步评审标准</w:t>
      </w:r>
    </w:p>
    <w:p w14:paraId="6DF7383B">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2.1.1形式评审标准：见评标办法前附表。</w:t>
      </w:r>
    </w:p>
    <w:p w14:paraId="167A3D44">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2.1.2资格评审标准：见评标办法前附表。</w:t>
      </w:r>
    </w:p>
    <w:p w14:paraId="5D062982">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2.1.3响应性评审标准：见评标办法前附表。</w:t>
      </w:r>
    </w:p>
    <w:p w14:paraId="2E0BA229">
      <w:pPr>
        <w:rPr>
          <w:rFonts w:hint="eastAsia" w:ascii="宋体" w:hAnsi="宋体" w:cs="宋体"/>
          <w:color w:val="auto"/>
          <w:sz w:val="21"/>
          <w:szCs w:val="21"/>
          <w:highlight w:val="none"/>
        </w:rPr>
      </w:pPr>
    </w:p>
    <w:p w14:paraId="66FE63F7">
      <w:pPr>
        <w:pStyle w:val="8"/>
        <w:spacing w:before="0" w:after="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2.2分值构成与评分标准</w:t>
      </w:r>
    </w:p>
    <w:p w14:paraId="140F0D6A">
      <w:pPr>
        <w:pStyle w:val="3"/>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2.2.1  分值构成</w:t>
      </w:r>
    </w:p>
    <w:p w14:paraId="0C2BD99A">
      <w:pPr>
        <w:pStyle w:val="3"/>
        <w:spacing w:before="0"/>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u w:val="single"/>
        </w:rPr>
        <w:t>商务文件（资信业绩）</w:t>
      </w:r>
      <w:r>
        <w:rPr>
          <w:rFonts w:hint="eastAsia" w:ascii="宋体" w:hAnsi="宋体" w:eastAsia="宋体" w:cs="宋体"/>
          <w:color w:val="auto"/>
          <w:sz w:val="21"/>
          <w:highlight w:val="none"/>
        </w:rPr>
        <w:t>部分：见评标办法前附表；</w:t>
      </w:r>
    </w:p>
    <w:p w14:paraId="313CC938">
      <w:pPr>
        <w:pStyle w:val="3"/>
        <w:spacing w:before="0"/>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u w:val="single"/>
        </w:rPr>
        <w:t>技术文件（</w:t>
      </w:r>
      <w:r>
        <w:rPr>
          <w:rFonts w:hint="eastAsia" w:cs="宋体"/>
          <w:color w:val="auto"/>
          <w:sz w:val="21"/>
          <w:highlight w:val="none"/>
          <w:u w:val="single"/>
          <w:lang w:eastAsia="zh-CN"/>
        </w:rPr>
        <w:t>服务方案</w:t>
      </w:r>
      <w:r>
        <w:rPr>
          <w:rFonts w:hint="eastAsia" w:ascii="宋体" w:hAnsi="宋体" w:eastAsia="宋体" w:cs="宋体"/>
          <w:color w:val="auto"/>
          <w:sz w:val="21"/>
          <w:highlight w:val="none"/>
          <w:u w:val="single"/>
        </w:rPr>
        <w:t>）</w:t>
      </w:r>
      <w:r>
        <w:rPr>
          <w:rFonts w:hint="eastAsia" w:ascii="宋体" w:hAnsi="宋体" w:eastAsia="宋体" w:cs="宋体"/>
          <w:color w:val="auto"/>
          <w:sz w:val="21"/>
          <w:highlight w:val="none"/>
        </w:rPr>
        <w:t>部分：见评标办法前附表；</w:t>
      </w:r>
    </w:p>
    <w:p w14:paraId="7B0EC960">
      <w:pPr>
        <w:pStyle w:val="3"/>
        <w:spacing w:before="0" w:line="240" w:lineRule="auto"/>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（3）投标报价：见评标办法前附表。 </w:t>
      </w:r>
    </w:p>
    <w:p w14:paraId="4AC0A830">
      <w:pPr>
        <w:pStyle w:val="3"/>
        <w:spacing w:before="0" w:line="240" w:lineRule="auto"/>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2.2.2 评标基准价计算 评标基准价计算方法：见评标办法前附表。</w:t>
      </w:r>
    </w:p>
    <w:p w14:paraId="4B1F4D55">
      <w:pPr>
        <w:pStyle w:val="3"/>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2.2.3 投标报价的偏差率计算</w:t>
      </w:r>
    </w:p>
    <w:p w14:paraId="6BED25D5">
      <w:pPr>
        <w:pStyle w:val="3"/>
        <w:spacing w:before="0"/>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投标报价的偏差率计算公式：见评标办法前附表。</w:t>
      </w:r>
    </w:p>
    <w:p w14:paraId="02BFDEF7">
      <w:pPr>
        <w:pStyle w:val="3"/>
        <w:spacing w:before="0"/>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2.2.4  评分标准</w:t>
      </w:r>
    </w:p>
    <w:p w14:paraId="0EDECE44">
      <w:pPr>
        <w:pStyle w:val="3"/>
        <w:spacing w:before="0"/>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u w:val="single"/>
        </w:rPr>
        <w:t>商务文件（资信业绩）</w:t>
      </w:r>
      <w:r>
        <w:rPr>
          <w:rFonts w:hint="eastAsia" w:ascii="宋体" w:hAnsi="宋体" w:eastAsia="宋体" w:cs="宋体"/>
          <w:color w:val="auto"/>
          <w:sz w:val="21"/>
          <w:highlight w:val="none"/>
        </w:rPr>
        <w:t>评分标准：见评标办法前附表；</w:t>
      </w:r>
    </w:p>
    <w:p w14:paraId="415DD2DD">
      <w:pPr>
        <w:pStyle w:val="3"/>
        <w:spacing w:before="0"/>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u w:val="single"/>
        </w:rPr>
        <w:t>技术文件（</w:t>
      </w:r>
      <w:r>
        <w:rPr>
          <w:rFonts w:hint="eastAsia" w:cs="宋体"/>
          <w:color w:val="auto"/>
          <w:sz w:val="21"/>
          <w:highlight w:val="none"/>
          <w:u w:val="single"/>
          <w:lang w:eastAsia="zh-CN"/>
        </w:rPr>
        <w:t>服务方案</w:t>
      </w:r>
      <w:r>
        <w:rPr>
          <w:rFonts w:hint="eastAsia" w:ascii="宋体" w:hAnsi="宋体" w:eastAsia="宋体" w:cs="宋体"/>
          <w:color w:val="auto"/>
          <w:sz w:val="21"/>
          <w:highlight w:val="none"/>
          <w:u w:val="single"/>
        </w:rPr>
        <w:t>）</w:t>
      </w:r>
      <w:r>
        <w:rPr>
          <w:rFonts w:hint="eastAsia" w:ascii="宋体" w:hAnsi="宋体" w:eastAsia="宋体" w:cs="宋体"/>
          <w:color w:val="auto"/>
          <w:sz w:val="21"/>
          <w:highlight w:val="none"/>
        </w:rPr>
        <w:t>评分标准：见评标办法前附表；</w:t>
      </w:r>
    </w:p>
    <w:p w14:paraId="01B73E40">
      <w:pPr>
        <w:pStyle w:val="3"/>
        <w:spacing w:before="0"/>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（3）投标报价评分标准：见评标办法前附表。</w:t>
      </w:r>
    </w:p>
    <w:p w14:paraId="56D2CC4B">
      <w:pPr>
        <w:spacing w:after="0"/>
        <w:rPr>
          <w:rFonts w:hint="eastAsia" w:ascii="宋体" w:hAnsi="宋体" w:eastAsia="宋体" w:cs="宋体"/>
          <w:color w:val="auto"/>
          <w:sz w:val="21"/>
          <w:szCs w:val="21"/>
          <w:highlight w:val="none"/>
        </w:rPr>
      </w:pPr>
    </w:p>
    <w:p w14:paraId="7FF7CAED">
      <w:pPr>
        <w:pStyle w:val="7"/>
        <w:spacing w:before="0" w:beforeLines="50" w:after="0" w:afterLines="0" w:line="360" w:lineRule="auto"/>
        <w:rPr>
          <w:rFonts w:hint="eastAsia" w:ascii="宋体" w:hAnsi="宋体" w:cs="宋体"/>
          <w:color w:val="auto"/>
          <w:sz w:val="21"/>
          <w:szCs w:val="21"/>
          <w:highlight w:val="none"/>
        </w:rPr>
      </w:pPr>
      <w:bookmarkStart w:id="91" w:name="_Toc1873"/>
      <w:bookmarkStart w:id="92" w:name="_Toc28925"/>
      <w:bookmarkStart w:id="93" w:name="_Toc186418347"/>
      <w:r>
        <w:rPr>
          <w:rFonts w:hint="eastAsia" w:ascii="宋体" w:hAnsi="宋体" w:cs="宋体"/>
          <w:color w:val="auto"/>
          <w:sz w:val="21"/>
          <w:szCs w:val="21"/>
          <w:highlight w:val="none"/>
        </w:rPr>
        <w:t>3. 评标程序</w:t>
      </w:r>
      <w:bookmarkEnd w:id="91"/>
      <w:bookmarkEnd w:id="92"/>
      <w:bookmarkEnd w:id="93"/>
    </w:p>
    <w:p w14:paraId="4272FC48">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评标活动将按以下步骤进行：</w:t>
      </w:r>
    </w:p>
    <w:p w14:paraId="773EC0AC">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（1）评标委员会在开始评标前，应了解评标专家的职责及守则，认真阅读《评标委员会成员声明》的内容并签名，签字后方可进行评标；</w:t>
      </w:r>
    </w:p>
    <w:p w14:paraId="5D76DA88">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（2）初步评审（含形式评审、资格评审、响应性评审）；</w:t>
      </w:r>
    </w:p>
    <w:p w14:paraId="44DE582D">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（3）详细评审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含商务文件和</w:t>
      </w:r>
      <w:r>
        <w:rPr>
          <w:rFonts w:hint="eastAsia" w:ascii="宋体" w:hAnsi="宋体" w:cs="宋体"/>
          <w:color w:val="auto"/>
          <w:sz w:val="21"/>
          <w:szCs w:val="21"/>
          <w:highlight w:val="none"/>
        </w:rPr>
        <w:t>技术文件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14:paraId="7F51F584">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（4）澄清、说明或补正；</w:t>
      </w:r>
    </w:p>
    <w:p w14:paraId="58884F6E">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）汇总投标人得分；</w:t>
      </w:r>
    </w:p>
    <w:p w14:paraId="27F7082C">
      <w:pPr>
        <w:spacing w:line="24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）推荐中标候选人，提交评标报告。</w:t>
      </w:r>
    </w:p>
    <w:p w14:paraId="1FB802E0">
      <w:pPr>
        <w:pStyle w:val="8"/>
        <w:spacing w:before="0" w:after="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3.1 初步评审</w:t>
      </w:r>
    </w:p>
    <w:p w14:paraId="251CE5A0">
      <w:pPr>
        <w:pStyle w:val="3"/>
        <w:ind w:left="0" w:firstLine="420" w:firstLineChars="200"/>
        <w:rPr>
          <w:rFonts w:hint="eastAsia" w:cs="宋体"/>
          <w:color w:val="auto"/>
          <w:sz w:val="21"/>
          <w:highlight w:val="none"/>
          <w:lang w:eastAsia="zh-CN"/>
        </w:rPr>
      </w:pPr>
      <w:r>
        <w:rPr>
          <w:rFonts w:hint="eastAsia" w:cs="宋体"/>
          <w:color w:val="auto"/>
          <w:sz w:val="21"/>
          <w:highlight w:val="none"/>
          <w:lang w:eastAsia="zh-CN"/>
        </w:rPr>
        <w:t>3.1.1 初步评审</w:t>
      </w:r>
    </w:p>
    <w:p w14:paraId="3EFC1A5F">
      <w:pPr>
        <w:pStyle w:val="3"/>
        <w:ind w:left="0" w:firstLine="420" w:firstLineChars="200"/>
        <w:rPr>
          <w:rFonts w:hint="eastAsia" w:cs="宋体"/>
          <w:color w:val="auto"/>
          <w:sz w:val="21"/>
          <w:highlight w:val="none"/>
          <w:lang w:eastAsia="zh-CN"/>
        </w:rPr>
      </w:pPr>
      <w:r>
        <w:rPr>
          <w:rFonts w:hint="eastAsia" w:cs="宋体"/>
          <w:color w:val="auto"/>
          <w:sz w:val="21"/>
          <w:highlight w:val="none"/>
          <w:lang w:eastAsia="zh-CN"/>
        </w:rPr>
        <w:t>评标委员会依据本章第 2.1款规定的标准对</w:t>
      </w:r>
      <w:r>
        <w:rPr>
          <w:rFonts w:hint="eastAsia" w:cs="宋体"/>
          <w:color w:val="auto"/>
          <w:sz w:val="21"/>
          <w:highlight w:val="none"/>
          <w:lang w:val="en-US" w:eastAsia="zh-CN"/>
        </w:rPr>
        <w:t>投标文件</w:t>
      </w:r>
      <w:r>
        <w:rPr>
          <w:rFonts w:hint="eastAsia" w:cs="宋体"/>
          <w:color w:val="auto"/>
          <w:sz w:val="21"/>
          <w:highlight w:val="none"/>
          <w:lang w:eastAsia="zh-CN"/>
        </w:rPr>
        <w:t>进行初步评审（包括形式评审、资格评审、响应性评审）。有一项不符合评审标准的，评标委员会应当否决其投标，未能通过初步评审的投标人，其投标不再参与后续的</w:t>
      </w:r>
      <w:r>
        <w:rPr>
          <w:rFonts w:hint="eastAsia" w:ascii="宋体" w:hAnsi="宋体" w:cs="宋体"/>
          <w:color w:val="auto"/>
          <w:sz w:val="21"/>
          <w:szCs w:val="21"/>
          <w:highlight w:val="none"/>
        </w:rPr>
        <w:t>详细评审</w:t>
      </w:r>
      <w:r>
        <w:rPr>
          <w:rFonts w:hint="eastAsia" w:cs="宋体"/>
          <w:color w:val="auto"/>
          <w:sz w:val="21"/>
          <w:highlight w:val="none"/>
          <w:lang w:eastAsia="zh-CN"/>
        </w:rPr>
        <w:t>程序。如果有废标提议，则评标委员会成员共同表决，按照少数服从多数的原则决定是否废标。</w:t>
      </w:r>
    </w:p>
    <w:p w14:paraId="45ECD1EA">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3.1.1.1形式评审</w:t>
      </w:r>
    </w:p>
    <w:p w14:paraId="3D748B45">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评标委员会根据评标办法前附表中规定的评审因素和评审标准，对投标人的投标文件进行形式评审。</w:t>
      </w:r>
    </w:p>
    <w:p w14:paraId="503BE399">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3.1.1.2资格评审</w:t>
      </w:r>
    </w:p>
    <w:p w14:paraId="03DAFAB8">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评标委员会根据评标办法前附表中的规定的评审因素和评审标准，对投标人的投标文件进行资格评审。</w:t>
      </w:r>
    </w:p>
    <w:p w14:paraId="2F5735CB">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3.1.1.3响应性评审</w:t>
      </w:r>
    </w:p>
    <w:p w14:paraId="14B28FAF">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评标委员会根据评标办法前附表中规定的评审因素和评审标准，对投标人的投标文件进行响应性评审。</w:t>
      </w:r>
    </w:p>
    <w:p w14:paraId="1EDA77BE">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3.1.2 判断否决投标</w:t>
      </w:r>
    </w:p>
    <w:p w14:paraId="7FAF7438">
      <w:p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判断否决投标的全部条件，在本招标文件第二章《投标人须知前附表》第10.5款</w:t>
      </w:r>
      <w:r>
        <w:rPr>
          <w:rFonts w:hint="eastAsia"/>
          <w:color w:val="auto"/>
          <w:highlight w:val="none"/>
          <w:lang w:val="en-US" w:eastAsia="zh-CN"/>
        </w:rPr>
        <w:t>及第三章《评标办法（综合评估法）》评标办法前附表</w:t>
      </w:r>
      <w:r>
        <w:rPr>
          <w:rFonts w:hint="eastAsia" w:ascii="宋体" w:hAnsi="宋体" w:cs="宋体"/>
          <w:color w:val="auto"/>
          <w:sz w:val="21"/>
          <w:szCs w:val="21"/>
          <w:highlight w:val="none"/>
        </w:rPr>
        <w:t>第2.1.1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2.1.</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款集中列示。</w:t>
      </w:r>
    </w:p>
    <w:p w14:paraId="34F05830">
      <w:pPr>
        <w:pStyle w:val="3"/>
        <w:ind w:left="0" w:firstLine="420" w:firstLineChars="200"/>
        <w:rPr>
          <w:rFonts w:hint="eastAsia" w:cs="宋体"/>
          <w:color w:val="auto"/>
          <w:sz w:val="21"/>
          <w:highlight w:val="none"/>
          <w:lang w:eastAsia="zh-CN"/>
        </w:rPr>
      </w:pPr>
      <w:r>
        <w:rPr>
          <w:rFonts w:hint="eastAsia" w:cs="宋体"/>
          <w:color w:val="auto"/>
          <w:sz w:val="21"/>
          <w:highlight w:val="none"/>
          <w:lang w:eastAsia="zh-CN"/>
        </w:rPr>
        <w:t>3.1.3投标报价有算术错误及其他错误的，评标委员会按以下原则要求投标人对投标报价进行修正，并要求投标人书面澄清确认。投标人拒不澄清确认的，评标委员会应当否决其投标：</w:t>
      </w:r>
    </w:p>
    <w:p w14:paraId="347D9B11">
      <w:pPr>
        <w:pStyle w:val="3"/>
        <w:ind w:left="0" w:firstLine="420" w:firstLineChars="200"/>
        <w:rPr>
          <w:rFonts w:hint="eastAsia" w:cs="宋体"/>
          <w:color w:val="auto"/>
          <w:sz w:val="21"/>
          <w:highlight w:val="none"/>
          <w:lang w:eastAsia="zh-CN"/>
        </w:rPr>
      </w:pPr>
      <w:r>
        <w:rPr>
          <w:rFonts w:hint="eastAsia" w:cs="宋体"/>
          <w:color w:val="auto"/>
          <w:sz w:val="21"/>
          <w:highlight w:val="none"/>
          <w:lang w:eastAsia="zh-CN"/>
        </w:rPr>
        <w:t>（1）投标文件中的大写金额与小写金额不一致的，以大写金额为准；</w:t>
      </w:r>
    </w:p>
    <w:p w14:paraId="70957BE0">
      <w:pPr>
        <w:pStyle w:val="3"/>
        <w:ind w:left="0" w:firstLine="420" w:firstLineChars="200"/>
        <w:rPr>
          <w:rFonts w:hint="eastAsia" w:cs="宋体"/>
          <w:strike/>
          <w:color w:val="auto"/>
          <w:sz w:val="21"/>
          <w:highlight w:val="none"/>
          <w:lang w:eastAsia="zh-CN"/>
        </w:rPr>
      </w:pPr>
      <w:r>
        <w:rPr>
          <w:rFonts w:hint="eastAsia" w:cs="宋体"/>
          <w:color w:val="auto"/>
          <w:sz w:val="21"/>
          <w:highlight w:val="none"/>
          <w:lang w:eastAsia="zh-CN"/>
        </w:rPr>
        <w:t>（2）总价金额与单价金额不一致的，以单价金额为准，但单价金额小数点有明显错误的除外。</w:t>
      </w:r>
    </w:p>
    <w:p w14:paraId="587F5703">
      <w:pPr>
        <w:rPr>
          <w:rFonts w:hint="eastAsia" w:ascii="宋体" w:hAnsi="宋体" w:cs="宋体"/>
          <w:color w:val="auto"/>
          <w:sz w:val="21"/>
          <w:szCs w:val="21"/>
          <w:highlight w:val="none"/>
        </w:rPr>
      </w:pPr>
    </w:p>
    <w:p w14:paraId="3C792B71">
      <w:pPr>
        <w:pStyle w:val="8"/>
        <w:spacing w:before="0" w:after="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3.2 详细评审</w:t>
      </w:r>
    </w:p>
    <w:p w14:paraId="34DF5DD3">
      <w:pPr>
        <w:pStyle w:val="3"/>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w w:val="100"/>
          <w:sz w:val="21"/>
          <w:highlight w:val="none"/>
        </w:rPr>
        <w:t>3.2.1</w:t>
      </w:r>
      <w:r>
        <w:rPr>
          <w:rFonts w:hint="eastAsia" w:ascii="宋体" w:hAnsi="宋体" w:eastAsia="宋体" w:cs="宋体"/>
          <w:color w:val="auto"/>
          <w:sz w:val="21"/>
          <w:highlight w:val="none"/>
        </w:rPr>
        <w:t xml:space="preserve"> </w:t>
      </w:r>
      <w:r>
        <w:rPr>
          <w:rFonts w:hint="eastAsia" w:ascii="宋体" w:hAnsi="宋体" w:eastAsia="宋体" w:cs="宋体"/>
          <w:color w:val="auto"/>
          <w:spacing w:val="-2"/>
          <w:sz w:val="21"/>
          <w:highlight w:val="none"/>
        </w:rPr>
        <w:t xml:space="preserve"> </w:t>
      </w:r>
      <w:r>
        <w:rPr>
          <w:rFonts w:hint="eastAsia" w:ascii="宋体" w:hAnsi="宋体" w:eastAsia="宋体" w:cs="宋体"/>
          <w:color w:val="auto"/>
          <w:w w:val="100"/>
          <w:sz w:val="21"/>
          <w:highlight w:val="none"/>
        </w:rPr>
        <w:t>评</w:t>
      </w:r>
      <w:r>
        <w:rPr>
          <w:rFonts w:hint="eastAsia" w:ascii="宋体" w:hAnsi="宋体" w:eastAsia="宋体" w:cs="宋体"/>
          <w:color w:val="auto"/>
          <w:spacing w:val="-3"/>
          <w:w w:val="100"/>
          <w:sz w:val="21"/>
          <w:highlight w:val="none"/>
        </w:rPr>
        <w:t>标</w:t>
      </w:r>
      <w:r>
        <w:rPr>
          <w:rFonts w:hint="eastAsia" w:ascii="宋体" w:hAnsi="宋体" w:eastAsia="宋体" w:cs="宋体"/>
          <w:color w:val="auto"/>
          <w:w w:val="100"/>
          <w:sz w:val="21"/>
          <w:highlight w:val="none"/>
        </w:rPr>
        <w:t>委</w:t>
      </w:r>
      <w:r>
        <w:rPr>
          <w:rFonts w:hint="eastAsia" w:ascii="宋体" w:hAnsi="宋体" w:eastAsia="宋体" w:cs="宋体"/>
          <w:color w:val="auto"/>
          <w:spacing w:val="-3"/>
          <w:w w:val="100"/>
          <w:sz w:val="21"/>
          <w:highlight w:val="none"/>
        </w:rPr>
        <w:t>员</w:t>
      </w:r>
      <w:r>
        <w:rPr>
          <w:rFonts w:hint="eastAsia" w:ascii="宋体" w:hAnsi="宋体" w:eastAsia="宋体" w:cs="宋体"/>
          <w:color w:val="auto"/>
          <w:w w:val="100"/>
          <w:sz w:val="21"/>
          <w:highlight w:val="none"/>
        </w:rPr>
        <w:t>会</w:t>
      </w:r>
      <w:r>
        <w:rPr>
          <w:rFonts w:hint="eastAsia" w:ascii="宋体" w:hAnsi="宋体" w:eastAsia="宋体" w:cs="宋体"/>
          <w:color w:val="auto"/>
          <w:spacing w:val="-3"/>
          <w:w w:val="100"/>
          <w:sz w:val="21"/>
          <w:highlight w:val="none"/>
        </w:rPr>
        <w:t>按</w:t>
      </w:r>
      <w:r>
        <w:rPr>
          <w:rFonts w:hint="eastAsia" w:ascii="宋体" w:hAnsi="宋体" w:eastAsia="宋体" w:cs="宋体"/>
          <w:color w:val="auto"/>
          <w:w w:val="100"/>
          <w:sz w:val="21"/>
          <w:highlight w:val="none"/>
        </w:rPr>
        <w:t>本</w:t>
      </w:r>
      <w:r>
        <w:rPr>
          <w:rFonts w:hint="eastAsia" w:ascii="宋体" w:hAnsi="宋体" w:eastAsia="宋体" w:cs="宋体"/>
          <w:color w:val="auto"/>
          <w:spacing w:val="-3"/>
          <w:w w:val="100"/>
          <w:sz w:val="21"/>
          <w:highlight w:val="none"/>
        </w:rPr>
        <w:t>章</w:t>
      </w:r>
      <w:r>
        <w:rPr>
          <w:rFonts w:hint="eastAsia" w:ascii="宋体" w:hAnsi="宋体" w:eastAsia="宋体" w:cs="宋体"/>
          <w:color w:val="auto"/>
          <w:w w:val="100"/>
          <w:sz w:val="21"/>
          <w:highlight w:val="none"/>
        </w:rPr>
        <w:t>第</w:t>
      </w:r>
      <w:r>
        <w:rPr>
          <w:rFonts w:hint="eastAsia" w:ascii="宋体" w:hAnsi="宋体" w:eastAsia="宋体" w:cs="宋体"/>
          <w:color w:val="auto"/>
          <w:spacing w:val="-64"/>
          <w:sz w:val="21"/>
          <w:highlight w:val="none"/>
        </w:rPr>
        <w:t xml:space="preserve"> </w:t>
      </w:r>
      <w:r>
        <w:rPr>
          <w:rFonts w:hint="eastAsia" w:ascii="宋体" w:hAnsi="宋体" w:eastAsia="宋体" w:cs="宋体"/>
          <w:color w:val="auto"/>
          <w:w w:val="100"/>
          <w:sz w:val="21"/>
          <w:highlight w:val="none"/>
        </w:rPr>
        <w:t>2.2</w:t>
      </w:r>
      <w:r>
        <w:rPr>
          <w:rFonts w:hint="eastAsia" w:ascii="宋体" w:hAnsi="宋体" w:eastAsia="宋体" w:cs="宋体"/>
          <w:color w:val="auto"/>
          <w:spacing w:val="-12"/>
          <w:sz w:val="21"/>
          <w:highlight w:val="none"/>
        </w:rPr>
        <w:t xml:space="preserve"> </w:t>
      </w:r>
      <w:r>
        <w:rPr>
          <w:rFonts w:hint="eastAsia" w:ascii="宋体" w:hAnsi="宋体" w:eastAsia="宋体" w:cs="宋体"/>
          <w:color w:val="auto"/>
          <w:spacing w:val="-3"/>
          <w:w w:val="100"/>
          <w:sz w:val="21"/>
          <w:highlight w:val="none"/>
        </w:rPr>
        <w:t>款</w:t>
      </w:r>
      <w:r>
        <w:rPr>
          <w:rFonts w:hint="eastAsia" w:ascii="宋体" w:hAnsi="宋体" w:eastAsia="宋体" w:cs="宋体"/>
          <w:color w:val="auto"/>
          <w:w w:val="100"/>
          <w:sz w:val="21"/>
          <w:highlight w:val="none"/>
        </w:rPr>
        <w:t>规</w:t>
      </w:r>
      <w:r>
        <w:rPr>
          <w:rFonts w:hint="eastAsia" w:ascii="宋体" w:hAnsi="宋体" w:eastAsia="宋体" w:cs="宋体"/>
          <w:color w:val="auto"/>
          <w:spacing w:val="-3"/>
          <w:w w:val="100"/>
          <w:sz w:val="21"/>
          <w:highlight w:val="none"/>
        </w:rPr>
        <w:t>定</w:t>
      </w:r>
      <w:r>
        <w:rPr>
          <w:rFonts w:hint="eastAsia" w:ascii="宋体" w:hAnsi="宋体" w:eastAsia="宋体" w:cs="宋体"/>
          <w:color w:val="auto"/>
          <w:w w:val="100"/>
          <w:sz w:val="21"/>
          <w:highlight w:val="none"/>
        </w:rPr>
        <w:t>的</w:t>
      </w:r>
      <w:r>
        <w:rPr>
          <w:rFonts w:hint="eastAsia" w:ascii="宋体" w:hAnsi="宋体" w:eastAsia="宋体" w:cs="宋体"/>
          <w:color w:val="auto"/>
          <w:spacing w:val="-3"/>
          <w:w w:val="100"/>
          <w:sz w:val="21"/>
          <w:highlight w:val="none"/>
        </w:rPr>
        <w:t>量</w:t>
      </w:r>
      <w:r>
        <w:rPr>
          <w:rFonts w:hint="eastAsia" w:ascii="宋体" w:hAnsi="宋体" w:eastAsia="宋体" w:cs="宋体"/>
          <w:color w:val="auto"/>
          <w:w w:val="100"/>
          <w:sz w:val="21"/>
          <w:highlight w:val="none"/>
        </w:rPr>
        <w:t>化</w:t>
      </w:r>
      <w:r>
        <w:rPr>
          <w:rFonts w:hint="eastAsia" w:ascii="宋体" w:hAnsi="宋体" w:eastAsia="宋体" w:cs="宋体"/>
          <w:color w:val="auto"/>
          <w:spacing w:val="-3"/>
          <w:w w:val="100"/>
          <w:sz w:val="21"/>
          <w:highlight w:val="none"/>
        </w:rPr>
        <w:t>因</w:t>
      </w:r>
      <w:r>
        <w:rPr>
          <w:rFonts w:hint="eastAsia" w:ascii="宋体" w:hAnsi="宋体" w:eastAsia="宋体" w:cs="宋体"/>
          <w:color w:val="auto"/>
          <w:w w:val="100"/>
          <w:sz w:val="21"/>
          <w:highlight w:val="none"/>
        </w:rPr>
        <w:t>素</w:t>
      </w:r>
      <w:r>
        <w:rPr>
          <w:rFonts w:hint="eastAsia" w:ascii="宋体" w:hAnsi="宋体" w:eastAsia="宋体" w:cs="宋体"/>
          <w:color w:val="auto"/>
          <w:spacing w:val="-3"/>
          <w:w w:val="100"/>
          <w:sz w:val="21"/>
          <w:highlight w:val="none"/>
        </w:rPr>
        <w:t>和</w:t>
      </w:r>
      <w:r>
        <w:rPr>
          <w:rFonts w:hint="eastAsia" w:ascii="宋体" w:hAnsi="宋体" w:eastAsia="宋体" w:cs="宋体"/>
          <w:color w:val="auto"/>
          <w:w w:val="100"/>
          <w:sz w:val="21"/>
          <w:highlight w:val="none"/>
        </w:rPr>
        <w:t>分值</w:t>
      </w:r>
      <w:r>
        <w:rPr>
          <w:rFonts w:hint="eastAsia" w:ascii="宋体" w:hAnsi="宋体" w:eastAsia="宋体" w:cs="宋体"/>
          <w:color w:val="auto"/>
          <w:spacing w:val="-3"/>
          <w:w w:val="100"/>
          <w:sz w:val="21"/>
          <w:highlight w:val="none"/>
        </w:rPr>
        <w:t>进</w:t>
      </w:r>
      <w:r>
        <w:rPr>
          <w:rFonts w:hint="eastAsia" w:ascii="宋体" w:hAnsi="宋体" w:eastAsia="宋体" w:cs="宋体"/>
          <w:color w:val="auto"/>
          <w:w w:val="100"/>
          <w:sz w:val="21"/>
          <w:highlight w:val="none"/>
        </w:rPr>
        <w:t>行</w:t>
      </w:r>
      <w:r>
        <w:rPr>
          <w:rFonts w:hint="eastAsia" w:ascii="宋体" w:hAnsi="宋体" w:eastAsia="宋体" w:cs="宋体"/>
          <w:color w:val="auto"/>
          <w:spacing w:val="-3"/>
          <w:w w:val="100"/>
          <w:sz w:val="21"/>
          <w:highlight w:val="none"/>
        </w:rPr>
        <w:t>打</w:t>
      </w:r>
      <w:r>
        <w:rPr>
          <w:rFonts w:hint="eastAsia" w:ascii="宋体" w:hAnsi="宋体" w:eastAsia="宋体" w:cs="宋体"/>
          <w:color w:val="auto"/>
          <w:w w:val="100"/>
          <w:sz w:val="21"/>
          <w:highlight w:val="none"/>
        </w:rPr>
        <w:t>分</w:t>
      </w:r>
      <w:r>
        <w:rPr>
          <w:rFonts w:hint="eastAsia" w:ascii="宋体" w:hAnsi="宋体" w:eastAsia="宋体" w:cs="宋体"/>
          <w:color w:val="auto"/>
          <w:spacing w:val="-108"/>
          <w:w w:val="100"/>
          <w:sz w:val="21"/>
          <w:highlight w:val="none"/>
        </w:rPr>
        <w:t>，</w:t>
      </w:r>
      <w:r>
        <w:rPr>
          <w:rFonts w:hint="eastAsia" w:ascii="宋体" w:hAnsi="宋体" w:eastAsia="宋体" w:cs="宋体"/>
          <w:color w:val="auto"/>
          <w:w w:val="100"/>
          <w:sz w:val="21"/>
          <w:highlight w:val="none"/>
        </w:rPr>
        <w:t>并</w:t>
      </w:r>
      <w:r>
        <w:rPr>
          <w:rFonts w:hint="eastAsia" w:ascii="宋体" w:hAnsi="宋体" w:eastAsia="宋体" w:cs="宋体"/>
          <w:color w:val="auto"/>
          <w:spacing w:val="-3"/>
          <w:w w:val="100"/>
          <w:sz w:val="21"/>
          <w:highlight w:val="none"/>
        </w:rPr>
        <w:t>计</w:t>
      </w:r>
      <w:r>
        <w:rPr>
          <w:rFonts w:hint="eastAsia" w:ascii="宋体" w:hAnsi="宋体" w:eastAsia="宋体" w:cs="宋体"/>
          <w:color w:val="auto"/>
          <w:w w:val="100"/>
          <w:sz w:val="21"/>
          <w:highlight w:val="none"/>
        </w:rPr>
        <w:t>算</w:t>
      </w:r>
      <w:r>
        <w:rPr>
          <w:rFonts w:hint="eastAsia" w:ascii="宋体" w:hAnsi="宋体" w:eastAsia="宋体" w:cs="宋体"/>
          <w:color w:val="auto"/>
          <w:spacing w:val="-3"/>
          <w:w w:val="100"/>
          <w:sz w:val="21"/>
          <w:highlight w:val="none"/>
        </w:rPr>
        <w:t>出综</w:t>
      </w:r>
      <w:r>
        <w:rPr>
          <w:rFonts w:hint="eastAsia" w:ascii="宋体" w:hAnsi="宋体" w:eastAsia="宋体" w:cs="宋体"/>
          <w:color w:val="auto"/>
          <w:w w:val="100"/>
          <w:sz w:val="21"/>
          <w:highlight w:val="none"/>
        </w:rPr>
        <w:t>合评</w:t>
      </w:r>
      <w:r>
        <w:rPr>
          <w:rFonts w:hint="eastAsia" w:ascii="宋体" w:hAnsi="宋体" w:eastAsia="宋体" w:cs="宋体"/>
          <w:color w:val="auto"/>
          <w:spacing w:val="-3"/>
          <w:w w:val="100"/>
          <w:sz w:val="21"/>
          <w:highlight w:val="none"/>
        </w:rPr>
        <w:t>估</w:t>
      </w:r>
      <w:r>
        <w:rPr>
          <w:rFonts w:hint="eastAsia" w:ascii="宋体" w:hAnsi="宋体" w:eastAsia="宋体" w:cs="宋体"/>
          <w:color w:val="auto"/>
          <w:w w:val="100"/>
          <w:sz w:val="21"/>
          <w:highlight w:val="none"/>
        </w:rPr>
        <w:t>得</w:t>
      </w:r>
      <w:r>
        <w:rPr>
          <w:rFonts w:hint="eastAsia" w:ascii="宋体" w:hAnsi="宋体" w:eastAsia="宋体" w:cs="宋体"/>
          <w:color w:val="auto"/>
          <w:spacing w:val="-3"/>
          <w:w w:val="100"/>
          <w:sz w:val="21"/>
          <w:highlight w:val="none"/>
        </w:rPr>
        <w:t>分</w:t>
      </w:r>
      <w:r>
        <w:rPr>
          <w:rFonts w:hint="eastAsia" w:ascii="宋体" w:hAnsi="宋体" w:eastAsia="宋体" w:cs="宋体"/>
          <w:color w:val="auto"/>
          <w:w w:val="100"/>
          <w:sz w:val="21"/>
          <w:highlight w:val="none"/>
        </w:rPr>
        <w:t>。</w:t>
      </w:r>
    </w:p>
    <w:p w14:paraId="6F32654D">
      <w:pPr>
        <w:pStyle w:val="3"/>
        <w:spacing w:before="0" w:line="240" w:lineRule="auto"/>
        <w:ind w:left="0" w:right="0" w:firstLine="419"/>
        <w:jc w:val="both"/>
        <w:rPr>
          <w:rFonts w:hint="eastAsia" w:ascii="宋体" w:hAnsi="宋体" w:eastAsia="宋体" w:cs="宋体"/>
          <w:color w:val="auto"/>
          <w:spacing w:val="-1"/>
          <w:sz w:val="21"/>
          <w:highlight w:val="none"/>
        </w:rPr>
      </w:pPr>
      <w:r>
        <w:rPr>
          <w:rFonts w:hint="eastAsia" w:ascii="宋体" w:hAnsi="宋体" w:eastAsia="宋体" w:cs="宋体"/>
          <w:color w:val="auto"/>
          <w:spacing w:val="-1"/>
          <w:sz w:val="21"/>
          <w:highlight w:val="none"/>
        </w:rPr>
        <w:t>（1）按本章第 2.2.4（1）</w:t>
      </w:r>
      <w:r>
        <w:rPr>
          <w:rFonts w:hint="eastAsia" w:ascii="宋体" w:hAnsi="宋体" w:eastAsia="宋体" w:cs="宋体"/>
          <w:color w:val="auto"/>
          <w:spacing w:val="-1"/>
          <w:sz w:val="21"/>
          <w:highlight w:val="none"/>
          <w:lang w:eastAsia="zh-CN"/>
        </w:rPr>
        <w:t>款</w:t>
      </w:r>
      <w:r>
        <w:rPr>
          <w:rFonts w:hint="eastAsia" w:ascii="宋体" w:hAnsi="宋体" w:eastAsia="宋体" w:cs="宋体"/>
          <w:color w:val="auto"/>
          <w:spacing w:val="-1"/>
          <w:sz w:val="21"/>
          <w:highlight w:val="none"/>
        </w:rPr>
        <w:t>规定的评审因素和分值对</w:t>
      </w:r>
      <w:r>
        <w:rPr>
          <w:rFonts w:hint="eastAsia" w:ascii="宋体" w:hAnsi="宋体" w:eastAsia="宋体" w:cs="宋体"/>
          <w:color w:val="auto"/>
          <w:spacing w:val="-1"/>
          <w:sz w:val="21"/>
          <w:highlight w:val="none"/>
          <w:u w:val="single"/>
        </w:rPr>
        <w:t>商务文件（资信业绩）部分计算出商务文件得分；</w:t>
      </w:r>
    </w:p>
    <w:p w14:paraId="0F3E35D7">
      <w:pPr>
        <w:pStyle w:val="3"/>
        <w:spacing w:before="0" w:line="240" w:lineRule="auto"/>
        <w:ind w:left="0" w:right="0" w:firstLine="419"/>
        <w:jc w:val="both"/>
        <w:rPr>
          <w:rFonts w:hint="eastAsia" w:ascii="宋体" w:hAnsi="宋体" w:eastAsia="宋体" w:cs="宋体"/>
          <w:color w:val="auto"/>
          <w:spacing w:val="-1"/>
          <w:sz w:val="21"/>
          <w:highlight w:val="none"/>
          <w:u w:val="single"/>
        </w:rPr>
      </w:pPr>
      <w:r>
        <w:rPr>
          <w:rFonts w:hint="eastAsia" w:ascii="宋体" w:hAnsi="宋体" w:eastAsia="宋体" w:cs="宋体"/>
          <w:color w:val="auto"/>
          <w:spacing w:val="-1"/>
          <w:sz w:val="21"/>
          <w:highlight w:val="none"/>
        </w:rPr>
        <w:t>（2）按本章第 2.2.4（2）</w:t>
      </w:r>
      <w:r>
        <w:rPr>
          <w:rFonts w:hint="eastAsia" w:ascii="宋体" w:hAnsi="宋体" w:eastAsia="宋体" w:cs="宋体"/>
          <w:color w:val="auto"/>
          <w:spacing w:val="-1"/>
          <w:sz w:val="21"/>
          <w:highlight w:val="none"/>
          <w:lang w:eastAsia="zh-CN"/>
        </w:rPr>
        <w:t>款</w:t>
      </w:r>
      <w:r>
        <w:rPr>
          <w:rFonts w:hint="eastAsia" w:ascii="宋体" w:hAnsi="宋体" w:eastAsia="宋体" w:cs="宋体"/>
          <w:color w:val="auto"/>
          <w:spacing w:val="-1"/>
          <w:sz w:val="21"/>
          <w:highlight w:val="none"/>
        </w:rPr>
        <w:t>规定的评审因素和分值对</w:t>
      </w:r>
      <w:r>
        <w:rPr>
          <w:rFonts w:hint="eastAsia" w:ascii="宋体" w:hAnsi="宋体" w:eastAsia="宋体" w:cs="宋体"/>
          <w:color w:val="auto"/>
          <w:spacing w:val="-1"/>
          <w:sz w:val="21"/>
          <w:highlight w:val="none"/>
          <w:u w:val="single"/>
        </w:rPr>
        <w:t>技术文件（</w:t>
      </w:r>
      <w:r>
        <w:rPr>
          <w:rFonts w:hint="eastAsia" w:cs="宋体"/>
          <w:color w:val="auto"/>
          <w:spacing w:val="-1"/>
          <w:sz w:val="21"/>
          <w:highlight w:val="none"/>
          <w:u w:val="single"/>
          <w:lang w:eastAsia="zh-CN"/>
        </w:rPr>
        <w:t>服务方案</w:t>
      </w:r>
      <w:r>
        <w:rPr>
          <w:rFonts w:hint="eastAsia" w:ascii="宋体" w:hAnsi="宋体" w:eastAsia="宋体" w:cs="宋体"/>
          <w:color w:val="auto"/>
          <w:spacing w:val="-1"/>
          <w:sz w:val="21"/>
          <w:highlight w:val="none"/>
          <w:u w:val="single"/>
        </w:rPr>
        <w:t>）部分计算出技术文件得分；</w:t>
      </w:r>
    </w:p>
    <w:p w14:paraId="62CD2216">
      <w:pPr>
        <w:pStyle w:val="3"/>
        <w:spacing w:before="0" w:line="240" w:lineRule="auto"/>
        <w:ind w:left="0" w:right="0" w:firstLine="419"/>
        <w:jc w:val="both"/>
        <w:rPr>
          <w:rFonts w:hint="eastAsia" w:ascii="宋体" w:hAnsi="宋体" w:eastAsia="宋体" w:cs="宋体"/>
          <w:color w:val="auto"/>
          <w:spacing w:val="-1"/>
          <w:sz w:val="21"/>
          <w:highlight w:val="none"/>
          <w:u w:val="single"/>
        </w:rPr>
      </w:pPr>
      <w:r>
        <w:rPr>
          <w:rFonts w:hint="eastAsia" w:ascii="宋体" w:hAnsi="宋体" w:eastAsia="宋体" w:cs="宋体"/>
          <w:color w:val="auto"/>
          <w:spacing w:val="-1"/>
          <w:sz w:val="21"/>
          <w:highlight w:val="none"/>
          <w:u w:val="single"/>
        </w:rPr>
        <w:t>（3）按本章第2.2.4（3）</w:t>
      </w:r>
      <w:r>
        <w:rPr>
          <w:rFonts w:hint="eastAsia" w:ascii="宋体" w:hAnsi="宋体" w:eastAsia="宋体" w:cs="宋体"/>
          <w:color w:val="auto"/>
          <w:spacing w:val="-1"/>
          <w:sz w:val="21"/>
          <w:highlight w:val="none"/>
          <w:u w:val="single"/>
          <w:lang w:eastAsia="zh-CN"/>
        </w:rPr>
        <w:t>款</w:t>
      </w:r>
      <w:r>
        <w:rPr>
          <w:rFonts w:hint="eastAsia" w:ascii="宋体" w:hAnsi="宋体" w:eastAsia="宋体" w:cs="宋体"/>
          <w:color w:val="auto"/>
          <w:spacing w:val="-1"/>
          <w:sz w:val="21"/>
          <w:highlight w:val="none"/>
          <w:u w:val="single"/>
        </w:rPr>
        <w:t>规定的评审因素和分值对投标报价计算出得分。</w:t>
      </w:r>
    </w:p>
    <w:p w14:paraId="1BC9079F">
      <w:pPr>
        <w:pStyle w:val="3"/>
        <w:spacing w:before="0" w:line="240" w:lineRule="auto"/>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3.2.2 评分分值计算保留小数点后两位，小数点后第三位“四舍五入”。</w:t>
      </w:r>
    </w:p>
    <w:p w14:paraId="32D4D194">
      <w:pPr>
        <w:pStyle w:val="3"/>
        <w:spacing w:before="0"/>
        <w:ind w:left="0" w:right="0"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3.2.3 </w:t>
      </w:r>
      <w:r>
        <w:rPr>
          <w:rFonts w:hint="eastAsia" w:ascii="宋体" w:hAnsi="宋体" w:eastAsia="宋体" w:cs="宋体"/>
          <w:color w:val="auto"/>
          <w:spacing w:val="-4"/>
          <w:sz w:val="21"/>
          <w:highlight w:val="none"/>
        </w:rPr>
        <w:t>评标委员会</w:t>
      </w:r>
      <w:r>
        <w:rPr>
          <w:rFonts w:hint="eastAsia" w:ascii="宋体" w:hAnsi="宋体" w:eastAsia="宋体" w:cs="宋体"/>
          <w:color w:val="auto"/>
          <w:sz w:val="21"/>
          <w:highlight w:val="none"/>
        </w:rPr>
        <w:t>按本章评标办法前附表第2.2.1</w:t>
      </w:r>
      <w:r>
        <w:rPr>
          <w:rFonts w:hint="eastAsia" w:cs="宋体"/>
          <w:color w:val="auto"/>
          <w:sz w:val="21"/>
          <w:highlight w:val="none"/>
          <w:lang w:val="en-US" w:eastAsia="zh-CN"/>
        </w:rPr>
        <w:t>款</w:t>
      </w:r>
      <w:r>
        <w:rPr>
          <w:rFonts w:hint="eastAsia" w:ascii="宋体" w:hAnsi="宋体" w:eastAsia="宋体" w:cs="宋体"/>
          <w:color w:val="auto"/>
          <w:sz w:val="21"/>
          <w:highlight w:val="none"/>
        </w:rPr>
        <w:t>计算出总得分。</w:t>
      </w:r>
    </w:p>
    <w:p w14:paraId="1D5EEA34">
      <w:pPr>
        <w:pStyle w:val="3"/>
        <w:spacing w:before="0" w:line="240" w:lineRule="auto"/>
        <w:ind w:left="0" w:right="0" w:firstLine="41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3.2.4 </w:t>
      </w:r>
      <w:r>
        <w:rPr>
          <w:rFonts w:hint="eastAsia" w:ascii="宋体" w:hAnsi="宋体" w:eastAsia="宋体" w:cs="宋体"/>
          <w:color w:val="auto"/>
          <w:spacing w:val="-4"/>
          <w:sz w:val="21"/>
          <w:highlight w:val="none"/>
        </w:rPr>
        <w:t>评标委员会发现投标人的报价明显低于其他投标报价，使得其投标报价可能低于其个</w:t>
      </w:r>
      <w:r>
        <w:rPr>
          <w:rFonts w:hint="eastAsia" w:ascii="宋体" w:hAnsi="宋体" w:eastAsia="宋体" w:cs="宋体"/>
          <w:color w:val="auto"/>
          <w:spacing w:val="-1"/>
          <w:sz w:val="21"/>
          <w:highlight w:val="none"/>
        </w:rPr>
        <w:t>别成本的，应当要求该投标人作出书面说明并提供相应的证明材料。投标人不能合理说明或者</w:t>
      </w:r>
      <w:r>
        <w:rPr>
          <w:rFonts w:hint="eastAsia" w:ascii="宋体" w:hAnsi="宋体" w:eastAsia="宋体" w:cs="宋体"/>
          <w:color w:val="auto"/>
          <w:w w:val="100"/>
          <w:sz w:val="21"/>
          <w:highlight w:val="none"/>
        </w:rPr>
        <w:t>不能</w:t>
      </w:r>
      <w:r>
        <w:rPr>
          <w:rFonts w:hint="eastAsia" w:ascii="宋体" w:hAnsi="宋体" w:eastAsia="宋体" w:cs="宋体"/>
          <w:color w:val="auto"/>
          <w:spacing w:val="-3"/>
          <w:w w:val="100"/>
          <w:sz w:val="21"/>
          <w:highlight w:val="none"/>
        </w:rPr>
        <w:t>提</w:t>
      </w:r>
      <w:r>
        <w:rPr>
          <w:rFonts w:hint="eastAsia" w:ascii="宋体" w:hAnsi="宋体" w:eastAsia="宋体" w:cs="宋体"/>
          <w:color w:val="auto"/>
          <w:w w:val="100"/>
          <w:sz w:val="21"/>
          <w:highlight w:val="none"/>
        </w:rPr>
        <w:t>供</w:t>
      </w:r>
      <w:r>
        <w:rPr>
          <w:rFonts w:hint="eastAsia" w:ascii="宋体" w:hAnsi="宋体" w:eastAsia="宋体" w:cs="宋体"/>
          <w:color w:val="auto"/>
          <w:spacing w:val="-3"/>
          <w:w w:val="100"/>
          <w:sz w:val="21"/>
          <w:highlight w:val="none"/>
        </w:rPr>
        <w:t>相</w:t>
      </w:r>
      <w:r>
        <w:rPr>
          <w:rFonts w:hint="eastAsia" w:ascii="宋体" w:hAnsi="宋体" w:eastAsia="宋体" w:cs="宋体"/>
          <w:color w:val="auto"/>
          <w:w w:val="100"/>
          <w:sz w:val="21"/>
          <w:highlight w:val="none"/>
        </w:rPr>
        <w:t>应</w:t>
      </w:r>
      <w:r>
        <w:rPr>
          <w:rFonts w:hint="eastAsia" w:ascii="宋体" w:hAnsi="宋体" w:eastAsia="宋体" w:cs="宋体"/>
          <w:color w:val="auto"/>
          <w:spacing w:val="-3"/>
          <w:w w:val="100"/>
          <w:sz w:val="21"/>
          <w:highlight w:val="none"/>
        </w:rPr>
        <w:t>证</w:t>
      </w:r>
      <w:r>
        <w:rPr>
          <w:rFonts w:hint="eastAsia" w:ascii="宋体" w:hAnsi="宋体" w:eastAsia="宋体" w:cs="宋体"/>
          <w:color w:val="auto"/>
          <w:w w:val="100"/>
          <w:sz w:val="21"/>
          <w:highlight w:val="none"/>
        </w:rPr>
        <w:t>明</w:t>
      </w:r>
      <w:r>
        <w:rPr>
          <w:rFonts w:hint="eastAsia" w:ascii="宋体" w:hAnsi="宋体" w:eastAsia="宋体" w:cs="宋体"/>
          <w:color w:val="auto"/>
          <w:spacing w:val="-3"/>
          <w:w w:val="100"/>
          <w:sz w:val="21"/>
          <w:highlight w:val="none"/>
        </w:rPr>
        <w:t>材</w:t>
      </w:r>
      <w:r>
        <w:rPr>
          <w:rFonts w:hint="eastAsia" w:ascii="宋体" w:hAnsi="宋体" w:eastAsia="宋体" w:cs="宋体"/>
          <w:color w:val="auto"/>
          <w:w w:val="100"/>
          <w:sz w:val="21"/>
          <w:highlight w:val="none"/>
        </w:rPr>
        <w:t>料的</w:t>
      </w:r>
      <w:r>
        <w:rPr>
          <w:rFonts w:hint="eastAsia" w:ascii="宋体" w:hAnsi="宋体" w:eastAsia="宋体" w:cs="宋体"/>
          <w:color w:val="auto"/>
          <w:spacing w:val="-94"/>
          <w:w w:val="100"/>
          <w:sz w:val="21"/>
          <w:highlight w:val="none"/>
        </w:rPr>
        <w:t>，</w:t>
      </w:r>
      <w:r>
        <w:rPr>
          <w:rFonts w:hint="eastAsia" w:ascii="宋体" w:hAnsi="宋体" w:eastAsia="宋体" w:cs="宋体"/>
          <w:color w:val="auto"/>
          <w:w w:val="100"/>
          <w:sz w:val="21"/>
          <w:highlight w:val="none"/>
        </w:rPr>
        <w:t>评标</w:t>
      </w:r>
      <w:r>
        <w:rPr>
          <w:rFonts w:hint="eastAsia" w:ascii="宋体" w:hAnsi="宋体" w:eastAsia="宋体" w:cs="宋体"/>
          <w:color w:val="auto"/>
          <w:spacing w:val="-3"/>
          <w:w w:val="100"/>
          <w:sz w:val="21"/>
          <w:highlight w:val="none"/>
        </w:rPr>
        <w:t>委</w:t>
      </w:r>
      <w:r>
        <w:rPr>
          <w:rFonts w:hint="eastAsia" w:ascii="宋体" w:hAnsi="宋体" w:eastAsia="宋体" w:cs="宋体"/>
          <w:color w:val="auto"/>
          <w:w w:val="100"/>
          <w:sz w:val="21"/>
          <w:highlight w:val="none"/>
        </w:rPr>
        <w:t>员</w:t>
      </w:r>
      <w:r>
        <w:rPr>
          <w:rFonts w:hint="eastAsia" w:ascii="宋体" w:hAnsi="宋体" w:eastAsia="宋体" w:cs="宋体"/>
          <w:color w:val="auto"/>
          <w:spacing w:val="-3"/>
          <w:w w:val="100"/>
          <w:sz w:val="21"/>
          <w:highlight w:val="none"/>
        </w:rPr>
        <w:t>会</w:t>
      </w:r>
      <w:r>
        <w:rPr>
          <w:rFonts w:hint="eastAsia" w:ascii="宋体" w:hAnsi="宋体" w:eastAsia="宋体" w:cs="宋体"/>
          <w:color w:val="auto"/>
          <w:w w:val="100"/>
          <w:sz w:val="21"/>
          <w:highlight w:val="none"/>
        </w:rPr>
        <w:t>应</w:t>
      </w:r>
      <w:r>
        <w:rPr>
          <w:rFonts w:hint="eastAsia" w:ascii="宋体" w:hAnsi="宋体" w:eastAsia="宋体" w:cs="宋体"/>
          <w:color w:val="auto"/>
          <w:spacing w:val="-3"/>
          <w:w w:val="100"/>
          <w:sz w:val="21"/>
          <w:highlight w:val="none"/>
        </w:rPr>
        <w:t>当</w:t>
      </w:r>
      <w:r>
        <w:rPr>
          <w:rFonts w:hint="eastAsia" w:ascii="宋体" w:hAnsi="宋体" w:eastAsia="宋体" w:cs="宋体"/>
          <w:color w:val="auto"/>
          <w:w w:val="100"/>
          <w:sz w:val="21"/>
          <w:highlight w:val="none"/>
        </w:rPr>
        <w:t>认</w:t>
      </w:r>
      <w:r>
        <w:rPr>
          <w:rFonts w:hint="eastAsia" w:ascii="宋体" w:hAnsi="宋体" w:eastAsia="宋体" w:cs="宋体"/>
          <w:color w:val="auto"/>
          <w:spacing w:val="-3"/>
          <w:w w:val="100"/>
          <w:sz w:val="21"/>
          <w:highlight w:val="none"/>
        </w:rPr>
        <w:t>定</w:t>
      </w:r>
      <w:r>
        <w:rPr>
          <w:rFonts w:hint="eastAsia" w:ascii="宋体" w:hAnsi="宋体" w:eastAsia="宋体" w:cs="宋体"/>
          <w:color w:val="auto"/>
          <w:w w:val="100"/>
          <w:sz w:val="21"/>
          <w:highlight w:val="none"/>
        </w:rPr>
        <w:t>该</w:t>
      </w:r>
      <w:r>
        <w:rPr>
          <w:rFonts w:hint="eastAsia" w:ascii="宋体" w:hAnsi="宋体" w:eastAsia="宋体" w:cs="宋体"/>
          <w:color w:val="auto"/>
          <w:spacing w:val="-3"/>
          <w:w w:val="100"/>
          <w:sz w:val="21"/>
          <w:highlight w:val="none"/>
        </w:rPr>
        <w:t>投</w:t>
      </w:r>
      <w:r>
        <w:rPr>
          <w:rFonts w:hint="eastAsia" w:ascii="宋体" w:hAnsi="宋体" w:eastAsia="宋体" w:cs="宋体"/>
          <w:color w:val="auto"/>
          <w:w w:val="100"/>
          <w:sz w:val="21"/>
          <w:highlight w:val="none"/>
        </w:rPr>
        <w:t>标人</w:t>
      </w:r>
      <w:r>
        <w:rPr>
          <w:rFonts w:hint="eastAsia" w:ascii="宋体" w:hAnsi="宋体" w:eastAsia="宋体" w:cs="宋体"/>
          <w:color w:val="auto"/>
          <w:spacing w:val="-3"/>
          <w:w w:val="100"/>
          <w:sz w:val="21"/>
          <w:highlight w:val="none"/>
        </w:rPr>
        <w:t>以</w:t>
      </w:r>
      <w:r>
        <w:rPr>
          <w:rFonts w:hint="eastAsia" w:ascii="宋体" w:hAnsi="宋体" w:eastAsia="宋体" w:cs="宋体"/>
          <w:color w:val="auto"/>
          <w:w w:val="100"/>
          <w:sz w:val="21"/>
          <w:highlight w:val="none"/>
        </w:rPr>
        <w:t>低</w:t>
      </w:r>
      <w:r>
        <w:rPr>
          <w:rFonts w:hint="eastAsia" w:ascii="宋体" w:hAnsi="宋体" w:eastAsia="宋体" w:cs="宋体"/>
          <w:color w:val="auto"/>
          <w:spacing w:val="-3"/>
          <w:w w:val="100"/>
          <w:sz w:val="21"/>
          <w:highlight w:val="none"/>
        </w:rPr>
        <w:t>于</w:t>
      </w:r>
      <w:r>
        <w:rPr>
          <w:rFonts w:hint="eastAsia" w:ascii="宋体" w:hAnsi="宋体" w:eastAsia="宋体" w:cs="宋体"/>
          <w:color w:val="auto"/>
          <w:w w:val="100"/>
          <w:sz w:val="21"/>
          <w:highlight w:val="none"/>
        </w:rPr>
        <w:t>成</w:t>
      </w:r>
      <w:r>
        <w:rPr>
          <w:rFonts w:hint="eastAsia" w:ascii="宋体" w:hAnsi="宋体" w:eastAsia="宋体" w:cs="宋体"/>
          <w:color w:val="auto"/>
          <w:spacing w:val="-3"/>
          <w:w w:val="100"/>
          <w:sz w:val="21"/>
          <w:highlight w:val="none"/>
        </w:rPr>
        <w:t>本</w:t>
      </w:r>
      <w:r>
        <w:rPr>
          <w:rFonts w:hint="eastAsia" w:ascii="宋体" w:hAnsi="宋体" w:eastAsia="宋体" w:cs="宋体"/>
          <w:color w:val="auto"/>
          <w:w w:val="100"/>
          <w:sz w:val="21"/>
          <w:highlight w:val="none"/>
        </w:rPr>
        <w:t>报</w:t>
      </w:r>
      <w:r>
        <w:rPr>
          <w:rFonts w:hint="eastAsia" w:ascii="宋体" w:hAnsi="宋体" w:eastAsia="宋体" w:cs="宋体"/>
          <w:color w:val="auto"/>
          <w:spacing w:val="-3"/>
          <w:w w:val="100"/>
          <w:sz w:val="21"/>
          <w:highlight w:val="none"/>
        </w:rPr>
        <w:t>价</w:t>
      </w:r>
      <w:r>
        <w:rPr>
          <w:rFonts w:hint="eastAsia" w:ascii="宋体" w:hAnsi="宋体" w:eastAsia="宋体" w:cs="宋体"/>
          <w:color w:val="auto"/>
          <w:w w:val="100"/>
          <w:sz w:val="21"/>
          <w:highlight w:val="none"/>
        </w:rPr>
        <w:t>竞标</w:t>
      </w:r>
      <w:r>
        <w:rPr>
          <w:rFonts w:hint="eastAsia" w:ascii="宋体" w:hAnsi="宋体" w:eastAsia="宋体" w:cs="宋体"/>
          <w:color w:val="auto"/>
          <w:spacing w:val="-94"/>
          <w:w w:val="100"/>
          <w:sz w:val="21"/>
          <w:highlight w:val="none"/>
        </w:rPr>
        <w:t>，</w:t>
      </w:r>
      <w:r>
        <w:rPr>
          <w:rFonts w:hint="eastAsia" w:ascii="宋体" w:hAnsi="宋体" w:eastAsia="宋体" w:cs="宋体"/>
          <w:color w:val="auto"/>
          <w:w w:val="100"/>
          <w:sz w:val="21"/>
          <w:highlight w:val="none"/>
        </w:rPr>
        <w:t>并否</w:t>
      </w:r>
      <w:r>
        <w:rPr>
          <w:rFonts w:hint="eastAsia" w:ascii="宋体" w:hAnsi="宋体" w:eastAsia="宋体" w:cs="宋体"/>
          <w:color w:val="auto"/>
          <w:spacing w:val="-3"/>
          <w:w w:val="100"/>
          <w:sz w:val="21"/>
          <w:highlight w:val="none"/>
        </w:rPr>
        <w:t>决其投标</w:t>
      </w:r>
      <w:r>
        <w:rPr>
          <w:rFonts w:hint="eastAsia" w:ascii="宋体" w:hAnsi="宋体" w:eastAsia="宋体" w:cs="宋体"/>
          <w:color w:val="auto"/>
          <w:w w:val="100"/>
          <w:sz w:val="21"/>
          <w:highlight w:val="none"/>
        </w:rPr>
        <w:t>。</w:t>
      </w:r>
    </w:p>
    <w:p w14:paraId="6D42D312">
      <w:pPr>
        <w:rPr>
          <w:rFonts w:hint="eastAsia" w:ascii="宋体" w:hAnsi="宋体" w:cs="宋体"/>
          <w:color w:val="auto"/>
          <w:sz w:val="21"/>
          <w:szCs w:val="21"/>
          <w:highlight w:val="none"/>
        </w:rPr>
      </w:pPr>
    </w:p>
    <w:p w14:paraId="3CFB0E95">
      <w:pPr>
        <w:pStyle w:val="8"/>
        <w:spacing w:before="0" w:after="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3.3  投标文件的澄清</w:t>
      </w:r>
    </w:p>
    <w:p w14:paraId="107278F9">
      <w:pPr>
        <w:pStyle w:val="3"/>
        <w:ind w:left="0" w:firstLine="420" w:firstLineChars="200"/>
        <w:rPr>
          <w:rFonts w:hint="eastAsia" w:cs="宋体"/>
          <w:color w:val="auto"/>
          <w:sz w:val="21"/>
          <w:highlight w:val="none"/>
          <w:lang w:eastAsia="zh-CN"/>
        </w:rPr>
      </w:pPr>
      <w:r>
        <w:rPr>
          <w:rFonts w:hint="eastAsia" w:cs="宋体"/>
          <w:color w:val="auto"/>
          <w:sz w:val="21"/>
          <w:highlight w:val="none"/>
          <w:lang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0C40F89B">
      <w:pPr>
        <w:pStyle w:val="3"/>
        <w:ind w:left="0" w:firstLine="420" w:firstLineChars="200"/>
        <w:rPr>
          <w:rFonts w:hint="eastAsia" w:cs="宋体"/>
          <w:color w:val="auto"/>
          <w:sz w:val="21"/>
          <w:highlight w:val="none"/>
          <w:lang w:eastAsia="zh-CN"/>
        </w:rPr>
      </w:pPr>
      <w:r>
        <w:rPr>
          <w:rFonts w:hint="eastAsia" w:cs="宋体"/>
          <w:color w:val="auto"/>
          <w:sz w:val="21"/>
          <w:highlight w:val="none"/>
          <w:lang w:eastAsia="zh-CN"/>
        </w:rPr>
        <w:t>3.3.2澄清、说明或补正不得超出投标文件的范围且不得改变投标文件的实质性内容，并构成投标文件的组成部分。</w:t>
      </w:r>
    </w:p>
    <w:p w14:paraId="659EE556">
      <w:pPr>
        <w:pStyle w:val="3"/>
        <w:ind w:left="0" w:firstLine="420" w:firstLineChars="200"/>
        <w:rPr>
          <w:rFonts w:hint="eastAsia" w:cs="宋体"/>
          <w:color w:val="auto"/>
          <w:sz w:val="21"/>
          <w:highlight w:val="none"/>
          <w:lang w:eastAsia="zh-CN"/>
        </w:rPr>
      </w:pPr>
      <w:r>
        <w:rPr>
          <w:rFonts w:hint="eastAsia" w:cs="宋体"/>
          <w:color w:val="auto"/>
          <w:sz w:val="21"/>
          <w:highlight w:val="none"/>
          <w:lang w:eastAsia="zh-CN"/>
        </w:rPr>
        <w:t>3.3.3评标委员会对投标人提交的澄清、说明或补正有疑问的，可以要求投标人进一步澄清、说明或补正，直至满足评标委员会的要求。</w:t>
      </w:r>
    </w:p>
    <w:p w14:paraId="61F7FF98">
      <w:pPr>
        <w:pStyle w:val="8"/>
        <w:spacing w:before="0" w:beforeLines="50" w:after="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3.4 评标结果</w:t>
      </w:r>
    </w:p>
    <w:p w14:paraId="799A89B5">
      <w:pPr>
        <w:pStyle w:val="3"/>
        <w:ind w:left="0" w:firstLine="420" w:firstLineChars="200"/>
        <w:rPr>
          <w:rFonts w:hint="eastAsia" w:cs="宋体"/>
          <w:color w:val="auto"/>
          <w:sz w:val="21"/>
          <w:highlight w:val="none"/>
          <w:lang w:eastAsia="zh-CN"/>
        </w:rPr>
      </w:pPr>
      <w:r>
        <w:rPr>
          <w:rFonts w:hint="eastAsia" w:cs="宋体"/>
          <w:color w:val="auto"/>
          <w:sz w:val="21"/>
          <w:highlight w:val="none"/>
          <w:lang w:eastAsia="zh-CN"/>
        </w:rPr>
        <w:t>3.4.1除第二章“投标人须知”前附表授权直接确定中标人外，评标委员会按照得分由高到低的顺序推荐中标候选人，并标明排序。</w:t>
      </w:r>
    </w:p>
    <w:p w14:paraId="68BF1457">
      <w:pPr>
        <w:pStyle w:val="3"/>
        <w:ind w:left="0" w:firstLine="420" w:firstLineChars="200"/>
        <w:rPr>
          <w:rFonts w:hint="eastAsia" w:cs="宋体"/>
          <w:color w:val="auto"/>
          <w:sz w:val="21"/>
          <w:highlight w:val="none"/>
          <w:lang w:eastAsia="zh-CN"/>
        </w:rPr>
      </w:pPr>
      <w:r>
        <w:rPr>
          <w:rFonts w:hint="eastAsia" w:cs="宋体"/>
          <w:color w:val="auto"/>
          <w:sz w:val="21"/>
          <w:highlight w:val="none"/>
          <w:lang w:eastAsia="zh-CN"/>
        </w:rPr>
        <w:t>3.4.2评标委员会完成评标后，应当向招标人提交书面评标报告和中标候选人名单。</w:t>
      </w:r>
    </w:p>
    <w:p w14:paraId="661BBB6B">
      <w:pPr>
        <w:pStyle w:val="5"/>
        <w:numPr>
          <w:ilvl w:val="-1"/>
          <w:numId w:val="0"/>
        </w:numPr>
        <w:ind w:left="0"/>
        <w:rPr>
          <w:rFonts w:hint="eastAsia" w:ascii="宋体" w:hAnsi="宋体" w:cs="宋体"/>
          <w:color w:val="auto"/>
          <w:sz w:val="32"/>
          <w:szCs w:val="32"/>
          <w:highlight w:val="none"/>
        </w:rPr>
      </w:pPr>
      <w:r>
        <w:rPr>
          <w:rFonts w:hint="eastAsia" w:ascii="宋体" w:hAnsi="宋体" w:cs="宋体"/>
          <w:color w:val="auto"/>
          <w:highlight w:val="none"/>
        </w:rPr>
        <w:br w:type="page"/>
      </w:r>
      <w:bookmarkStart w:id="94" w:name="_Toc5158"/>
      <w:r>
        <w:rPr>
          <w:rFonts w:hint="eastAsia" w:ascii="宋体" w:hAnsi="宋体" w:cs="宋体"/>
          <w:color w:val="auto"/>
          <w:sz w:val="32"/>
          <w:szCs w:val="32"/>
          <w:highlight w:val="none"/>
          <w:lang w:val="en-US" w:eastAsia="zh-CN"/>
        </w:rPr>
        <w:t xml:space="preserve">第四章 </w:t>
      </w:r>
      <w:bookmarkStart w:id="95" w:name="_Toc186418348"/>
      <w:r>
        <w:rPr>
          <w:rFonts w:hint="eastAsia" w:ascii="宋体" w:hAnsi="宋体" w:cs="宋体"/>
          <w:color w:val="auto"/>
          <w:sz w:val="32"/>
          <w:szCs w:val="32"/>
          <w:highlight w:val="none"/>
        </w:rPr>
        <w:t>合同条款及格式</w:t>
      </w:r>
      <w:bookmarkEnd w:id="94"/>
      <w:bookmarkEnd w:id="95"/>
    </w:p>
    <w:p w14:paraId="25115EDE">
      <w:pPr>
        <w:outlineLvl w:val="1"/>
        <w:rPr>
          <w:rFonts w:hint="eastAsia" w:ascii="宋体" w:hAnsi="宋体" w:eastAsia="宋体" w:cs="宋体"/>
          <w:b/>
          <w:color w:val="auto"/>
          <w:szCs w:val="21"/>
          <w:highlight w:val="none"/>
        </w:rPr>
      </w:pPr>
      <w:bookmarkStart w:id="96" w:name="_Toc18859"/>
      <w:bookmarkStart w:id="97" w:name="_Toc422302678"/>
      <w:bookmarkStart w:id="98" w:name="_Toc3450"/>
      <w:bookmarkStart w:id="99" w:name="_Toc423592256"/>
      <w:bookmarkStart w:id="100" w:name="_Toc509265476"/>
      <w:bookmarkStart w:id="101" w:name="_Toc509255924"/>
      <w:bookmarkStart w:id="102" w:name="_Toc509256011"/>
      <w:bookmarkStart w:id="103" w:name="_Toc509256085"/>
      <w:bookmarkStart w:id="104" w:name="_Toc509255752"/>
      <w:bookmarkStart w:id="105" w:name="_Toc509255868"/>
      <w:bookmarkStart w:id="106" w:name="_Toc458072777"/>
      <w:bookmarkStart w:id="107" w:name="_Toc509256301"/>
      <w:bookmarkStart w:id="108" w:name="_Toc11675"/>
      <w:r>
        <w:rPr>
          <w:rFonts w:hint="eastAsia" w:ascii="宋体" w:hAnsi="宋体" w:eastAsia="宋体" w:cs="宋体"/>
          <w:b/>
          <w:color w:val="auto"/>
          <w:szCs w:val="21"/>
          <w:highlight w:val="none"/>
        </w:rPr>
        <w:t>注：本合同仅为合同的参考文本，合同签订双方可根据项目的具体要求进行修订。</w:t>
      </w:r>
      <w:bookmarkEnd w:id="96"/>
      <w:bookmarkEnd w:id="97"/>
      <w:bookmarkEnd w:id="98"/>
      <w:bookmarkEnd w:id="99"/>
      <w:bookmarkEnd w:id="100"/>
      <w:bookmarkEnd w:id="101"/>
      <w:bookmarkEnd w:id="102"/>
      <w:bookmarkEnd w:id="103"/>
      <w:bookmarkEnd w:id="104"/>
      <w:bookmarkEnd w:id="105"/>
      <w:bookmarkEnd w:id="106"/>
      <w:bookmarkEnd w:id="107"/>
      <w:bookmarkEnd w:id="108"/>
    </w:p>
    <w:p w14:paraId="25E7437E">
      <w:pPr>
        <w:pageBreakBefore w:val="0"/>
        <w:kinsoku/>
        <w:wordWrap/>
        <w:overflowPunct/>
        <w:topLinePunct w:val="0"/>
        <w:bidi w:val="0"/>
        <w:snapToGrid/>
        <w:spacing w:line="360" w:lineRule="auto"/>
        <w:textAlignment w:val="auto"/>
        <w:rPr>
          <w:color w:val="auto"/>
          <w:highlight w:val="none"/>
        </w:rPr>
      </w:pPr>
    </w:p>
    <w:p w14:paraId="17A2D45B">
      <w:pPr>
        <w:pageBreakBefore w:val="0"/>
        <w:kinsoku/>
        <w:wordWrap/>
        <w:overflowPunct/>
        <w:topLinePunct w:val="0"/>
        <w:bidi w:val="0"/>
        <w:snapToGrid/>
        <w:spacing w:line="360" w:lineRule="auto"/>
        <w:textAlignment w:val="auto"/>
        <w:rPr>
          <w:color w:val="auto"/>
          <w:highlight w:val="none"/>
        </w:rPr>
      </w:pPr>
    </w:p>
    <w:p w14:paraId="5DF2A571">
      <w:pPr>
        <w:pageBreakBefore w:val="0"/>
        <w:kinsoku/>
        <w:wordWrap/>
        <w:overflowPunct/>
        <w:topLinePunct w:val="0"/>
        <w:bidi w:val="0"/>
        <w:snapToGrid/>
        <w:spacing w:line="360" w:lineRule="auto"/>
        <w:textAlignment w:val="auto"/>
        <w:rPr>
          <w:color w:val="auto"/>
          <w:highlight w:val="none"/>
        </w:rPr>
      </w:pPr>
    </w:p>
    <w:p w14:paraId="283DD645">
      <w:pPr>
        <w:pageBreakBefore w:val="0"/>
        <w:kinsoku/>
        <w:wordWrap/>
        <w:overflowPunct/>
        <w:topLinePunct w:val="0"/>
        <w:bidi w:val="0"/>
        <w:snapToGrid/>
        <w:spacing w:line="360" w:lineRule="auto"/>
        <w:textAlignment w:val="auto"/>
        <w:rPr>
          <w:color w:val="auto"/>
          <w:highlight w:val="none"/>
        </w:rPr>
      </w:pPr>
    </w:p>
    <w:p w14:paraId="04BB3C85">
      <w:pPr>
        <w:pageBreakBefore w:val="0"/>
        <w:kinsoku/>
        <w:wordWrap/>
        <w:overflowPunct/>
        <w:topLinePunct w:val="0"/>
        <w:bidi w:val="0"/>
        <w:snapToGrid/>
        <w:spacing w:line="360" w:lineRule="auto"/>
        <w:ind w:firstLine="0" w:firstLineChars="0"/>
        <w:jc w:val="center"/>
        <w:textAlignment w:val="auto"/>
        <w:rPr>
          <w:rFonts w:hint="eastAsia" w:ascii="方正小标宋简体" w:hAnsi="方正小标宋简体" w:eastAsia="方正小标宋简体" w:cs="方正小标宋简体"/>
          <w:color w:val="auto"/>
          <w:sz w:val="52"/>
          <w:szCs w:val="56"/>
          <w:highlight w:val="none"/>
          <w:u w:val="none"/>
        </w:rPr>
      </w:pPr>
      <w:r>
        <w:rPr>
          <w:rFonts w:hint="eastAsia"/>
          <w:b w:val="0"/>
          <w:color w:val="auto"/>
          <w:sz w:val="48"/>
          <w:szCs w:val="48"/>
          <w:highlight w:val="none"/>
          <w:u w:val="single"/>
          <w:lang w:val="en-US" w:eastAsia="zh-CN"/>
        </w:rPr>
        <w:t>中国光大银行股份有限公司广州分行新业务经营用房改造项目咨询服务</w:t>
      </w:r>
      <w:r>
        <w:rPr>
          <w:rFonts w:hint="eastAsia" w:ascii="宋体" w:hAnsi="Times New Roman" w:eastAsia="宋体" w:cs="宋体"/>
          <w:b w:val="0"/>
          <w:color w:val="auto"/>
          <w:sz w:val="48"/>
          <w:szCs w:val="48"/>
          <w:highlight w:val="none"/>
          <w:u w:val="none"/>
          <w:lang w:val="en-US" w:eastAsia="zh-CN"/>
        </w:rPr>
        <w:t>合同</w:t>
      </w:r>
    </w:p>
    <w:p w14:paraId="09A23F3D">
      <w:pPr>
        <w:pStyle w:val="70"/>
        <w:pageBreakBefore w:val="0"/>
        <w:kinsoku/>
        <w:wordWrap/>
        <w:overflowPunct/>
        <w:topLinePunct w:val="0"/>
        <w:bidi w:val="0"/>
        <w:snapToGrid/>
        <w:spacing w:after="0" w:afterLines="0" w:line="360" w:lineRule="auto"/>
        <w:textAlignment w:val="auto"/>
        <w:rPr>
          <w:rFonts w:hint="eastAsia" w:ascii="楷体_GB2312" w:hAnsi="楷体_GB2312" w:eastAsia="楷体_GB2312" w:cs="楷体_GB2312"/>
          <w:b w:val="0"/>
          <w:color w:val="auto"/>
          <w:sz w:val="36"/>
          <w:szCs w:val="22"/>
          <w:highlight w:val="none"/>
          <w:lang w:val="en-US"/>
        </w:rPr>
      </w:pPr>
    </w:p>
    <w:p w14:paraId="2CFEDF42">
      <w:pPr>
        <w:pageBreakBefore w:val="0"/>
        <w:kinsoku/>
        <w:wordWrap/>
        <w:overflowPunct/>
        <w:topLinePunct w:val="0"/>
        <w:bidi w:val="0"/>
        <w:snapToGrid/>
        <w:spacing w:line="360" w:lineRule="auto"/>
        <w:textAlignment w:val="auto"/>
        <w:rPr>
          <w:rFonts w:hint="eastAsia"/>
          <w:color w:val="auto"/>
          <w:sz w:val="24"/>
          <w:szCs w:val="24"/>
          <w:highlight w:val="none"/>
        </w:rPr>
      </w:pPr>
    </w:p>
    <w:p w14:paraId="0602292D">
      <w:pPr>
        <w:pStyle w:val="70"/>
        <w:pageBreakBefore w:val="0"/>
        <w:kinsoku/>
        <w:wordWrap/>
        <w:overflowPunct/>
        <w:topLinePunct w:val="0"/>
        <w:bidi w:val="0"/>
        <w:snapToGrid/>
        <w:spacing w:after="0" w:afterLines="0" w:line="360" w:lineRule="auto"/>
        <w:textAlignment w:val="auto"/>
        <w:rPr>
          <w:rFonts w:hint="eastAsia"/>
          <w:color w:val="auto"/>
          <w:sz w:val="36"/>
          <w:szCs w:val="22"/>
          <w:highlight w:val="none"/>
          <w:lang w:val="en-US"/>
        </w:rPr>
      </w:pPr>
    </w:p>
    <w:p w14:paraId="22FA491C">
      <w:pPr>
        <w:pStyle w:val="70"/>
        <w:pageBreakBefore w:val="0"/>
        <w:kinsoku/>
        <w:wordWrap/>
        <w:overflowPunct/>
        <w:topLinePunct w:val="0"/>
        <w:bidi w:val="0"/>
        <w:snapToGrid/>
        <w:spacing w:after="0" w:afterLines="0" w:line="360" w:lineRule="auto"/>
        <w:textAlignment w:val="auto"/>
        <w:rPr>
          <w:rFonts w:hint="eastAsia"/>
          <w:color w:val="auto"/>
          <w:sz w:val="36"/>
          <w:szCs w:val="22"/>
          <w:highlight w:val="none"/>
        </w:rPr>
      </w:pPr>
    </w:p>
    <w:p w14:paraId="4441335F">
      <w:pPr>
        <w:pageBreakBefore w:val="0"/>
        <w:kinsoku/>
        <w:wordWrap/>
        <w:overflowPunct/>
        <w:topLinePunct w:val="0"/>
        <w:bidi w:val="0"/>
        <w:snapToGrid/>
        <w:spacing w:line="360" w:lineRule="auto"/>
        <w:textAlignment w:val="auto"/>
        <w:rPr>
          <w:rFonts w:hint="eastAsia"/>
          <w:color w:val="auto"/>
          <w:sz w:val="24"/>
          <w:szCs w:val="24"/>
          <w:highlight w:val="none"/>
        </w:rPr>
      </w:pPr>
    </w:p>
    <w:p w14:paraId="3A35BA65">
      <w:pPr>
        <w:pageBreakBefore w:val="0"/>
        <w:kinsoku/>
        <w:wordWrap/>
        <w:overflowPunct/>
        <w:topLinePunct w:val="0"/>
        <w:bidi w:val="0"/>
        <w:snapToGrid/>
        <w:spacing w:line="360" w:lineRule="auto"/>
        <w:textAlignment w:val="auto"/>
        <w:rPr>
          <w:rFonts w:hint="eastAsia"/>
          <w:color w:val="auto"/>
          <w:sz w:val="24"/>
          <w:szCs w:val="24"/>
          <w:highlight w:val="none"/>
        </w:rPr>
      </w:pPr>
    </w:p>
    <w:p w14:paraId="32BA9009">
      <w:pPr>
        <w:pStyle w:val="70"/>
        <w:pageBreakBefore w:val="0"/>
        <w:kinsoku/>
        <w:wordWrap/>
        <w:overflowPunct/>
        <w:topLinePunct w:val="0"/>
        <w:bidi w:val="0"/>
        <w:snapToGrid/>
        <w:spacing w:after="0" w:afterLines="0" w:line="360" w:lineRule="auto"/>
        <w:jc w:val="left"/>
        <w:textAlignment w:val="auto"/>
        <w:rPr>
          <w:rFonts w:hint="eastAsia"/>
          <w:color w:val="auto"/>
          <w:sz w:val="36"/>
          <w:szCs w:val="22"/>
          <w:highlight w:val="none"/>
          <w:lang w:val="en-US"/>
        </w:rPr>
      </w:pPr>
    </w:p>
    <w:p w14:paraId="0FF4017C">
      <w:pPr>
        <w:pageBreakBefore w:val="0"/>
        <w:kinsoku/>
        <w:wordWrap/>
        <w:overflowPunct/>
        <w:topLinePunct w:val="0"/>
        <w:bidi w:val="0"/>
        <w:snapToGrid/>
        <w:spacing w:line="360" w:lineRule="auto"/>
        <w:ind w:firstLine="1606" w:firstLineChars="500"/>
        <w:jc w:val="left"/>
        <w:textAlignment w:val="auto"/>
        <w:rPr>
          <w:rFonts w:hint="eastAsia" w:cs="宋体"/>
          <w:b/>
          <w:color w:val="auto"/>
          <w:sz w:val="32"/>
          <w:szCs w:val="32"/>
          <w:highlight w:val="none"/>
        </w:rPr>
      </w:pPr>
      <w:r>
        <w:rPr>
          <w:rFonts w:hint="eastAsia" w:cs="宋体"/>
          <w:b/>
          <w:color w:val="auto"/>
          <w:sz w:val="32"/>
          <w:szCs w:val="32"/>
          <w:highlight w:val="none"/>
        </w:rPr>
        <w:t>中华人民共和国住房和城乡建设部</w:t>
      </w:r>
    </w:p>
    <w:p w14:paraId="179DA083">
      <w:pPr>
        <w:pageBreakBefore w:val="0"/>
        <w:kinsoku/>
        <w:wordWrap/>
        <w:overflowPunct/>
        <w:topLinePunct w:val="0"/>
        <w:bidi w:val="0"/>
        <w:snapToGrid/>
        <w:spacing w:line="360" w:lineRule="auto"/>
        <w:ind w:firstLine="7068" w:firstLineChars="2200"/>
        <w:jc w:val="left"/>
        <w:textAlignment w:val="auto"/>
        <w:rPr>
          <w:rFonts w:hint="eastAsia" w:cs="宋体"/>
          <w:b/>
          <w:color w:val="auto"/>
          <w:sz w:val="32"/>
          <w:szCs w:val="32"/>
          <w:highlight w:val="none"/>
        </w:rPr>
      </w:pPr>
      <w:r>
        <w:rPr>
          <w:rFonts w:hint="eastAsia" w:cs="宋体"/>
          <w:b/>
          <w:color w:val="auto"/>
          <w:sz w:val="32"/>
          <w:szCs w:val="32"/>
          <w:highlight w:val="none"/>
        </w:rPr>
        <w:t>制定</w:t>
      </w:r>
    </w:p>
    <w:p w14:paraId="46665180">
      <w:pPr>
        <w:pageBreakBefore w:val="0"/>
        <w:kinsoku/>
        <w:wordWrap/>
        <w:overflowPunct/>
        <w:topLinePunct w:val="0"/>
        <w:bidi w:val="0"/>
        <w:snapToGrid/>
        <w:spacing w:line="360" w:lineRule="auto"/>
        <w:ind w:firstLine="1540" w:firstLineChars="300"/>
        <w:jc w:val="left"/>
        <w:textAlignment w:val="auto"/>
        <w:rPr>
          <w:rFonts w:hint="eastAsia"/>
          <w:color w:val="auto"/>
          <w:spacing w:val="96"/>
          <w:sz w:val="24"/>
          <w:szCs w:val="24"/>
          <w:highlight w:val="none"/>
        </w:rPr>
      </w:pPr>
      <w:r>
        <w:rPr>
          <w:rFonts w:hint="eastAsia" w:cs="宋体"/>
          <w:b/>
          <w:color w:val="auto"/>
          <w:spacing w:val="96"/>
          <w:sz w:val="32"/>
          <w:szCs w:val="32"/>
          <w:highlight w:val="none"/>
        </w:rPr>
        <w:t>国家市场监督管理总局</w:t>
      </w:r>
    </w:p>
    <w:p w14:paraId="06DDA90F">
      <w:pPr>
        <w:pageBreakBefore w:val="0"/>
        <w:kinsoku/>
        <w:wordWrap/>
        <w:overflowPunct/>
        <w:topLinePunct w:val="0"/>
        <w:bidi w:val="0"/>
        <w:snapToGrid/>
        <w:spacing w:line="360" w:lineRule="auto"/>
        <w:textAlignment w:val="auto"/>
        <w:rPr>
          <w:rFonts w:hint="eastAsia"/>
          <w:color w:val="auto"/>
          <w:sz w:val="24"/>
          <w:szCs w:val="24"/>
          <w:highlight w:val="none"/>
        </w:rPr>
      </w:pPr>
    </w:p>
    <w:p w14:paraId="56767625">
      <w:pPr>
        <w:pStyle w:val="20"/>
        <w:pageBreakBefore w:val="0"/>
        <w:tabs>
          <w:tab w:val="right" w:leader="dot" w:pos="9014"/>
        </w:tabs>
        <w:kinsoku/>
        <w:wordWrap/>
        <w:overflowPunct/>
        <w:topLinePunct w:val="0"/>
        <w:bidi w:val="0"/>
        <w:snapToGrid/>
        <w:spacing w:before="0" w:after="0" w:line="360" w:lineRule="auto"/>
        <w:textAlignment w:val="auto"/>
        <w:rPr>
          <w:rFonts w:hint="eastAsia"/>
          <w:color w:val="auto"/>
          <w:sz w:val="24"/>
          <w:szCs w:val="24"/>
          <w:highlight w:val="none"/>
        </w:rPr>
      </w:pPr>
    </w:p>
    <w:p w14:paraId="5F35AF4C">
      <w:pPr>
        <w:pStyle w:val="2"/>
        <w:pageBreakBefore w:val="0"/>
        <w:kinsoku/>
        <w:wordWrap/>
        <w:overflowPunct/>
        <w:topLinePunct w:val="0"/>
        <w:bidi w:val="0"/>
        <w:snapToGrid/>
        <w:spacing w:after="0" w:line="360" w:lineRule="auto"/>
        <w:ind w:firstLine="480"/>
        <w:textAlignment w:val="auto"/>
        <w:rPr>
          <w:rFonts w:hint="eastAsia"/>
          <w:color w:val="auto"/>
          <w:sz w:val="48"/>
          <w:szCs w:val="24"/>
          <w:highlight w:val="none"/>
        </w:rPr>
        <w:sectPr>
          <w:headerReference r:id="rId9" w:type="first"/>
          <w:headerReference r:id="rId8" w:type="default"/>
          <w:footerReference r:id="rId10" w:type="default"/>
          <w:pgSz w:w="11904" w:h="16840"/>
          <w:pgMar w:top="1430" w:right="1440" w:bottom="1440" w:left="1440" w:header="720" w:footer="998" w:gutter="0"/>
          <w:lnNumType w:countBy="0" w:distance="360"/>
          <w:pgNumType w:fmt="decimal"/>
          <w:cols w:space="720" w:num="1"/>
          <w:titlePg/>
          <w:docGrid w:linePitch="326" w:charSpace="0"/>
        </w:sectPr>
      </w:pPr>
    </w:p>
    <w:p w14:paraId="417ED321">
      <w:pPr>
        <w:pageBreakBefore w:val="0"/>
        <w:kinsoku/>
        <w:wordWrap/>
        <w:overflowPunct/>
        <w:topLinePunct w:val="0"/>
        <w:bidi w:val="0"/>
        <w:snapToGrid/>
        <w:spacing w:line="360" w:lineRule="auto"/>
        <w:textAlignment w:val="auto"/>
        <w:rPr>
          <w:rFonts w:hint="default" w:ascii="Times New Roman" w:hAnsi="Times New Roman" w:cs="Times New Roman"/>
          <w:color w:val="auto"/>
          <w:sz w:val="24"/>
          <w:szCs w:val="24"/>
          <w:highlight w:val="none"/>
        </w:rPr>
        <w:sectPr>
          <w:type w:val="continuous"/>
          <w:pgSz w:w="11904" w:h="16840"/>
          <w:pgMar w:top="1430" w:right="1440" w:bottom="1440" w:left="1440" w:header="720" w:footer="998" w:gutter="0"/>
          <w:lnNumType w:countBy="0" w:distance="360"/>
          <w:pgNumType w:fmt="decimal"/>
          <w:cols w:space="720" w:num="2"/>
        </w:sectPr>
      </w:pPr>
    </w:p>
    <w:p w14:paraId="23B76EF3">
      <w:pPr>
        <w:pageBreakBefore w:val="0"/>
        <w:kinsoku/>
        <w:wordWrap/>
        <w:overflowPunct/>
        <w:topLinePunct w:val="0"/>
        <w:bidi w:val="0"/>
        <w:snapToGrid/>
        <w:spacing w:line="360" w:lineRule="auto"/>
        <w:textAlignment w:val="auto"/>
        <w:rPr>
          <w:rFonts w:hint="eastAsia"/>
          <w:color w:val="auto"/>
          <w:sz w:val="24"/>
          <w:szCs w:val="24"/>
          <w:highlight w:val="none"/>
        </w:rPr>
        <w:sectPr>
          <w:footerReference r:id="rId11" w:type="default"/>
          <w:pgSz w:w="11904" w:h="16840"/>
          <w:pgMar w:top="1430" w:right="1440" w:bottom="1440" w:left="1440" w:header="720" w:footer="998" w:gutter="0"/>
          <w:lnNumType w:countBy="0" w:distance="360"/>
          <w:pgNumType w:fmt="decimal"/>
          <w:cols w:space="720" w:num="2"/>
        </w:sectPr>
      </w:pPr>
    </w:p>
    <w:p w14:paraId="013E943E">
      <w:pPr>
        <w:pStyle w:val="71"/>
        <w:pageBreakBefore w:val="0"/>
        <w:kinsoku/>
        <w:wordWrap/>
        <w:overflowPunct/>
        <w:topLinePunct w:val="0"/>
        <w:bidi w:val="0"/>
        <w:adjustRightInd w:val="0"/>
        <w:snapToGrid/>
        <w:spacing w:before="0" w:after="0" w:line="360" w:lineRule="auto"/>
        <w:jc w:val="center"/>
        <w:textAlignment w:val="auto"/>
        <w:rPr>
          <w:rFonts w:hint="eastAsia"/>
          <w:color w:val="auto"/>
          <w:sz w:val="36"/>
          <w:szCs w:val="44"/>
          <w:highlight w:val="none"/>
        </w:rPr>
      </w:pPr>
      <w:bookmarkStart w:id="109" w:name="_Toc182389593"/>
      <w:bookmarkStart w:id="110" w:name="_Toc292085125"/>
      <w:bookmarkStart w:id="111" w:name="_Toc18155954"/>
      <w:bookmarkStart w:id="112" w:name="_Toc27102"/>
      <w:bookmarkStart w:id="113" w:name="_Toc56155168"/>
      <w:bookmarkStart w:id="114" w:name="_Toc25766"/>
      <w:bookmarkStart w:id="115" w:name="_Toc1565917129"/>
      <w:bookmarkStart w:id="116" w:name="_Toc312"/>
      <w:bookmarkStart w:id="117" w:name="_Toc182389399"/>
      <w:r>
        <w:rPr>
          <w:rFonts w:hint="eastAsia"/>
          <w:color w:val="auto"/>
          <w:sz w:val="36"/>
          <w:szCs w:val="44"/>
          <w:highlight w:val="none"/>
        </w:rPr>
        <w:t>合同协议书</w:t>
      </w:r>
      <w:bookmarkEnd w:id="109"/>
      <w:bookmarkEnd w:id="110"/>
      <w:bookmarkEnd w:id="111"/>
      <w:bookmarkEnd w:id="112"/>
      <w:bookmarkEnd w:id="113"/>
      <w:bookmarkEnd w:id="114"/>
      <w:bookmarkEnd w:id="115"/>
      <w:bookmarkEnd w:id="116"/>
      <w:bookmarkEnd w:id="117"/>
    </w:p>
    <w:p w14:paraId="5B31BB40">
      <w:pPr>
        <w:pageBreakBefore w:val="0"/>
        <w:kinsoku/>
        <w:wordWrap/>
        <w:overflowPunct/>
        <w:topLinePunct w:val="0"/>
        <w:bidi w:val="0"/>
        <w:snapToGrid/>
        <w:spacing w:line="360" w:lineRule="auto"/>
        <w:textAlignment w:val="auto"/>
        <w:rPr>
          <w:rFonts w:hint="eastAsia"/>
          <w:color w:val="auto"/>
          <w:sz w:val="24"/>
          <w:szCs w:val="24"/>
          <w:highlight w:val="none"/>
          <w:u w:val="single"/>
        </w:rPr>
      </w:pPr>
      <w:r>
        <w:rPr>
          <w:rFonts w:hint="eastAsia"/>
          <w:color w:val="auto"/>
          <w:sz w:val="24"/>
          <w:szCs w:val="24"/>
          <w:highlight w:val="none"/>
        </w:rPr>
        <w:t>委托人（甲方）：</w:t>
      </w:r>
      <w:r>
        <w:rPr>
          <w:rFonts w:hint="eastAsia"/>
          <w:color w:val="auto"/>
          <w:sz w:val="24"/>
          <w:szCs w:val="24"/>
          <w:highlight w:val="none"/>
          <w:u w:val="single"/>
        </w:rPr>
        <w:t>中国光大银行股份有限公司广州分行</w:t>
      </w:r>
    </w:p>
    <w:p w14:paraId="65E3F41A">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受托人（乙方）：</w:t>
      </w:r>
      <w:r>
        <w:rPr>
          <w:rFonts w:hint="eastAsia"/>
          <w:color w:val="auto"/>
          <w:sz w:val="24"/>
          <w:szCs w:val="24"/>
          <w:highlight w:val="none"/>
          <w:u w:val="single"/>
        </w:rPr>
        <w:t xml:space="preserve">                           </w:t>
      </w:r>
    </w:p>
    <w:p w14:paraId="5EACAD45">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根据《中华人民共和国民法典》、《中华人民共和国建筑法》、《中华人民共和国招标投标法》等法律法规，遵循平等、自愿、公平和诚信的原则，双方就</w:t>
      </w:r>
      <w:r>
        <w:rPr>
          <w:rFonts w:hint="eastAsia" w:ascii="Times New Roman" w:hAnsi="Times New Roman" w:cs="Times New Roman"/>
          <w:b/>
          <w:color w:val="auto"/>
          <w:sz w:val="24"/>
          <w:szCs w:val="24"/>
          <w:highlight w:val="none"/>
          <w:u w:val="single"/>
          <w:lang w:eastAsia="zh-CN"/>
        </w:rPr>
        <w:t>中国光大银行股份有限公司广州分行新业务经营用房改造项目咨询服务</w:t>
      </w:r>
      <w:r>
        <w:rPr>
          <w:rFonts w:hint="eastAsia"/>
          <w:color w:val="auto"/>
          <w:sz w:val="24"/>
          <w:szCs w:val="24"/>
          <w:highlight w:val="none"/>
        </w:rPr>
        <w:t>项目工程建设全过程咨询服务及有关事项协商一致，共同达成如下协议：</w:t>
      </w:r>
    </w:p>
    <w:p w14:paraId="64A2ACDD">
      <w:pPr>
        <w:pStyle w:val="72"/>
        <w:pageBreakBefore w:val="0"/>
        <w:numPr>
          <w:ilvl w:val="0"/>
          <w:numId w:val="0"/>
        </w:numPr>
        <w:tabs>
          <w:tab w:val="left" w:pos="960"/>
        </w:tabs>
        <w:kinsoku/>
        <w:wordWrap/>
        <w:overflowPunct/>
        <w:topLinePunct w:val="0"/>
        <w:bidi w:val="0"/>
        <w:snapToGrid/>
        <w:spacing w:before="0" w:after="0" w:line="360" w:lineRule="auto"/>
        <w:ind w:left="0" w:firstLine="480" w:firstLineChars="200"/>
        <w:textAlignment w:val="auto"/>
        <w:rPr>
          <w:rFonts w:hint="eastAsia"/>
          <w:color w:val="auto"/>
          <w:sz w:val="24"/>
          <w:szCs w:val="24"/>
          <w:highlight w:val="none"/>
        </w:rPr>
      </w:pPr>
      <w:bookmarkStart w:id="118" w:name="_Toc18155955"/>
      <w:bookmarkStart w:id="119" w:name="_Toc182389400"/>
      <w:bookmarkStart w:id="120" w:name="_Toc182389594"/>
      <w:bookmarkStart w:id="121" w:name="_Toc21675"/>
      <w:bookmarkStart w:id="122" w:name="_Toc472523115"/>
      <w:bookmarkStart w:id="123" w:name="_Toc13962"/>
      <w:bookmarkStart w:id="124" w:name="_Toc56155169"/>
      <w:bookmarkStart w:id="125" w:name="_Toc14983"/>
      <w:r>
        <w:rPr>
          <w:rFonts w:hint="eastAsia"/>
          <w:color w:val="auto"/>
          <w:sz w:val="24"/>
          <w:szCs w:val="24"/>
          <w:highlight w:val="none"/>
        </w:rPr>
        <w:t>一、项目概况</w:t>
      </w:r>
      <w:bookmarkEnd w:id="118"/>
      <w:bookmarkEnd w:id="119"/>
      <w:bookmarkEnd w:id="120"/>
      <w:bookmarkEnd w:id="121"/>
      <w:bookmarkEnd w:id="122"/>
      <w:bookmarkEnd w:id="123"/>
      <w:bookmarkEnd w:id="124"/>
      <w:bookmarkEnd w:id="125"/>
    </w:p>
    <w:p w14:paraId="3E868800">
      <w:pPr>
        <w:pStyle w:val="73"/>
        <w:pageBreakBefore w:val="0"/>
        <w:numPr>
          <w:ilvl w:val="0"/>
          <w:numId w:val="5"/>
        </w:numPr>
        <w:kinsoku/>
        <w:wordWrap/>
        <w:overflowPunct/>
        <w:topLinePunct w:val="0"/>
        <w:bidi w:val="0"/>
        <w:snapToGrid/>
        <w:spacing w:beforeLines="0" w:line="360" w:lineRule="auto"/>
        <w:ind w:left="0" w:firstLine="476" w:firstLineChars="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项目名称：</w:t>
      </w:r>
      <w:r>
        <w:rPr>
          <w:rFonts w:hint="eastAsia" w:ascii="Times New Roman" w:hAnsi="Times New Roman" w:cs="Times New Roman"/>
          <w:b/>
          <w:color w:val="auto"/>
          <w:sz w:val="24"/>
          <w:szCs w:val="24"/>
          <w:highlight w:val="none"/>
          <w:u w:val="single"/>
          <w:lang w:eastAsia="zh-CN"/>
        </w:rPr>
        <w:t>中国光大银行股份有限公司广州分行新业务经营用房改造项目咨询服务</w:t>
      </w:r>
      <w:r>
        <w:rPr>
          <w:rFonts w:hint="eastAsia" w:ascii="Times New Roman" w:hAnsi="Times New Roman" w:cs="Times New Roman"/>
          <w:color w:val="auto"/>
          <w:sz w:val="24"/>
          <w:szCs w:val="24"/>
          <w:highlight w:val="none"/>
        </w:rPr>
        <w:t>。</w:t>
      </w:r>
    </w:p>
    <w:p w14:paraId="7CC8DE77">
      <w:pPr>
        <w:pStyle w:val="73"/>
        <w:pageBreakBefore w:val="0"/>
        <w:numPr>
          <w:ilvl w:val="0"/>
          <w:numId w:val="5"/>
        </w:numPr>
        <w:kinsoku/>
        <w:wordWrap/>
        <w:overflowPunct/>
        <w:topLinePunct w:val="0"/>
        <w:bidi w:val="0"/>
        <w:snapToGrid/>
        <w:spacing w:beforeLines="0" w:line="360" w:lineRule="auto"/>
        <w:ind w:left="0" w:firstLine="476" w:firstLineChars="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项目地点：</w:t>
      </w:r>
      <w:r>
        <w:rPr>
          <w:rFonts w:hint="eastAsia" w:cs="宋体"/>
          <w:color w:val="auto"/>
          <w:sz w:val="24"/>
          <w:szCs w:val="24"/>
          <w:highlight w:val="none"/>
          <w:u w:val="single"/>
          <w:shd w:val="clear" w:color="auto" w:fill="FFFFFF"/>
        </w:rPr>
        <w:t>广州市</w:t>
      </w:r>
      <w:r>
        <w:rPr>
          <w:rFonts w:hint="eastAsia" w:ascii="Times New Roman" w:hAnsi="Times New Roman" w:cs="Times New Roman"/>
          <w:color w:val="auto"/>
          <w:sz w:val="24"/>
          <w:szCs w:val="24"/>
          <w:highlight w:val="none"/>
        </w:rPr>
        <w:t>。</w:t>
      </w:r>
    </w:p>
    <w:p w14:paraId="769D429B">
      <w:pPr>
        <w:pStyle w:val="73"/>
        <w:pageBreakBefore w:val="0"/>
        <w:numPr>
          <w:ilvl w:val="0"/>
          <w:numId w:val="5"/>
        </w:numPr>
        <w:kinsoku/>
        <w:wordWrap/>
        <w:overflowPunct/>
        <w:topLinePunct w:val="0"/>
        <w:bidi w:val="0"/>
        <w:snapToGrid/>
        <w:spacing w:beforeLines="0" w:line="360" w:lineRule="auto"/>
        <w:ind w:left="0" w:firstLine="476" w:firstLineChars="0"/>
        <w:textAlignment w:val="auto"/>
        <w:rPr>
          <w:rFonts w:hint="eastAsia"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rPr>
        <w:t>建设内容：</w:t>
      </w:r>
      <w:r>
        <w:rPr>
          <w:rFonts w:hint="eastAsia" w:ascii="Times New Roman" w:hAnsi="Times New Roman" w:cs="Times New Roman"/>
          <w:color w:val="auto"/>
          <w:sz w:val="24"/>
          <w:szCs w:val="24"/>
          <w:highlight w:val="none"/>
          <w:u w:val="single"/>
        </w:rPr>
        <w:t>光大银行广州分行新业务经营用房包括城祥大厦的首层、五层、七层、八层、九层、十一层～二十层，共计15层，改造单体总面积约为39000平方米。其中：首层、五层（工会活动中心）、十八层和十九层（会议室、党建室、行史馆）、二十层（私人银行部）需进行装修改造，包括装修、安装、消防、安防等。其余经营用房面积进行弱电，监控，布线等配套设施改造。</w:t>
      </w:r>
    </w:p>
    <w:p w14:paraId="133C7699">
      <w:pPr>
        <w:pStyle w:val="73"/>
        <w:pageBreakBefore w:val="0"/>
        <w:numPr>
          <w:ilvl w:val="0"/>
          <w:numId w:val="5"/>
        </w:numPr>
        <w:kinsoku/>
        <w:wordWrap/>
        <w:overflowPunct/>
        <w:topLinePunct w:val="0"/>
        <w:bidi w:val="0"/>
        <w:snapToGrid/>
        <w:spacing w:beforeLines="0" w:line="360" w:lineRule="auto"/>
        <w:ind w:left="0" w:firstLine="476" w:firstLineChars="0"/>
        <w:textAlignment w:val="auto"/>
        <w:rPr>
          <w:rFonts w:hint="eastAsia"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u w:val="single"/>
          <w:lang w:val="en-US" w:eastAsia="zh-CN"/>
        </w:rPr>
        <w:t>建设规模：</w:t>
      </w:r>
      <w:r>
        <w:rPr>
          <w:rFonts w:hint="eastAsia" w:ascii="Times New Roman" w:hAnsi="Times New Roman" w:cs="Times New Roman"/>
          <w:color w:val="auto"/>
          <w:sz w:val="24"/>
          <w:szCs w:val="24"/>
          <w:highlight w:val="none"/>
          <w:u w:val="single"/>
        </w:rPr>
        <w:t>具体以发包人提供的施工图纸和有关技术文件（含图纸会审纪要、发包人工程指令单）为准。</w:t>
      </w:r>
    </w:p>
    <w:p w14:paraId="57CDAA83">
      <w:pPr>
        <w:pStyle w:val="73"/>
        <w:pageBreakBefore w:val="0"/>
        <w:kinsoku/>
        <w:wordWrap/>
        <w:overflowPunct/>
        <w:topLinePunct w:val="0"/>
        <w:bidi w:val="0"/>
        <w:snapToGrid/>
        <w:spacing w:beforeLines="0" w:line="360" w:lineRule="auto"/>
        <w:ind w:left="476" w:firstLine="0" w:firstLineChars="0"/>
        <w:textAlignment w:val="auto"/>
        <w:rPr>
          <w:rFonts w:hint="eastAsia"/>
          <w:color w:val="auto"/>
          <w:sz w:val="24"/>
          <w:szCs w:val="24"/>
          <w:highlight w:val="none"/>
        </w:rPr>
      </w:pPr>
      <w:bookmarkStart w:id="126" w:name="_Toc1465322968"/>
      <w:bookmarkStart w:id="127" w:name="_Toc18155956"/>
      <w:bookmarkStart w:id="128" w:name="_Toc22936"/>
      <w:bookmarkStart w:id="129" w:name="_Toc56155170"/>
      <w:bookmarkStart w:id="130" w:name="_Toc10512"/>
      <w:bookmarkStart w:id="131" w:name="_Toc15293"/>
      <w:r>
        <w:rPr>
          <w:rFonts w:hint="eastAsia"/>
          <w:color w:val="auto"/>
          <w:sz w:val="24"/>
          <w:szCs w:val="24"/>
          <w:highlight w:val="none"/>
        </w:rPr>
        <w:t>二、服务</w:t>
      </w:r>
      <w:bookmarkEnd w:id="126"/>
      <w:bookmarkEnd w:id="127"/>
      <w:bookmarkEnd w:id="128"/>
      <w:bookmarkEnd w:id="129"/>
      <w:r>
        <w:rPr>
          <w:rFonts w:hint="eastAsia"/>
          <w:color w:val="auto"/>
          <w:sz w:val="24"/>
          <w:szCs w:val="24"/>
          <w:highlight w:val="none"/>
        </w:rPr>
        <w:t>内容</w:t>
      </w:r>
      <w:bookmarkEnd w:id="130"/>
      <w:bookmarkEnd w:id="131"/>
    </w:p>
    <w:p w14:paraId="20F638AC">
      <w:pPr>
        <w:pageBreakBefore w:val="0"/>
        <w:kinsoku/>
        <w:wordWrap/>
        <w:overflowPunct/>
        <w:topLinePunct w:val="0"/>
        <w:bidi w:val="0"/>
        <w:snapToGrid/>
        <w:spacing w:line="360" w:lineRule="auto"/>
        <w:textAlignment w:val="auto"/>
        <w:rPr>
          <w:rFonts w:hint="eastAsia" w:cs="宋体"/>
          <w:color w:val="auto"/>
          <w:sz w:val="24"/>
          <w:szCs w:val="24"/>
          <w:highlight w:val="none"/>
          <w:u w:val="single"/>
          <w:shd w:val="clear" w:color="auto" w:fill="FFFFFF"/>
        </w:rPr>
      </w:pPr>
      <w:r>
        <w:rPr>
          <w:rFonts w:hint="eastAsia" w:cs="宋体"/>
          <w:b/>
          <w:color w:val="auto"/>
          <w:sz w:val="24"/>
          <w:szCs w:val="24"/>
          <w:highlight w:val="none"/>
          <w:u w:val="single"/>
          <w:shd w:val="clear" w:color="auto" w:fill="FFFFFF"/>
        </w:rPr>
        <w:t>服务范围：</w:t>
      </w:r>
      <w:r>
        <w:rPr>
          <w:rFonts w:hint="eastAsia" w:cs="宋体"/>
          <w:color w:val="auto"/>
          <w:sz w:val="24"/>
          <w:szCs w:val="24"/>
          <w:highlight w:val="none"/>
          <w:u w:val="single"/>
          <w:shd w:val="clear" w:color="auto" w:fill="FFFFFF"/>
        </w:rPr>
        <w:t>本项目建设内容相关的咨询服务及后续服务，包括但不限于对相关单位（设计、施工、监理等）的协调管理、监督合同（设计、施工、监理等）履行、审查进度计划（设计、施工、监理等）并监督实施、核查设计大纲和设计深度、使用技术规范合理性、提出设计评估报告(包括各阶段设计的核查意见和优化建议)、协助审核所有工程预算清单等工作。协助我行参与各项目的招标工作（包括但不限于招标文件的审核、修改等相关工作）、施工过程质量、进度、费用控制、对合同、信息等工作协调管理、编制竣工验收方案并参与竣工验收。协助我行检查和记录工程质量缺陷、对缺陷原因进行调查分析并确定责任归属、审核修复方案、监督修复过程并验收、审核修复费用等。</w:t>
      </w:r>
    </w:p>
    <w:p w14:paraId="56D37F12">
      <w:pPr>
        <w:pStyle w:val="72"/>
        <w:pageBreakBefore w:val="0"/>
        <w:numPr>
          <w:ilvl w:val="0"/>
          <w:numId w:val="0"/>
        </w:numPr>
        <w:kinsoku/>
        <w:wordWrap/>
        <w:overflowPunct/>
        <w:topLinePunct w:val="0"/>
        <w:bidi w:val="0"/>
        <w:snapToGrid/>
        <w:spacing w:before="0" w:after="0" w:line="360" w:lineRule="auto"/>
        <w:textAlignment w:val="auto"/>
        <w:rPr>
          <w:rFonts w:hint="eastAsia"/>
          <w:color w:val="auto"/>
          <w:sz w:val="24"/>
          <w:szCs w:val="24"/>
          <w:highlight w:val="none"/>
        </w:rPr>
      </w:pPr>
      <w:bookmarkStart w:id="132" w:name="_Toc182389595"/>
      <w:bookmarkStart w:id="133" w:name="_Toc18155957"/>
      <w:bookmarkStart w:id="134" w:name="_Toc13876"/>
      <w:bookmarkStart w:id="135" w:name="_Toc11035"/>
      <w:bookmarkStart w:id="136" w:name="_Toc1262486975"/>
      <w:bookmarkStart w:id="137" w:name="_Toc182389401"/>
      <w:bookmarkStart w:id="138" w:name="_Toc23598"/>
      <w:bookmarkStart w:id="139" w:name="_Toc56155171"/>
      <w:r>
        <w:rPr>
          <w:rFonts w:hint="eastAsia"/>
          <w:color w:val="auto"/>
          <w:sz w:val="24"/>
          <w:szCs w:val="24"/>
          <w:highlight w:val="none"/>
        </w:rPr>
        <w:t>三、委托人代表与咨询项目总负责人</w:t>
      </w:r>
      <w:bookmarkEnd w:id="132"/>
      <w:bookmarkEnd w:id="133"/>
      <w:bookmarkEnd w:id="134"/>
      <w:bookmarkEnd w:id="135"/>
      <w:bookmarkEnd w:id="136"/>
      <w:bookmarkEnd w:id="137"/>
      <w:bookmarkEnd w:id="138"/>
      <w:bookmarkEnd w:id="139"/>
    </w:p>
    <w:p w14:paraId="70BDDF9E">
      <w:pPr>
        <w:pStyle w:val="73"/>
        <w:pageBreakBefore w:val="0"/>
        <w:kinsoku/>
        <w:wordWrap/>
        <w:overflowPunct/>
        <w:topLinePunct w:val="0"/>
        <w:bidi w:val="0"/>
        <w:snapToGrid/>
        <w:spacing w:beforeLines="0" w:line="360" w:lineRule="auto"/>
        <w:ind w:firstLineChars="0"/>
        <w:textAlignment w:val="auto"/>
        <w:rPr>
          <w:rFonts w:hint="default" w:ascii="Times New Roman" w:hAnsi="Times New Roman"/>
          <w:color w:val="auto"/>
          <w:sz w:val="24"/>
          <w:szCs w:val="21"/>
          <w:highlight w:val="none"/>
        </w:rPr>
      </w:pPr>
      <w:r>
        <w:rPr>
          <w:rFonts w:hint="eastAsia" w:ascii="Times New Roman" w:hAnsi="Times New Roman"/>
          <w:color w:val="auto"/>
          <w:sz w:val="24"/>
          <w:szCs w:val="21"/>
          <w:highlight w:val="none"/>
          <w:lang w:val="en-US" w:eastAsia="zh-CN"/>
        </w:rPr>
        <w:t>1</w:t>
      </w:r>
      <w:r>
        <w:rPr>
          <w:rFonts w:hint="eastAsia" w:ascii="Times New Roman" w:hAnsi="Times New Roman"/>
          <w:color w:val="auto"/>
          <w:sz w:val="24"/>
          <w:szCs w:val="21"/>
          <w:highlight w:val="none"/>
        </w:rPr>
        <w:t>. 咨询项目总负责人：</w:t>
      </w:r>
      <w:r>
        <w:rPr>
          <w:rFonts w:hint="eastAsia" w:ascii="Times New Roman" w:hAnsi="Times New Roman"/>
          <w:color w:val="auto"/>
          <w:sz w:val="24"/>
          <w:szCs w:val="21"/>
          <w:highlight w:val="none"/>
          <w:u w:val="single"/>
        </w:rPr>
        <w:t xml:space="preserve">     </w:t>
      </w:r>
      <w:r>
        <w:rPr>
          <w:rFonts w:hint="eastAsia"/>
          <w:color w:val="auto"/>
          <w:sz w:val="24"/>
          <w:szCs w:val="24"/>
          <w:highlight w:val="none"/>
        </w:rPr>
        <w:t>，☑身份证号：</w:t>
      </w:r>
      <w:r>
        <w:rPr>
          <w:rFonts w:hint="eastAsia"/>
          <w:color w:val="auto"/>
          <w:sz w:val="24"/>
          <w:szCs w:val="24"/>
          <w:highlight w:val="none"/>
          <w:u w:val="single"/>
        </w:rPr>
        <w:t xml:space="preserve">            </w:t>
      </w:r>
      <w:r>
        <w:rPr>
          <w:rFonts w:hint="eastAsia"/>
          <w:color w:val="auto"/>
          <w:sz w:val="24"/>
          <w:szCs w:val="24"/>
          <w:highlight w:val="none"/>
        </w:rPr>
        <w:t>，□其他证件号：__________________________</w:t>
      </w:r>
      <w:r>
        <w:rPr>
          <w:rFonts w:hint="eastAsia" w:ascii="Times New Roman" w:hAnsi="Times New Roman"/>
          <w:color w:val="auto"/>
          <w:sz w:val="24"/>
          <w:szCs w:val="21"/>
          <w:highlight w:val="none"/>
        </w:rPr>
        <w:t>。</w:t>
      </w:r>
    </w:p>
    <w:p w14:paraId="1554DC42">
      <w:pPr>
        <w:pStyle w:val="72"/>
        <w:pageBreakBefore w:val="0"/>
        <w:numPr>
          <w:ilvl w:val="0"/>
          <w:numId w:val="0"/>
        </w:numPr>
        <w:kinsoku/>
        <w:wordWrap/>
        <w:overflowPunct/>
        <w:topLinePunct w:val="0"/>
        <w:bidi w:val="0"/>
        <w:adjustRightInd/>
        <w:snapToGrid/>
        <w:spacing w:before="0" w:after="0" w:line="360" w:lineRule="auto"/>
        <w:ind w:left="0"/>
        <w:jc w:val="both"/>
        <w:textAlignment w:val="auto"/>
        <w:rPr>
          <w:rFonts w:hint="eastAsia"/>
          <w:color w:val="auto"/>
          <w:sz w:val="24"/>
          <w:szCs w:val="24"/>
          <w:highlight w:val="none"/>
        </w:rPr>
      </w:pPr>
      <w:r>
        <w:rPr>
          <w:rFonts w:hint="eastAsia"/>
          <w:color w:val="auto"/>
          <w:sz w:val="24"/>
          <w:szCs w:val="24"/>
          <w:highlight w:val="none"/>
        </w:rPr>
        <w:t xml:space="preserve">    </w:t>
      </w:r>
      <w:bookmarkStart w:id="140" w:name="_Toc182389402"/>
      <w:bookmarkStart w:id="141" w:name="_Toc21713"/>
      <w:bookmarkStart w:id="142" w:name="_Toc9696"/>
      <w:bookmarkStart w:id="143" w:name="_Toc182389596"/>
      <w:r>
        <w:rPr>
          <w:rFonts w:hint="eastAsia"/>
          <w:color w:val="auto"/>
          <w:sz w:val="24"/>
          <w:szCs w:val="24"/>
          <w:highlight w:val="none"/>
        </w:rPr>
        <w:t>四、签约合同价</w:t>
      </w:r>
      <w:bookmarkEnd w:id="140"/>
      <w:bookmarkEnd w:id="141"/>
      <w:bookmarkEnd w:id="142"/>
      <w:bookmarkEnd w:id="143"/>
    </w:p>
    <w:p w14:paraId="6F01BD95">
      <w:pPr>
        <w:pageBreakBefore w:val="0"/>
        <w:numPr>
          <w:ilvl w:val="0"/>
          <w:numId w:val="6"/>
        </w:numPr>
        <w:kinsoku/>
        <w:wordWrap/>
        <w:overflowPunct/>
        <w:topLinePunct w:val="0"/>
        <w:bidi w:val="0"/>
        <w:snapToGrid/>
        <w:spacing w:line="360" w:lineRule="auto"/>
        <w:ind w:firstLine="480"/>
        <w:textAlignment w:val="auto"/>
        <w:rPr>
          <w:rFonts w:hint="eastAsia"/>
          <w:color w:val="auto"/>
          <w:sz w:val="24"/>
          <w:szCs w:val="24"/>
          <w:highlight w:val="none"/>
        </w:rPr>
      </w:pPr>
      <w:r>
        <w:rPr>
          <w:rFonts w:hint="eastAsia"/>
          <w:color w:val="auto"/>
          <w:sz w:val="24"/>
          <w:szCs w:val="24"/>
          <w:highlight w:val="none"/>
        </w:rPr>
        <w:t>本项目咨询服务签约合同价（含税）为：人民币（大写）</w:t>
      </w:r>
    </w:p>
    <w:p w14:paraId="3A202CAD">
      <w:pPr>
        <w:pageBreakBefore w:val="0"/>
        <w:kinsoku/>
        <w:wordWrap/>
        <w:overflowPunct/>
        <w:topLinePunct w:val="0"/>
        <w:bidi w:val="0"/>
        <w:snapToGrid/>
        <w:spacing w:line="360" w:lineRule="auto"/>
        <w:ind w:firstLine="0" w:firstLineChars="0"/>
        <w:textAlignment w:val="auto"/>
        <w:rPr>
          <w:rFonts w:hint="eastAsia"/>
          <w:color w:val="auto"/>
          <w:sz w:val="24"/>
          <w:szCs w:val="24"/>
          <w:highlight w:val="none"/>
        </w:rPr>
      </w:pPr>
      <w:r>
        <w:rPr>
          <w:rFonts w:hint="eastAsia" w:cs="宋体"/>
          <w:b/>
          <w:color w:val="auto"/>
          <w:sz w:val="24"/>
          <w:szCs w:val="24"/>
          <w:highlight w:val="none"/>
          <w:u w:val="single"/>
        </w:rPr>
        <w:t xml:space="preserve">           </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）元。</w:t>
      </w:r>
    </w:p>
    <w:p w14:paraId="61CDFDF6">
      <w:pPr>
        <w:pageBreakBefore w:val="0"/>
        <w:numPr>
          <w:ilvl w:val="0"/>
          <w:numId w:val="6"/>
        </w:numPr>
        <w:kinsoku/>
        <w:wordWrap/>
        <w:overflowPunct/>
        <w:topLinePunct w:val="0"/>
        <w:bidi w:val="0"/>
        <w:snapToGrid/>
        <w:spacing w:line="360" w:lineRule="auto"/>
        <w:ind w:firstLine="480" w:firstLineChars="0"/>
        <w:textAlignment w:val="auto"/>
        <w:rPr>
          <w:rFonts w:hint="eastAsia"/>
          <w:color w:val="auto"/>
          <w:sz w:val="24"/>
          <w:szCs w:val="24"/>
          <w:highlight w:val="none"/>
        </w:rPr>
      </w:pPr>
      <w:r>
        <w:rPr>
          <w:rFonts w:hint="eastAsia" w:ascii="Times New Roman" w:hAnsi="Times New Roman" w:cs="Times New Roman"/>
          <w:color w:val="auto"/>
          <w:sz w:val="24"/>
          <w:szCs w:val="24"/>
          <w:highlight w:val="none"/>
        </w:rPr>
        <w:t>签约合同价具体</w:t>
      </w:r>
      <w:r>
        <w:rPr>
          <w:rFonts w:hint="eastAsia"/>
          <w:color w:val="auto"/>
          <w:sz w:val="24"/>
          <w:szCs w:val="24"/>
          <w:highlight w:val="none"/>
        </w:rPr>
        <w:t>构成及合同价计取方式详见下表。</w:t>
      </w:r>
    </w:p>
    <w:p w14:paraId="65B384D4">
      <w:pPr>
        <w:pageBreakBefore w:val="0"/>
        <w:kinsoku/>
        <w:wordWrap/>
        <w:overflowPunct/>
        <w:topLinePunct w:val="0"/>
        <w:bidi w:val="0"/>
        <w:snapToGrid/>
        <w:spacing w:line="360" w:lineRule="auto"/>
        <w:ind w:firstLineChars="0"/>
        <w:textAlignment w:val="auto"/>
        <w:rPr>
          <w:rFonts w:hint="eastAsia" w:cs="宋体"/>
          <w:color w:val="auto"/>
          <w:sz w:val="24"/>
          <w:szCs w:val="24"/>
          <w:highlight w:val="none"/>
          <w:shd w:val="clear" w:color="auto" w:fill="FFFFFF"/>
        </w:rPr>
      </w:pPr>
      <w:bookmarkStart w:id="144" w:name="_Toc1629387647"/>
      <w:bookmarkStart w:id="145" w:name="_Toc18155960"/>
      <w:bookmarkStart w:id="146" w:name="_Toc9056"/>
      <w:bookmarkStart w:id="147" w:name="_Toc56155173"/>
    </w:p>
    <w:p w14:paraId="20B2B36F">
      <w:pPr>
        <w:pageBreakBefore w:val="0"/>
        <w:kinsoku/>
        <w:wordWrap/>
        <w:overflowPunct/>
        <w:topLinePunct w:val="0"/>
        <w:bidi w:val="0"/>
        <w:snapToGrid/>
        <w:spacing w:line="360" w:lineRule="auto"/>
        <w:ind w:firstLineChars="0"/>
        <w:textAlignment w:val="auto"/>
        <w:rPr>
          <w:rFonts w:hint="eastAsia"/>
          <w:color w:val="auto"/>
          <w:sz w:val="24"/>
          <w:szCs w:val="24"/>
          <w:highlight w:val="none"/>
        </w:rPr>
      </w:pPr>
      <w:r>
        <w:rPr>
          <w:rFonts w:hint="eastAsia" w:cs="宋体"/>
          <w:color w:val="auto"/>
          <w:sz w:val="24"/>
          <w:szCs w:val="24"/>
          <w:highlight w:val="none"/>
          <w:shd w:val="clear" w:color="auto" w:fill="FFFFFF"/>
        </w:rPr>
        <w:t>上述费用已包含国家规定的增值税税金。</w:t>
      </w:r>
    </w:p>
    <w:p w14:paraId="333E4A02">
      <w:pPr>
        <w:pStyle w:val="72"/>
        <w:pageBreakBefore w:val="0"/>
        <w:numPr>
          <w:ilvl w:val="0"/>
          <w:numId w:val="0"/>
        </w:numPr>
        <w:kinsoku/>
        <w:wordWrap/>
        <w:overflowPunct/>
        <w:topLinePunct w:val="0"/>
        <w:bidi w:val="0"/>
        <w:snapToGrid/>
        <w:spacing w:before="0" w:after="0" w:line="360" w:lineRule="auto"/>
        <w:textAlignment w:val="auto"/>
        <w:rPr>
          <w:rFonts w:hint="eastAsia"/>
          <w:color w:val="auto"/>
          <w:sz w:val="24"/>
          <w:szCs w:val="24"/>
          <w:highlight w:val="none"/>
        </w:rPr>
      </w:pPr>
      <w:bookmarkStart w:id="148" w:name="_Toc21039"/>
      <w:bookmarkStart w:id="149" w:name="_Toc182389597"/>
      <w:bookmarkStart w:id="150" w:name="_Toc985"/>
      <w:bookmarkStart w:id="151" w:name="_Toc182389403"/>
      <w:r>
        <w:rPr>
          <w:rFonts w:hint="eastAsia"/>
          <w:color w:val="auto"/>
          <w:sz w:val="24"/>
          <w:szCs w:val="24"/>
          <w:highlight w:val="none"/>
        </w:rPr>
        <w:t>五、服务期限</w:t>
      </w:r>
      <w:bookmarkEnd w:id="144"/>
      <w:bookmarkEnd w:id="145"/>
      <w:bookmarkEnd w:id="146"/>
      <w:bookmarkEnd w:id="147"/>
      <w:bookmarkEnd w:id="148"/>
      <w:bookmarkEnd w:id="149"/>
      <w:bookmarkEnd w:id="150"/>
      <w:bookmarkEnd w:id="151"/>
    </w:p>
    <w:p w14:paraId="26A227CE">
      <w:pPr>
        <w:pStyle w:val="73"/>
        <w:pageBreakBefore w:val="0"/>
        <w:kinsoku/>
        <w:wordWrap/>
        <w:overflowPunct/>
        <w:topLinePunct w:val="0"/>
        <w:bidi w:val="0"/>
        <w:snapToGrid/>
        <w:spacing w:beforeLines="0" w:line="360" w:lineRule="auto"/>
        <w:ind w:firstLineChars="0"/>
        <w:textAlignment w:val="auto"/>
        <w:rPr>
          <w:rFonts w:hint="eastAsia"/>
          <w:color w:val="auto"/>
          <w:sz w:val="24"/>
          <w:szCs w:val="24"/>
          <w:highlight w:val="none"/>
        </w:rPr>
      </w:pPr>
      <w:r>
        <w:rPr>
          <w:rFonts w:hint="eastAsia" w:cs="宋体"/>
          <w:color w:val="auto"/>
          <w:sz w:val="24"/>
          <w:szCs w:val="24"/>
          <w:highlight w:val="none"/>
          <w:u w:val="single"/>
          <w:shd w:val="clear" w:color="auto" w:fill="FFFFFF"/>
        </w:rPr>
        <w:t>从签订本项目全过程工程咨询服务合同之日起至本项目完成工程结算并保修期结束之日止。</w:t>
      </w:r>
    </w:p>
    <w:p w14:paraId="6FE2446D">
      <w:pPr>
        <w:pageBreakBefore w:val="0"/>
        <w:kinsoku/>
        <w:wordWrap/>
        <w:overflowPunct/>
        <w:topLinePunct w:val="0"/>
        <w:bidi w:val="0"/>
        <w:snapToGrid/>
        <w:spacing w:line="360" w:lineRule="auto"/>
        <w:textAlignment w:val="auto"/>
        <w:rPr>
          <w:rFonts w:hint="eastAsia"/>
          <w:color w:val="auto"/>
          <w:sz w:val="24"/>
          <w:szCs w:val="24"/>
          <w:highlight w:val="none"/>
        </w:rPr>
      </w:pPr>
    </w:p>
    <w:p w14:paraId="2752D637">
      <w:pPr>
        <w:pStyle w:val="72"/>
        <w:pageBreakBefore w:val="0"/>
        <w:numPr>
          <w:ilvl w:val="0"/>
          <w:numId w:val="0"/>
        </w:numPr>
        <w:kinsoku/>
        <w:wordWrap/>
        <w:overflowPunct/>
        <w:topLinePunct w:val="0"/>
        <w:bidi w:val="0"/>
        <w:snapToGrid/>
        <w:spacing w:before="0" w:after="0" w:line="360" w:lineRule="auto"/>
        <w:textAlignment w:val="auto"/>
        <w:rPr>
          <w:rFonts w:hint="eastAsia"/>
          <w:color w:val="auto"/>
          <w:sz w:val="24"/>
          <w:szCs w:val="24"/>
          <w:highlight w:val="none"/>
        </w:rPr>
      </w:pPr>
      <w:bookmarkStart w:id="152" w:name="_Ref14039879"/>
      <w:bookmarkStart w:id="153" w:name="_Ref13590530"/>
      <w:bookmarkStart w:id="154" w:name="_Toc1835048599"/>
      <w:bookmarkStart w:id="155" w:name="_Toc56155174"/>
      <w:bookmarkStart w:id="156" w:name="_Toc18155961"/>
      <w:bookmarkStart w:id="157" w:name="_Toc26405"/>
      <w:bookmarkStart w:id="158" w:name="_Toc182389404"/>
      <w:bookmarkStart w:id="159" w:name="_Toc182389598"/>
      <w:bookmarkStart w:id="160" w:name="_Toc1218"/>
      <w:bookmarkStart w:id="161" w:name="_Toc19508"/>
      <w:r>
        <w:rPr>
          <w:rFonts w:hint="eastAsia"/>
          <w:color w:val="auto"/>
          <w:sz w:val="24"/>
          <w:szCs w:val="24"/>
          <w:highlight w:val="none"/>
        </w:rPr>
        <w:t>六、合同文件</w:t>
      </w:r>
      <w:bookmarkEnd w:id="152"/>
      <w:bookmarkEnd w:id="153"/>
      <w:bookmarkEnd w:id="154"/>
      <w:bookmarkEnd w:id="155"/>
      <w:bookmarkEnd w:id="156"/>
      <w:bookmarkEnd w:id="157"/>
      <w:r>
        <w:rPr>
          <w:rFonts w:hint="eastAsia"/>
          <w:color w:val="auto"/>
          <w:sz w:val="24"/>
          <w:szCs w:val="24"/>
          <w:highlight w:val="none"/>
        </w:rPr>
        <w:t>构成</w:t>
      </w:r>
      <w:bookmarkEnd w:id="158"/>
      <w:bookmarkEnd w:id="159"/>
      <w:bookmarkEnd w:id="160"/>
      <w:bookmarkEnd w:id="161"/>
    </w:p>
    <w:p w14:paraId="1D706E05">
      <w:pPr>
        <w:pageBreakBefore w:val="0"/>
        <w:kinsoku/>
        <w:wordWrap/>
        <w:overflowPunct/>
        <w:topLinePunct w:val="0"/>
        <w:bidi w:val="0"/>
        <w:snapToGrid/>
        <w:spacing w:line="360" w:lineRule="auto"/>
        <w:textAlignment w:val="auto"/>
        <w:rPr>
          <w:rFonts w:hint="eastAsia" w:cs="Times New Roman"/>
          <w:color w:val="auto"/>
          <w:sz w:val="24"/>
          <w:szCs w:val="24"/>
          <w:highlight w:val="none"/>
        </w:rPr>
      </w:pPr>
      <w:r>
        <w:rPr>
          <w:rFonts w:hint="eastAsia" w:cs="Times New Roman"/>
          <w:color w:val="auto"/>
          <w:sz w:val="24"/>
          <w:szCs w:val="24"/>
          <w:highlight w:val="none"/>
        </w:rPr>
        <w:t>构成本合同的文件包括：</w:t>
      </w:r>
    </w:p>
    <w:p w14:paraId="4794DE48">
      <w:pPr>
        <w:pageBreakBefore w:val="0"/>
        <w:numPr>
          <w:ilvl w:val="0"/>
          <w:numId w:val="7"/>
        </w:numPr>
        <w:kinsoku/>
        <w:wordWrap/>
        <w:overflowPunct/>
        <w:topLinePunct w:val="0"/>
        <w:bidi w:val="0"/>
        <w:snapToGrid/>
        <w:spacing w:line="360" w:lineRule="auto"/>
        <w:ind w:firstLine="480"/>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本合同协议书；</w:t>
      </w:r>
    </w:p>
    <w:p w14:paraId="5B73BA83">
      <w:pPr>
        <w:pageBreakBefore w:val="0"/>
        <w:numPr>
          <w:ilvl w:val="0"/>
          <w:numId w:val="7"/>
        </w:numPr>
        <w:kinsoku/>
        <w:wordWrap/>
        <w:overflowPunct/>
        <w:topLinePunct w:val="0"/>
        <w:bidi w:val="0"/>
        <w:snapToGrid/>
        <w:spacing w:line="360" w:lineRule="auto"/>
        <w:ind w:firstLine="48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招标文件（如有）；</w:t>
      </w:r>
    </w:p>
    <w:p w14:paraId="4F0DF923">
      <w:pPr>
        <w:pageBreakBefore w:val="0"/>
        <w:numPr>
          <w:ilvl w:val="0"/>
          <w:numId w:val="7"/>
        </w:numPr>
        <w:kinsoku/>
        <w:wordWrap/>
        <w:overflowPunct/>
        <w:topLinePunct w:val="0"/>
        <w:bidi w:val="0"/>
        <w:snapToGrid/>
        <w:spacing w:line="360" w:lineRule="auto"/>
        <w:ind w:firstLine="48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中标通知书（如有）；</w:t>
      </w:r>
    </w:p>
    <w:p w14:paraId="136CD0A1">
      <w:pPr>
        <w:pageBreakBefore w:val="0"/>
        <w:numPr>
          <w:ilvl w:val="0"/>
          <w:numId w:val="7"/>
        </w:numPr>
        <w:kinsoku/>
        <w:wordWrap/>
        <w:overflowPunct/>
        <w:topLinePunct w:val="0"/>
        <w:bidi w:val="0"/>
        <w:snapToGrid/>
        <w:spacing w:line="360" w:lineRule="auto"/>
        <w:ind w:firstLine="48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投标书</w:t>
      </w:r>
      <w:r>
        <w:rPr>
          <w:rFonts w:hint="eastAsia" w:ascii="Times New Roman" w:hAnsi="Times New Roman" w:cs="Times New Roman"/>
          <w:color w:val="auto"/>
          <w:sz w:val="24"/>
          <w:szCs w:val="24"/>
          <w:highlight w:val="none"/>
        </w:rPr>
        <w:t>及其附录（如有）；</w:t>
      </w:r>
    </w:p>
    <w:p w14:paraId="2AAF18EE">
      <w:pPr>
        <w:pageBreakBefore w:val="0"/>
        <w:numPr>
          <w:ilvl w:val="0"/>
          <w:numId w:val="7"/>
        </w:numPr>
        <w:kinsoku/>
        <w:wordWrap/>
        <w:overflowPunct/>
        <w:topLinePunct w:val="0"/>
        <w:bidi w:val="0"/>
        <w:snapToGrid/>
        <w:spacing w:line="360" w:lineRule="auto"/>
        <w:ind w:firstLine="48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专用合同条款及附件；</w:t>
      </w:r>
    </w:p>
    <w:p w14:paraId="470B0032">
      <w:pPr>
        <w:pageBreakBefore w:val="0"/>
        <w:numPr>
          <w:ilvl w:val="0"/>
          <w:numId w:val="7"/>
        </w:numPr>
        <w:kinsoku/>
        <w:wordWrap/>
        <w:overflowPunct/>
        <w:topLinePunct w:val="0"/>
        <w:bidi w:val="0"/>
        <w:snapToGrid/>
        <w:spacing w:line="360" w:lineRule="auto"/>
        <w:ind w:firstLine="48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通用合同条款</w:t>
      </w:r>
    </w:p>
    <w:p w14:paraId="4316D8A3">
      <w:pPr>
        <w:pageBreakBefore w:val="0"/>
        <w:numPr>
          <w:ilvl w:val="0"/>
          <w:numId w:val="7"/>
        </w:numPr>
        <w:kinsoku/>
        <w:wordWrap/>
        <w:overflowPunct/>
        <w:topLinePunct w:val="0"/>
        <w:bidi w:val="0"/>
        <w:snapToGrid/>
        <w:spacing w:line="360" w:lineRule="auto"/>
        <w:ind w:firstLine="48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技术标准和要求；</w:t>
      </w:r>
    </w:p>
    <w:p w14:paraId="282C5A81">
      <w:pPr>
        <w:pageBreakBefore w:val="0"/>
        <w:numPr>
          <w:ilvl w:val="0"/>
          <w:numId w:val="7"/>
        </w:numPr>
        <w:kinsoku/>
        <w:wordWrap/>
        <w:overflowPunct/>
        <w:topLinePunct w:val="0"/>
        <w:bidi w:val="0"/>
        <w:snapToGrid/>
        <w:spacing w:line="360" w:lineRule="auto"/>
        <w:ind w:firstLine="48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其他合同文件。</w:t>
      </w:r>
    </w:p>
    <w:p w14:paraId="01B2A926">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在合同订立及履行过程中形成的与合同有关的文件均构成合同文件组成部分。</w:t>
      </w:r>
    </w:p>
    <w:p w14:paraId="67D0A594">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上述各项合同文件包括双方就该项合同文件所作出的补充和修改，属于同一类内容的合同文件应以最新签署的为准。专用合同条款及附件须经合同当事人签名或盖章。</w:t>
      </w:r>
    </w:p>
    <w:p w14:paraId="51F4A817">
      <w:pPr>
        <w:pStyle w:val="72"/>
        <w:pageBreakBefore w:val="0"/>
        <w:numPr>
          <w:ilvl w:val="0"/>
          <w:numId w:val="0"/>
        </w:numPr>
        <w:kinsoku/>
        <w:wordWrap/>
        <w:overflowPunct/>
        <w:topLinePunct w:val="0"/>
        <w:bidi w:val="0"/>
        <w:snapToGrid/>
        <w:spacing w:before="0" w:after="0" w:line="360" w:lineRule="auto"/>
        <w:textAlignment w:val="auto"/>
        <w:rPr>
          <w:rFonts w:hint="eastAsia"/>
          <w:color w:val="auto"/>
          <w:sz w:val="24"/>
          <w:szCs w:val="24"/>
          <w:highlight w:val="none"/>
        </w:rPr>
      </w:pPr>
      <w:bookmarkStart w:id="162" w:name="_Toc18155962"/>
      <w:bookmarkStart w:id="163" w:name="_Toc16779"/>
      <w:bookmarkStart w:id="164" w:name="_Toc182389405"/>
      <w:bookmarkStart w:id="165" w:name="_Toc778713891"/>
      <w:bookmarkStart w:id="166" w:name="_Toc24177"/>
      <w:bookmarkStart w:id="167" w:name="_Toc182389599"/>
      <w:bookmarkStart w:id="168" w:name="_Toc20992"/>
      <w:bookmarkStart w:id="169" w:name="_Toc56155175"/>
      <w:r>
        <w:rPr>
          <w:rFonts w:hint="eastAsia"/>
          <w:color w:val="auto"/>
          <w:sz w:val="24"/>
          <w:szCs w:val="24"/>
          <w:highlight w:val="none"/>
        </w:rPr>
        <w:t>七、承诺</w:t>
      </w:r>
      <w:bookmarkEnd w:id="162"/>
      <w:bookmarkEnd w:id="163"/>
      <w:bookmarkEnd w:id="164"/>
      <w:bookmarkEnd w:id="165"/>
      <w:bookmarkEnd w:id="166"/>
      <w:bookmarkEnd w:id="167"/>
      <w:bookmarkEnd w:id="168"/>
      <w:bookmarkEnd w:id="169"/>
    </w:p>
    <w:p w14:paraId="043784F5">
      <w:pPr>
        <w:pStyle w:val="73"/>
        <w:pageBreakBefore w:val="0"/>
        <w:numPr>
          <w:ilvl w:val="0"/>
          <w:numId w:val="8"/>
        </w:numPr>
        <w:kinsoku/>
        <w:wordWrap/>
        <w:overflowPunct/>
        <w:topLinePunct w:val="0"/>
        <w:bidi w:val="0"/>
        <w:snapToGrid/>
        <w:spacing w:beforeLines="0" w:line="360" w:lineRule="auto"/>
        <w:ind w:left="0" w:firstLine="426" w:firstLineChars="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委托人向受托人承诺，按照法律法规履行项目审批、核准或备案手续，按照合同约定派遣相应人员，提供咨询服务所需的资料和条件，并按照合同约定的期限和方式支付服务费用及其他应支付款项。</w:t>
      </w:r>
    </w:p>
    <w:p w14:paraId="695E465A">
      <w:pPr>
        <w:pStyle w:val="73"/>
        <w:pageBreakBefore w:val="0"/>
        <w:numPr>
          <w:ilvl w:val="0"/>
          <w:numId w:val="8"/>
        </w:numPr>
        <w:kinsoku/>
        <w:wordWrap/>
        <w:overflowPunct/>
        <w:topLinePunct w:val="0"/>
        <w:bidi w:val="0"/>
        <w:snapToGrid/>
        <w:spacing w:beforeLines="0" w:line="360" w:lineRule="auto"/>
        <w:ind w:left="0" w:firstLine="426" w:firstLineChars="0"/>
        <w:textAlignment w:val="auto"/>
        <w:rPr>
          <w:rFonts w:hint="eastAsia"/>
          <w:color w:val="auto"/>
          <w:sz w:val="24"/>
          <w:szCs w:val="24"/>
          <w:highlight w:val="none"/>
        </w:rPr>
      </w:pPr>
      <w:r>
        <w:rPr>
          <w:rFonts w:hint="eastAsia" w:ascii="Times New Roman" w:hAnsi="Times New Roman" w:cs="Times New Roman"/>
          <w:color w:val="auto"/>
          <w:sz w:val="24"/>
          <w:szCs w:val="24"/>
          <w:highlight w:val="none"/>
        </w:rPr>
        <w:t>受托人向</w:t>
      </w:r>
      <w:r>
        <w:rPr>
          <w:rFonts w:hint="eastAsia"/>
          <w:color w:val="auto"/>
          <w:sz w:val="24"/>
          <w:szCs w:val="24"/>
          <w:highlight w:val="none"/>
        </w:rPr>
        <w:t>委托人承诺，按照法律法规、相关标准及合同约定提供工程建设全过程咨询服务。</w:t>
      </w:r>
    </w:p>
    <w:p w14:paraId="35BC5636">
      <w:pPr>
        <w:pStyle w:val="72"/>
        <w:pageBreakBefore w:val="0"/>
        <w:numPr>
          <w:ilvl w:val="0"/>
          <w:numId w:val="0"/>
        </w:numPr>
        <w:kinsoku/>
        <w:wordWrap/>
        <w:overflowPunct/>
        <w:topLinePunct w:val="0"/>
        <w:bidi w:val="0"/>
        <w:snapToGrid/>
        <w:spacing w:before="0" w:after="0" w:line="360" w:lineRule="auto"/>
        <w:textAlignment w:val="auto"/>
        <w:rPr>
          <w:rFonts w:hint="eastAsia"/>
          <w:color w:val="auto"/>
          <w:sz w:val="24"/>
          <w:szCs w:val="24"/>
          <w:highlight w:val="none"/>
        </w:rPr>
      </w:pPr>
      <w:bookmarkStart w:id="170" w:name="_Toc182389406"/>
      <w:bookmarkStart w:id="171" w:name="_Toc31849"/>
      <w:bookmarkStart w:id="172" w:name="_Toc21232"/>
      <w:bookmarkStart w:id="173" w:name="_Toc1512269408"/>
      <w:bookmarkStart w:id="174" w:name="_Toc26848"/>
      <w:bookmarkStart w:id="175" w:name="_Toc18155963"/>
      <w:bookmarkStart w:id="176" w:name="_Toc56155176"/>
      <w:bookmarkStart w:id="177" w:name="_Toc182389600"/>
      <w:r>
        <w:rPr>
          <w:rFonts w:hint="eastAsia"/>
          <w:color w:val="auto"/>
          <w:sz w:val="24"/>
          <w:szCs w:val="24"/>
          <w:highlight w:val="none"/>
        </w:rPr>
        <w:t>八、词语含义</w:t>
      </w:r>
      <w:bookmarkEnd w:id="170"/>
      <w:bookmarkEnd w:id="171"/>
      <w:bookmarkEnd w:id="172"/>
      <w:bookmarkEnd w:id="173"/>
      <w:bookmarkEnd w:id="174"/>
      <w:bookmarkEnd w:id="175"/>
      <w:bookmarkEnd w:id="176"/>
      <w:bookmarkEnd w:id="177"/>
    </w:p>
    <w:p w14:paraId="06EB93A9">
      <w:pPr>
        <w:pStyle w:val="73"/>
        <w:pageBreakBefore w:val="0"/>
        <w:kinsoku/>
        <w:wordWrap/>
        <w:overflowPunct/>
        <w:topLinePunct w:val="0"/>
        <w:bidi w:val="0"/>
        <w:snapToGrid/>
        <w:spacing w:beforeLines="0" w:line="360" w:lineRule="auto"/>
        <w:ind w:firstLine="480"/>
        <w:textAlignment w:val="auto"/>
        <w:rPr>
          <w:rFonts w:hint="eastAsia"/>
          <w:color w:val="auto"/>
          <w:sz w:val="24"/>
          <w:szCs w:val="24"/>
          <w:highlight w:val="none"/>
        </w:rPr>
      </w:pPr>
      <w:r>
        <w:rPr>
          <w:rFonts w:hint="eastAsia"/>
          <w:color w:val="auto"/>
          <w:sz w:val="24"/>
          <w:szCs w:val="24"/>
          <w:highlight w:val="none"/>
        </w:rPr>
        <w:t>合同协议书中的词语含义与通用合同条款和专用合同条款中的含义相同。</w:t>
      </w:r>
    </w:p>
    <w:p w14:paraId="4AB188EA">
      <w:pPr>
        <w:pStyle w:val="72"/>
        <w:pageBreakBefore w:val="0"/>
        <w:numPr>
          <w:ilvl w:val="0"/>
          <w:numId w:val="0"/>
        </w:numPr>
        <w:kinsoku/>
        <w:wordWrap/>
        <w:overflowPunct/>
        <w:topLinePunct w:val="0"/>
        <w:bidi w:val="0"/>
        <w:snapToGrid/>
        <w:spacing w:before="0" w:after="0" w:line="360" w:lineRule="auto"/>
        <w:textAlignment w:val="auto"/>
        <w:rPr>
          <w:rFonts w:hint="eastAsia"/>
          <w:color w:val="auto"/>
          <w:sz w:val="24"/>
          <w:szCs w:val="24"/>
          <w:highlight w:val="none"/>
        </w:rPr>
      </w:pPr>
      <w:bookmarkStart w:id="178" w:name="_Toc182389601"/>
      <w:bookmarkStart w:id="179" w:name="_Toc31756"/>
      <w:bookmarkStart w:id="180" w:name="_Toc182389407"/>
      <w:bookmarkStart w:id="181" w:name="_Toc18155964"/>
      <w:bookmarkStart w:id="182" w:name="_Toc18"/>
      <w:bookmarkStart w:id="183" w:name="_Toc19542"/>
      <w:bookmarkStart w:id="184" w:name="_Toc56155177"/>
      <w:bookmarkStart w:id="185" w:name="_Toc1976911908"/>
      <w:r>
        <w:rPr>
          <w:rFonts w:hint="eastAsia"/>
          <w:color w:val="auto"/>
          <w:sz w:val="24"/>
          <w:szCs w:val="24"/>
          <w:highlight w:val="none"/>
        </w:rPr>
        <w:t>九、合同订立和生效</w:t>
      </w:r>
      <w:bookmarkEnd w:id="178"/>
      <w:bookmarkEnd w:id="179"/>
      <w:bookmarkEnd w:id="180"/>
      <w:bookmarkEnd w:id="181"/>
      <w:bookmarkEnd w:id="182"/>
      <w:bookmarkEnd w:id="183"/>
      <w:bookmarkEnd w:id="184"/>
      <w:bookmarkEnd w:id="185"/>
    </w:p>
    <w:p w14:paraId="33215F5F">
      <w:pPr>
        <w:pStyle w:val="73"/>
        <w:pageBreakBefore w:val="0"/>
        <w:numPr>
          <w:ilvl w:val="0"/>
          <w:numId w:val="9"/>
        </w:numPr>
        <w:kinsoku/>
        <w:wordWrap/>
        <w:overflowPunct/>
        <w:topLinePunct w:val="0"/>
        <w:bidi w:val="0"/>
        <w:snapToGrid/>
        <w:spacing w:beforeLines="0" w:line="360" w:lineRule="auto"/>
        <w:ind w:left="0" w:firstLine="426" w:firstLineChars="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合同订立时间：_________年_____月_____日。</w:t>
      </w:r>
    </w:p>
    <w:p w14:paraId="333E1B73">
      <w:pPr>
        <w:pStyle w:val="73"/>
        <w:pageBreakBefore w:val="0"/>
        <w:numPr>
          <w:ilvl w:val="0"/>
          <w:numId w:val="9"/>
        </w:numPr>
        <w:kinsoku/>
        <w:wordWrap/>
        <w:overflowPunct/>
        <w:topLinePunct w:val="0"/>
        <w:bidi w:val="0"/>
        <w:snapToGrid/>
        <w:spacing w:beforeLines="0" w:line="360" w:lineRule="auto"/>
        <w:ind w:left="0" w:firstLine="426" w:firstLineChars="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合同订立地点：_________________________。</w:t>
      </w:r>
    </w:p>
    <w:p w14:paraId="4BF2B942">
      <w:pPr>
        <w:pStyle w:val="73"/>
        <w:pageBreakBefore w:val="0"/>
        <w:numPr>
          <w:ilvl w:val="0"/>
          <w:numId w:val="9"/>
        </w:numPr>
        <w:kinsoku/>
        <w:wordWrap/>
        <w:overflowPunct/>
        <w:topLinePunct w:val="0"/>
        <w:bidi w:val="0"/>
        <w:snapToGrid/>
        <w:spacing w:beforeLines="0" w:line="360" w:lineRule="auto"/>
        <w:ind w:left="0" w:firstLine="426" w:firstLineChars="0"/>
        <w:textAlignment w:val="auto"/>
        <w:rPr>
          <w:rFonts w:hint="eastAsia"/>
          <w:color w:val="auto"/>
          <w:sz w:val="24"/>
          <w:szCs w:val="24"/>
          <w:highlight w:val="none"/>
        </w:rPr>
      </w:pPr>
      <w:r>
        <w:rPr>
          <w:rFonts w:hint="eastAsia" w:ascii="Times New Roman" w:hAnsi="Times New Roman" w:cs="Times New Roman"/>
          <w:color w:val="auto"/>
          <w:sz w:val="24"/>
          <w:szCs w:val="24"/>
          <w:highlight w:val="none"/>
        </w:rPr>
        <w:t>本合同经双</w:t>
      </w:r>
      <w:r>
        <w:rPr>
          <w:rFonts w:hint="eastAsia"/>
          <w:color w:val="auto"/>
          <w:sz w:val="24"/>
          <w:szCs w:val="24"/>
          <w:highlight w:val="none"/>
        </w:rPr>
        <w:t>方</w:t>
      </w:r>
      <w:r>
        <w:rPr>
          <w:rFonts w:hint="eastAsia" w:cs="宋体"/>
          <w:color w:val="auto"/>
          <w:sz w:val="24"/>
          <w:szCs w:val="24"/>
          <w:highlight w:val="none"/>
          <w:shd w:val="clear" w:color="auto" w:fill="FFFFFF"/>
        </w:rPr>
        <w:t>签名</w:t>
      </w:r>
      <w:r>
        <w:rPr>
          <w:rFonts w:hint="eastAsia"/>
          <w:color w:val="auto"/>
          <w:sz w:val="24"/>
          <w:szCs w:val="24"/>
          <w:highlight w:val="none"/>
        </w:rPr>
        <w:t>或盖章后成立，并自______________________________生效。</w:t>
      </w:r>
    </w:p>
    <w:p w14:paraId="44F3ADC1">
      <w:pPr>
        <w:pStyle w:val="73"/>
        <w:pageBreakBefore w:val="0"/>
        <w:numPr>
          <w:ilvl w:val="0"/>
          <w:numId w:val="9"/>
        </w:numPr>
        <w:kinsoku/>
        <w:wordWrap/>
        <w:overflowPunct/>
        <w:topLinePunct w:val="0"/>
        <w:bidi w:val="0"/>
        <w:snapToGrid/>
        <w:spacing w:beforeLines="0" w:line="360" w:lineRule="auto"/>
        <w:ind w:left="0" w:firstLine="426" w:firstLineChars="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本合同一式____份，每份均具有同等法律效力，其中委托人执____份，受托人执____份。</w:t>
      </w:r>
    </w:p>
    <w:tbl>
      <w:tblPr>
        <w:tblStyle w:val="26"/>
        <w:tblpPr w:leftFromText="180" w:rightFromText="180" w:vertAnchor="text" w:horzAnchor="margin" w:tblpY="14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0"/>
        <w:gridCol w:w="4599"/>
      </w:tblGrid>
      <w:tr w14:paraId="526F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4540" w:type="dxa"/>
            <w:tcBorders>
              <w:top w:val="nil"/>
              <w:left w:val="nil"/>
              <w:bottom w:val="nil"/>
              <w:right w:val="nil"/>
              <w:tl2br w:val="nil"/>
              <w:tr2bl w:val="nil"/>
            </w:tcBorders>
            <w:noWrap w:val="0"/>
            <w:vAlign w:val="top"/>
          </w:tcPr>
          <w:p w14:paraId="31644CAB">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color w:val="auto"/>
                <w:sz w:val="24"/>
                <w:szCs w:val="22"/>
                <w:highlight w:val="none"/>
              </w:rPr>
              <w:t>委托人：</w:t>
            </w:r>
            <w:r>
              <w:rPr>
                <w:rFonts w:hint="eastAsia" w:hAnsi="宋体"/>
                <w:color w:val="auto"/>
                <w:sz w:val="24"/>
                <w:szCs w:val="24"/>
                <w:highlight w:val="none"/>
                <w:u w:val="single"/>
              </w:rPr>
              <w:t>中国光大银行股份有限公司广州分行</w:t>
            </w:r>
            <w:r>
              <w:rPr>
                <w:rFonts w:hint="eastAsia" w:hAnsi="宋体"/>
                <w:color w:val="auto"/>
                <w:sz w:val="24"/>
                <w:szCs w:val="24"/>
                <w:highlight w:val="none"/>
              </w:rPr>
              <w:t>（公章）</w:t>
            </w:r>
          </w:p>
          <w:p w14:paraId="5B0723C7">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p>
        </w:tc>
        <w:tc>
          <w:tcPr>
            <w:tcW w:w="4599" w:type="dxa"/>
            <w:tcBorders>
              <w:top w:val="nil"/>
              <w:left w:val="nil"/>
              <w:bottom w:val="nil"/>
              <w:right w:val="nil"/>
              <w:tl2br w:val="nil"/>
              <w:tr2bl w:val="nil"/>
            </w:tcBorders>
            <w:noWrap w:val="0"/>
            <w:vAlign w:val="top"/>
          </w:tcPr>
          <w:p w14:paraId="548DE20F">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受托人：</w:t>
            </w:r>
            <w:r>
              <w:rPr>
                <w:rFonts w:hint="eastAsia" w:hAnsi="宋体"/>
                <w:color w:val="auto"/>
                <w:sz w:val="24"/>
                <w:szCs w:val="22"/>
                <w:highlight w:val="none"/>
                <w:u w:val="single"/>
              </w:rPr>
              <w:t xml:space="preserve">                    </w:t>
            </w:r>
            <w:r>
              <w:rPr>
                <w:rFonts w:hint="eastAsia" w:hAnsi="宋体"/>
                <w:color w:val="auto"/>
                <w:sz w:val="24"/>
                <w:szCs w:val="24"/>
                <w:highlight w:val="none"/>
              </w:rPr>
              <w:t>（公章）</w:t>
            </w:r>
          </w:p>
        </w:tc>
      </w:tr>
      <w:tr w14:paraId="3A27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4540" w:type="dxa"/>
            <w:tcBorders>
              <w:top w:val="nil"/>
              <w:left w:val="nil"/>
              <w:bottom w:val="nil"/>
              <w:right w:val="nil"/>
              <w:tl2br w:val="nil"/>
              <w:tr2bl w:val="nil"/>
            </w:tcBorders>
            <w:noWrap w:val="0"/>
            <w:vAlign w:val="top"/>
          </w:tcPr>
          <w:p w14:paraId="02F2C14B">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法定代表人或其委托代理人：</w:t>
            </w:r>
          </w:p>
          <w:p w14:paraId="5ED6B963">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（签名）</w:t>
            </w:r>
          </w:p>
          <w:p w14:paraId="2A177395">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p>
        </w:tc>
        <w:tc>
          <w:tcPr>
            <w:tcW w:w="4599" w:type="dxa"/>
            <w:tcBorders>
              <w:top w:val="nil"/>
              <w:left w:val="nil"/>
              <w:bottom w:val="nil"/>
              <w:right w:val="nil"/>
              <w:tl2br w:val="nil"/>
              <w:tr2bl w:val="nil"/>
            </w:tcBorders>
            <w:noWrap w:val="0"/>
            <w:vAlign w:val="top"/>
          </w:tcPr>
          <w:p w14:paraId="0CA54D1A">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法定代表人或其委托代理人：</w:t>
            </w:r>
          </w:p>
          <w:p w14:paraId="2E5639C8">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（签名）</w:t>
            </w:r>
          </w:p>
          <w:p w14:paraId="669BD2ED">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p>
        </w:tc>
      </w:tr>
      <w:tr w14:paraId="4515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9" w:hRule="atLeast"/>
        </w:trPr>
        <w:tc>
          <w:tcPr>
            <w:tcW w:w="4540" w:type="dxa"/>
            <w:tcBorders>
              <w:top w:val="nil"/>
              <w:left w:val="nil"/>
              <w:bottom w:val="nil"/>
              <w:right w:val="nil"/>
              <w:tl2br w:val="nil"/>
              <w:tr2bl w:val="nil"/>
            </w:tcBorders>
            <w:noWrap w:val="0"/>
            <w:vAlign w:val="top"/>
          </w:tcPr>
          <w:p w14:paraId="3B5C7E8D">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统一社会信用代码：___________</w:t>
            </w:r>
          </w:p>
          <w:p w14:paraId="5EA173FB">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地址：_______________________</w:t>
            </w:r>
          </w:p>
          <w:p w14:paraId="60EF87D6">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法定代表人：_________________</w:t>
            </w:r>
          </w:p>
          <w:p w14:paraId="7C30AB4B">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委托代理人：_________________</w:t>
            </w:r>
          </w:p>
          <w:p w14:paraId="5122CA1E">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电话：_______________________</w:t>
            </w:r>
          </w:p>
          <w:p w14:paraId="5CD72CC7">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电子邮箱：___________________</w:t>
            </w:r>
          </w:p>
          <w:p w14:paraId="78732EBB">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开户银行：___________________</w:t>
            </w:r>
          </w:p>
          <w:p w14:paraId="568C9C65">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账号：_______________________</w:t>
            </w:r>
          </w:p>
        </w:tc>
        <w:tc>
          <w:tcPr>
            <w:tcW w:w="4599" w:type="dxa"/>
            <w:tcBorders>
              <w:top w:val="nil"/>
              <w:left w:val="nil"/>
              <w:bottom w:val="nil"/>
              <w:right w:val="nil"/>
              <w:tl2br w:val="nil"/>
              <w:tr2bl w:val="nil"/>
            </w:tcBorders>
            <w:noWrap w:val="0"/>
            <w:vAlign w:val="top"/>
          </w:tcPr>
          <w:p w14:paraId="4F42509D">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统一社会信用代码：</w:t>
            </w:r>
            <w:r>
              <w:rPr>
                <w:rFonts w:hint="eastAsia" w:hAnsi="宋体"/>
                <w:color w:val="auto"/>
                <w:sz w:val="24"/>
                <w:szCs w:val="24"/>
                <w:highlight w:val="none"/>
                <w:u w:val="single"/>
              </w:rPr>
              <w:t xml:space="preserve">                  </w:t>
            </w:r>
          </w:p>
          <w:p w14:paraId="16EB3C0F">
            <w:pPr>
              <w:pStyle w:val="74"/>
              <w:pageBreakBefore w:val="0"/>
              <w:kinsoku/>
              <w:wordWrap/>
              <w:overflowPunct/>
              <w:topLinePunct w:val="0"/>
              <w:bidi w:val="0"/>
              <w:snapToGrid/>
              <w:spacing w:line="360" w:lineRule="auto"/>
              <w:textAlignment w:val="auto"/>
              <w:rPr>
                <w:rFonts w:hint="eastAsia" w:hAnsi="宋体"/>
                <w:color w:val="auto"/>
                <w:sz w:val="24"/>
                <w:szCs w:val="24"/>
                <w:highlight w:val="none"/>
                <w:u w:val="single"/>
              </w:rPr>
            </w:pPr>
            <w:r>
              <w:rPr>
                <w:rFonts w:hint="eastAsia" w:hAnsi="宋体"/>
                <w:color w:val="auto"/>
                <w:sz w:val="24"/>
                <w:szCs w:val="24"/>
                <w:highlight w:val="none"/>
              </w:rPr>
              <w:t>地址：</w:t>
            </w:r>
            <w:r>
              <w:rPr>
                <w:rFonts w:hint="eastAsia" w:hAnsi="宋体"/>
                <w:color w:val="auto"/>
                <w:sz w:val="24"/>
                <w:szCs w:val="24"/>
                <w:highlight w:val="none"/>
                <w:u w:val="single"/>
              </w:rPr>
              <w:t xml:space="preserve">                          </w:t>
            </w:r>
          </w:p>
          <w:p w14:paraId="1EF4F39D">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法定代表人：___________________</w:t>
            </w:r>
          </w:p>
          <w:p w14:paraId="1D493296">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委托代理人：___________________</w:t>
            </w:r>
          </w:p>
          <w:p w14:paraId="153A76EA">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电话：_________________________</w:t>
            </w:r>
          </w:p>
          <w:p w14:paraId="411AF472">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电子邮箱：_____________________</w:t>
            </w:r>
          </w:p>
          <w:p w14:paraId="581C5C75">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p>
          <w:p w14:paraId="3652ED4E">
            <w:pPr>
              <w:pStyle w:val="74"/>
              <w:pageBreakBefore w:val="0"/>
              <w:kinsoku/>
              <w:wordWrap/>
              <w:overflowPunct/>
              <w:topLinePunct w:val="0"/>
              <w:bidi w:val="0"/>
              <w:snapToGrid/>
              <w:spacing w:line="360" w:lineRule="auto"/>
              <w:textAlignment w:val="auto"/>
              <w:rPr>
                <w:rFonts w:hint="eastAsia" w:hAnsi="宋体"/>
                <w:color w:val="auto"/>
                <w:sz w:val="24"/>
                <w:szCs w:val="24"/>
                <w:highlight w:val="none"/>
              </w:rPr>
            </w:pPr>
            <w:r>
              <w:rPr>
                <w:rFonts w:hint="eastAsia" w:hAnsi="宋体"/>
                <w:color w:val="auto"/>
                <w:sz w:val="24"/>
                <w:szCs w:val="24"/>
                <w:highlight w:val="none"/>
              </w:rPr>
              <w:t>账号：</w:t>
            </w:r>
            <w:r>
              <w:rPr>
                <w:rFonts w:hint="eastAsia" w:hAnsi="宋体"/>
                <w:color w:val="auto"/>
                <w:sz w:val="24"/>
                <w:szCs w:val="24"/>
                <w:highlight w:val="none"/>
                <w:u w:val="single"/>
              </w:rPr>
              <w:t xml:space="preserve">                            </w:t>
            </w:r>
          </w:p>
        </w:tc>
      </w:tr>
    </w:tbl>
    <w:p w14:paraId="41F49B46">
      <w:pPr>
        <w:pageBreakBefore w:val="0"/>
        <w:kinsoku/>
        <w:wordWrap/>
        <w:overflowPunct/>
        <w:topLinePunct w:val="0"/>
        <w:bidi w:val="0"/>
        <w:snapToGrid/>
        <w:spacing w:line="360" w:lineRule="auto"/>
        <w:textAlignment w:val="auto"/>
        <w:rPr>
          <w:rFonts w:hint="eastAsia"/>
          <w:color w:val="auto"/>
          <w:sz w:val="24"/>
          <w:szCs w:val="24"/>
          <w:highlight w:val="none"/>
        </w:rPr>
        <w:sectPr>
          <w:footerReference r:id="rId12" w:type="default"/>
          <w:type w:val="continuous"/>
          <w:pgSz w:w="11904" w:h="16840"/>
          <w:pgMar w:top="1430" w:right="1440" w:bottom="1440" w:left="1440" w:header="720" w:footer="850" w:gutter="0"/>
          <w:lnNumType w:countBy="0" w:distance="360"/>
          <w:pgNumType w:fmt="decimal"/>
          <w:cols w:space="720" w:num="1"/>
          <w:docGrid w:linePitch="326" w:charSpace="0"/>
        </w:sectPr>
      </w:pPr>
    </w:p>
    <w:p w14:paraId="5FCE2F91">
      <w:pPr>
        <w:pStyle w:val="71"/>
        <w:pageBreakBefore w:val="0"/>
        <w:numPr>
          <w:ilvl w:val="0"/>
          <w:numId w:val="10"/>
        </w:numPr>
        <w:kinsoku/>
        <w:wordWrap/>
        <w:overflowPunct/>
        <w:topLinePunct w:val="0"/>
        <w:bidi w:val="0"/>
        <w:adjustRightInd w:val="0"/>
        <w:snapToGrid/>
        <w:spacing w:before="0" w:after="0" w:line="360" w:lineRule="auto"/>
        <w:jc w:val="center"/>
        <w:textAlignment w:val="auto"/>
        <w:rPr>
          <w:rFonts w:hint="eastAsia"/>
          <w:color w:val="auto"/>
          <w:highlight w:val="none"/>
        </w:rPr>
      </w:pPr>
      <w:bookmarkStart w:id="186" w:name="_Toc283"/>
      <w:bookmarkStart w:id="187" w:name="_Toc4593"/>
      <w:bookmarkStart w:id="188" w:name="_Toc18155965"/>
      <w:bookmarkStart w:id="189" w:name="_Toc1857356965"/>
      <w:bookmarkStart w:id="190" w:name="_Toc56155178"/>
      <w:bookmarkStart w:id="191" w:name="_Toc24620"/>
      <w:bookmarkStart w:id="192" w:name="_Toc182389408"/>
      <w:bookmarkStart w:id="193" w:name="_Toc182389602"/>
      <w:r>
        <w:rPr>
          <w:rFonts w:hint="eastAsia"/>
          <w:color w:val="auto"/>
          <w:highlight w:val="none"/>
        </w:rPr>
        <w:t>通用合同</w:t>
      </w:r>
      <w:bookmarkEnd w:id="186"/>
      <w:bookmarkEnd w:id="187"/>
      <w:bookmarkEnd w:id="188"/>
      <w:bookmarkEnd w:id="189"/>
      <w:bookmarkEnd w:id="190"/>
      <w:r>
        <w:rPr>
          <w:rFonts w:hint="eastAsia"/>
          <w:color w:val="auto"/>
          <w:highlight w:val="none"/>
        </w:rPr>
        <w:t>条款</w:t>
      </w:r>
      <w:bookmarkEnd w:id="191"/>
      <w:bookmarkEnd w:id="192"/>
      <w:bookmarkEnd w:id="193"/>
    </w:p>
    <w:p w14:paraId="04E55C30">
      <w:pPr>
        <w:pageBreakBefore w:val="0"/>
        <w:kinsoku/>
        <w:wordWrap/>
        <w:overflowPunct/>
        <w:topLinePunct w:val="0"/>
        <w:bidi w:val="0"/>
        <w:snapToGrid/>
        <w:spacing w:line="360" w:lineRule="auto"/>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见广州市建设工程造价咨询合同（SF-2019-0205）</w:t>
      </w:r>
    </w:p>
    <w:p w14:paraId="725AF562">
      <w:pPr>
        <w:pStyle w:val="2"/>
        <w:pageBreakBefore w:val="0"/>
        <w:kinsoku/>
        <w:wordWrap/>
        <w:overflowPunct/>
        <w:topLinePunct w:val="0"/>
        <w:bidi w:val="0"/>
        <w:snapToGrid/>
        <w:spacing w:after="0" w:line="360" w:lineRule="auto"/>
        <w:textAlignment w:val="auto"/>
        <w:rPr>
          <w:rFonts w:hint="eastAsia"/>
          <w:color w:val="auto"/>
          <w:highlight w:val="none"/>
          <w:lang w:val="en-US" w:eastAsia="zh-CN"/>
        </w:rPr>
      </w:pPr>
    </w:p>
    <w:p w14:paraId="5672D672">
      <w:pPr>
        <w:pStyle w:val="71"/>
        <w:pageBreakBefore w:val="0"/>
        <w:kinsoku/>
        <w:wordWrap/>
        <w:overflowPunct/>
        <w:topLinePunct w:val="0"/>
        <w:bidi w:val="0"/>
        <w:adjustRightInd w:val="0"/>
        <w:snapToGrid/>
        <w:spacing w:before="0" w:after="0" w:line="360" w:lineRule="auto"/>
        <w:jc w:val="center"/>
        <w:textAlignment w:val="auto"/>
        <w:rPr>
          <w:rFonts w:hint="eastAsia"/>
          <w:color w:val="auto"/>
          <w:sz w:val="36"/>
          <w:szCs w:val="44"/>
          <w:highlight w:val="none"/>
        </w:rPr>
      </w:pPr>
      <w:bookmarkStart w:id="194" w:name="_Toc1375"/>
      <w:bookmarkStart w:id="195" w:name="_Toc964064681"/>
      <w:bookmarkStart w:id="196" w:name="_Toc19981"/>
      <w:bookmarkStart w:id="197" w:name="_Toc56155249"/>
      <w:bookmarkStart w:id="198" w:name="_Toc18156036"/>
      <w:bookmarkStart w:id="199" w:name="_Toc182389616"/>
      <w:bookmarkStart w:id="200" w:name="_Toc182389477"/>
      <w:bookmarkStart w:id="201" w:name="_Toc23340"/>
      <w:r>
        <w:rPr>
          <w:rFonts w:hint="eastAsia"/>
          <w:color w:val="auto"/>
          <w:sz w:val="36"/>
          <w:szCs w:val="44"/>
          <w:highlight w:val="none"/>
        </w:rPr>
        <w:t>第三部分 专用合同</w:t>
      </w:r>
      <w:bookmarkEnd w:id="194"/>
      <w:bookmarkEnd w:id="195"/>
      <w:bookmarkEnd w:id="196"/>
      <w:bookmarkEnd w:id="197"/>
      <w:bookmarkEnd w:id="198"/>
      <w:r>
        <w:rPr>
          <w:rFonts w:hint="eastAsia"/>
          <w:color w:val="auto"/>
          <w:sz w:val="36"/>
          <w:szCs w:val="44"/>
          <w:highlight w:val="none"/>
        </w:rPr>
        <w:t>条款</w:t>
      </w:r>
      <w:bookmarkEnd w:id="199"/>
      <w:bookmarkEnd w:id="200"/>
      <w:bookmarkEnd w:id="201"/>
    </w:p>
    <w:p w14:paraId="55A9078E">
      <w:pPr>
        <w:pStyle w:val="75"/>
        <w:pageBreakBefore w:val="0"/>
        <w:kinsoku/>
        <w:wordWrap/>
        <w:overflowPunct/>
        <w:topLinePunct w:val="0"/>
        <w:bidi w:val="0"/>
        <w:snapToGrid/>
        <w:spacing w:before="0" w:beforeLines="0" w:after="0" w:line="360" w:lineRule="auto"/>
        <w:textAlignment w:val="auto"/>
        <w:rPr>
          <w:rFonts w:hint="eastAsia"/>
          <w:color w:val="auto"/>
          <w:sz w:val="28"/>
          <w:szCs w:val="24"/>
          <w:highlight w:val="none"/>
        </w:rPr>
      </w:pPr>
      <w:bookmarkStart w:id="202" w:name="_Toc5479"/>
      <w:bookmarkStart w:id="203" w:name="_Toc2831"/>
      <w:r>
        <w:rPr>
          <w:rFonts w:hint="eastAsia"/>
          <w:color w:val="auto"/>
          <w:sz w:val="28"/>
          <w:szCs w:val="24"/>
          <w:highlight w:val="none"/>
        </w:rPr>
        <w:fldChar w:fldCharType="begin"/>
      </w:r>
      <w:r>
        <w:rPr>
          <w:rFonts w:hint="eastAsia"/>
          <w:color w:val="auto"/>
          <w:sz w:val="28"/>
          <w:szCs w:val="24"/>
          <w:highlight w:val="none"/>
        </w:rPr>
        <w:instrText xml:space="preserve"> REF _Ref508893699 \h  \* MERGEFORMAT </w:instrText>
      </w:r>
      <w:r>
        <w:rPr>
          <w:rFonts w:hint="eastAsia"/>
          <w:color w:val="auto"/>
          <w:sz w:val="28"/>
          <w:szCs w:val="24"/>
          <w:highlight w:val="none"/>
        </w:rPr>
        <w:fldChar w:fldCharType="separate"/>
      </w:r>
      <w:bookmarkStart w:id="204" w:name="_Toc182389478"/>
      <w:bookmarkStart w:id="205" w:name="_Toc182389617"/>
      <w:r>
        <w:rPr>
          <w:rFonts w:hint="eastAsia"/>
          <w:color w:val="auto"/>
          <w:sz w:val="28"/>
          <w:szCs w:val="24"/>
          <w:highlight w:val="none"/>
        </w:rPr>
        <w:t>一般约定</w:t>
      </w:r>
      <w:bookmarkEnd w:id="204"/>
      <w:r>
        <w:rPr>
          <w:rFonts w:hint="eastAsia"/>
          <w:color w:val="auto"/>
          <w:sz w:val="28"/>
          <w:szCs w:val="24"/>
          <w:highlight w:val="none"/>
        </w:rPr>
        <w:fldChar w:fldCharType="end"/>
      </w:r>
      <w:bookmarkEnd w:id="202"/>
      <w:bookmarkEnd w:id="203"/>
      <w:bookmarkEnd w:id="205"/>
    </w:p>
    <w:p w14:paraId="089F86F2">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b/>
          <w:color w:val="auto"/>
          <w:sz w:val="24"/>
          <w:szCs w:val="24"/>
          <w:highlight w:val="none"/>
        </w:rPr>
        <w:fldChar w:fldCharType="begin"/>
      </w:r>
      <w:r>
        <w:rPr>
          <w:rFonts w:hint="eastAsia"/>
          <w:b/>
          <w:color w:val="auto"/>
          <w:sz w:val="24"/>
          <w:szCs w:val="24"/>
          <w:highlight w:val="none"/>
        </w:rPr>
        <w:instrText xml:space="preserve"> REF _Ref523741471 \r \h  \* MERGEFORMAT </w:instrText>
      </w:r>
      <w:r>
        <w:rPr>
          <w:rFonts w:hint="eastAsia"/>
          <w:b/>
          <w:color w:val="auto"/>
          <w:sz w:val="24"/>
          <w:szCs w:val="24"/>
          <w:highlight w:val="none"/>
        </w:rPr>
        <w:fldChar w:fldCharType="separate"/>
      </w:r>
      <w:r>
        <w:rPr>
          <w:rFonts w:hint="eastAsia"/>
          <w:b/>
          <w:color w:val="auto"/>
          <w:sz w:val="24"/>
          <w:szCs w:val="24"/>
          <w:highlight w:val="none"/>
        </w:rPr>
        <w:t>1.1</w:t>
      </w:r>
      <w:r>
        <w:rPr>
          <w:rFonts w:hint="eastAsia"/>
          <w:b/>
          <w:color w:val="auto"/>
          <w:sz w:val="24"/>
          <w:szCs w:val="24"/>
          <w:highlight w:val="none"/>
        </w:rPr>
        <w:fldChar w:fldCharType="end"/>
      </w:r>
      <w:r>
        <w:rPr>
          <w:rFonts w:hint="eastAsia"/>
          <w:b/>
          <w:color w:val="auto"/>
          <w:sz w:val="24"/>
          <w:szCs w:val="24"/>
          <w:highlight w:val="none"/>
        </w:rPr>
        <w:fldChar w:fldCharType="begin"/>
      </w:r>
      <w:r>
        <w:rPr>
          <w:rFonts w:hint="eastAsia"/>
          <w:b/>
          <w:color w:val="auto"/>
          <w:sz w:val="24"/>
          <w:szCs w:val="24"/>
          <w:highlight w:val="none"/>
        </w:rPr>
        <w:instrText xml:space="preserve"> REF _Ref523741474 \h  \* MERGEFORMAT </w:instrText>
      </w:r>
      <w:r>
        <w:rPr>
          <w:rFonts w:hint="eastAsia"/>
          <w:b/>
          <w:color w:val="auto"/>
          <w:sz w:val="24"/>
          <w:szCs w:val="24"/>
          <w:highlight w:val="none"/>
        </w:rPr>
        <w:fldChar w:fldCharType="separate"/>
      </w:r>
      <w:r>
        <w:rPr>
          <w:rFonts w:hint="eastAsia"/>
          <w:b/>
          <w:color w:val="auto"/>
          <w:sz w:val="24"/>
          <w:szCs w:val="24"/>
          <w:highlight w:val="none"/>
        </w:rPr>
        <w:t>定义和解释</w:t>
      </w:r>
      <w:r>
        <w:rPr>
          <w:rFonts w:hint="eastAsia"/>
          <w:b/>
          <w:color w:val="auto"/>
          <w:sz w:val="24"/>
          <w:szCs w:val="24"/>
          <w:highlight w:val="none"/>
        </w:rPr>
        <w:fldChar w:fldCharType="end"/>
      </w:r>
    </w:p>
    <w:p w14:paraId="42DF6CB8">
      <w:pPr>
        <w:pageBreakBefore w:val="0"/>
        <w:kinsoku/>
        <w:wordWrap/>
        <w:overflowPunct/>
        <w:topLinePunct w:val="0"/>
        <w:bidi w:val="0"/>
        <w:snapToGrid/>
        <w:spacing w:line="360" w:lineRule="auto"/>
        <w:textAlignment w:val="auto"/>
        <w:rPr>
          <w:rFonts w:hint="eastAsia"/>
          <w:color w:val="auto"/>
          <w:sz w:val="24"/>
          <w:szCs w:val="24"/>
          <w:highlight w:val="none"/>
          <w:u w:val="single"/>
        </w:rPr>
      </w:pPr>
      <w:r>
        <w:rPr>
          <w:rFonts w:hint="eastAsia"/>
          <w:color w:val="auto"/>
          <w:sz w:val="24"/>
          <w:szCs w:val="24"/>
          <w:highlight w:val="none"/>
        </w:rPr>
        <w:t>合同当事人补充定义和解释的其他内容：</w:t>
      </w:r>
      <w:r>
        <w:rPr>
          <w:rFonts w:hint="eastAsia"/>
          <w:color w:val="auto"/>
          <w:sz w:val="24"/>
          <w:szCs w:val="24"/>
          <w:highlight w:val="none"/>
          <w:u w:val="single"/>
        </w:rPr>
        <w:t xml:space="preserve">              /                  。</w:t>
      </w:r>
    </w:p>
    <w:p w14:paraId="620E045B">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_Ref522730349 \r \h  \* MERGEFORMAT </w:instrText>
      </w:r>
      <w:r>
        <w:rPr>
          <w:rFonts w:hint="eastAsia"/>
          <w:color w:val="auto"/>
          <w:sz w:val="24"/>
          <w:szCs w:val="24"/>
          <w:highlight w:val="none"/>
        </w:rPr>
        <w:fldChar w:fldCharType="separate"/>
      </w:r>
      <w:r>
        <w:rPr>
          <w:rFonts w:hint="eastAsia"/>
          <w:b/>
          <w:color w:val="auto"/>
          <w:sz w:val="24"/>
          <w:szCs w:val="24"/>
          <w:highlight w:val="none"/>
        </w:rPr>
        <w:t>1.2</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_Ref522730349 \h  \* MERGEFORMAT </w:instrText>
      </w:r>
      <w:r>
        <w:rPr>
          <w:rFonts w:hint="eastAsia"/>
          <w:color w:val="auto"/>
          <w:sz w:val="24"/>
          <w:szCs w:val="24"/>
          <w:highlight w:val="none"/>
        </w:rPr>
        <w:fldChar w:fldCharType="separate"/>
      </w:r>
      <w:r>
        <w:rPr>
          <w:rFonts w:hint="eastAsia"/>
          <w:b/>
          <w:color w:val="auto"/>
          <w:sz w:val="24"/>
          <w:szCs w:val="24"/>
          <w:highlight w:val="none"/>
        </w:rPr>
        <w:t>合同文件的优先顺序</w:t>
      </w:r>
      <w:r>
        <w:rPr>
          <w:rFonts w:hint="eastAsia"/>
          <w:b/>
          <w:color w:val="auto"/>
          <w:sz w:val="24"/>
          <w:szCs w:val="24"/>
          <w:highlight w:val="none"/>
        </w:rPr>
        <w:fldChar w:fldCharType="end"/>
      </w:r>
    </w:p>
    <w:p w14:paraId="3B95CE8C">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构成合同的文件及优先解释顺序为：</w:t>
      </w:r>
      <w:r>
        <w:rPr>
          <w:rFonts w:hint="eastAsia"/>
          <w:color w:val="auto"/>
          <w:sz w:val="24"/>
          <w:szCs w:val="24"/>
          <w:highlight w:val="none"/>
          <w:u w:val="single"/>
        </w:rPr>
        <w:t xml:space="preserve">               /                     。</w:t>
      </w:r>
    </w:p>
    <w:p w14:paraId="3D078BAD">
      <w:pPr>
        <w:pageBreakBefore w:val="0"/>
        <w:kinsoku/>
        <w:wordWrap/>
        <w:overflowPunct/>
        <w:topLinePunct w:val="0"/>
        <w:bidi w:val="0"/>
        <w:snapToGrid/>
        <w:spacing w:line="360" w:lineRule="auto"/>
        <w:textAlignment w:val="auto"/>
        <w:rPr>
          <w:rFonts w:hint="eastAsia"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REF _Ref521315553 \r \h  \* MERGEFORMAT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b/>
          <w:color w:val="auto"/>
          <w:sz w:val="24"/>
          <w:szCs w:val="24"/>
          <w:highlight w:val="none"/>
        </w:rPr>
        <w:t>1.</w:t>
      </w:r>
      <w:r>
        <w:rPr>
          <w:rFonts w:hint="eastAsia" w:ascii="Times New Roman" w:hAnsi="Times New Roman" w:cs="Times New Roman"/>
          <w:b/>
          <w:color w:val="auto"/>
          <w:sz w:val="24"/>
          <w:szCs w:val="24"/>
          <w:highlight w:val="none"/>
        </w:rPr>
        <w:t>3</w:t>
      </w:r>
      <w:r>
        <w:rPr>
          <w:rFonts w:hint="eastAsia" w:ascii="Times New Roman" w:hAnsi="Times New Roman" w:cs="Times New Roman"/>
          <w:b/>
          <w:color w:val="auto"/>
          <w:sz w:val="24"/>
          <w:szCs w:val="24"/>
          <w:highlight w:val="none"/>
        </w:rPr>
        <w:fldChar w:fldCharType="end"/>
      </w:r>
      <w:r>
        <w:rPr>
          <w:rFonts w:hint="default" w:ascii="Times New Roman" w:hAnsi="Times New Roman" w:cs="Times New Roman"/>
          <w:b/>
          <w:color w:val="auto"/>
          <w:sz w:val="24"/>
          <w:szCs w:val="24"/>
          <w:highlight w:val="none"/>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REF _Ref521315555 \h  \* MERGEFORMAT </w:instrText>
      </w:r>
      <w:r>
        <w:rPr>
          <w:rFonts w:hint="default" w:ascii="Times New Roman" w:hAnsi="Times New Roman" w:cs="Times New Roman"/>
          <w:color w:val="auto"/>
          <w:sz w:val="24"/>
          <w:szCs w:val="24"/>
          <w:highlight w:val="none"/>
        </w:rPr>
        <w:fldChar w:fldCharType="separate"/>
      </w:r>
      <w:r>
        <w:rPr>
          <w:rFonts w:hint="eastAsia" w:ascii="Times New Roman" w:hAnsi="Times New Roman" w:cs="Times New Roman"/>
          <w:b/>
          <w:color w:val="auto"/>
          <w:sz w:val="24"/>
          <w:szCs w:val="24"/>
          <w:highlight w:val="none"/>
        </w:rPr>
        <w:t>法律</w:t>
      </w:r>
      <w:r>
        <w:rPr>
          <w:rFonts w:hint="eastAsia" w:ascii="Times New Roman" w:hAnsi="Times New Roman" w:cs="Times New Roman"/>
          <w:b/>
          <w:color w:val="auto"/>
          <w:sz w:val="24"/>
          <w:szCs w:val="24"/>
          <w:highlight w:val="none"/>
        </w:rPr>
        <w:fldChar w:fldCharType="end"/>
      </w:r>
      <w:r>
        <w:rPr>
          <w:rFonts w:hint="eastAsia" w:ascii="Times New Roman" w:hAnsi="Times New Roman" w:cs="Times New Roman"/>
          <w:b/>
          <w:color w:val="auto"/>
          <w:sz w:val="24"/>
          <w:szCs w:val="24"/>
          <w:highlight w:val="none"/>
        </w:rPr>
        <w:t>法规</w:t>
      </w:r>
    </w:p>
    <w:p w14:paraId="20E6CACA">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适用法律法规：</w:t>
      </w:r>
    </w:p>
    <w:p w14:paraId="72B3BB4E">
      <w:pPr>
        <w:pageBreakBefore w:val="0"/>
        <w:widowControl/>
        <w:kinsoku/>
        <w:wordWrap/>
        <w:overflowPunct/>
        <w:topLinePunct w:val="0"/>
        <w:bidi w:val="0"/>
        <w:adjustRightInd/>
        <w:snapToGrid/>
        <w:spacing w:line="360" w:lineRule="auto"/>
        <w:textAlignment w:val="auto"/>
        <w:rPr>
          <w:rFonts w:hint="eastAsia" w:cs="宋体"/>
          <w:color w:val="auto"/>
          <w:sz w:val="24"/>
          <w:szCs w:val="24"/>
          <w:highlight w:val="none"/>
          <w:lang w:val="zh-TW"/>
        </w:rPr>
      </w:pPr>
      <w:r>
        <w:rPr>
          <w:rFonts w:hint="eastAsia" w:cs="宋体"/>
          <w:color w:val="auto"/>
          <w:sz w:val="24"/>
          <w:szCs w:val="24"/>
          <w:highlight w:val="none"/>
          <w:lang w:val="zh-TW"/>
        </w:rPr>
        <w:t>（</w:t>
      </w:r>
      <w:r>
        <w:rPr>
          <w:rFonts w:hint="eastAsia" w:cs="宋体"/>
          <w:color w:val="auto"/>
          <w:sz w:val="24"/>
          <w:szCs w:val="24"/>
          <w:highlight w:val="none"/>
        </w:rPr>
        <w:t>1</w:t>
      </w:r>
      <w:r>
        <w:rPr>
          <w:rFonts w:hint="eastAsia" w:cs="宋体"/>
          <w:color w:val="auto"/>
          <w:sz w:val="24"/>
          <w:szCs w:val="24"/>
          <w:highlight w:val="none"/>
          <w:lang w:val="zh-TW"/>
        </w:rPr>
        <w:t>）《</w:t>
      </w:r>
      <w:r>
        <w:rPr>
          <w:rFonts w:hint="eastAsia" w:cs="宋体"/>
          <w:color w:val="auto"/>
          <w:sz w:val="24"/>
          <w:szCs w:val="24"/>
          <w:highlight w:val="none"/>
        </w:rPr>
        <w:t>中华人民共和国民法典</w:t>
      </w:r>
      <w:r>
        <w:rPr>
          <w:rFonts w:hint="eastAsia" w:cs="宋体"/>
          <w:color w:val="auto"/>
          <w:sz w:val="24"/>
          <w:szCs w:val="24"/>
          <w:highlight w:val="none"/>
          <w:lang w:val="zh-TW"/>
        </w:rPr>
        <w:t>》；</w:t>
      </w:r>
    </w:p>
    <w:p w14:paraId="62C0C7D8">
      <w:pPr>
        <w:pageBreakBefore w:val="0"/>
        <w:widowControl/>
        <w:kinsoku/>
        <w:wordWrap/>
        <w:overflowPunct/>
        <w:topLinePunct w:val="0"/>
        <w:bidi w:val="0"/>
        <w:adjustRightInd/>
        <w:snapToGrid/>
        <w:spacing w:line="360" w:lineRule="auto"/>
        <w:textAlignment w:val="auto"/>
        <w:rPr>
          <w:rFonts w:hint="eastAsia" w:cs="宋体"/>
          <w:color w:val="auto"/>
          <w:sz w:val="24"/>
          <w:szCs w:val="24"/>
          <w:highlight w:val="none"/>
          <w:lang w:val="zh-TW"/>
        </w:rPr>
      </w:pPr>
      <w:r>
        <w:rPr>
          <w:rFonts w:hint="eastAsia" w:cs="宋体"/>
          <w:color w:val="auto"/>
          <w:sz w:val="24"/>
          <w:szCs w:val="24"/>
          <w:highlight w:val="none"/>
          <w:lang w:val="zh-TW"/>
        </w:rPr>
        <w:t>（</w:t>
      </w:r>
      <w:r>
        <w:rPr>
          <w:rFonts w:hint="eastAsia" w:cs="宋体"/>
          <w:color w:val="auto"/>
          <w:sz w:val="24"/>
          <w:szCs w:val="24"/>
          <w:highlight w:val="none"/>
        </w:rPr>
        <w:t>2</w:t>
      </w:r>
      <w:r>
        <w:rPr>
          <w:rFonts w:hint="eastAsia" w:cs="宋体"/>
          <w:color w:val="auto"/>
          <w:sz w:val="24"/>
          <w:szCs w:val="24"/>
          <w:highlight w:val="none"/>
          <w:lang w:val="zh-TW"/>
        </w:rPr>
        <w:t>）《中华人民共和国建筑法》；</w:t>
      </w:r>
    </w:p>
    <w:p w14:paraId="308CF863">
      <w:pPr>
        <w:pageBreakBefore w:val="0"/>
        <w:widowControl/>
        <w:kinsoku/>
        <w:wordWrap/>
        <w:overflowPunct/>
        <w:topLinePunct w:val="0"/>
        <w:bidi w:val="0"/>
        <w:adjustRightInd/>
        <w:snapToGrid/>
        <w:spacing w:line="360" w:lineRule="auto"/>
        <w:textAlignment w:val="auto"/>
        <w:rPr>
          <w:rFonts w:hint="eastAsia" w:cs="宋体"/>
          <w:color w:val="auto"/>
          <w:sz w:val="24"/>
          <w:szCs w:val="24"/>
          <w:highlight w:val="none"/>
          <w:lang w:val="zh-TW"/>
        </w:rPr>
      </w:pPr>
      <w:r>
        <w:rPr>
          <w:rFonts w:hint="eastAsia" w:cs="宋体"/>
          <w:color w:val="auto"/>
          <w:sz w:val="24"/>
          <w:szCs w:val="24"/>
          <w:highlight w:val="none"/>
          <w:lang w:val="zh-TW"/>
        </w:rPr>
        <w:t>（</w:t>
      </w:r>
      <w:r>
        <w:rPr>
          <w:rFonts w:hint="eastAsia" w:cs="宋体"/>
          <w:color w:val="auto"/>
          <w:sz w:val="24"/>
          <w:szCs w:val="24"/>
          <w:highlight w:val="none"/>
        </w:rPr>
        <w:t>3</w:t>
      </w:r>
      <w:r>
        <w:rPr>
          <w:rFonts w:hint="eastAsia" w:cs="宋体"/>
          <w:color w:val="auto"/>
          <w:sz w:val="24"/>
          <w:szCs w:val="24"/>
          <w:highlight w:val="none"/>
          <w:lang w:val="zh-TW"/>
        </w:rPr>
        <w:t>）《中华人民共和国招标投标法》；</w:t>
      </w:r>
    </w:p>
    <w:p w14:paraId="79FD7592">
      <w:pPr>
        <w:pageBreakBefore w:val="0"/>
        <w:widowControl/>
        <w:kinsoku/>
        <w:wordWrap/>
        <w:overflowPunct/>
        <w:topLinePunct w:val="0"/>
        <w:bidi w:val="0"/>
        <w:adjustRightInd/>
        <w:snapToGrid/>
        <w:spacing w:line="360" w:lineRule="auto"/>
        <w:textAlignment w:val="auto"/>
        <w:rPr>
          <w:rFonts w:hint="eastAsia" w:cs="宋体"/>
          <w:color w:val="auto"/>
          <w:sz w:val="24"/>
          <w:szCs w:val="24"/>
          <w:highlight w:val="none"/>
          <w:lang w:val="zh-TW"/>
        </w:rPr>
      </w:pPr>
      <w:r>
        <w:rPr>
          <w:rFonts w:hint="eastAsia" w:cs="宋体"/>
          <w:color w:val="auto"/>
          <w:sz w:val="24"/>
          <w:szCs w:val="24"/>
          <w:highlight w:val="none"/>
          <w:lang w:val="zh-TW"/>
        </w:rPr>
        <w:t>（</w:t>
      </w:r>
      <w:r>
        <w:rPr>
          <w:rFonts w:hint="eastAsia" w:cs="宋体"/>
          <w:color w:val="auto"/>
          <w:sz w:val="24"/>
          <w:szCs w:val="24"/>
          <w:highlight w:val="none"/>
        </w:rPr>
        <w:t>4</w:t>
      </w:r>
      <w:r>
        <w:rPr>
          <w:rFonts w:hint="eastAsia" w:cs="宋体"/>
          <w:color w:val="auto"/>
          <w:sz w:val="24"/>
          <w:szCs w:val="24"/>
          <w:highlight w:val="none"/>
          <w:lang w:val="zh-TW"/>
        </w:rPr>
        <w:t>）《安全生产法》；</w:t>
      </w:r>
    </w:p>
    <w:p w14:paraId="1B0B1089">
      <w:pPr>
        <w:pageBreakBefore w:val="0"/>
        <w:widowControl/>
        <w:kinsoku/>
        <w:wordWrap/>
        <w:overflowPunct/>
        <w:topLinePunct w:val="0"/>
        <w:bidi w:val="0"/>
        <w:adjustRightInd/>
        <w:snapToGrid/>
        <w:spacing w:line="360" w:lineRule="auto"/>
        <w:textAlignment w:val="auto"/>
        <w:rPr>
          <w:rFonts w:hint="eastAsia" w:cs="宋体"/>
          <w:color w:val="auto"/>
          <w:sz w:val="24"/>
          <w:szCs w:val="24"/>
          <w:highlight w:val="none"/>
          <w:lang w:val="zh-TW"/>
        </w:rPr>
      </w:pPr>
      <w:r>
        <w:rPr>
          <w:rFonts w:hint="eastAsia" w:cs="宋体"/>
          <w:color w:val="auto"/>
          <w:sz w:val="24"/>
          <w:szCs w:val="24"/>
          <w:highlight w:val="none"/>
          <w:lang w:val="zh-TW"/>
        </w:rPr>
        <w:t>（</w:t>
      </w:r>
      <w:r>
        <w:rPr>
          <w:rFonts w:hint="eastAsia" w:cs="宋体"/>
          <w:color w:val="auto"/>
          <w:sz w:val="24"/>
          <w:szCs w:val="24"/>
          <w:highlight w:val="none"/>
        </w:rPr>
        <w:t>5</w:t>
      </w:r>
      <w:r>
        <w:rPr>
          <w:rFonts w:hint="eastAsia" w:cs="宋体"/>
          <w:color w:val="auto"/>
          <w:sz w:val="24"/>
          <w:szCs w:val="24"/>
          <w:highlight w:val="none"/>
          <w:lang w:val="zh-TW"/>
        </w:rPr>
        <w:t>）《房屋建筑工程质量保修办法》；</w:t>
      </w:r>
    </w:p>
    <w:p w14:paraId="3660B36B">
      <w:pPr>
        <w:pageBreakBefore w:val="0"/>
        <w:widowControl/>
        <w:kinsoku/>
        <w:wordWrap/>
        <w:overflowPunct/>
        <w:topLinePunct w:val="0"/>
        <w:bidi w:val="0"/>
        <w:adjustRightInd/>
        <w:snapToGrid/>
        <w:spacing w:line="360" w:lineRule="auto"/>
        <w:textAlignment w:val="auto"/>
        <w:rPr>
          <w:rFonts w:hint="eastAsia" w:cs="宋体"/>
          <w:color w:val="auto"/>
          <w:sz w:val="24"/>
          <w:szCs w:val="24"/>
          <w:highlight w:val="none"/>
          <w:lang w:val="zh-TW"/>
        </w:rPr>
      </w:pPr>
      <w:r>
        <w:rPr>
          <w:rFonts w:hint="eastAsia" w:cs="宋体"/>
          <w:color w:val="auto"/>
          <w:sz w:val="24"/>
          <w:szCs w:val="24"/>
          <w:highlight w:val="none"/>
          <w:lang w:val="zh-TW"/>
        </w:rPr>
        <w:t>（</w:t>
      </w:r>
      <w:r>
        <w:rPr>
          <w:rFonts w:hint="eastAsia" w:cs="宋体"/>
          <w:color w:val="auto"/>
          <w:sz w:val="24"/>
          <w:szCs w:val="24"/>
          <w:highlight w:val="none"/>
        </w:rPr>
        <w:t>6</w:t>
      </w:r>
      <w:r>
        <w:rPr>
          <w:rFonts w:hint="eastAsia" w:cs="宋体"/>
          <w:color w:val="auto"/>
          <w:sz w:val="24"/>
          <w:szCs w:val="24"/>
          <w:highlight w:val="none"/>
          <w:lang w:val="zh-TW"/>
        </w:rPr>
        <w:t>）《建设工程质量管理条例》；</w:t>
      </w:r>
    </w:p>
    <w:p w14:paraId="657F1C79">
      <w:pPr>
        <w:pageBreakBefore w:val="0"/>
        <w:widowControl/>
        <w:kinsoku/>
        <w:wordWrap/>
        <w:overflowPunct/>
        <w:topLinePunct w:val="0"/>
        <w:bidi w:val="0"/>
        <w:adjustRightInd/>
        <w:snapToGrid/>
        <w:spacing w:line="360" w:lineRule="auto"/>
        <w:textAlignment w:val="auto"/>
        <w:rPr>
          <w:rFonts w:hint="eastAsia" w:cs="宋体"/>
          <w:color w:val="auto"/>
          <w:sz w:val="24"/>
          <w:szCs w:val="24"/>
          <w:highlight w:val="none"/>
          <w:lang w:val="zh-TW"/>
        </w:rPr>
      </w:pPr>
      <w:r>
        <w:rPr>
          <w:rFonts w:hint="eastAsia" w:cs="宋体"/>
          <w:color w:val="auto"/>
          <w:sz w:val="24"/>
          <w:szCs w:val="24"/>
          <w:highlight w:val="none"/>
          <w:lang w:val="zh-TW"/>
        </w:rPr>
        <w:t>（</w:t>
      </w:r>
      <w:r>
        <w:rPr>
          <w:rFonts w:hint="eastAsia" w:cs="宋体"/>
          <w:color w:val="auto"/>
          <w:sz w:val="24"/>
          <w:szCs w:val="24"/>
          <w:highlight w:val="none"/>
        </w:rPr>
        <w:t>7</w:t>
      </w:r>
      <w:r>
        <w:rPr>
          <w:rFonts w:hint="eastAsia" w:cs="宋体"/>
          <w:color w:val="auto"/>
          <w:sz w:val="24"/>
          <w:szCs w:val="24"/>
          <w:highlight w:val="none"/>
          <w:lang w:val="zh-TW"/>
        </w:rPr>
        <w:t>）《建设工程安全生产管理条例》；</w:t>
      </w:r>
    </w:p>
    <w:p w14:paraId="3983F7F8">
      <w:pPr>
        <w:pageBreakBefore w:val="0"/>
        <w:widowControl/>
        <w:kinsoku/>
        <w:wordWrap/>
        <w:overflowPunct/>
        <w:topLinePunct w:val="0"/>
        <w:bidi w:val="0"/>
        <w:adjustRightInd/>
        <w:snapToGrid/>
        <w:spacing w:line="360" w:lineRule="auto"/>
        <w:textAlignment w:val="auto"/>
        <w:rPr>
          <w:rFonts w:hint="eastAsia" w:cs="宋体"/>
          <w:color w:val="auto"/>
          <w:sz w:val="24"/>
          <w:szCs w:val="24"/>
          <w:highlight w:val="none"/>
          <w:lang w:val="zh-TW"/>
        </w:rPr>
      </w:pPr>
      <w:r>
        <w:rPr>
          <w:rFonts w:hint="eastAsia" w:cs="宋体"/>
          <w:color w:val="auto"/>
          <w:sz w:val="24"/>
          <w:szCs w:val="24"/>
          <w:highlight w:val="none"/>
          <w:lang w:val="zh-TW"/>
        </w:rPr>
        <w:t>（</w:t>
      </w:r>
      <w:r>
        <w:rPr>
          <w:rFonts w:hint="eastAsia" w:cs="宋体"/>
          <w:color w:val="auto"/>
          <w:sz w:val="24"/>
          <w:szCs w:val="24"/>
          <w:highlight w:val="none"/>
        </w:rPr>
        <w:t>8</w:t>
      </w:r>
      <w:r>
        <w:rPr>
          <w:rFonts w:hint="eastAsia" w:cs="宋体"/>
          <w:color w:val="auto"/>
          <w:sz w:val="24"/>
          <w:szCs w:val="24"/>
          <w:highlight w:val="none"/>
          <w:lang w:val="zh-TW"/>
        </w:rPr>
        <w:t>）《实施工程建设强制性标准监督规定》；</w:t>
      </w:r>
    </w:p>
    <w:p w14:paraId="3212DDC5">
      <w:pPr>
        <w:pageBreakBefore w:val="0"/>
        <w:widowControl/>
        <w:kinsoku/>
        <w:wordWrap/>
        <w:overflowPunct/>
        <w:topLinePunct w:val="0"/>
        <w:bidi w:val="0"/>
        <w:adjustRightInd/>
        <w:snapToGrid/>
        <w:spacing w:line="360" w:lineRule="auto"/>
        <w:textAlignment w:val="auto"/>
        <w:rPr>
          <w:rFonts w:hint="eastAsia" w:cs="宋体"/>
          <w:color w:val="auto"/>
          <w:sz w:val="24"/>
          <w:szCs w:val="24"/>
          <w:highlight w:val="none"/>
          <w:lang w:val="zh-TW"/>
        </w:rPr>
      </w:pPr>
      <w:r>
        <w:rPr>
          <w:rFonts w:hint="eastAsia" w:cs="宋体"/>
          <w:color w:val="auto"/>
          <w:sz w:val="24"/>
          <w:szCs w:val="24"/>
          <w:highlight w:val="none"/>
          <w:lang w:val="zh-TW"/>
        </w:rPr>
        <w:t>（</w:t>
      </w:r>
      <w:r>
        <w:rPr>
          <w:rFonts w:hint="eastAsia" w:cs="宋体"/>
          <w:color w:val="auto"/>
          <w:sz w:val="24"/>
          <w:szCs w:val="24"/>
          <w:highlight w:val="none"/>
        </w:rPr>
        <w:t>9</w:t>
      </w:r>
      <w:r>
        <w:rPr>
          <w:rFonts w:hint="eastAsia" w:cs="宋体"/>
          <w:color w:val="auto"/>
          <w:sz w:val="24"/>
          <w:szCs w:val="24"/>
          <w:highlight w:val="none"/>
          <w:lang w:val="zh-TW"/>
        </w:rPr>
        <w:t>）《建设工程施工现场管理规定》；</w:t>
      </w:r>
    </w:p>
    <w:p w14:paraId="6009FB02">
      <w:pPr>
        <w:pageBreakBefore w:val="0"/>
        <w:widowControl/>
        <w:kinsoku/>
        <w:wordWrap/>
        <w:overflowPunct/>
        <w:topLinePunct w:val="0"/>
        <w:bidi w:val="0"/>
        <w:adjustRightInd/>
        <w:snapToGrid/>
        <w:spacing w:line="360" w:lineRule="auto"/>
        <w:textAlignment w:val="auto"/>
        <w:rPr>
          <w:rFonts w:hint="eastAsia" w:cs="宋体"/>
          <w:color w:val="auto"/>
          <w:sz w:val="24"/>
          <w:szCs w:val="24"/>
          <w:highlight w:val="none"/>
          <w:lang w:val="zh-TW"/>
        </w:rPr>
      </w:pPr>
      <w:r>
        <w:rPr>
          <w:rFonts w:hint="eastAsia" w:cs="宋体"/>
          <w:color w:val="auto"/>
          <w:sz w:val="24"/>
          <w:szCs w:val="24"/>
          <w:highlight w:val="none"/>
          <w:lang w:val="zh-TW"/>
        </w:rPr>
        <w:t>（</w:t>
      </w:r>
      <w:r>
        <w:rPr>
          <w:rFonts w:hint="eastAsia" w:cs="宋体"/>
          <w:color w:val="auto"/>
          <w:sz w:val="24"/>
          <w:szCs w:val="24"/>
          <w:highlight w:val="none"/>
        </w:rPr>
        <w:t>10</w:t>
      </w:r>
      <w:r>
        <w:rPr>
          <w:rFonts w:hint="eastAsia" w:cs="宋体"/>
          <w:color w:val="auto"/>
          <w:sz w:val="24"/>
          <w:szCs w:val="24"/>
          <w:highlight w:val="none"/>
          <w:lang w:val="zh-TW"/>
        </w:rPr>
        <w:t>）《建筑安全生产监督管理规定》；</w:t>
      </w:r>
    </w:p>
    <w:p w14:paraId="3C6C98B3">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s="宋体"/>
          <w:color w:val="auto"/>
          <w:sz w:val="24"/>
          <w:szCs w:val="24"/>
          <w:highlight w:val="none"/>
          <w:lang w:val="zh-TW"/>
        </w:rPr>
        <w:t>（</w:t>
      </w:r>
      <w:r>
        <w:rPr>
          <w:rFonts w:hint="eastAsia" w:cs="宋体"/>
          <w:color w:val="auto"/>
          <w:sz w:val="24"/>
          <w:szCs w:val="24"/>
          <w:highlight w:val="none"/>
        </w:rPr>
        <w:t>11</w:t>
      </w:r>
      <w:r>
        <w:rPr>
          <w:rFonts w:hint="eastAsia" w:cs="宋体"/>
          <w:color w:val="auto"/>
          <w:sz w:val="24"/>
          <w:szCs w:val="24"/>
          <w:highlight w:val="none"/>
          <w:lang w:val="zh-TW"/>
        </w:rPr>
        <w:t>）《工程建设重大事故报告和调查程序规定》</w:t>
      </w:r>
      <w:r>
        <w:rPr>
          <w:rFonts w:hint="eastAsia" w:cs="宋体"/>
          <w:color w:val="auto"/>
          <w:sz w:val="24"/>
          <w:szCs w:val="24"/>
          <w:highlight w:val="none"/>
        </w:rPr>
        <w:t>等</w:t>
      </w:r>
      <w:r>
        <w:rPr>
          <w:rFonts w:hint="eastAsia" w:cs="宋体"/>
          <w:color w:val="auto"/>
          <w:sz w:val="24"/>
          <w:szCs w:val="24"/>
          <w:highlight w:val="none"/>
          <w:lang w:val="zh-TW"/>
        </w:rPr>
        <w:t>。</w:t>
      </w:r>
    </w:p>
    <w:p w14:paraId="76CB4E60">
      <w:pPr>
        <w:pageBreakBefore w:val="0"/>
        <w:kinsoku/>
        <w:wordWrap/>
        <w:overflowPunct/>
        <w:topLinePunct w:val="0"/>
        <w:bidi w:val="0"/>
        <w:snapToGrid/>
        <w:spacing w:line="360" w:lineRule="auto"/>
        <w:ind w:firstLine="482"/>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1.</w:t>
      </w:r>
      <w:r>
        <w:rPr>
          <w:rFonts w:hint="eastAsia" w:ascii="Times New Roman" w:hAnsi="Times New Roman" w:cs="Times New Roman"/>
          <w:b/>
          <w:color w:val="auto"/>
          <w:sz w:val="24"/>
          <w:szCs w:val="24"/>
          <w:highlight w:val="none"/>
        </w:rPr>
        <w:t>4</w:t>
      </w:r>
      <w:r>
        <w:rPr>
          <w:rFonts w:hint="default" w:ascii="Times New Roman" w:hAnsi="Times New Roman" w:cs="Times New Roman"/>
          <w:b/>
          <w:color w:val="auto"/>
          <w:sz w:val="24"/>
          <w:szCs w:val="24"/>
          <w:highlight w:val="none"/>
        </w:rPr>
        <w:t xml:space="preserve"> </w:t>
      </w: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REF _Ref16255005 \h  \* MERGEFORMAT </w:instrText>
      </w:r>
      <w:r>
        <w:rPr>
          <w:rFonts w:hint="default" w:ascii="Times New Roman" w:hAnsi="Times New Roman" w:cs="Times New Roman"/>
          <w:b/>
          <w:color w:val="auto"/>
          <w:sz w:val="24"/>
          <w:szCs w:val="24"/>
          <w:highlight w:val="none"/>
        </w:rPr>
        <w:fldChar w:fldCharType="separate"/>
      </w:r>
      <w:r>
        <w:rPr>
          <w:rFonts w:hint="eastAsia" w:ascii="Times New Roman" w:hAnsi="Times New Roman" w:cs="Times New Roman"/>
          <w:b/>
          <w:color w:val="auto"/>
          <w:sz w:val="24"/>
          <w:szCs w:val="24"/>
          <w:highlight w:val="none"/>
        </w:rPr>
        <w:t>标准规范</w:t>
      </w:r>
      <w:r>
        <w:rPr>
          <w:rFonts w:hint="eastAsia" w:ascii="Times New Roman" w:hAnsi="Times New Roman" w:cs="Times New Roman"/>
          <w:b/>
          <w:color w:val="auto"/>
          <w:sz w:val="24"/>
          <w:szCs w:val="24"/>
          <w:highlight w:val="none"/>
        </w:rPr>
        <w:fldChar w:fldCharType="end"/>
      </w:r>
    </w:p>
    <w:p w14:paraId="6724775A">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标准规范：</w:t>
      </w:r>
      <w:r>
        <w:rPr>
          <w:rFonts w:hint="eastAsia"/>
          <w:color w:val="auto"/>
          <w:sz w:val="24"/>
          <w:szCs w:val="24"/>
          <w:highlight w:val="none"/>
          <w:u w:val="single"/>
        </w:rPr>
        <w:t>国家现行工程管理相关规范。</w:t>
      </w:r>
    </w:p>
    <w:p w14:paraId="76DFB2C5">
      <w:pPr>
        <w:pageBreakBefore w:val="0"/>
        <w:kinsoku/>
        <w:wordWrap/>
        <w:overflowPunct/>
        <w:topLinePunct w:val="0"/>
        <w:bidi w:val="0"/>
        <w:snapToGrid/>
        <w:spacing w:line="360" w:lineRule="auto"/>
        <w:ind w:firstLine="482"/>
        <w:textAlignment w:val="auto"/>
        <w:rPr>
          <w:rFonts w:hint="eastAsia"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1.</w:t>
      </w:r>
      <w:r>
        <w:rPr>
          <w:rFonts w:hint="eastAsia" w:ascii="Times New Roman" w:hAnsi="Times New Roman" w:cs="Times New Roman"/>
          <w:b/>
          <w:color w:val="auto"/>
          <w:sz w:val="24"/>
          <w:szCs w:val="24"/>
          <w:highlight w:val="none"/>
        </w:rPr>
        <w:t>5</w:t>
      </w:r>
      <w:r>
        <w:rPr>
          <w:rFonts w:hint="eastAsia" w:ascii="Times New Roman" w:hAnsi="Times New Roman" w:cs="Times New Roman"/>
          <w:color w:val="auto"/>
          <w:sz w:val="24"/>
          <w:szCs w:val="24"/>
          <w:highlight w:val="none"/>
        </w:rPr>
        <w:t xml:space="preserve"> 联络</w:t>
      </w:r>
    </w:p>
    <w:p w14:paraId="609C5573">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委托人指定的送达方式（包括电子传输方式）：______________________________。</w:t>
      </w:r>
    </w:p>
    <w:p w14:paraId="27F34EF3">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委托人的送达地址：_____________________________________________________。</w:t>
      </w:r>
    </w:p>
    <w:p w14:paraId="1B1E9F9C">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受托人指定的送达方式（包括电子传输方式）：______________________________。</w:t>
      </w:r>
    </w:p>
    <w:p w14:paraId="74ED602A">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受托人的送达地址：_____________________________________________________。</w:t>
      </w:r>
    </w:p>
    <w:p w14:paraId="60B4D0CC">
      <w:pPr>
        <w:pageBreakBefore w:val="0"/>
        <w:kinsoku/>
        <w:wordWrap/>
        <w:overflowPunct/>
        <w:topLinePunct w:val="0"/>
        <w:bidi w:val="0"/>
        <w:snapToGrid/>
        <w:spacing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REF _Ref521315884 \r \h  \* MERGEFORMAT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b/>
          <w:color w:val="auto"/>
          <w:sz w:val="24"/>
          <w:szCs w:val="24"/>
          <w:highlight w:val="none"/>
        </w:rPr>
        <w:t>1.</w:t>
      </w:r>
      <w:r>
        <w:rPr>
          <w:rFonts w:hint="default" w:ascii="Times New Roman" w:hAnsi="Times New Roman" w:cs="Times New Roman"/>
          <w:b/>
          <w:color w:val="auto"/>
          <w:sz w:val="24"/>
          <w:szCs w:val="24"/>
          <w:highlight w:val="none"/>
        </w:rPr>
        <w:fldChar w:fldCharType="end"/>
      </w:r>
      <w:r>
        <w:rPr>
          <w:rFonts w:hint="eastAsia" w:ascii="Times New Roman" w:hAnsi="Times New Roman" w:cs="Times New Roman"/>
          <w:b/>
          <w:color w:val="auto"/>
          <w:sz w:val="24"/>
          <w:szCs w:val="24"/>
          <w:highlight w:val="none"/>
        </w:rPr>
        <w:t>6</w:t>
      </w:r>
      <w:r>
        <w:rPr>
          <w:rFonts w:hint="default" w:ascii="Times New Roman" w:hAnsi="Times New Roman" w:cs="Times New Roman"/>
          <w:b/>
          <w:color w:val="auto"/>
          <w:sz w:val="24"/>
          <w:szCs w:val="24"/>
          <w:highlight w:val="none"/>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REF _Ref521315887 \h  \* MERGEFORMAT </w:instrText>
      </w:r>
      <w:r>
        <w:rPr>
          <w:rFonts w:hint="default" w:ascii="Times New Roman" w:hAnsi="Times New Roman" w:cs="Times New Roman"/>
          <w:color w:val="auto"/>
          <w:sz w:val="24"/>
          <w:szCs w:val="24"/>
          <w:highlight w:val="none"/>
        </w:rPr>
        <w:fldChar w:fldCharType="separate"/>
      </w:r>
      <w:r>
        <w:rPr>
          <w:rFonts w:hint="eastAsia" w:ascii="Times New Roman" w:hAnsi="Times New Roman" w:cs="Times New Roman"/>
          <w:b/>
          <w:color w:val="auto"/>
          <w:sz w:val="24"/>
          <w:szCs w:val="24"/>
          <w:highlight w:val="none"/>
        </w:rPr>
        <w:t>保密</w:t>
      </w:r>
      <w:r>
        <w:rPr>
          <w:rFonts w:hint="eastAsia" w:ascii="Times New Roman" w:hAnsi="Times New Roman" w:cs="Times New Roman"/>
          <w:b/>
          <w:color w:val="auto"/>
          <w:sz w:val="24"/>
          <w:szCs w:val="24"/>
          <w:highlight w:val="none"/>
        </w:rPr>
        <w:fldChar w:fldCharType="end"/>
      </w:r>
    </w:p>
    <w:p w14:paraId="3D03CB98">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保密期限：</w:t>
      </w:r>
      <w:r>
        <w:rPr>
          <w:rFonts w:hint="eastAsia"/>
          <w:color w:val="auto"/>
          <w:sz w:val="24"/>
          <w:szCs w:val="24"/>
          <w:highlight w:val="none"/>
          <w:u w:val="single"/>
        </w:rPr>
        <w:t xml:space="preserve">    /    。</w:t>
      </w:r>
    </w:p>
    <w:p w14:paraId="2D5062EB">
      <w:pPr>
        <w:pageBreakBefore w:val="0"/>
        <w:kinsoku/>
        <w:wordWrap/>
        <w:overflowPunct/>
        <w:topLinePunct w:val="0"/>
        <w:bidi w:val="0"/>
        <w:snapToGrid/>
        <w:spacing w:line="360" w:lineRule="auto"/>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REF _Ref521315873 \r \h  \* MERGEFORMAT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b/>
          <w:color w:val="auto"/>
          <w:sz w:val="24"/>
          <w:szCs w:val="24"/>
          <w:highlight w:val="none"/>
        </w:rPr>
        <w:t>1.</w:t>
      </w:r>
      <w:r>
        <w:rPr>
          <w:rFonts w:hint="default" w:ascii="Times New Roman" w:hAnsi="Times New Roman" w:cs="Times New Roman"/>
          <w:b/>
          <w:color w:val="auto"/>
          <w:sz w:val="24"/>
          <w:szCs w:val="24"/>
          <w:highlight w:val="none"/>
        </w:rPr>
        <w:fldChar w:fldCharType="end"/>
      </w:r>
      <w:r>
        <w:rPr>
          <w:rFonts w:hint="eastAsia" w:ascii="Times New Roman" w:hAnsi="Times New Roman" w:cs="Times New Roman"/>
          <w:b/>
          <w:color w:val="auto"/>
          <w:sz w:val="24"/>
          <w:szCs w:val="24"/>
          <w:highlight w:val="none"/>
        </w:rPr>
        <w:t>7</w:t>
      </w:r>
      <w:r>
        <w:rPr>
          <w:rFonts w:hint="default" w:ascii="Times New Roman" w:hAnsi="Times New Roman" w:cs="Times New Roman"/>
          <w:b/>
          <w:color w:val="auto"/>
          <w:sz w:val="24"/>
          <w:szCs w:val="24"/>
          <w:highlight w:val="none"/>
        </w:rPr>
        <w:t xml:space="preserve">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REF _Ref521315879 \h  \* MERGEFORMAT </w:instrText>
      </w:r>
      <w:r>
        <w:rPr>
          <w:rFonts w:hint="default" w:ascii="Times New Roman" w:hAnsi="Times New Roman" w:cs="Times New Roman"/>
          <w:color w:val="auto"/>
          <w:sz w:val="24"/>
          <w:szCs w:val="24"/>
          <w:highlight w:val="none"/>
        </w:rPr>
        <w:fldChar w:fldCharType="separate"/>
      </w:r>
      <w:r>
        <w:rPr>
          <w:rFonts w:hint="eastAsia" w:ascii="Times New Roman" w:hAnsi="Times New Roman" w:cs="Times New Roman"/>
          <w:b/>
          <w:color w:val="auto"/>
          <w:sz w:val="24"/>
          <w:szCs w:val="24"/>
          <w:highlight w:val="none"/>
        </w:rPr>
        <w:t>发布</w:t>
      </w:r>
      <w:r>
        <w:rPr>
          <w:rFonts w:hint="eastAsia" w:ascii="Times New Roman" w:hAnsi="Times New Roman" w:cs="Times New Roman"/>
          <w:b/>
          <w:color w:val="auto"/>
          <w:sz w:val="24"/>
          <w:szCs w:val="24"/>
          <w:highlight w:val="none"/>
        </w:rPr>
        <w:fldChar w:fldCharType="end"/>
      </w:r>
    </w:p>
    <w:p w14:paraId="34F2C0C8">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发布限制：</w:t>
      </w:r>
      <w:r>
        <w:rPr>
          <w:rFonts w:hint="eastAsia"/>
          <w:color w:val="auto"/>
          <w:sz w:val="24"/>
          <w:szCs w:val="24"/>
          <w:highlight w:val="none"/>
          <w:u w:val="single"/>
        </w:rPr>
        <w:t xml:space="preserve">    /    。</w:t>
      </w:r>
    </w:p>
    <w:p w14:paraId="4992D063">
      <w:pPr>
        <w:pageBreakBefore w:val="0"/>
        <w:kinsoku/>
        <w:wordWrap/>
        <w:overflowPunct/>
        <w:topLinePunct w:val="0"/>
        <w:bidi w:val="0"/>
        <w:snapToGrid/>
        <w:spacing w:line="360" w:lineRule="auto"/>
        <w:textAlignment w:val="auto"/>
        <w:rPr>
          <w:rFonts w:hint="eastAsia"/>
          <w:color w:val="auto"/>
          <w:sz w:val="24"/>
          <w:szCs w:val="24"/>
          <w:highlight w:val="none"/>
        </w:rPr>
      </w:pPr>
    </w:p>
    <w:p w14:paraId="1373057D">
      <w:pPr>
        <w:pStyle w:val="75"/>
        <w:pageBreakBefore w:val="0"/>
        <w:kinsoku/>
        <w:wordWrap/>
        <w:overflowPunct/>
        <w:topLinePunct w:val="0"/>
        <w:bidi w:val="0"/>
        <w:snapToGrid/>
        <w:spacing w:before="0" w:beforeLines="0" w:after="0" w:line="360" w:lineRule="auto"/>
        <w:textAlignment w:val="auto"/>
        <w:rPr>
          <w:rFonts w:hint="eastAsia"/>
          <w:color w:val="auto"/>
          <w:sz w:val="28"/>
          <w:szCs w:val="24"/>
          <w:highlight w:val="none"/>
        </w:rPr>
      </w:pPr>
      <w:bookmarkStart w:id="206" w:name="_Toc839375591"/>
      <w:bookmarkStart w:id="207" w:name="_Toc27941"/>
      <w:bookmarkStart w:id="208" w:name="_Toc2891"/>
      <w:bookmarkStart w:id="209" w:name="_Toc4149"/>
      <w:r>
        <w:rPr>
          <w:rFonts w:hint="eastAsia"/>
          <w:color w:val="auto"/>
          <w:sz w:val="28"/>
          <w:szCs w:val="24"/>
          <w:highlight w:val="none"/>
        </w:rPr>
        <w:fldChar w:fldCharType="begin"/>
      </w:r>
      <w:r>
        <w:rPr>
          <w:rFonts w:hint="eastAsia"/>
          <w:color w:val="auto"/>
          <w:sz w:val="28"/>
          <w:szCs w:val="24"/>
          <w:highlight w:val="none"/>
        </w:rPr>
        <w:instrText xml:space="preserve"> REF _Ref17988456 \h  \* MERGEFORMAT </w:instrText>
      </w:r>
      <w:r>
        <w:rPr>
          <w:rFonts w:hint="eastAsia"/>
          <w:color w:val="auto"/>
          <w:sz w:val="28"/>
          <w:szCs w:val="24"/>
          <w:highlight w:val="none"/>
        </w:rPr>
        <w:fldChar w:fldCharType="separate"/>
      </w:r>
      <w:bookmarkStart w:id="210" w:name="_Toc182389618"/>
      <w:bookmarkStart w:id="211" w:name="_Toc56155251"/>
      <w:bookmarkStart w:id="212" w:name="_Toc182389479"/>
      <w:r>
        <w:rPr>
          <w:rFonts w:hint="eastAsia"/>
          <w:color w:val="auto"/>
          <w:sz w:val="28"/>
          <w:szCs w:val="24"/>
          <w:highlight w:val="none"/>
        </w:rPr>
        <w:t>委托人</w:t>
      </w:r>
      <w:bookmarkEnd w:id="210"/>
      <w:r>
        <w:rPr>
          <w:rFonts w:hint="eastAsia"/>
          <w:color w:val="auto"/>
          <w:sz w:val="28"/>
          <w:szCs w:val="24"/>
          <w:highlight w:val="none"/>
        </w:rPr>
        <w:fldChar w:fldCharType="end"/>
      </w:r>
      <w:bookmarkEnd w:id="206"/>
      <w:bookmarkEnd w:id="207"/>
      <w:bookmarkEnd w:id="208"/>
      <w:bookmarkEnd w:id="209"/>
      <w:bookmarkEnd w:id="211"/>
      <w:bookmarkEnd w:id="212"/>
    </w:p>
    <w:p w14:paraId="748CC9B0">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b/>
          <w:color w:val="auto"/>
          <w:sz w:val="24"/>
          <w:szCs w:val="24"/>
          <w:highlight w:val="none"/>
        </w:rPr>
        <w:fldChar w:fldCharType="begin"/>
      </w:r>
      <w:r>
        <w:rPr>
          <w:rFonts w:hint="eastAsia"/>
          <w:b/>
          <w:color w:val="auto"/>
          <w:sz w:val="24"/>
          <w:szCs w:val="24"/>
          <w:highlight w:val="none"/>
        </w:rPr>
        <w:instrText xml:space="preserve"> REF _Ref509044118 \r \h </w:instrText>
      </w:r>
      <w:r>
        <w:rPr>
          <w:rFonts w:hint="eastAsia"/>
          <w:b/>
          <w:color w:val="auto"/>
          <w:sz w:val="24"/>
          <w:szCs w:val="24"/>
          <w:highlight w:val="none"/>
        </w:rPr>
        <w:fldChar w:fldCharType="separate"/>
      </w:r>
      <w:r>
        <w:rPr>
          <w:rFonts w:hint="eastAsia"/>
          <w:b/>
          <w:color w:val="auto"/>
          <w:sz w:val="24"/>
          <w:szCs w:val="24"/>
          <w:highlight w:val="none"/>
        </w:rPr>
        <w:t>2.1</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_Ref509044118 \h  \* MERGEFORMAT </w:instrText>
      </w:r>
      <w:r>
        <w:rPr>
          <w:rFonts w:hint="eastAsia"/>
          <w:color w:val="auto"/>
          <w:sz w:val="24"/>
          <w:szCs w:val="24"/>
          <w:highlight w:val="none"/>
        </w:rPr>
        <w:fldChar w:fldCharType="separate"/>
      </w:r>
      <w:r>
        <w:rPr>
          <w:rFonts w:hint="eastAsia"/>
          <w:b/>
          <w:color w:val="auto"/>
          <w:sz w:val="24"/>
          <w:szCs w:val="24"/>
          <w:highlight w:val="none"/>
        </w:rPr>
        <w:t>委托人一般义务</w:t>
      </w:r>
      <w:r>
        <w:rPr>
          <w:rFonts w:hint="eastAsia"/>
          <w:b/>
          <w:color w:val="auto"/>
          <w:sz w:val="24"/>
          <w:szCs w:val="24"/>
          <w:highlight w:val="none"/>
        </w:rPr>
        <w:fldChar w:fldCharType="end"/>
      </w:r>
    </w:p>
    <w:p w14:paraId="074981BA">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_Ref16211844 \r \h  \* MERGEFORMAT </w:instrText>
      </w:r>
      <w:r>
        <w:rPr>
          <w:rFonts w:hint="eastAsia"/>
          <w:color w:val="auto"/>
          <w:sz w:val="24"/>
          <w:szCs w:val="24"/>
          <w:highlight w:val="none"/>
        </w:rPr>
        <w:fldChar w:fldCharType="separate"/>
      </w:r>
      <w:r>
        <w:rPr>
          <w:rFonts w:hint="eastAsia"/>
          <w:color w:val="auto"/>
          <w:sz w:val="24"/>
          <w:szCs w:val="24"/>
          <w:highlight w:val="none"/>
        </w:rPr>
        <w:t>2.1.</w:t>
      </w:r>
      <w:r>
        <w:rPr>
          <w:rFonts w:hint="eastAsia"/>
          <w:color w:val="auto"/>
          <w:sz w:val="24"/>
          <w:szCs w:val="24"/>
          <w:highlight w:val="none"/>
        </w:rPr>
        <w:fldChar w:fldCharType="end"/>
      </w:r>
      <w:r>
        <w:rPr>
          <w:rFonts w:hint="eastAsia"/>
          <w:color w:val="auto"/>
          <w:sz w:val="24"/>
          <w:szCs w:val="24"/>
          <w:highlight w:val="none"/>
        </w:rPr>
        <w:t xml:space="preserve">2 </w:t>
      </w:r>
      <w:r>
        <w:rPr>
          <w:rFonts w:hint="eastAsia"/>
          <w:color w:val="auto"/>
          <w:sz w:val="24"/>
          <w:szCs w:val="24"/>
          <w:highlight w:val="none"/>
          <w:u w:val="single"/>
        </w:rPr>
        <w:t xml:space="preserve">    /    。</w:t>
      </w:r>
    </w:p>
    <w:p w14:paraId="0847E0B7">
      <w:pPr>
        <w:pageBreakBefore w:val="0"/>
        <w:kinsoku/>
        <w:wordWrap/>
        <w:overflowPunct/>
        <w:topLinePunct w:val="0"/>
        <w:bidi w:val="0"/>
        <w:snapToGrid/>
        <w:spacing w:line="360" w:lineRule="auto"/>
        <w:ind w:firstLine="482"/>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_Ref16211844 \r \h  \* MERGEFORMAT </w:instrText>
      </w:r>
      <w:r>
        <w:rPr>
          <w:rFonts w:hint="eastAsia"/>
          <w:color w:val="auto"/>
          <w:sz w:val="24"/>
          <w:szCs w:val="24"/>
          <w:highlight w:val="none"/>
        </w:rPr>
        <w:fldChar w:fldCharType="separate"/>
      </w:r>
      <w:r>
        <w:rPr>
          <w:rFonts w:hint="eastAsia"/>
          <w:color w:val="auto"/>
          <w:sz w:val="24"/>
          <w:szCs w:val="24"/>
          <w:highlight w:val="none"/>
        </w:rPr>
        <w:t>2.1.</w:t>
      </w:r>
      <w:r>
        <w:rPr>
          <w:rFonts w:hint="eastAsia"/>
          <w:color w:val="auto"/>
          <w:sz w:val="24"/>
          <w:szCs w:val="24"/>
          <w:highlight w:val="none"/>
        </w:rPr>
        <w:fldChar w:fldCharType="end"/>
      </w:r>
      <w:r>
        <w:rPr>
          <w:rFonts w:hint="eastAsia"/>
          <w:color w:val="auto"/>
          <w:sz w:val="24"/>
          <w:szCs w:val="24"/>
          <w:highlight w:val="none"/>
        </w:rPr>
        <w:t>3委托人提供的设备、设施和其他人员服务</w:t>
      </w:r>
    </w:p>
    <w:p w14:paraId="72829895">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（1）委托人提供的设备</w:t>
      </w:r>
    </w:p>
    <w:p w14:paraId="6FCAFEA3">
      <w:pPr>
        <w:pageBreakBefore w:val="0"/>
        <w:kinsoku/>
        <w:wordWrap/>
        <w:overflowPunct/>
        <w:topLinePunct w:val="0"/>
        <w:bidi w:val="0"/>
        <w:snapToGrid/>
        <w:spacing w:line="360" w:lineRule="auto"/>
        <w:textAlignment w:val="auto"/>
        <w:rPr>
          <w:rFonts w:hint="eastAsia"/>
          <w:color w:val="auto"/>
          <w:sz w:val="24"/>
          <w:szCs w:val="24"/>
          <w:highlight w:val="none"/>
        </w:rPr>
      </w:pPr>
    </w:p>
    <w:tbl>
      <w:tblPr>
        <w:tblStyle w:val="26"/>
        <w:tblpPr w:leftFromText="180" w:rightFromText="180" w:vertAnchor="text" w:horzAnchor="margin" w:tblpXSpec="center" w:tblpY="-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8"/>
        <w:gridCol w:w="2223"/>
        <w:gridCol w:w="2223"/>
        <w:gridCol w:w="2224"/>
      </w:tblGrid>
      <w:tr w14:paraId="16C1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88A9FA">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名称</w:t>
            </w: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CFF7E0">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数量</w:t>
            </w: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CA6781">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型号与规格</w:t>
            </w: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29CB73">
            <w:pPr>
              <w:pStyle w:val="15"/>
              <w:pageBreakBefore w:val="0"/>
              <w:kinsoku/>
              <w:wordWrap/>
              <w:overflowPunct/>
              <w:topLinePunct w:val="0"/>
              <w:bidi w:val="0"/>
              <w:snapToGrid/>
              <w:spacing w:line="240" w:lineRule="auto"/>
              <w:ind w:hanging="23"/>
              <w:jc w:val="center"/>
              <w:textAlignment w:val="auto"/>
              <w:rPr>
                <w:rFonts w:hint="eastAsia"/>
                <w:color w:val="auto"/>
                <w:sz w:val="24"/>
                <w:szCs w:val="24"/>
                <w:highlight w:val="none"/>
              </w:rPr>
            </w:pPr>
            <w:r>
              <w:rPr>
                <w:rFonts w:hint="eastAsia"/>
                <w:color w:val="auto"/>
                <w:sz w:val="24"/>
                <w:szCs w:val="24"/>
                <w:highlight w:val="none"/>
              </w:rPr>
              <w:t>提供时间</w:t>
            </w:r>
          </w:p>
        </w:tc>
      </w:tr>
      <w:tr w14:paraId="1D7E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F20ED4">
            <w:pPr>
              <w:pStyle w:val="15"/>
              <w:pageBreakBefore w:val="0"/>
              <w:kinsoku/>
              <w:wordWrap/>
              <w:overflowPunct/>
              <w:topLinePunct w:val="0"/>
              <w:bidi w:val="0"/>
              <w:snapToGrid/>
              <w:spacing w:line="240" w:lineRule="auto"/>
              <w:textAlignment w:val="auto"/>
              <w:rPr>
                <w:rFonts w:hint="eastAsia"/>
                <w:color w:val="auto"/>
                <w:sz w:val="24"/>
                <w:szCs w:val="24"/>
                <w:highlight w:val="none"/>
              </w:rPr>
            </w:pPr>
            <w:r>
              <w:rPr>
                <w:rFonts w:hint="eastAsia"/>
                <w:color w:val="auto"/>
                <w:sz w:val="24"/>
                <w:szCs w:val="24"/>
                <w:highlight w:val="none"/>
              </w:rPr>
              <w:t>1. 通讯设备</w:t>
            </w: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F096BA">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9038DA">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8F7FBD">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r>
      <w:tr w14:paraId="07B4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466144">
            <w:pPr>
              <w:pStyle w:val="15"/>
              <w:pageBreakBefore w:val="0"/>
              <w:kinsoku/>
              <w:wordWrap/>
              <w:overflowPunct/>
              <w:topLinePunct w:val="0"/>
              <w:bidi w:val="0"/>
              <w:snapToGrid/>
              <w:spacing w:line="240" w:lineRule="auto"/>
              <w:textAlignment w:val="auto"/>
              <w:rPr>
                <w:rFonts w:hint="eastAsia"/>
                <w:color w:val="auto"/>
                <w:sz w:val="24"/>
                <w:szCs w:val="24"/>
                <w:highlight w:val="none"/>
              </w:rPr>
            </w:pPr>
            <w:r>
              <w:rPr>
                <w:rFonts w:hint="eastAsia"/>
                <w:color w:val="auto"/>
                <w:sz w:val="24"/>
                <w:szCs w:val="24"/>
                <w:highlight w:val="none"/>
              </w:rPr>
              <w:t>2. 办公设备</w:t>
            </w: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61660F">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4D5435">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92D566">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r>
      <w:tr w14:paraId="7C80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733891">
            <w:pPr>
              <w:pStyle w:val="15"/>
              <w:pageBreakBefore w:val="0"/>
              <w:kinsoku/>
              <w:wordWrap/>
              <w:overflowPunct/>
              <w:topLinePunct w:val="0"/>
              <w:bidi w:val="0"/>
              <w:snapToGrid/>
              <w:spacing w:line="240" w:lineRule="auto"/>
              <w:textAlignment w:val="auto"/>
              <w:rPr>
                <w:rFonts w:hint="eastAsia"/>
                <w:color w:val="auto"/>
                <w:sz w:val="24"/>
                <w:szCs w:val="24"/>
                <w:highlight w:val="none"/>
              </w:rPr>
            </w:pPr>
            <w:r>
              <w:rPr>
                <w:rFonts w:hint="eastAsia"/>
                <w:color w:val="auto"/>
                <w:sz w:val="24"/>
                <w:szCs w:val="24"/>
                <w:highlight w:val="none"/>
              </w:rPr>
              <w:t>3. 交通工具</w:t>
            </w: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65F748">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004880">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BEE63D">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r>
      <w:tr w14:paraId="12E2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2F7D78">
            <w:pPr>
              <w:pStyle w:val="15"/>
              <w:pageBreakBefore w:val="0"/>
              <w:kinsoku/>
              <w:wordWrap/>
              <w:overflowPunct/>
              <w:topLinePunct w:val="0"/>
              <w:bidi w:val="0"/>
              <w:snapToGrid/>
              <w:spacing w:line="240" w:lineRule="auto"/>
              <w:textAlignment w:val="auto"/>
              <w:rPr>
                <w:rFonts w:hint="eastAsia"/>
                <w:color w:val="auto"/>
                <w:sz w:val="24"/>
                <w:szCs w:val="24"/>
                <w:highlight w:val="none"/>
              </w:rPr>
            </w:pPr>
            <w:r>
              <w:rPr>
                <w:rFonts w:hint="eastAsia"/>
                <w:color w:val="auto"/>
                <w:sz w:val="24"/>
                <w:szCs w:val="24"/>
                <w:highlight w:val="none"/>
              </w:rPr>
              <w:t>4. 检测和试验设备</w:t>
            </w: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26593D">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C46ED2">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D1BF33">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r>
      <w:tr w14:paraId="2465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7EF2F0">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r>
              <w:rPr>
                <w:rFonts w:hint="eastAsia"/>
                <w:color w:val="auto"/>
                <w:sz w:val="24"/>
                <w:szCs w:val="24"/>
                <w:highlight w:val="none"/>
              </w:rPr>
              <w:t>……</w:t>
            </w: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F5749B">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1DD88D">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D8B0A1">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r>
    </w:tbl>
    <w:p w14:paraId="077FA366">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（2）委托人提供的设施</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2217"/>
        <w:gridCol w:w="2217"/>
        <w:gridCol w:w="2217"/>
      </w:tblGrid>
      <w:tr w14:paraId="190E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9176B0">
            <w:pPr>
              <w:pStyle w:val="15"/>
              <w:pageBreakBefore w:val="0"/>
              <w:kinsoku/>
              <w:wordWrap/>
              <w:overflowPunct/>
              <w:topLinePunct w:val="0"/>
              <w:bidi w:val="0"/>
              <w:snapToGrid/>
              <w:spacing w:line="240" w:lineRule="auto"/>
              <w:ind w:firstLine="30"/>
              <w:jc w:val="center"/>
              <w:textAlignment w:val="auto"/>
              <w:rPr>
                <w:rFonts w:hint="eastAsia"/>
                <w:color w:val="auto"/>
                <w:sz w:val="24"/>
                <w:szCs w:val="24"/>
                <w:highlight w:val="none"/>
              </w:rPr>
            </w:pPr>
            <w:r>
              <w:rPr>
                <w:rFonts w:hint="eastAsia"/>
                <w:color w:val="auto"/>
                <w:sz w:val="24"/>
                <w:szCs w:val="24"/>
                <w:highlight w:val="none"/>
              </w:rPr>
              <w:t>名称</w:t>
            </w: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F51122">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数量</w:t>
            </w: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2ACC43">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要求</w:t>
            </w: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83446D">
            <w:pPr>
              <w:pStyle w:val="15"/>
              <w:pageBreakBefore w:val="0"/>
              <w:kinsoku/>
              <w:wordWrap/>
              <w:overflowPunct/>
              <w:topLinePunct w:val="0"/>
              <w:bidi w:val="0"/>
              <w:snapToGrid/>
              <w:spacing w:line="240" w:lineRule="auto"/>
              <w:ind w:firstLine="38"/>
              <w:jc w:val="center"/>
              <w:textAlignment w:val="auto"/>
              <w:rPr>
                <w:rFonts w:hint="eastAsia"/>
                <w:color w:val="auto"/>
                <w:sz w:val="24"/>
                <w:szCs w:val="24"/>
                <w:highlight w:val="none"/>
              </w:rPr>
            </w:pPr>
            <w:r>
              <w:rPr>
                <w:rFonts w:hint="eastAsia"/>
                <w:color w:val="auto"/>
                <w:sz w:val="24"/>
                <w:szCs w:val="24"/>
                <w:highlight w:val="none"/>
              </w:rPr>
              <w:t>提供时间</w:t>
            </w:r>
          </w:p>
        </w:tc>
      </w:tr>
      <w:tr w14:paraId="79D9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B48E61">
            <w:pPr>
              <w:pStyle w:val="15"/>
              <w:pageBreakBefore w:val="0"/>
              <w:kinsoku/>
              <w:wordWrap/>
              <w:overflowPunct/>
              <w:topLinePunct w:val="0"/>
              <w:bidi w:val="0"/>
              <w:snapToGrid/>
              <w:spacing w:line="240" w:lineRule="auto"/>
              <w:ind w:firstLine="28"/>
              <w:jc w:val="left"/>
              <w:textAlignment w:val="auto"/>
              <w:rPr>
                <w:rFonts w:hint="eastAsia"/>
                <w:color w:val="auto"/>
                <w:sz w:val="24"/>
                <w:szCs w:val="24"/>
                <w:highlight w:val="none"/>
              </w:rPr>
            </w:pPr>
            <w:r>
              <w:rPr>
                <w:rFonts w:hint="eastAsia"/>
                <w:color w:val="auto"/>
                <w:sz w:val="24"/>
                <w:szCs w:val="24"/>
                <w:highlight w:val="none"/>
              </w:rPr>
              <w:t>1.临时居住用房</w:t>
            </w: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C81709">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001D44">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490A6F">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r>
      <w:tr w14:paraId="3330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3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F6A5BB">
            <w:pPr>
              <w:pStyle w:val="15"/>
              <w:pageBreakBefore w:val="0"/>
              <w:kinsoku/>
              <w:wordWrap/>
              <w:overflowPunct/>
              <w:topLinePunct w:val="0"/>
              <w:bidi w:val="0"/>
              <w:snapToGrid/>
              <w:spacing w:line="240" w:lineRule="auto"/>
              <w:ind w:firstLine="28"/>
              <w:jc w:val="left"/>
              <w:textAlignment w:val="auto"/>
              <w:rPr>
                <w:rFonts w:hint="eastAsia"/>
                <w:color w:val="auto"/>
                <w:sz w:val="24"/>
                <w:szCs w:val="24"/>
                <w:highlight w:val="none"/>
              </w:rPr>
            </w:pPr>
            <w:r>
              <w:rPr>
                <w:rFonts w:hint="eastAsia"/>
                <w:color w:val="auto"/>
                <w:sz w:val="24"/>
                <w:szCs w:val="24"/>
                <w:highlight w:val="none"/>
              </w:rPr>
              <w:t>2.临时办公用房</w:t>
            </w: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1A3782">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r>
              <w:rPr>
                <w:rFonts w:hint="eastAsia"/>
                <w:color w:val="auto"/>
                <w:sz w:val="24"/>
                <w:szCs w:val="24"/>
                <w:highlight w:val="none"/>
              </w:rPr>
              <w:t>1间</w:t>
            </w: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2E7598">
            <w:pPr>
              <w:pStyle w:val="15"/>
              <w:pageBreakBefore w:val="0"/>
              <w:kinsoku/>
              <w:wordWrap/>
              <w:overflowPunct/>
              <w:topLinePunct w:val="0"/>
              <w:bidi w:val="0"/>
              <w:snapToGrid/>
              <w:spacing w:line="240" w:lineRule="auto"/>
              <w:textAlignment w:val="auto"/>
              <w:rPr>
                <w:rFonts w:hint="eastAsia"/>
                <w:color w:val="auto"/>
                <w:sz w:val="24"/>
                <w:szCs w:val="24"/>
                <w:highlight w:val="none"/>
              </w:rPr>
            </w:pPr>
            <w:r>
              <w:rPr>
                <w:rFonts w:hint="eastAsia"/>
                <w:color w:val="auto"/>
                <w:sz w:val="24"/>
                <w:szCs w:val="24"/>
                <w:highlight w:val="none"/>
              </w:rPr>
              <w:t>具备4人办公用桌椅及相应的电源、网络</w:t>
            </w: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69271B">
            <w:pPr>
              <w:pStyle w:val="15"/>
              <w:pageBreakBefore w:val="0"/>
              <w:kinsoku/>
              <w:wordWrap/>
              <w:overflowPunct/>
              <w:topLinePunct w:val="0"/>
              <w:bidi w:val="0"/>
              <w:snapToGrid/>
              <w:spacing w:line="240" w:lineRule="auto"/>
              <w:textAlignment w:val="auto"/>
              <w:rPr>
                <w:rFonts w:hint="eastAsia"/>
                <w:color w:val="auto"/>
                <w:sz w:val="24"/>
                <w:szCs w:val="24"/>
                <w:highlight w:val="none"/>
              </w:rPr>
            </w:pPr>
            <w:r>
              <w:rPr>
                <w:rFonts w:hint="eastAsia"/>
                <w:color w:val="auto"/>
                <w:sz w:val="24"/>
                <w:szCs w:val="24"/>
                <w:highlight w:val="none"/>
              </w:rPr>
              <w:t>受托人人员进驻前7天</w:t>
            </w:r>
          </w:p>
        </w:tc>
      </w:tr>
      <w:tr w14:paraId="6FEC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3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65A286">
            <w:pPr>
              <w:pStyle w:val="15"/>
              <w:pageBreakBefore w:val="0"/>
              <w:kinsoku/>
              <w:wordWrap/>
              <w:overflowPunct/>
              <w:topLinePunct w:val="0"/>
              <w:bidi w:val="0"/>
              <w:snapToGrid/>
              <w:spacing w:line="240" w:lineRule="auto"/>
              <w:ind w:firstLine="28"/>
              <w:jc w:val="left"/>
              <w:textAlignment w:val="auto"/>
              <w:rPr>
                <w:rFonts w:hint="eastAsia"/>
                <w:color w:val="auto"/>
                <w:sz w:val="24"/>
                <w:szCs w:val="24"/>
                <w:highlight w:val="none"/>
              </w:rPr>
            </w:pPr>
            <w:r>
              <w:rPr>
                <w:rFonts w:hint="eastAsia"/>
                <w:color w:val="auto"/>
                <w:sz w:val="24"/>
                <w:szCs w:val="24"/>
                <w:highlight w:val="none"/>
              </w:rPr>
              <w:t>3.交通道路</w:t>
            </w: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94B3D8">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D458B9">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0DEE60">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r>
      <w:tr w14:paraId="7F73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735131">
            <w:pPr>
              <w:pStyle w:val="15"/>
              <w:pageBreakBefore w:val="0"/>
              <w:kinsoku/>
              <w:wordWrap/>
              <w:overflowPunct/>
              <w:topLinePunct w:val="0"/>
              <w:bidi w:val="0"/>
              <w:snapToGrid/>
              <w:spacing w:line="240" w:lineRule="auto"/>
              <w:ind w:firstLine="28"/>
              <w:jc w:val="left"/>
              <w:textAlignment w:val="auto"/>
              <w:rPr>
                <w:rFonts w:hint="eastAsia"/>
                <w:color w:val="auto"/>
                <w:sz w:val="24"/>
                <w:szCs w:val="24"/>
                <w:highlight w:val="none"/>
              </w:rPr>
            </w:pPr>
            <w:r>
              <w:rPr>
                <w:rFonts w:hint="eastAsia"/>
                <w:color w:val="auto"/>
                <w:sz w:val="24"/>
                <w:szCs w:val="24"/>
                <w:highlight w:val="none"/>
              </w:rPr>
              <w:t>4.公共设施</w:t>
            </w: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E368BC">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0BAE9F">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7F6328">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r>
      <w:tr w14:paraId="1A40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476CEB">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r>
              <w:rPr>
                <w:rFonts w:hint="eastAsia"/>
                <w:color w:val="auto"/>
                <w:sz w:val="24"/>
                <w:szCs w:val="24"/>
                <w:highlight w:val="none"/>
              </w:rPr>
              <w:t>……</w:t>
            </w: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B3708A">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CA605C">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DFBAF3">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r>
    </w:tbl>
    <w:p w14:paraId="05A07BDE">
      <w:pPr>
        <w:pageBreakBefore w:val="0"/>
        <w:kinsoku/>
        <w:wordWrap/>
        <w:overflowPunct/>
        <w:topLinePunct w:val="0"/>
        <w:bidi w:val="0"/>
        <w:snapToGrid/>
        <w:spacing w:line="360" w:lineRule="auto"/>
        <w:textAlignment w:val="auto"/>
        <w:rPr>
          <w:rFonts w:hint="eastAsia"/>
          <w:color w:val="auto"/>
          <w:sz w:val="24"/>
          <w:szCs w:val="24"/>
          <w:highlight w:val="none"/>
        </w:rPr>
      </w:pPr>
    </w:p>
    <w:p w14:paraId="094757A2">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（3）</w:t>
      </w:r>
      <w:bookmarkStart w:id="213" w:name="_Toc521267476"/>
      <w:r>
        <w:rPr>
          <w:rFonts w:hint="eastAsia"/>
          <w:color w:val="auto"/>
          <w:sz w:val="24"/>
          <w:szCs w:val="24"/>
          <w:highlight w:val="none"/>
        </w:rPr>
        <w:t>委托人提供的其他人员</w:t>
      </w:r>
      <w:bookmarkEnd w:id="213"/>
      <w:r>
        <w:rPr>
          <w:rFonts w:hint="eastAsia"/>
          <w:color w:val="auto"/>
          <w:sz w:val="24"/>
          <w:szCs w:val="24"/>
          <w:highlight w:val="none"/>
        </w:rPr>
        <w:t>服务</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2221"/>
        <w:gridCol w:w="2217"/>
        <w:gridCol w:w="2217"/>
      </w:tblGrid>
      <w:tr w14:paraId="786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15EDE4">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名称</w:t>
            </w:r>
          </w:p>
        </w:tc>
        <w:tc>
          <w:tcPr>
            <w:tcW w:w="12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C9A619">
            <w:pPr>
              <w:pStyle w:val="15"/>
              <w:pageBreakBefore w:val="0"/>
              <w:kinsoku/>
              <w:wordWrap/>
              <w:overflowPunct/>
              <w:topLinePunct w:val="0"/>
              <w:bidi w:val="0"/>
              <w:snapToGrid/>
              <w:spacing w:line="240" w:lineRule="auto"/>
              <w:ind w:firstLine="720" w:firstLineChars="300"/>
              <w:textAlignment w:val="auto"/>
              <w:rPr>
                <w:rFonts w:hint="eastAsia"/>
                <w:color w:val="auto"/>
                <w:sz w:val="24"/>
                <w:szCs w:val="24"/>
                <w:highlight w:val="none"/>
              </w:rPr>
            </w:pPr>
            <w:r>
              <w:rPr>
                <w:rFonts w:hint="eastAsia"/>
                <w:color w:val="auto"/>
                <w:sz w:val="24"/>
                <w:szCs w:val="24"/>
                <w:highlight w:val="none"/>
              </w:rPr>
              <w:t>数量</w:t>
            </w: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9BBD33">
            <w:pPr>
              <w:pStyle w:val="15"/>
              <w:pageBreakBefore w:val="0"/>
              <w:kinsoku/>
              <w:wordWrap/>
              <w:overflowPunct/>
              <w:topLinePunct w:val="0"/>
              <w:bidi w:val="0"/>
              <w:snapToGrid/>
              <w:spacing w:line="240" w:lineRule="auto"/>
              <w:ind w:firstLine="720" w:firstLineChars="300"/>
              <w:textAlignment w:val="auto"/>
              <w:rPr>
                <w:rFonts w:hint="eastAsia"/>
                <w:color w:val="auto"/>
                <w:sz w:val="24"/>
                <w:szCs w:val="24"/>
                <w:highlight w:val="none"/>
              </w:rPr>
            </w:pPr>
            <w:r>
              <w:rPr>
                <w:rFonts w:hint="eastAsia"/>
                <w:color w:val="auto"/>
                <w:sz w:val="24"/>
                <w:szCs w:val="24"/>
                <w:highlight w:val="none"/>
              </w:rPr>
              <w:t>要求</w:t>
            </w: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top"/>
          </w:tcPr>
          <w:p w14:paraId="312B9A69">
            <w:pPr>
              <w:pStyle w:val="15"/>
              <w:pageBreakBefore w:val="0"/>
              <w:kinsoku/>
              <w:wordWrap/>
              <w:overflowPunct/>
              <w:topLinePunct w:val="0"/>
              <w:bidi w:val="0"/>
              <w:snapToGrid/>
              <w:spacing w:line="240" w:lineRule="auto"/>
              <w:ind w:firstLine="480" w:firstLineChars="200"/>
              <w:textAlignment w:val="auto"/>
              <w:rPr>
                <w:rFonts w:hint="eastAsia"/>
                <w:color w:val="auto"/>
                <w:sz w:val="24"/>
                <w:szCs w:val="24"/>
                <w:highlight w:val="none"/>
              </w:rPr>
            </w:pPr>
            <w:r>
              <w:rPr>
                <w:rFonts w:hint="eastAsia"/>
                <w:color w:val="auto"/>
                <w:sz w:val="24"/>
                <w:szCs w:val="24"/>
                <w:highlight w:val="none"/>
              </w:rPr>
              <w:t>提供时间</w:t>
            </w:r>
          </w:p>
        </w:tc>
      </w:tr>
      <w:tr w14:paraId="55CE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395A3F">
            <w:pPr>
              <w:pStyle w:val="15"/>
              <w:pageBreakBefore w:val="0"/>
              <w:kinsoku/>
              <w:wordWrap/>
              <w:overflowPunct/>
              <w:topLinePunct w:val="0"/>
              <w:bidi w:val="0"/>
              <w:snapToGrid/>
              <w:spacing w:line="240" w:lineRule="auto"/>
              <w:textAlignment w:val="auto"/>
              <w:rPr>
                <w:rFonts w:hint="eastAsia"/>
                <w:color w:val="auto"/>
                <w:sz w:val="24"/>
                <w:szCs w:val="24"/>
                <w:highlight w:val="none"/>
              </w:rPr>
            </w:pPr>
            <w:r>
              <w:rPr>
                <w:rFonts w:hint="eastAsia"/>
                <w:color w:val="auto"/>
                <w:sz w:val="24"/>
                <w:szCs w:val="24"/>
                <w:highlight w:val="none"/>
              </w:rPr>
              <w:t xml:space="preserve">1. 工程技术人员 </w:t>
            </w:r>
          </w:p>
        </w:tc>
        <w:tc>
          <w:tcPr>
            <w:tcW w:w="12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AEA413">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EB320A">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33BA73">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r>
      <w:tr w14:paraId="4967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8A1E4D">
            <w:pPr>
              <w:pStyle w:val="15"/>
              <w:pageBreakBefore w:val="0"/>
              <w:kinsoku/>
              <w:wordWrap/>
              <w:overflowPunct/>
              <w:topLinePunct w:val="0"/>
              <w:bidi w:val="0"/>
              <w:snapToGrid/>
              <w:spacing w:line="240" w:lineRule="auto"/>
              <w:textAlignment w:val="auto"/>
              <w:rPr>
                <w:rFonts w:hint="eastAsia"/>
                <w:color w:val="auto"/>
                <w:sz w:val="24"/>
                <w:szCs w:val="24"/>
                <w:highlight w:val="none"/>
              </w:rPr>
            </w:pPr>
            <w:r>
              <w:rPr>
                <w:rFonts w:hint="eastAsia"/>
                <w:color w:val="auto"/>
                <w:sz w:val="24"/>
                <w:szCs w:val="24"/>
                <w:highlight w:val="none"/>
              </w:rPr>
              <w:t>2. 辅助工作人员</w:t>
            </w:r>
          </w:p>
        </w:tc>
        <w:tc>
          <w:tcPr>
            <w:tcW w:w="12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82B954">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6B3A9D">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AF0680">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r>
      <w:tr w14:paraId="10DE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42BFFA">
            <w:pPr>
              <w:pStyle w:val="15"/>
              <w:pageBreakBefore w:val="0"/>
              <w:kinsoku/>
              <w:wordWrap/>
              <w:overflowPunct/>
              <w:topLinePunct w:val="0"/>
              <w:bidi w:val="0"/>
              <w:snapToGrid/>
              <w:spacing w:line="240" w:lineRule="auto"/>
              <w:textAlignment w:val="auto"/>
              <w:rPr>
                <w:rFonts w:hint="eastAsia"/>
                <w:color w:val="auto"/>
                <w:sz w:val="24"/>
                <w:szCs w:val="24"/>
                <w:highlight w:val="none"/>
              </w:rPr>
            </w:pPr>
            <w:r>
              <w:rPr>
                <w:rFonts w:hint="eastAsia"/>
                <w:color w:val="auto"/>
                <w:sz w:val="24"/>
                <w:szCs w:val="24"/>
                <w:highlight w:val="none"/>
              </w:rPr>
              <w:t>3. 其他人员</w:t>
            </w:r>
          </w:p>
        </w:tc>
        <w:tc>
          <w:tcPr>
            <w:tcW w:w="12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B6C35F">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6AC213">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A404F9">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r>
      <w:tr w14:paraId="3E16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77A7E3">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r>
              <w:rPr>
                <w:rFonts w:hint="eastAsia"/>
                <w:color w:val="auto"/>
                <w:sz w:val="24"/>
                <w:szCs w:val="24"/>
                <w:highlight w:val="none"/>
              </w:rPr>
              <w:t>……</w:t>
            </w:r>
          </w:p>
        </w:tc>
        <w:tc>
          <w:tcPr>
            <w:tcW w:w="12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AF9C1A">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E87F0D">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c>
          <w:tcPr>
            <w:tcW w:w="12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3599EA">
            <w:pPr>
              <w:pStyle w:val="15"/>
              <w:pageBreakBefore w:val="0"/>
              <w:kinsoku/>
              <w:wordWrap/>
              <w:overflowPunct/>
              <w:topLinePunct w:val="0"/>
              <w:bidi w:val="0"/>
              <w:snapToGrid/>
              <w:spacing w:line="240" w:lineRule="auto"/>
              <w:ind w:firstLine="482"/>
              <w:textAlignment w:val="auto"/>
              <w:rPr>
                <w:rFonts w:hint="eastAsia"/>
                <w:color w:val="auto"/>
                <w:sz w:val="24"/>
                <w:szCs w:val="24"/>
                <w:highlight w:val="none"/>
              </w:rPr>
            </w:pPr>
          </w:p>
        </w:tc>
      </w:tr>
    </w:tbl>
    <w:p w14:paraId="144A640F">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REF _Ref523701422 \r \h</w:instrText>
      </w:r>
      <w:r>
        <w:rPr>
          <w:rFonts w:hint="eastAsia"/>
          <w:color w:val="auto"/>
          <w:sz w:val="24"/>
          <w:szCs w:val="24"/>
          <w:highlight w:val="none"/>
        </w:rPr>
        <w:fldChar w:fldCharType="separate"/>
      </w:r>
      <w:r>
        <w:rPr>
          <w:rFonts w:hint="eastAsia"/>
          <w:color w:val="auto"/>
          <w:sz w:val="24"/>
          <w:szCs w:val="24"/>
          <w:highlight w:val="none"/>
        </w:rPr>
        <w:t>2.1.</w:t>
      </w:r>
      <w:r>
        <w:rPr>
          <w:rFonts w:hint="eastAsia"/>
          <w:color w:val="auto"/>
          <w:sz w:val="24"/>
          <w:szCs w:val="24"/>
          <w:highlight w:val="none"/>
        </w:rPr>
        <w:fldChar w:fldCharType="end"/>
      </w:r>
      <w:r>
        <w:rPr>
          <w:rFonts w:hint="eastAsia"/>
          <w:color w:val="auto"/>
          <w:sz w:val="24"/>
          <w:szCs w:val="24"/>
          <w:highlight w:val="none"/>
        </w:rPr>
        <w:t>5委托人的其他义务：</w:t>
      </w:r>
      <w:r>
        <w:rPr>
          <w:rFonts w:hint="eastAsia"/>
          <w:color w:val="auto"/>
          <w:sz w:val="24"/>
          <w:szCs w:val="24"/>
          <w:highlight w:val="none"/>
          <w:u w:val="single"/>
        </w:rPr>
        <w:t xml:space="preserve">    /    。</w:t>
      </w:r>
    </w:p>
    <w:p w14:paraId="13C089D5">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除合同另有约定外：</w:t>
      </w:r>
      <w:r>
        <w:rPr>
          <w:rFonts w:hint="eastAsia"/>
          <w:color w:val="auto"/>
          <w:sz w:val="24"/>
          <w:szCs w:val="24"/>
          <w:highlight w:val="none"/>
          <w:u w:val="single"/>
        </w:rPr>
        <w:t xml:space="preserve">    /    。</w:t>
      </w:r>
    </w:p>
    <w:p w14:paraId="3FEE5D1F">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_Ref521288456 \r \h  \* MERGEFORMAT </w:instrText>
      </w:r>
      <w:r>
        <w:rPr>
          <w:rFonts w:hint="eastAsia"/>
          <w:color w:val="auto"/>
          <w:sz w:val="24"/>
          <w:szCs w:val="24"/>
          <w:highlight w:val="none"/>
        </w:rPr>
        <w:fldChar w:fldCharType="separate"/>
      </w:r>
      <w:r>
        <w:rPr>
          <w:rFonts w:hint="eastAsia"/>
          <w:b/>
          <w:color w:val="auto"/>
          <w:sz w:val="24"/>
          <w:szCs w:val="24"/>
          <w:highlight w:val="none"/>
        </w:rPr>
        <w:t>2.2</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_Ref521288456 \h  \* MERGEFORMAT </w:instrText>
      </w:r>
      <w:r>
        <w:rPr>
          <w:rFonts w:hint="eastAsia"/>
          <w:color w:val="auto"/>
          <w:sz w:val="24"/>
          <w:szCs w:val="24"/>
          <w:highlight w:val="none"/>
        </w:rPr>
        <w:fldChar w:fldCharType="separate"/>
      </w:r>
      <w:r>
        <w:rPr>
          <w:rFonts w:hint="eastAsia"/>
          <w:b/>
          <w:color w:val="auto"/>
          <w:sz w:val="24"/>
          <w:szCs w:val="24"/>
          <w:highlight w:val="none"/>
        </w:rPr>
        <w:t>委托人决定</w:t>
      </w:r>
      <w:r>
        <w:rPr>
          <w:rFonts w:hint="eastAsia"/>
          <w:b/>
          <w:color w:val="auto"/>
          <w:sz w:val="24"/>
          <w:szCs w:val="24"/>
          <w:highlight w:val="none"/>
        </w:rPr>
        <w:fldChar w:fldCharType="end"/>
      </w:r>
    </w:p>
    <w:p w14:paraId="42CC62FE">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为保证服务按服务进度计划进行，受托人以书面形式提交给委托人决定的事宜，委托人应在</w:t>
      </w:r>
      <w:r>
        <w:rPr>
          <w:rFonts w:hint="eastAsia"/>
          <w:color w:val="auto"/>
          <w:sz w:val="24"/>
          <w:szCs w:val="24"/>
          <w:highlight w:val="none"/>
          <w:u w:val="single"/>
        </w:rPr>
        <w:t>7</w:t>
      </w:r>
      <w:r>
        <w:rPr>
          <w:rFonts w:hint="eastAsia"/>
          <w:color w:val="auto"/>
          <w:sz w:val="24"/>
          <w:szCs w:val="24"/>
          <w:highlight w:val="none"/>
        </w:rPr>
        <w:t>天内做出书面决定。</w:t>
      </w:r>
    </w:p>
    <w:p w14:paraId="475D7111">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_Ref521288631 \r \h  \* MERGEFORMAT </w:instrText>
      </w:r>
      <w:r>
        <w:rPr>
          <w:rFonts w:hint="eastAsia"/>
          <w:color w:val="auto"/>
          <w:sz w:val="24"/>
          <w:szCs w:val="24"/>
          <w:highlight w:val="none"/>
        </w:rPr>
        <w:fldChar w:fldCharType="separate"/>
      </w:r>
      <w:r>
        <w:rPr>
          <w:rFonts w:hint="eastAsia"/>
          <w:b/>
          <w:color w:val="auto"/>
          <w:sz w:val="24"/>
          <w:szCs w:val="24"/>
          <w:highlight w:val="none"/>
        </w:rPr>
        <w:t>2.</w:t>
      </w:r>
      <w:r>
        <w:rPr>
          <w:rFonts w:hint="eastAsia"/>
          <w:b/>
          <w:color w:val="auto"/>
          <w:sz w:val="24"/>
          <w:szCs w:val="24"/>
          <w:highlight w:val="none"/>
        </w:rPr>
        <w:fldChar w:fldCharType="end"/>
      </w:r>
      <w:r>
        <w:rPr>
          <w:rFonts w:hint="eastAsia"/>
          <w:b/>
          <w:color w:val="auto"/>
          <w:sz w:val="24"/>
          <w:szCs w:val="24"/>
          <w:highlight w:val="none"/>
        </w:rPr>
        <w:t>3</w:t>
      </w:r>
      <w:r>
        <w:rPr>
          <w:rFonts w:hint="eastAsia"/>
          <w:color w:val="auto"/>
          <w:sz w:val="24"/>
          <w:szCs w:val="24"/>
          <w:highlight w:val="none"/>
        </w:rPr>
        <w:fldChar w:fldCharType="begin"/>
      </w:r>
      <w:r>
        <w:rPr>
          <w:rFonts w:hint="eastAsia"/>
          <w:color w:val="auto"/>
          <w:sz w:val="24"/>
          <w:szCs w:val="24"/>
          <w:highlight w:val="none"/>
        </w:rPr>
        <w:instrText xml:space="preserve"> REF _Ref521288631 \h  \* MERGEFORMAT </w:instrText>
      </w:r>
      <w:r>
        <w:rPr>
          <w:rFonts w:hint="eastAsia"/>
          <w:color w:val="auto"/>
          <w:sz w:val="24"/>
          <w:szCs w:val="24"/>
          <w:highlight w:val="none"/>
        </w:rPr>
        <w:fldChar w:fldCharType="separate"/>
      </w:r>
      <w:r>
        <w:rPr>
          <w:rFonts w:hint="eastAsia"/>
          <w:b/>
          <w:color w:val="auto"/>
          <w:sz w:val="24"/>
          <w:szCs w:val="24"/>
          <w:highlight w:val="none"/>
        </w:rPr>
        <w:t>委托人代表</w:t>
      </w:r>
      <w:r>
        <w:rPr>
          <w:rFonts w:hint="eastAsia"/>
          <w:b/>
          <w:color w:val="auto"/>
          <w:sz w:val="24"/>
          <w:szCs w:val="24"/>
          <w:highlight w:val="none"/>
        </w:rPr>
        <w:fldChar w:fldCharType="end"/>
      </w:r>
    </w:p>
    <w:p w14:paraId="42B8267F">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委托人代表：</w:t>
      </w:r>
    </w:p>
    <w:p w14:paraId="73A647B4">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姓 名：________________________________________________________________。</w:t>
      </w:r>
    </w:p>
    <w:p w14:paraId="3EEBE535">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身份证号：_____________________________________________________________。</w:t>
      </w:r>
    </w:p>
    <w:p w14:paraId="3B507CD0">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职 务：________________________________________________________________。</w:t>
      </w:r>
    </w:p>
    <w:p w14:paraId="01E7885B">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联系电话：_____________________________________________________________。</w:t>
      </w:r>
    </w:p>
    <w:p w14:paraId="127D5415">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电子邮箱：_____________________________________________________________。</w:t>
      </w:r>
    </w:p>
    <w:p w14:paraId="4294E27C">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通信地址：_____________________________________________________________。</w:t>
      </w:r>
    </w:p>
    <w:p w14:paraId="3DBEA4A0">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委托人对委托人代表的授权范围：_________________________________________。</w:t>
      </w:r>
    </w:p>
    <w:p w14:paraId="1BBD2713">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 xml:space="preserve">    委托人更换委托人代表的，应提前</w:t>
      </w:r>
      <w:r>
        <w:rPr>
          <w:rFonts w:hint="eastAsia"/>
          <w:color w:val="auto"/>
          <w:sz w:val="24"/>
          <w:szCs w:val="24"/>
          <w:highlight w:val="none"/>
          <w:u w:val="single"/>
        </w:rPr>
        <w:t>3-7</w:t>
      </w:r>
      <w:r>
        <w:rPr>
          <w:rFonts w:hint="eastAsia"/>
          <w:color w:val="auto"/>
          <w:sz w:val="24"/>
          <w:szCs w:val="24"/>
          <w:highlight w:val="none"/>
        </w:rPr>
        <w:t>天书面通知受托人。</w:t>
      </w:r>
    </w:p>
    <w:p w14:paraId="48D9AEB3">
      <w:pPr>
        <w:pStyle w:val="75"/>
        <w:pageBreakBefore w:val="0"/>
        <w:kinsoku/>
        <w:wordWrap/>
        <w:overflowPunct/>
        <w:topLinePunct w:val="0"/>
        <w:bidi w:val="0"/>
        <w:snapToGrid/>
        <w:spacing w:before="0" w:beforeLines="0" w:after="0" w:line="360" w:lineRule="auto"/>
        <w:textAlignment w:val="auto"/>
        <w:rPr>
          <w:rFonts w:hint="eastAsia"/>
          <w:color w:val="auto"/>
          <w:sz w:val="28"/>
          <w:szCs w:val="24"/>
          <w:highlight w:val="none"/>
        </w:rPr>
      </w:pPr>
      <w:bookmarkStart w:id="214" w:name="_Toc28815"/>
      <w:bookmarkStart w:id="215" w:name="_Toc1817861884"/>
      <w:bookmarkStart w:id="216" w:name="_Toc3403"/>
      <w:bookmarkStart w:id="217" w:name="_Toc6351"/>
      <w:r>
        <w:rPr>
          <w:rFonts w:hint="eastAsia"/>
          <w:color w:val="auto"/>
          <w:sz w:val="28"/>
          <w:szCs w:val="24"/>
          <w:highlight w:val="none"/>
        </w:rPr>
        <w:fldChar w:fldCharType="begin"/>
      </w:r>
      <w:r>
        <w:rPr>
          <w:rFonts w:hint="eastAsia"/>
          <w:color w:val="auto"/>
          <w:sz w:val="28"/>
          <w:szCs w:val="24"/>
          <w:highlight w:val="none"/>
        </w:rPr>
        <w:instrText xml:space="preserve"> REF _Ref521266657 \h  \* MERGEFORMAT </w:instrText>
      </w:r>
      <w:r>
        <w:rPr>
          <w:rFonts w:hint="eastAsia"/>
          <w:color w:val="auto"/>
          <w:sz w:val="28"/>
          <w:szCs w:val="24"/>
          <w:highlight w:val="none"/>
        </w:rPr>
        <w:fldChar w:fldCharType="separate"/>
      </w:r>
      <w:bookmarkStart w:id="218" w:name="_Toc182389619"/>
      <w:bookmarkStart w:id="219" w:name="_Toc182389480"/>
      <w:r>
        <w:rPr>
          <w:rFonts w:hint="eastAsia"/>
          <w:color w:val="auto"/>
          <w:sz w:val="28"/>
          <w:szCs w:val="24"/>
          <w:highlight w:val="none"/>
        </w:rPr>
        <w:t>受托人</w:t>
      </w:r>
      <w:bookmarkEnd w:id="218"/>
      <w:r>
        <w:rPr>
          <w:rFonts w:hint="eastAsia"/>
          <w:color w:val="auto"/>
          <w:sz w:val="28"/>
          <w:szCs w:val="24"/>
          <w:highlight w:val="none"/>
        </w:rPr>
        <w:fldChar w:fldCharType="end"/>
      </w:r>
      <w:bookmarkEnd w:id="214"/>
      <w:bookmarkEnd w:id="215"/>
      <w:bookmarkEnd w:id="216"/>
      <w:bookmarkEnd w:id="217"/>
      <w:bookmarkEnd w:id="219"/>
    </w:p>
    <w:p w14:paraId="5CFB1A30">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_Ref522810094 \r \h  \* MERGEFORMAT </w:instrText>
      </w:r>
      <w:r>
        <w:rPr>
          <w:rFonts w:hint="eastAsia"/>
          <w:color w:val="auto"/>
          <w:sz w:val="24"/>
          <w:szCs w:val="24"/>
          <w:highlight w:val="none"/>
        </w:rPr>
        <w:fldChar w:fldCharType="separate"/>
      </w:r>
      <w:r>
        <w:rPr>
          <w:rFonts w:hint="eastAsia"/>
          <w:b/>
          <w:color w:val="auto"/>
          <w:sz w:val="24"/>
          <w:szCs w:val="24"/>
          <w:highlight w:val="none"/>
        </w:rPr>
        <w:t>3.1</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_Ref522810097 \h  \* MERGEFORMAT </w:instrText>
      </w:r>
      <w:r>
        <w:rPr>
          <w:rFonts w:hint="eastAsia"/>
          <w:color w:val="auto"/>
          <w:sz w:val="24"/>
          <w:szCs w:val="24"/>
          <w:highlight w:val="none"/>
        </w:rPr>
        <w:fldChar w:fldCharType="separate"/>
      </w:r>
      <w:r>
        <w:rPr>
          <w:rFonts w:hint="eastAsia"/>
          <w:b/>
          <w:color w:val="auto"/>
          <w:sz w:val="24"/>
          <w:szCs w:val="24"/>
          <w:highlight w:val="none"/>
        </w:rPr>
        <w:t>受托人一般义务</w:t>
      </w:r>
      <w:r>
        <w:rPr>
          <w:rFonts w:hint="eastAsia"/>
          <w:b/>
          <w:color w:val="auto"/>
          <w:sz w:val="24"/>
          <w:szCs w:val="24"/>
          <w:highlight w:val="none"/>
        </w:rPr>
        <w:fldChar w:fldCharType="end"/>
      </w:r>
    </w:p>
    <w:p w14:paraId="741810E6">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3.1.7受托人的其他义务：</w:t>
      </w:r>
      <w:r>
        <w:rPr>
          <w:rFonts w:hint="eastAsia"/>
          <w:color w:val="auto"/>
          <w:sz w:val="24"/>
          <w:szCs w:val="24"/>
          <w:highlight w:val="none"/>
          <w:u w:val="single"/>
        </w:rPr>
        <w:t xml:space="preserve">    /    。</w:t>
      </w:r>
    </w:p>
    <w:p w14:paraId="15775DB1">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b/>
          <w:color w:val="auto"/>
          <w:sz w:val="24"/>
          <w:szCs w:val="24"/>
          <w:highlight w:val="none"/>
        </w:rPr>
        <w:fldChar w:fldCharType="begin"/>
      </w:r>
      <w:r>
        <w:rPr>
          <w:rFonts w:hint="eastAsia"/>
          <w:b/>
          <w:color w:val="auto"/>
          <w:sz w:val="24"/>
          <w:szCs w:val="24"/>
          <w:highlight w:val="none"/>
        </w:rPr>
        <w:instrText xml:space="preserve"> REF _Ref16234490 \r \h </w:instrText>
      </w:r>
      <w:r>
        <w:rPr>
          <w:rFonts w:hint="eastAsia"/>
          <w:b/>
          <w:color w:val="auto"/>
          <w:sz w:val="24"/>
          <w:szCs w:val="24"/>
          <w:highlight w:val="none"/>
        </w:rPr>
        <w:fldChar w:fldCharType="separate"/>
      </w:r>
      <w:r>
        <w:rPr>
          <w:rFonts w:hint="eastAsia"/>
          <w:b/>
          <w:color w:val="auto"/>
          <w:sz w:val="24"/>
          <w:szCs w:val="24"/>
          <w:highlight w:val="none"/>
        </w:rPr>
        <w:t>3.2</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_Ref16234491 \h  \* MERGEFORMAT </w:instrText>
      </w:r>
      <w:r>
        <w:rPr>
          <w:rFonts w:hint="eastAsia"/>
          <w:color w:val="auto"/>
          <w:sz w:val="24"/>
          <w:szCs w:val="24"/>
          <w:highlight w:val="none"/>
        </w:rPr>
        <w:fldChar w:fldCharType="separate"/>
      </w:r>
      <w:r>
        <w:rPr>
          <w:rFonts w:hint="eastAsia"/>
          <w:b/>
          <w:color w:val="auto"/>
          <w:sz w:val="24"/>
          <w:szCs w:val="24"/>
          <w:highlight w:val="none"/>
        </w:rPr>
        <w:t>咨询项目总负责人</w:t>
      </w:r>
      <w:r>
        <w:rPr>
          <w:rFonts w:hint="eastAsia"/>
          <w:b/>
          <w:color w:val="auto"/>
          <w:sz w:val="24"/>
          <w:szCs w:val="24"/>
          <w:highlight w:val="none"/>
        </w:rPr>
        <w:fldChar w:fldCharType="end"/>
      </w:r>
    </w:p>
    <w:p w14:paraId="451DAA5E">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_Ref523404758 \r \h  \* MERGEFORMAT </w:instrText>
      </w:r>
      <w:r>
        <w:rPr>
          <w:rFonts w:hint="eastAsia"/>
          <w:color w:val="auto"/>
          <w:sz w:val="24"/>
          <w:szCs w:val="24"/>
          <w:highlight w:val="none"/>
        </w:rPr>
        <w:fldChar w:fldCharType="separate"/>
      </w:r>
      <w:r>
        <w:rPr>
          <w:rFonts w:hint="eastAsia"/>
          <w:color w:val="auto"/>
          <w:sz w:val="24"/>
          <w:szCs w:val="24"/>
          <w:highlight w:val="none"/>
        </w:rPr>
        <w:t>3.2.1</w:t>
      </w:r>
      <w:r>
        <w:rPr>
          <w:rFonts w:hint="eastAsia"/>
          <w:color w:val="auto"/>
          <w:sz w:val="24"/>
          <w:szCs w:val="24"/>
          <w:highlight w:val="none"/>
        </w:rPr>
        <w:fldChar w:fldCharType="end"/>
      </w:r>
      <w:r>
        <w:rPr>
          <w:rFonts w:hint="eastAsia"/>
          <w:color w:val="auto"/>
          <w:sz w:val="24"/>
          <w:szCs w:val="24"/>
          <w:highlight w:val="none"/>
        </w:rPr>
        <w:t>咨询项目总负责人：</w:t>
      </w:r>
    </w:p>
    <w:p w14:paraId="0EB3A44E">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姓名：</w:t>
      </w:r>
      <w:r>
        <w:rPr>
          <w:rFonts w:hint="eastAsia"/>
          <w:color w:val="auto"/>
          <w:sz w:val="24"/>
          <w:szCs w:val="24"/>
          <w:highlight w:val="none"/>
          <w:u w:val="single"/>
        </w:rPr>
        <w:t xml:space="preserve">           </w:t>
      </w:r>
      <w:r>
        <w:rPr>
          <w:rFonts w:hint="eastAsia"/>
          <w:color w:val="auto"/>
          <w:sz w:val="24"/>
          <w:szCs w:val="24"/>
          <w:highlight w:val="none"/>
        </w:rPr>
        <w:t>。</w:t>
      </w:r>
    </w:p>
    <w:p w14:paraId="5C2E537C">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身份证号：</w:t>
      </w:r>
      <w:r>
        <w:rPr>
          <w:rFonts w:hint="eastAsia"/>
          <w:color w:val="auto"/>
          <w:sz w:val="24"/>
          <w:szCs w:val="24"/>
          <w:highlight w:val="none"/>
          <w:u w:val="single"/>
        </w:rPr>
        <w:t xml:space="preserve">              </w:t>
      </w:r>
      <w:r>
        <w:rPr>
          <w:rFonts w:hint="eastAsia"/>
          <w:color w:val="auto"/>
          <w:sz w:val="24"/>
          <w:szCs w:val="24"/>
          <w:highlight w:val="none"/>
        </w:rPr>
        <w:t>。</w:t>
      </w:r>
    </w:p>
    <w:p w14:paraId="6B40FC05">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职称：</w:t>
      </w:r>
      <w:r>
        <w:rPr>
          <w:rFonts w:hint="eastAsia"/>
          <w:color w:val="auto"/>
          <w:sz w:val="24"/>
          <w:szCs w:val="24"/>
          <w:highlight w:val="none"/>
          <w:u w:val="single"/>
        </w:rPr>
        <w:t xml:space="preserve">               </w:t>
      </w:r>
      <w:r>
        <w:rPr>
          <w:rFonts w:hint="eastAsia"/>
          <w:color w:val="auto"/>
          <w:sz w:val="24"/>
          <w:szCs w:val="24"/>
          <w:highlight w:val="none"/>
        </w:rPr>
        <w:t>。</w:t>
      </w:r>
    </w:p>
    <w:p w14:paraId="6D96FF58">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执（职）业资格种类及注册证书编号：</w:t>
      </w:r>
      <w:r>
        <w:rPr>
          <w:rFonts w:hint="eastAsia"/>
          <w:color w:val="auto"/>
          <w:sz w:val="24"/>
          <w:szCs w:val="24"/>
          <w:highlight w:val="none"/>
          <w:u w:val="single"/>
        </w:rPr>
        <w:t xml:space="preserve">                 </w:t>
      </w:r>
      <w:r>
        <w:rPr>
          <w:rFonts w:hint="eastAsia"/>
          <w:color w:val="auto"/>
          <w:sz w:val="24"/>
          <w:szCs w:val="24"/>
          <w:highlight w:val="none"/>
        </w:rPr>
        <w:t>。</w:t>
      </w:r>
    </w:p>
    <w:p w14:paraId="4878A097">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联系电话：</w:t>
      </w:r>
      <w:r>
        <w:rPr>
          <w:rFonts w:hint="eastAsia" w:cs="宋体"/>
          <w:color w:val="auto"/>
          <w:sz w:val="24"/>
          <w:szCs w:val="24"/>
          <w:highlight w:val="none"/>
          <w:u w:val="single"/>
        </w:rPr>
        <w:t xml:space="preserve">                </w:t>
      </w:r>
      <w:r>
        <w:rPr>
          <w:rFonts w:hint="eastAsia"/>
          <w:color w:val="auto"/>
          <w:sz w:val="24"/>
          <w:szCs w:val="24"/>
          <w:highlight w:val="none"/>
        </w:rPr>
        <w:t>。</w:t>
      </w:r>
    </w:p>
    <w:p w14:paraId="38038640">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电子信箱：</w:t>
      </w:r>
      <w:r>
        <w:rPr>
          <w:rFonts w:hint="eastAsia"/>
          <w:color w:val="auto"/>
          <w:sz w:val="24"/>
          <w:szCs w:val="24"/>
          <w:highlight w:val="none"/>
          <w:u w:val="single"/>
        </w:rPr>
        <w:t xml:space="preserve">               </w:t>
      </w:r>
      <w:r>
        <w:rPr>
          <w:rFonts w:hint="eastAsia"/>
          <w:color w:val="auto"/>
          <w:sz w:val="24"/>
          <w:szCs w:val="24"/>
          <w:highlight w:val="none"/>
        </w:rPr>
        <w:t>。</w:t>
      </w:r>
    </w:p>
    <w:p w14:paraId="3FA0EC81">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通信地址：</w:t>
      </w:r>
      <w:r>
        <w:rPr>
          <w:rFonts w:hint="eastAsia"/>
          <w:color w:val="auto"/>
          <w:sz w:val="24"/>
          <w:szCs w:val="24"/>
          <w:highlight w:val="none"/>
          <w:u w:val="single"/>
        </w:rPr>
        <w:t xml:space="preserve">                           </w:t>
      </w:r>
      <w:r>
        <w:rPr>
          <w:rFonts w:hint="eastAsia"/>
          <w:color w:val="auto"/>
          <w:sz w:val="24"/>
          <w:szCs w:val="24"/>
          <w:highlight w:val="none"/>
        </w:rPr>
        <w:t>。</w:t>
      </w:r>
    </w:p>
    <w:p w14:paraId="1397925C">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受托人对咨询项目总负责人的授权范围：</w:t>
      </w:r>
      <w:r>
        <w:rPr>
          <w:rFonts w:hint="eastAsia"/>
          <w:color w:val="auto"/>
          <w:sz w:val="24"/>
          <w:szCs w:val="24"/>
          <w:highlight w:val="none"/>
          <w:u w:val="single"/>
        </w:rPr>
        <w:t>与本项目全过程咨询服务的相关事宜</w:t>
      </w:r>
    </w:p>
    <w:p w14:paraId="31505F54">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__________________________________________________________________________。</w:t>
      </w:r>
    </w:p>
    <w:p w14:paraId="5EFCFA70">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_Ref523404753 \r \h  \* MERGEFORMAT </w:instrText>
      </w:r>
      <w:r>
        <w:rPr>
          <w:rFonts w:hint="eastAsia"/>
          <w:color w:val="auto"/>
          <w:sz w:val="24"/>
          <w:szCs w:val="24"/>
          <w:highlight w:val="none"/>
        </w:rPr>
        <w:fldChar w:fldCharType="separate"/>
      </w:r>
      <w:r>
        <w:rPr>
          <w:rFonts w:hint="eastAsia"/>
          <w:color w:val="auto"/>
          <w:sz w:val="24"/>
          <w:szCs w:val="24"/>
          <w:highlight w:val="none"/>
        </w:rPr>
        <w:t>3.2.2</w:t>
      </w:r>
      <w:r>
        <w:rPr>
          <w:rFonts w:hint="eastAsia"/>
          <w:color w:val="auto"/>
          <w:sz w:val="24"/>
          <w:szCs w:val="24"/>
          <w:highlight w:val="none"/>
        </w:rPr>
        <w:fldChar w:fldCharType="end"/>
      </w:r>
      <w:r>
        <w:rPr>
          <w:rFonts w:hint="eastAsia"/>
          <w:color w:val="auto"/>
          <w:sz w:val="24"/>
          <w:szCs w:val="24"/>
          <w:highlight w:val="none"/>
        </w:rPr>
        <w:t>受托人更换咨询项目总负责人的，应提前</w:t>
      </w:r>
      <w:r>
        <w:rPr>
          <w:rFonts w:hint="eastAsia"/>
          <w:color w:val="auto"/>
          <w:sz w:val="24"/>
          <w:szCs w:val="24"/>
          <w:highlight w:val="none"/>
          <w:u w:val="single"/>
        </w:rPr>
        <w:t>30</w:t>
      </w:r>
      <w:r>
        <w:rPr>
          <w:rFonts w:hint="eastAsia"/>
          <w:color w:val="auto"/>
          <w:sz w:val="24"/>
          <w:szCs w:val="24"/>
          <w:highlight w:val="none"/>
        </w:rPr>
        <w:t>天书面通知委托人。</w:t>
      </w:r>
    </w:p>
    <w:p w14:paraId="4655E833">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受托人更换咨询项目总负责人的其他情形：</w:t>
      </w:r>
    </w:p>
    <w:p w14:paraId="38DE1995">
      <w:pPr>
        <w:pageBreakBefore w:val="0"/>
        <w:kinsoku/>
        <w:wordWrap/>
        <w:overflowPunct/>
        <w:topLinePunct w:val="0"/>
        <w:bidi w:val="0"/>
        <w:snapToGrid/>
        <w:spacing w:line="360" w:lineRule="auto"/>
        <w:jc w:val="left"/>
        <w:textAlignment w:val="auto"/>
        <w:rPr>
          <w:rFonts w:hint="eastAsia" w:cs="宋体"/>
          <w:color w:val="auto"/>
          <w:sz w:val="24"/>
          <w:szCs w:val="24"/>
          <w:highlight w:val="none"/>
        </w:rPr>
      </w:pPr>
      <w:r>
        <w:rPr>
          <w:rFonts w:hint="eastAsia" w:cs="宋体"/>
          <w:color w:val="auto"/>
          <w:sz w:val="24"/>
          <w:szCs w:val="24"/>
          <w:highlight w:val="none"/>
        </w:rPr>
        <w:t>（a）死亡的。</w:t>
      </w:r>
    </w:p>
    <w:p w14:paraId="714FC507">
      <w:pPr>
        <w:pageBreakBefore w:val="0"/>
        <w:kinsoku/>
        <w:wordWrap/>
        <w:overflowPunct/>
        <w:topLinePunct w:val="0"/>
        <w:bidi w:val="0"/>
        <w:snapToGrid/>
        <w:spacing w:line="360" w:lineRule="auto"/>
        <w:jc w:val="left"/>
        <w:textAlignment w:val="auto"/>
        <w:rPr>
          <w:rFonts w:hint="eastAsia" w:cs="宋体"/>
          <w:color w:val="auto"/>
          <w:sz w:val="24"/>
          <w:szCs w:val="24"/>
          <w:highlight w:val="none"/>
        </w:rPr>
      </w:pPr>
      <w:r>
        <w:rPr>
          <w:rFonts w:hint="eastAsia" w:cs="宋体"/>
          <w:color w:val="auto"/>
          <w:sz w:val="24"/>
          <w:szCs w:val="24"/>
          <w:highlight w:val="none"/>
        </w:rPr>
        <w:t>（b）因涉嫌犯罪被羁押或者被判处刑罚的。</w:t>
      </w:r>
    </w:p>
    <w:p w14:paraId="5F760F6B">
      <w:pPr>
        <w:pageBreakBefore w:val="0"/>
        <w:kinsoku/>
        <w:wordWrap/>
        <w:overflowPunct/>
        <w:topLinePunct w:val="0"/>
        <w:bidi w:val="0"/>
        <w:snapToGrid/>
        <w:spacing w:line="360" w:lineRule="auto"/>
        <w:textAlignment w:val="auto"/>
        <w:rPr>
          <w:rFonts w:hint="eastAsia" w:cs="宋体"/>
          <w:color w:val="auto"/>
          <w:sz w:val="24"/>
          <w:szCs w:val="24"/>
          <w:highlight w:val="none"/>
        </w:rPr>
      </w:pPr>
      <w:r>
        <w:rPr>
          <w:rFonts w:hint="eastAsia" w:cs="宋体"/>
          <w:color w:val="auto"/>
          <w:sz w:val="24"/>
          <w:szCs w:val="24"/>
          <w:highlight w:val="none"/>
        </w:rPr>
        <w:t>（c）因非受托人原因致项目延迟开工一年及以上的其他特殊情形。</w:t>
      </w:r>
    </w:p>
    <w:p w14:paraId="0225D4DD">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s="宋体"/>
          <w:color w:val="auto"/>
          <w:sz w:val="24"/>
          <w:szCs w:val="24"/>
          <w:highlight w:val="none"/>
        </w:rPr>
        <w:t>（d）因重大疾病或者重伤（持有县、区以上医院证明）丧失劳动能力，导致3个月以上不能完全履行职责的</w:t>
      </w:r>
      <w:r>
        <w:rPr>
          <w:rFonts w:hint="eastAsia"/>
          <w:color w:val="auto"/>
          <w:sz w:val="24"/>
          <w:szCs w:val="24"/>
          <w:highlight w:val="none"/>
        </w:rPr>
        <w:t>。</w:t>
      </w:r>
    </w:p>
    <w:p w14:paraId="68A1D072">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ascii="Calibri" w:hAnsi="Calibri" w:eastAsia="宋体" w:cs="宋体"/>
          <w:color w:val="auto"/>
          <w:kern w:val="2"/>
          <w:sz w:val="24"/>
          <w:szCs w:val="24"/>
          <w:highlight w:val="none"/>
          <w:lang w:val="en-US" w:eastAsia="zh-CN" w:bidi="ar-SA"/>
        </w:rPr>
        <w:t>（e）工</w:t>
      </w:r>
      <w:r>
        <w:rPr>
          <w:rFonts w:hint="eastAsia"/>
          <w:color w:val="auto"/>
          <w:sz w:val="24"/>
          <w:szCs w:val="24"/>
          <w:highlight w:val="none"/>
        </w:rPr>
        <w:t>作调整不能履行项目负责人职责的</w:t>
      </w:r>
    </w:p>
    <w:p w14:paraId="57F17D6E">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_Ref523404728 \r \h  \* MERGEFORMAT </w:instrText>
      </w:r>
      <w:r>
        <w:rPr>
          <w:rFonts w:hint="eastAsia"/>
          <w:color w:val="auto"/>
          <w:sz w:val="24"/>
          <w:szCs w:val="24"/>
          <w:highlight w:val="none"/>
        </w:rPr>
        <w:fldChar w:fldCharType="separate"/>
      </w:r>
      <w:r>
        <w:rPr>
          <w:rFonts w:hint="eastAsia"/>
          <w:b/>
          <w:color w:val="auto"/>
          <w:sz w:val="24"/>
          <w:szCs w:val="24"/>
          <w:highlight w:val="none"/>
        </w:rPr>
        <w:t>3.3</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_Ref523403804 \h  \* MERGEFORMAT </w:instrText>
      </w:r>
      <w:r>
        <w:rPr>
          <w:rFonts w:hint="eastAsia"/>
          <w:color w:val="auto"/>
          <w:sz w:val="24"/>
          <w:szCs w:val="24"/>
          <w:highlight w:val="none"/>
        </w:rPr>
        <w:fldChar w:fldCharType="separate"/>
      </w:r>
      <w:r>
        <w:rPr>
          <w:rFonts w:hint="eastAsia"/>
          <w:b/>
          <w:color w:val="auto"/>
          <w:sz w:val="24"/>
          <w:szCs w:val="24"/>
          <w:highlight w:val="none"/>
        </w:rPr>
        <w:t>咨询人员</w:t>
      </w:r>
      <w:r>
        <w:rPr>
          <w:rFonts w:hint="eastAsia"/>
          <w:b/>
          <w:color w:val="auto"/>
          <w:sz w:val="24"/>
          <w:szCs w:val="24"/>
          <w:highlight w:val="none"/>
        </w:rPr>
        <w:fldChar w:fldCharType="end"/>
      </w:r>
    </w:p>
    <w:p w14:paraId="6486BEBF">
      <w:pPr>
        <w:pageBreakBefore w:val="0"/>
        <w:kinsoku/>
        <w:wordWrap/>
        <w:overflowPunct/>
        <w:topLinePunct w:val="0"/>
        <w:bidi w:val="0"/>
        <w:snapToGrid/>
        <w:spacing w:line="360" w:lineRule="auto"/>
        <w:ind w:firstLine="482"/>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_Ref17470212 \r \h  \* MERGEFORMAT </w:instrText>
      </w:r>
      <w:r>
        <w:rPr>
          <w:rFonts w:hint="eastAsia"/>
          <w:color w:val="auto"/>
          <w:sz w:val="24"/>
          <w:szCs w:val="24"/>
          <w:highlight w:val="none"/>
        </w:rPr>
        <w:fldChar w:fldCharType="separate"/>
      </w:r>
      <w:r>
        <w:rPr>
          <w:rFonts w:hint="eastAsia"/>
          <w:color w:val="auto"/>
          <w:sz w:val="24"/>
          <w:szCs w:val="24"/>
          <w:highlight w:val="none"/>
        </w:rPr>
        <w:t>3.3.1</w:t>
      </w:r>
      <w:r>
        <w:rPr>
          <w:rFonts w:hint="eastAsia"/>
          <w:color w:val="auto"/>
          <w:sz w:val="24"/>
          <w:szCs w:val="24"/>
          <w:highlight w:val="none"/>
        </w:rPr>
        <w:fldChar w:fldCharType="end"/>
      </w:r>
      <w:r>
        <w:rPr>
          <w:rFonts w:hint="eastAsia"/>
          <w:color w:val="auto"/>
          <w:sz w:val="24"/>
          <w:szCs w:val="24"/>
          <w:highlight w:val="none"/>
        </w:rPr>
        <w:t>各专项咨询负责人：</w:t>
      </w:r>
    </w:p>
    <w:p w14:paraId="64514FCD">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项目</w:t>
      </w:r>
      <w:r>
        <w:rPr>
          <w:rFonts w:hint="eastAsia"/>
          <w:color w:val="auto"/>
          <w:sz w:val="24"/>
          <w:szCs w:val="24"/>
          <w:highlight w:val="none"/>
        </w:rPr>
        <w:t>负责人（由项目总负责人兼任）</w:t>
      </w:r>
    </w:p>
    <w:p w14:paraId="62CB15E7">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姓 名：</w:t>
      </w:r>
      <w:r>
        <w:rPr>
          <w:rFonts w:hint="eastAsia"/>
          <w:color w:val="auto"/>
          <w:sz w:val="24"/>
          <w:szCs w:val="24"/>
          <w:highlight w:val="none"/>
          <w:u w:val="single"/>
        </w:rPr>
        <w:t xml:space="preserve">              </w:t>
      </w:r>
      <w:r>
        <w:rPr>
          <w:rFonts w:hint="eastAsia"/>
          <w:color w:val="auto"/>
          <w:sz w:val="24"/>
          <w:szCs w:val="24"/>
          <w:highlight w:val="none"/>
        </w:rPr>
        <w:t>。</w:t>
      </w:r>
    </w:p>
    <w:p w14:paraId="38D21792">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身份证号：</w:t>
      </w:r>
      <w:r>
        <w:rPr>
          <w:rFonts w:hint="eastAsia"/>
          <w:color w:val="auto"/>
          <w:sz w:val="24"/>
          <w:szCs w:val="24"/>
          <w:highlight w:val="none"/>
          <w:u w:val="single"/>
        </w:rPr>
        <w:t xml:space="preserve">             </w:t>
      </w:r>
      <w:r>
        <w:rPr>
          <w:rFonts w:hint="eastAsia"/>
          <w:color w:val="auto"/>
          <w:sz w:val="24"/>
          <w:szCs w:val="24"/>
          <w:highlight w:val="none"/>
        </w:rPr>
        <w:t>。</w:t>
      </w:r>
    </w:p>
    <w:p w14:paraId="5865B1A2">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职称：_</w:t>
      </w:r>
      <w:r>
        <w:rPr>
          <w:rFonts w:hint="eastAsia"/>
          <w:color w:val="auto"/>
          <w:sz w:val="24"/>
          <w:szCs w:val="24"/>
          <w:highlight w:val="none"/>
          <w:u w:val="single"/>
        </w:rPr>
        <w:t xml:space="preserve">                </w:t>
      </w:r>
      <w:r>
        <w:rPr>
          <w:rFonts w:hint="eastAsia"/>
          <w:color w:val="auto"/>
          <w:sz w:val="24"/>
          <w:szCs w:val="24"/>
          <w:highlight w:val="none"/>
        </w:rPr>
        <w:t>。</w:t>
      </w:r>
    </w:p>
    <w:p w14:paraId="062887A4">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执（职）业资格种类及注册证书编号：_</w:t>
      </w:r>
      <w:r>
        <w:rPr>
          <w:rFonts w:hint="eastAsia"/>
          <w:color w:val="auto"/>
          <w:sz w:val="24"/>
          <w:szCs w:val="24"/>
          <w:highlight w:val="none"/>
          <w:u w:val="single"/>
        </w:rPr>
        <w:t xml:space="preserve">                      </w:t>
      </w:r>
      <w:r>
        <w:rPr>
          <w:rFonts w:hint="eastAsia"/>
          <w:color w:val="auto"/>
          <w:sz w:val="24"/>
          <w:szCs w:val="24"/>
          <w:highlight w:val="none"/>
        </w:rPr>
        <w:t>。</w:t>
      </w:r>
    </w:p>
    <w:p w14:paraId="4873F2D5">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联系电话：</w:t>
      </w:r>
      <w:r>
        <w:rPr>
          <w:rFonts w:hint="eastAsia" w:cs="宋体"/>
          <w:color w:val="auto"/>
          <w:sz w:val="24"/>
          <w:szCs w:val="24"/>
          <w:highlight w:val="none"/>
          <w:u w:val="single"/>
        </w:rPr>
        <w:t xml:space="preserve">                  </w:t>
      </w:r>
      <w:r>
        <w:rPr>
          <w:rFonts w:hint="eastAsia"/>
          <w:color w:val="auto"/>
          <w:sz w:val="24"/>
          <w:szCs w:val="24"/>
          <w:highlight w:val="none"/>
        </w:rPr>
        <w:t>。</w:t>
      </w:r>
    </w:p>
    <w:p w14:paraId="28E770BD">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电子信箱：</w:t>
      </w:r>
      <w:r>
        <w:rPr>
          <w:rFonts w:hint="eastAsia"/>
          <w:color w:val="auto"/>
          <w:sz w:val="24"/>
          <w:szCs w:val="24"/>
          <w:highlight w:val="none"/>
          <w:u w:val="single"/>
        </w:rPr>
        <w:t xml:space="preserve">                   </w:t>
      </w:r>
      <w:r>
        <w:rPr>
          <w:rFonts w:hint="eastAsia"/>
          <w:color w:val="auto"/>
          <w:sz w:val="24"/>
          <w:szCs w:val="24"/>
          <w:highlight w:val="none"/>
        </w:rPr>
        <w:t>。</w:t>
      </w:r>
    </w:p>
    <w:p w14:paraId="46C11DE1">
      <w:pPr>
        <w:pageBreakBefore w:val="0"/>
        <w:kinsoku/>
        <w:wordWrap/>
        <w:overflowPunct/>
        <w:topLinePunct w:val="0"/>
        <w:bidi w:val="0"/>
        <w:snapToGrid/>
        <w:spacing w:line="360" w:lineRule="auto"/>
        <w:textAlignment w:val="auto"/>
        <w:rPr>
          <w:rFonts w:hint="eastAsia"/>
          <w:color w:val="auto"/>
          <w:sz w:val="24"/>
          <w:szCs w:val="24"/>
          <w:highlight w:val="none"/>
          <w:u w:val="single"/>
        </w:rPr>
      </w:pPr>
      <w:r>
        <w:rPr>
          <w:rFonts w:hint="eastAsia"/>
          <w:color w:val="auto"/>
          <w:sz w:val="24"/>
          <w:szCs w:val="24"/>
          <w:highlight w:val="none"/>
        </w:rPr>
        <w:t>受托人对其的授权范围：</w:t>
      </w:r>
      <w:r>
        <w:rPr>
          <w:rFonts w:hint="eastAsia"/>
          <w:color w:val="auto"/>
          <w:sz w:val="24"/>
          <w:szCs w:val="24"/>
          <w:highlight w:val="none"/>
          <w:u w:val="single"/>
        </w:rPr>
        <w:t>负责本项目的项目管理工作。</w:t>
      </w:r>
    </w:p>
    <w:p w14:paraId="2DA6A92C">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u w:val="single"/>
        </w:rPr>
        <w:t>造价咨询</w:t>
      </w:r>
      <w:r>
        <w:rPr>
          <w:rFonts w:hint="eastAsia"/>
          <w:color w:val="auto"/>
          <w:sz w:val="24"/>
          <w:szCs w:val="24"/>
          <w:highlight w:val="none"/>
        </w:rPr>
        <w:t>负责人</w:t>
      </w:r>
    </w:p>
    <w:p w14:paraId="18245286">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姓 名：</w:t>
      </w:r>
      <w:r>
        <w:rPr>
          <w:rFonts w:hint="eastAsia"/>
          <w:color w:val="auto"/>
          <w:sz w:val="24"/>
          <w:szCs w:val="24"/>
          <w:highlight w:val="none"/>
          <w:u w:val="single"/>
        </w:rPr>
        <w:t xml:space="preserve">               </w:t>
      </w:r>
      <w:r>
        <w:rPr>
          <w:rFonts w:hint="eastAsia"/>
          <w:color w:val="auto"/>
          <w:sz w:val="24"/>
          <w:szCs w:val="24"/>
          <w:highlight w:val="none"/>
        </w:rPr>
        <w:t>。</w:t>
      </w:r>
    </w:p>
    <w:p w14:paraId="4EA4E53C">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身份证号：</w:t>
      </w:r>
      <w:r>
        <w:rPr>
          <w:rFonts w:hint="eastAsia"/>
          <w:color w:val="auto"/>
          <w:sz w:val="24"/>
          <w:szCs w:val="24"/>
          <w:highlight w:val="none"/>
          <w:u w:val="single"/>
        </w:rPr>
        <w:t xml:space="preserve">             </w:t>
      </w:r>
      <w:r>
        <w:rPr>
          <w:rFonts w:hint="eastAsia"/>
          <w:color w:val="auto"/>
          <w:sz w:val="24"/>
          <w:szCs w:val="24"/>
          <w:highlight w:val="none"/>
        </w:rPr>
        <w:t>。</w:t>
      </w:r>
    </w:p>
    <w:p w14:paraId="0E07ED1D">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职称：</w:t>
      </w:r>
      <w:r>
        <w:rPr>
          <w:rFonts w:hint="eastAsia"/>
          <w:color w:val="auto"/>
          <w:sz w:val="24"/>
          <w:szCs w:val="24"/>
          <w:highlight w:val="none"/>
          <w:u w:val="single"/>
        </w:rPr>
        <w:t xml:space="preserve">                        </w:t>
      </w:r>
      <w:r>
        <w:rPr>
          <w:rFonts w:hint="eastAsia"/>
          <w:color w:val="auto"/>
          <w:sz w:val="24"/>
          <w:szCs w:val="24"/>
          <w:highlight w:val="none"/>
        </w:rPr>
        <w:t>。</w:t>
      </w:r>
    </w:p>
    <w:p w14:paraId="119A1F2F">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执（职）业资格种类及注册证书编号：</w:t>
      </w:r>
      <w:r>
        <w:rPr>
          <w:rFonts w:hint="eastAsia"/>
          <w:color w:val="auto"/>
          <w:sz w:val="24"/>
          <w:szCs w:val="24"/>
          <w:highlight w:val="none"/>
          <w:u w:val="single"/>
        </w:rPr>
        <w:t xml:space="preserve">               </w:t>
      </w:r>
    </w:p>
    <w:p w14:paraId="12ACB52F">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联系电话：</w:t>
      </w:r>
      <w:r>
        <w:rPr>
          <w:rFonts w:hint="eastAsia" w:cs="宋体"/>
          <w:color w:val="auto"/>
          <w:sz w:val="24"/>
          <w:szCs w:val="24"/>
          <w:highlight w:val="none"/>
          <w:u w:val="single"/>
        </w:rPr>
        <w:t xml:space="preserve">                    </w:t>
      </w:r>
      <w:r>
        <w:rPr>
          <w:rFonts w:hint="eastAsia"/>
          <w:color w:val="auto"/>
          <w:sz w:val="24"/>
          <w:szCs w:val="24"/>
          <w:highlight w:val="none"/>
        </w:rPr>
        <w:t>。</w:t>
      </w:r>
    </w:p>
    <w:p w14:paraId="347ADC59">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电子信箱：_____________________________________________________________。</w:t>
      </w:r>
    </w:p>
    <w:p w14:paraId="7346ECAF">
      <w:pPr>
        <w:pageBreakBefore w:val="0"/>
        <w:kinsoku/>
        <w:wordWrap/>
        <w:overflowPunct/>
        <w:topLinePunct w:val="0"/>
        <w:bidi w:val="0"/>
        <w:snapToGrid/>
        <w:spacing w:line="360" w:lineRule="auto"/>
        <w:textAlignment w:val="auto"/>
        <w:rPr>
          <w:rFonts w:hint="eastAsia"/>
          <w:color w:val="auto"/>
          <w:sz w:val="24"/>
          <w:szCs w:val="24"/>
          <w:highlight w:val="none"/>
          <w:u w:val="single"/>
        </w:rPr>
      </w:pPr>
      <w:r>
        <w:rPr>
          <w:rFonts w:hint="eastAsia"/>
          <w:color w:val="auto"/>
          <w:sz w:val="24"/>
          <w:szCs w:val="24"/>
          <w:highlight w:val="none"/>
        </w:rPr>
        <w:t>受托人对其的授权范围：</w:t>
      </w:r>
      <w:r>
        <w:rPr>
          <w:rFonts w:hint="eastAsia"/>
          <w:color w:val="auto"/>
          <w:sz w:val="24"/>
          <w:szCs w:val="24"/>
          <w:highlight w:val="none"/>
          <w:u w:val="single"/>
        </w:rPr>
        <w:t>负责本项目的全过程造价管理工作。</w:t>
      </w:r>
    </w:p>
    <w:p w14:paraId="39FCBC22">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_Ref16209500 \r \h </w:instrText>
      </w:r>
      <w:r>
        <w:rPr>
          <w:rFonts w:hint="eastAsia"/>
          <w:color w:val="auto"/>
          <w:sz w:val="24"/>
          <w:szCs w:val="24"/>
          <w:highlight w:val="none"/>
        </w:rPr>
        <w:fldChar w:fldCharType="separate"/>
      </w:r>
      <w:r>
        <w:rPr>
          <w:rFonts w:hint="eastAsia"/>
          <w:color w:val="auto"/>
          <w:sz w:val="24"/>
          <w:szCs w:val="24"/>
          <w:highlight w:val="none"/>
        </w:rPr>
        <w:t>3.3.2</w:t>
      </w:r>
      <w:r>
        <w:rPr>
          <w:rFonts w:hint="eastAsia"/>
          <w:color w:val="auto"/>
          <w:sz w:val="24"/>
          <w:szCs w:val="24"/>
          <w:highlight w:val="none"/>
        </w:rPr>
        <w:fldChar w:fldCharType="end"/>
      </w:r>
      <w:r>
        <w:rPr>
          <w:rFonts w:hint="eastAsia"/>
          <w:color w:val="auto"/>
          <w:sz w:val="24"/>
          <w:szCs w:val="24"/>
          <w:highlight w:val="none"/>
        </w:rPr>
        <w:t>受托人擅自更换咨询人员的违约责任：</w:t>
      </w:r>
      <w:r>
        <w:rPr>
          <w:rFonts w:hint="eastAsia"/>
          <w:color w:val="auto"/>
          <w:sz w:val="24"/>
          <w:szCs w:val="24"/>
          <w:highlight w:val="none"/>
          <w:u w:val="single"/>
        </w:rPr>
        <w:t>给予其书面警告。</w:t>
      </w:r>
    </w:p>
    <w:p w14:paraId="598AF59D">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受托人无正当理由拒绝撤换咨询人员的违约责任：</w:t>
      </w:r>
      <w:r>
        <w:rPr>
          <w:rFonts w:hint="eastAsia" w:cs="宋体"/>
          <w:color w:val="auto"/>
          <w:kern w:val="0"/>
          <w:sz w:val="24"/>
          <w:szCs w:val="21"/>
          <w:highlight w:val="none"/>
          <w:u w:val="single"/>
        </w:rPr>
        <w:t>给予其三个月书面严重警告。</w:t>
      </w:r>
    </w:p>
    <w:p w14:paraId="148A2320">
      <w:pPr>
        <w:pStyle w:val="15"/>
        <w:pageBreakBefore w:val="0"/>
        <w:kinsoku/>
        <w:wordWrap/>
        <w:overflowPunct/>
        <w:topLinePunct w:val="0"/>
        <w:bidi w:val="0"/>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_Ref523404724 \r \h </w:instrText>
      </w:r>
      <w:r>
        <w:rPr>
          <w:rFonts w:hint="eastAsia"/>
          <w:color w:val="auto"/>
          <w:sz w:val="24"/>
          <w:szCs w:val="24"/>
          <w:highlight w:val="none"/>
        </w:rPr>
        <w:fldChar w:fldCharType="separate"/>
      </w:r>
      <w:r>
        <w:rPr>
          <w:rFonts w:hint="eastAsia"/>
          <w:color w:val="auto"/>
          <w:sz w:val="24"/>
          <w:szCs w:val="24"/>
          <w:highlight w:val="none"/>
        </w:rPr>
        <w:t>3.3.3</w:t>
      </w:r>
      <w:r>
        <w:rPr>
          <w:rFonts w:hint="eastAsia"/>
          <w:color w:val="auto"/>
          <w:sz w:val="24"/>
          <w:szCs w:val="24"/>
          <w:highlight w:val="none"/>
        </w:rPr>
        <w:fldChar w:fldCharType="end"/>
      </w:r>
      <w:r>
        <w:rPr>
          <w:rFonts w:hint="eastAsia"/>
          <w:color w:val="auto"/>
          <w:sz w:val="24"/>
          <w:szCs w:val="24"/>
          <w:highlight w:val="none"/>
        </w:rPr>
        <w:t>受托人认为将使其咨询人员的健康或安全保障受到影响的其他事件：</w:t>
      </w:r>
      <w:r>
        <w:rPr>
          <w:rFonts w:hint="eastAsia"/>
          <w:color w:val="auto"/>
          <w:sz w:val="24"/>
          <w:szCs w:val="24"/>
          <w:highlight w:val="none"/>
          <w:u w:val="single"/>
        </w:rPr>
        <w:t xml:space="preserve">   /   。</w:t>
      </w:r>
    </w:p>
    <w:p w14:paraId="5F8D3E2B">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_Ref523404713 \r \h  \* MERGEFORMAT </w:instrText>
      </w:r>
      <w:r>
        <w:rPr>
          <w:rFonts w:hint="eastAsia"/>
          <w:color w:val="auto"/>
          <w:sz w:val="24"/>
          <w:szCs w:val="24"/>
          <w:highlight w:val="none"/>
        </w:rPr>
        <w:fldChar w:fldCharType="separate"/>
      </w:r>
      <w:r>
        <w:rPr>
          <w:rFonts w:hint="eastAsia"/>
          <w:b/>
          <w:color w:val="auto"/>
          <w:sz w:val="24"/>
          <w:szCs w:val="24"/>
          <w:highlight w:val="none"/>
        </w:rPr>
        <w:t>3.4</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_Ref16234288 \h  \* MERGEFORMAT </w:instrText>
      </w:r>
      <w:r>
        <w:rPr>
          <w:rFonts w:hint="eastAsia"/>
          <w:color w:val="auto"/>
          <w:sz w:val="24"/>
          <w:szCs w:val="24"/>
          <w:highlight w:val="none"/>
        </w:rPr>
        <w:fldChar w:fldCharType="separate"/>
      </w:r>
      <w:r>
        <w:rPr>
          <w:rFonts w:hint="eastAsia"/>
          <w:b/>
          <w:color w:val="auto"/>
          <w:sz w:val="24"/>
          <w:szCs w:val="24"/>
          <w:highlight w:val="none"/>
        </w:rPr>
        <w:t>委托其他咨询单位实施咨询服务</w:t>
      </w:r>
      <w:r>
        <w:rPr>
          <w:rFonts w:hint="eastAsia"/>
          <w:b/>
          <w:color w:val="auto"/>
          <w:sz w:val="24"/>
          <w:szCs w:val="24"/>
          <w:highlight w:val="none"/>
        </w:rPr>
        <w:fldChar w:fldCharType="end"/>
      </w:r>
    </w:p>
    <w:p w14:paraId="687ACC10">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3.4.1受托人擅自转让、变相转让、肢解后转让或交由其他咨询单位实施咨询服务应承担的违约责任：</w:t>
      </w:r>
      <w:r>
        <w:rPr>
          <w:rFonts w:hint="eastAsia"/>
          <w:color w:val="auto"/>
          <w:sz w:val="24"/>
          <w:szCs w:val="24"/>
          <w:highlight w:val="none"/>
          <w:u w:val="single"/>
        </w:rPr>
        <w:t>委托人有权要求</w:t>
      </w:r>
      <w:r>
        <w:rPr>
          <w:rFonts w:hint="eastAsia" w:cs="宋体"/>
          <w:color w:val="auto"/>
          <w:kern w:val="1"/>
          <w:sz w:val="24"/>
          <w:szCs w:val="24"/>
          <w:highlight w:val="none"/>
          <w:u w:val="single"/>
        </w:rPr>
        <w:t>扣减服务费、解除合同直至要求受托人赔偿损失，赔偿金额最高不应超过委托全过程工程咨询报酬的金额。</w:t>
      </w:r>
    </w:p>
    <w:p w14:paraId="3B2AAD52">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_Ref523404702 \r \h  \* MERGEFORMAT </w:instrText>
      </w:r>
      <w:r>
        <w:rPr>
          <w:rFonts w:hint="eastAsia"/>
          <w:color w:val="auto"/>
          <w:sz w:val="24"/>
          <w:szCs w:val="24"/>
          <w:highlight w:val="none"/>
        </w:rPr>
        <w:fldChar w:fldCharType="separate"/>
      </w:r>
      <w:r>
        <w:rPr>
          <w:rFonts w:hint="eastAsia"/>
          <w:color w:val="auto"/>
          <w:sz w:val="24"/>
          <w:szCs w:val="24"/>
          <w:highlight w:val="none"/>
        </w:rPr>
        <w:t>3.4.</w:t>
      </w:r>
      <w:r>
        <w:rPr>
          <w:rFonts w:hint="eastAsia"/>
          <w:color w:val="auto"/>
          <w:sz w:val="24"/>
          <w:szCs w:val="24"/>
          <w:highlight w:val="none"/>
        </w:rPr>
        <w:fldChar w:fldCharType="end"/>
      </w:r>
      <w:r>
        <w:rPr>
          <w:rFonts w:hint="eastAsia"/>
          <w:color w:val="auto"/>
          <w:sz w:val="24"/>
          <w:szCs w:val="24"/>
          <w:highlight w:val="none"/>
        </w:rPr>
        <w:t>3允许委托其他咨询单位实施的服务内容和要求：________/____________</w:t>
      </w:r>
    </w:p>
    <w:p w14:paraId="7CB3ADE1">
      <w:pPr>
        <w:pageBreakBefore w:val="0"/>
        <w:kinsoku/>
        <w:wordWrap/>
        <w:overflowPunct/>
        <w:topLinePunct w:val="0"/>
        <w:bidi w:val="0"/>
        <w:snapToGrid/>
        <w:spacing w:line="360" w:lineRule="auto"/>
        <w:ind w:firstLine="0" w:firstLineChars="0"/>
        <w:textAlignment w:val="auto"/>
        <w:rPr>
          <w:rFonts w:hint="eastAsia"/>
          <w:color w:val="auto"/>
          <w:sz w:val="24"/>
          <w:szCs w:val="24"/>
          <w:highlight w:val="none"/>
        </w:rPr>
      </w:pPr>
      <w:r>
        <w:rPr>
          <w:rFonts w:hint="eastAsia"/>
          <w:color w:val="auto"/>
          <w:sz w:val="24"/>
          <w:szCs w:val="24"/>
          <w:highlight w:val="none"/>
        </w:rPr>
        <w:t>__________________________________________________________________________。</w:t>
      </w:r>
    </w:p>
    <w:p w14:paraId="2E02FDEE">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ascii="Calibri" w:hAnsi="Calibri" w:eastAsia="宋体" w:cs="Times New Roman"/>
          <w:color w:val="auto"/>
          <w:kern w:val="2"/>
          <w:sz w:val="24"/>
          <w:szCs w:val="24"/>
          <w:highlight w:val="none"/>
          <w:lang w:val="en-US" w:eastAsia="zh-CN" w:bidi="ar-SA"/>
        </w:rPr>
        <w:t>3.4.4委托人同意受</w:t>
      </w:r>
      <w:r>
        <w:rPr>
          <w:rFonts w:hint="eastAsia"/>
          <w:color w:val="auto"/>
          <w:sz w:val="24"/>
          <w:szCs w:val="24"/>
          <w:highlight w:val="none"/>
        </w:rPr>
        <w:t>托人将部分咨询服务交由其他咨询单位完成的，受托人就该部分咨询服务应承担的责任：_____________/_________。</w:t>
      </w:r>
    </w:p>
    <w:p w14:paraId="35859A9D">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_Ref523404697 \r \h  \* MERGEFORMAT </w:instrText>
      </w:r>
      <w:r>
        <w:rPr>
          <w:rFonts w:hint="eastAsia"/>
          <w:color w:val="auto"/>
          <w:sz w:val="24"/>
          <w:szCs w:val="24"/>
          <w:highlight w:val="none"/>
        </w:rPr>
        <w:fldChar w:fldCharType="separate"/>
      </w:r>
      <w:r>
        <w:rPr>
          <w:rFonts w:hint="eastAsia"/>
          <w:b/>
          <w:color w:val="auto"/>
          <w:sz w:val="24"/>
          <w:szCs w:val="24"/>
          <w:highlight w:val="none"/>
        </w:rPr>
        <w:t>3.5</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_Ref523403829 \h  \* MERGEFORMAT </w:instrText>
      </w:r>
      <w:r>
        <w:rPr>
          <w:rFonts w:hint="eastAsia"/>
          <w:color w:val="auto"/>
          <w:sz w:val="24"/>
          <w:szCs w:val="24"/>
          <w:highlight w:val="none"/>
        </w:rPr>
        <w:fldChar w:fldCharType="separate"/>
      </w:r>
      <w:r>
        <w:rPr>
          <w:rFonts w:hint="eastAsia"/>
          <w:b/>
          <w:color w:val="auto"/>
          <w:sz w:val="24"/>
          <w:szCs w:val="24"/>
          <w:highlight w:val="none"/>
        </w:rPr>
        <w:t>联合体</w:t>
      </w:r>
      <w:r>
        <w:rPr>
          <w:rFonts w:hint="eastAsia"/>
          <w:b/>
          <w:color w:val="auto"/>
          <w:sz w:val="24"/>
          <w:szCs w:val="24"/>
          <w:highlight w:val="none"/>
        </w:rPr>
        <w:fldChar w:fldCharType="end"/>
      </w:r>
    </w:p>
    <w:p w14:paraId="08EE4F2D">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_Ref16236687 \r \h  \* MERGEFORMAT </w:instrText>
      </w:r>
      <w:r>
        <w:rPr>
          <w:rFonts w:hint="eastAsia"/>
          <w:color w:val="auto"/>
          <w:sz w:val="24"/>
          <w:szCs w:val="24"/>
          <w:highlight w:val="none"/>
        </w:rPr>
        <w:fldChar w:fldCharType="separate"/>
      </w:r>
      <w:r>
        <w:rPr>
          <w:rFonts w:hint="eastAsia"/>
          <w:color w:val="auto"/>
          <w:sz w:val="24"/>
          <w:szCs w:val="24"/>
          <w:highlight w:val="none"/>
        </w:rPr>
        <w:t>3.5.</w:t>
      </w:r>
      <w:r>
        <w:rPr>
          <w:rFonts w:hint="eastAsia"/>
          <w:color w:val="auto"/>
          <w:sz w:val="24"/>
          <w:szCs w:val="24"/>
          <w:highlight w:val="none"/>
        </w:rPr>
        <w:fldChar w:fldCharType="end"/>
      </w:r>
      <w:r>
        <w:rPr>
          <w:rFonts w:hint="eastAsia"/>
          <w:color w:val="auto"/>
          <w:sz w:val="24"/>
          <w:szCs w:val="24"/>
          <w:highlight w:val="none"/>
        </w:rPr>
        <w:t>3联合体牵头人和各方对委托人承担责任的方式：</w:t>
      </w:r>
      <w:r>
        <w:rPr>
          <w:rFonts w:hint="eastAsia"/>
          <w:color w:val="auto"/>
          <w:sz w:val="24"/>
          <w:szCs w:val="24"/>
          <w:highlight w:val="none"/>
          <w:u w:val="single"/>
        </w:rPr>
        <w:t>联合体牵头人和各方承担连带责任。</w:t>
      </w:r>
    </w:p>
    <w:p w14:paraId="4FAD3B42">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_Ref16236714 \r \h  \* MERGEFORMAT </w:instrText>
      </w:r>
      <w:r>
        <w:rPr>
          <w:rFonts w:hint="eastAsia"/>
          <w:color w:val="auto"/>
          <w:sz w:val="24"/>
          <w:szCs w:val="24"/>
          <w:highlight w:val="none"/>
        </w:rPr>
        <w:fldChar w:fldCharType="separate"/>
      </w:r>
      <w:r>
        <w:rPr>
          <w:rFonts w:hint="eastAsia"/>
          <w:color w:val="auto"/>
          <w:sz w:val="24"/>
          <w:szCs w:val="24"/>
          <w:highlight w:val="none"/>
        </w:rPr>
        <w:t>3.5.</w:t>
      </w:r>
      <w:r>
        <w:rPr>
          <w:rFonts w:hint="eastAsia"/>
          <w:color w:val="auto"/>
          <w:sz w:val="24"/>
          <w:szCs w:val="24"/>
          <w:highlight w:val="none"/>
        </w:rPr>
        <w:fldChar w:fldCharType="end"/>
      </w:r>
      <w:r>
        <w:rPr>
          <w:rFonts w:hint="eastAsia"/>
          <w:color w:val="auto"/>
          <w:sz w:val="24"/>
          <w:szCs w:val="24"/>
          <w:highlight w:val="none"/>
        </w:rPr>
        <w:t>4委托人向联合体各方支付服务费用和其他费用的方式：</w:t>
      </w:r>
    </w:p>
    <w:p w14:paraId="7FEC24F4">
      <w:pPr>
        <w:pageBreakBefore w:val="0"/>
        <w:kinsoku/>
        <w:wordWrap/>
        <w:overflowPunct/>
        <w:topLinePunct w:val="0"/>
        <w:bidi w:val="0"/>
        <w:snapToGrid/>
        <w:spacing w:line="360" w:lineRule="auto"/>
        <w:ind w:firstLine="0" w:firstLineChars="0"/>
        <w:textAlignment w:val="auto"/>
        <w:rPr>
          <w:rFonts w:hint="eastAsia"/>
          <w:color w:val="auto"/>
          <w:sz w:val="24"/>
          <w:szCs w:val="24"/>
          <w:highlight w:val="none"/>
        </w:rPr>
      </w:pPr>
      <w:r>
        <w:rPr>
          <w:rFonts w:hint="eastAsia"/>
          <w:color w:val="auto"/>
          <w:sz w:val="24"/>
          <w:szCs w:val="24"/>
          <w:highlight w:val="none"/>
          <w:u w:val="single"/>
        </w:rPr>
        <w:t>委托人支付全部服务费给联合体牵头方，由联合体牵头方再支付给联合体各方。</w:t>
      </w:r>
    </w:p>
    <w:p w14:paraId="26E2A9E9">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其他关于联合体的约定：</w:t>
      </w:r>
      <w:r>
        <w:rPr>
          <w:rFonts w:hint="eastAsia"/>
          <w:color w:val="auto"/>
          <w:sz w:val="24"/>
          <w:szCs w:val="24"/>
          <w:highlight w:val="none"/>
          <w:u w:val="single"/>
        </w:rPr>
        <w:t xml:space="preserve">    /    。</w:t>
      </w:r>
    </w:p>
    <w:p w14:paraId="63FBA1E0">
      <w:pPr>
        <w:pStyle w:val="15"/>
        <w:pageBreakBefore w:val="0"/>
        <w:kinsoku/>
        <w:wordWrap/>
        <w:overflowPunct/>
        <w:topLinePunct w:val="0"/>
        <w:bidi w:val="0"/>
        <w:snapToGrid/>
        <w:spacing w:line="360" w:lineRule="auto"/>
        <w:ind w:firstLine="480" w:firstLineChars="200"/>
        <w:textAlignment w:val="auto"/>
        <w:rPr>
          <w:rFonts w:hint="eastAsia"/>
          <w:color w:val="auto"/>
          <w:sz w:val="24"/>
          <w:szCs w:val="24"/>
          <w:highlight w:val="none"/>
        </w:rPr>
      </w:pPr>
    </w:p>
    <w:p w14:paraId="17119A3D">
      <w:pPr>
        <w:pStyle w:val="75"/>
        <w:pageBreakBefore w:val="0"/>
        <w:kinsoku/>
        <w:wordWrap/>
        <w:overflowPunct/>
        <w:topLinePunct w:val="0"/>
        <w:bidi w:val="0"/>
        <w:snapToGrid/>
        <w:spacing w:before="0" w:beforeLines="0" w:after="0" w:line="360" w:lineRule="auto"/>
        <w:textAlignment w:val="auto"/>
        <w:rPr>
          <w:rFonts w:hint="eastAsia"/>
          <w:color w:val="auto"/>
          <w:sz w:val="28"/>
          <w:szCs w:val="24"/>
          <w:highlight w:val="none"/>
        </w:rPr>
      </w:pPr>
      <w:bookmarkStart w:id="220" w:name="_Toc182389481"/>
      <w:bookmarkStart w:id="221" w:name="_Toc1535557957"/>
      <w:bookmarkStart w:id="222" w:name="_Toc11413"/>
      <w:bookmarkStart w:id="223" w:name="_Toc26319"/>
      <w:bookmarkStart w:id="224" w:name="_Toc182389620"/>
      <w:bookmarkStart w:id="225" w:name="_Toc17854"/>
      <w:r>
        <w:rPr>
          <w:rFonts w:hint="eastAsia"/>
          <w:color w:val="auto"/>
          <w:sz w:val="28"/>
          <w:szCs w:val="24"/>
          <w:highlight w:val="none"/>
        </w:rPr>
        <w:t>咨询</w:t>
      </w:r>
      <w:r>
        <w:rPr>
          <w:rFonts w:hint="eastAsia"/>
          <w:color w:val="auto"/>
          <w:sz w:val="28"/>
          <w:szCs w:val="24"/>
          <w:highlight w:val="none"/>
        </w:rPr>
        <w:fldChar w:fldCharType="begin"/>
      </w:r>
      <w:r>
        <w:rPr>
          <w:rFonts w:hint="eastAsia"/>
          <w:color w:val="auto"/>
          <w:sz w:val="28"/>
          <w:szCs w:val="24"/>
          <w:highlight w:val="none"/>
        </w:rPr>
        <w:instrText xml:space="preserve"> REF _Ref521266664 \h  \* MERGEFORMAT </w:instrText>
      </w:r>
      <w:r>
        <w:rPr>
          <w:rFonts w:hint="eastAsia"/>
          <w:color w:val="auto"/>
          <w:sz w:val="28"/>
          <w:szCs w:val="24"/>
          <w:highlight w:val="none"/>
        </w:rPr>
        <w:fldChar w:fldCharType="separate"/>
      </w:r>
      <w:bookmarkStart w:id="226" w:name="_Toc56155253"/>
      <w:r>
        <w:rPr>
          <w:rFonts w:hint="eastAsia"/>
          <w:color w:val="auto"/>
          <w:sz w:val="28"/>
          <w:szCs w:val="24"/>
          <w:highlight w:val="none"/>
        </w:rPr>
        <w:t>服务要求及成果</w:t>
      </w:r>
      <w:bookmarkEnd w:id="220"/>
      <w:r>
        <w:rPr>
          <w:rFonts w:hint="eastAsia"/>
          <w:color w:val="auto"/>
          <w:sz w:val="28"/>
          <w:szCs w:val="24"/>
          <w:highlight w:val="none"/>
        </w:rPr>
        <w:fldChar w:fldCharType="end"/>
      </w:r>
      <w:bookmarkEnd w:id="221"/>
      <w:bookmarkEnd w:id="222"/>
      <w:bookmarkEnd w:id="223"/>
      <w:bookmarkEnd w:id="224"/>
      <w:bookmarkEnd w:id="225"/>
      <w:bookmarkEnd w:id="226"/>
    </w:p>
    <w:p w14:paraId="6C5349EA">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_Ref509052513 \r \h  \* MERGEFORMAT </w:instrText>
      </w:r>
      <w:r>
        <w:rPr>
          <w:rFonts w:hint="eastAsia"/>
          <w:color w:val="auto"/>
          <w:sz w:val="24"/>
          <w:szCs w:val="24"/>
          <w:highlight w:val="none"/>
        </w:rPr>
        <w:fldChar w:fldCharType="separate"/>
      </w:r>
      <w:r>
        <w:rPr>
          <w:rFonts w:hint="eastAsia"/>
          <w:b/>
          <w:color w:val="auto"/>
          <w:sz w:val="24"/>
          <w:szCs w:val="24"/>
          <w:highlight w:val="none"/>
        </w:rPr>
        <w:t>4.1</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_Ref509052513 \h  \* MERGEFORMAT </w:instrText>
      </w:r>
      <w:r>
        <w:rPr>
          <w:rFonts w:hint="eastAsia"/>
          <w:color w:val="auto"/>
          <w:sz w:val="24"/>
          <w:szCs w:val="24"/>
          <w:highlight w:val="none"/>
        </w:rPr>
        <w:fldChar w:fldCharType="separate"/>
      </w:r>
      <w:r>
        <w:rPr>
          <w:rFonts w:hint="eastAsia"/>
          <w:b/>
          <w:color w:val="auto"/>
          <w:sz w:val="24"/>
          <w:szCs w:val="24"/>
          <w:highlight w:val="none"/>
        </w:rPr>
        <w:t>咨询服务依据</w:t>
      </w:r>
      <w:r>
        <w:rPr>
          <w:rFonts w:hint="eastAsia"/>
          <w:b/>
          <w:color w:val="auto"/>
          <w:sz w:val="24"/>
          <w:szCs w:val="24"/>
          <w:highlight w:val="none"/>
        </w:rPr>
        <w:fldChar w:fldCharType="end"/>
      </w:r>
    </w:p>
    <w:p w14:paraId="5AC5FB5C">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4.1.4咨询服务的特殊标准或要求：</w:t>
      </w:r>
      <w:r>
        <w:rPr>
          <w:rFonts w:hint="eastAsia"/>
          <w:color w:val="auto"/>
          <w:sz w:val="24"/>
          <w:szCs w:val="24"/>
          <w:highlight w:val="none"/>
          <w:u w:val="single"/>
        </w:rPr>
        <w:t xml:space="preserve">     /      </w:t>
      </w:r>
      <w:r>
        <w:rPr>
          <w:rFonts w:hint="eastAsia"/>
          <w:color w:val="auto"/>
          <w:sz w:val="24"/>
          <w:szCs w:val="24"/>
          <w:highlight w:val="none"/>
        </w:rPr>
        <w:t>。</w:t>
      </w:r>
    </w:p>
    <w:p w14:paraId="0FA4E291">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4.1.5咨询服务适用的主要技术标准：</w:t>
      </w:r>
    </w:p>
    <w:p w14:paraId="10EAC145">
      <w:pPr>
        <w:pageBreakBefore w:val="0"/>
        <w:kinsoku/>
        <w:wordWrap/>
        <w:overflowPunct/>
        <w:topLinePunct w:val="0"/>
        <w:bidi w:val="0"/>
        <w:snapToGrid/>
        <w:spacing w:line="360" w:lineRule="auto"/>
        <w:textAlignment w:val="auto"/>
        <w:rPr>
          <w:rFonts w:hint="eastAsia" w:cs="宋体"/>
          <w:color w:val="auto"/>
          <w:sz w:val="24"/>
          <w:szCs w:val="24"/>
          <w:highlight w:val="none"/>
        </w:rPr>
      </w:pPr>
      <w:r>
        <w:rPr>
          <w:rFonts w:hint="eastAsia" w:cs="宋体"/>
          <w:color w:val="auto"/>
          <w:sz w:val="24"/>
          <w:szCs w:val="24"/>
          <w:highlight w:val="none"/>
        </w:rPr>
        <w:t>（a）《中华人民共和国建筑法》；</w:t>
      </w:r>
    </w:p>
    <w:p w14:paraId="36A76B9D">
      <w:pPr>
        <w:pageBreakBefore w:val="0"/>
        <w:kinsoku/>
        <w:wordWrap/>
        <w:overflowPunct/>
        <w:topLinePunct w:val="0"/>
        <w:bidi w:val="0"/>
        <w:snapToGrid/>
        <w:spacing w:line="360" w:lineRule="auto"/>
        <w:textAlignment w:val="auto"/>
        <w:rPr>
          <w:rFonts w:hint="eastAsia" w:cs="宋体"/>
          <w:color w:val="auto"/>
          <w:sz w:val="24"/>
          <w:szCs w:val="24"/>
          <w:highlight w:val="none"/>
        </w:rPr>
      </w:pPr>
      <w:r>
        <w:rPr>
          <w:rFonts w:hint="eastAsia" w:cs="宋体"/>
          <w:color w:val="auto"/>
          <w:sz w:val="24"/>
          <w:szCs w:val="24"/>
          <w:highlight w:val="none"/>
        </w:rPr>
        <w:t>（b）《工程咨询行业管理办法》2017年第9号令；</w:t>
      </w:r>
    </w:p>
    <w:p w14:paraId="4F73C5FA">
      <w:pPr>
        <w:pageBreakBefore w:val="0"/>
        <w:kinsoku/>
        <w:wordWrap/>
        <w:overflowPunct/>
        <w:topLinePunct w:val="0"/>
        <w:bidi w:val="0"/>
        <w:snapToGrid/>
        <w:spacing w:line="360" w:lineRule="auto"/>
        <w:textAlignment w:val="auto"/>
        <w:rPr>
          <w:rFonts w:hint="eastAsia" w:cs="宋体"/>
          <w:color w:val="auto"/>
          <w:sz w:val="24"/>
          <w:szCs w:val="24"/>
          <w:highlight w:val="none"/>
        </w:rPr>
      </w:pPr>
      <w:r>
        <w:rPr>
          <w:rFonts w:hint="eastAsia" w:cs="宋体"/>
          <w:color w:val="auto"/>
          <w:sz w:val="24"/>
          <w:szCs w:val="24"/>
          <w:highlight w:val="none"/>
        </w:rPr>
        <w:t>（c）《建设工程质量管理条例》；</w:t>
      </w:r>
    </w:p>
    <w:p w14:paraId="2D1F73F3">
      <w:pPr>
        <w:pageBreakBefore w:val="0"/>
        <w:kinsoku/>
        <w:wordWrap/>
        <w:overflowPunct/>
        <w:topLinePunct w:val="0"/>
        <w:bidi w:val="0"/>
        <w:snapToGrid/>
        <w:spacing w:line="360" w:lineRule="auto"/>
        <w:textAlignment w:val="auto"/>
        <w:rPr>
          <w:rFonts w:hint="eastAsia" w:cs="宋体"/>
          <w:color w:val="auto"/>
          <w:sz w:val="24"/>
          <w:szCs w:val="24"/>
          <w:highlight w:val="none"/>
        </w:rPr>
      </w:pPr>
      <w:r>
        <w:rPr>
          <w:rFonts w:hint="eastAsia" w:cs="宋体"/>
          <w:color w:val="auto"/>
          <w:sz w:val="24"/>
          <w:szCs w:val="24"/>
          <w:highlight w:val="none"/>
        </w:rPr>
        <w:t>（d）《建设工程监理规范》；</w:t>
      </w:r>
    </w:p>
    <w:p w14:paraId="08395961">
      <w:pPr>
        <w:pageBreakBefore w:val="0"/>
        <w:kinsoku/>
        <w:wordWrap/>
        <w:overflowPunct/>
        <w:topLinePunct w:val="0"/>
        <w:bidi w:val="0"/>
        <w:snapToGrid/>
        <w:spacing w:line="360" w:lineRule="auto"/>
        <w:textAlignment w:val="auto"/>
        <w:rPr>
          <w:rFonts w:hint="eastAsia" w:cs="宋体"/>
          <w:color w:val="auto"/>
          <w:sz w:val="24"/>
          <w:szCs w:val="24"/>
          <w:highlight w:val="none"/>
        </w:rPr>
      </w:pPr>
      <w:r>
        <w:rPr>
          <w:rFonts w:hint="eastAsia" w:cs="宋体"/>
          <w:color w:val="auto"/>
          <w:sz w:val="24"/>
          <w:szCs w:val="24"/>
          <w:highlight w:val="none"/>
        </w:rPr>
        <w:t>（e）《建设工程造价咨询规范》；</w:t>
      </w:r>
    </w:p>
    <w:p w14:paraId="6767F51B">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s="宋体"/>
          <w:color w:val="auto"/>
          <w:sz w:val="24"/>
          <w:szCs w:val="24"/>
          <w:highlight w:val="none"/>
        </w:rPr>
        <w:t>（f）其它相关法律、法规、规章及规定</w:t>
      </w:r>
      <w:r>
        <w:rPr>
          <w:rFonts w:hint="eastAsia"/>
          <w:color w:val="auto"/>
          <w:sz w:val="24"/>
          <w:szCs w:val="24"/>
          <w:highlight w:val="none"/>
        </w:rPr>
        <w:t>。</w:t>
      </w:r>
    </w:p>
    <w:p w14:paraId="34AEB1A2">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b/>
          <w:color w:val="auto"/>
          <w:sz w:val="24"/>
          <w:szCs w:val="24"/>
          <w:highlight w:val="none"/>
        </w:rPr>
        <w:t>4.2</w:t>
      </w:r>
      <w:r>
        <w:rPr>
          <w:rFonts w:hint="eastAsia"/>
          <w:color w:val="auto"/>
          <w:sz w:val="24"/>
          <w:szCs w:val="24"/>
          <w:highlight w:val="none"/>
        </w:rPr>
        <w:fldChar w:fldCharType="begin"/>
      </w:r>
      <w:r>
        <w:rPr>
          <w:rFonts w:hint="eastAsia"/>
          <w:color w:val="auto"/>
          <w:sz w:val="24"/>
          <w:szCs w:val="24"/>
          <w:highlight w:val="none"/>
        </w:rPr>
        <w:instrText xml:space="preserve"> REF _Ref522810376 \h  \* MERGEFORMAT </w:instrText>
      </w:r>
      <w:r>
        <w:rPr>
          <w:rFonts w:hint="eastAsia"/>
          <w:color w:val="auto"/>
          <w:sz w:val="24"/>
          <w:szCs w:val="24"/>
          <w:highlight w:val="none"/>
        </w:rPr>
        <w:fldChar w:fldCharType="separate"/>
      </w:r>
      <w:r>
        <w:rPr>
          <w:rFonts w:hint="eastAsia"/>
          <w:b/>
          <w:color w:val="auto"/>
          <w:sz w:val="24"/>
          <w:szCs w:val="24"/>
          <w:highlight w:val="none"/>
        </w:rPr>
        <w:t>咨询服务成果要求</w:t>
      </w:r>
      <w:r>
        <w:rPr>
          <w:rFonts w:hint="eastAsia"/>
          <w:b/>
          <w:color w:val="auto"/>
          <w:sz w:val="24"/>
          <w:szCs w:val="24"/>
          <w:highlight w:val="none"/>
        </w:rPr>
        <w:fldChar w:fldCharType="end"/>
      </w:r>
    </w:p>
    <w:p w14:paraId="06B9E185">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对咨询服务成果的具体内容和要求：</w:t>
      </w:r>
      <w:r>
        <w:rPr>
          <w:rFonts w:hint="eastAsia"/>
          <w:color w:val="auto"/>
          <w:sz w:val="24"/>
          <w:szCs w:val="24"/>
          <w:highlight w:val="none"/>
          <w:u w:val="single"/>
        </w:rPr>
        <w:t>见附件1 服务范围。</w:t>
      </w:r>
    </w:p>
    <w:p w14:paraId="1398B9B9">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_Ref523404676 \r \h  \* MERGEFORMAT </w:instrText>
      </w:r>
      <w:r>
        <w:rPr>
          <w:rFonts w:hint="eastAsia"/>
          <w:color w:val="auto"/>
          <w:sz w:val="24"/>
          <w:szCs w:val="24"/>
          <w:highlight w:val="none"/>
        </w:rPr>
        <w:fldChar w:fldCharType="separate"/>
      </w:r>
      <w:r>
        <w:rPr>
          <w:rFonts w:hint="eastAsia"/>
          <w:b/>
          <w:color w:val="auto"/>
          <w:sz w:val="24"/>
          <w:szCs w:val="24"/>
          <w:highlight w:val="none"/>
        </w:rPr>
        <w:t>4.</w:t>
      </w:r>
      <w:r>
        <w:rPr>
          <w:rFonts w:hint="eastAsia"/>
          <w:b/>
          <w:color w:val="auto"/>
          <w:sz w:val="24"/>
          <w:szCs w:val="24"/>
          <w:highlight w:val="none"/>
        </w:rPr>
        <w:fldChar w:fldCharType="end"/>
      </w:r>
      <w:r>
        <w:rPr>
          <w:rFonts w:hint="eastAsia"/>
          <w:b/>
          <w:color w:val="auto"/>
          <w:sz w:val="24"/>
          <w:szCs w:val="24"/>
          <w:highlight w:val="none"/>
        </w:rPr>
        <w:t>4咨询</w:t>
      </w:r>
      <w:r>
        <w:rPr>
          <w:rFonts w:hint="eastAsia"/>
          <w:color w:val="auto"/>
          <w:sz w:val="24"/>
          <w:szCs w:val="24"/>
          <w:highlight w:val="none"/>
        </w:rPr>
        <w:fldChar w:fldCharType="begin"/>
      </w:r>
      <w:r>
        <w:rPr>
          <w:rFonts w:hint="eastAsia"/>
          <w:color w:val="auto"/>
          <w:sz w:val="24"/>
          <w:szCs w:val="24"/>
          <w:highlight w:val="none"/>
        </w:rPr>
        <w:instrText xml:space="preserve"> REF _Ref523403738 \h  \* MERGEFORMAT </w:instrText>
      </w:r>
      <w:r>
        <w:rPr>
          <w:rFonts w:hint="eastAsia"/>
          <w:color w:val="auto"/>
          <w:sz w:val="24"/>
          <w:szCs w:val="24"/>
          <w:highlight w:val="none"/>
        </w:rPr>
        <w:fldChar w:fldCharType="separate"/>
      </w:r>
      <w:r>
        <w:rPr>
          <w:rFonts w:hint="eastAsia"/>
          <w:b/>
          <w:color w:val="auto"/>
          <w:sz w:val="24"/>
          <w:szCs w:val="24"/>
          <w:highlight w:val="none"/>
        </w:rPr>
        <w:t>服务成果审查</w:t>
      </w:r>
      <w:r>
        <w:rPr>
          <w:rFonts w:hint="eastAsia"/>
          <w:b/>
          <w:color w:val="auto"/>
          <w:sz w:val="24"/>
          <w:szCs w:val="24"/>
          <w:highlight w:val="none"/>
        </w:rPr>
        <w:fldChar w:fldCharType="end"/>
      </w:r>
    </w:p>
    <w:p w14:paraId="61C20D80">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REF _Ref523706279 \r \h</w:instrText>
      </w:r>
      <w:r>
        <w:rPr>
          <w:rFonts w:hint="eastAsia"/>
          <w:color w:val="auto"/>
          <w:sz w:val="24"/>
          <w:szCs w:val="24"/>
          <w:highlight w:val="none"/>
        </w:rPr>
        <w:fldChar w:fldCharType="separate"/>
      </w:r>
      <w:r>
        <w:rPr>
          <w:rFonts w:hint="eastAsia"/>
          <w:color w:val="auto"/>
          <w:sz w:val="24"/>
          <w:szCs w:val="24"/>
          <w:highlight w:val="none"/>
        </w:rPr>
        <w:t>4.4.1</w:t>
      </w:r>
      <w:r>
        <w:rPr>
          <w:rFonts w:hint="eastAsia"/>
          <w:color w:val="auto"/>
          <w:sz w:val="24"/>
          <w:szCs w:val="24"/>
          <w:highlight w:val="none"/>
        </w:rPr>
        <w:fldChar w:fldCharType="end"/>
      </w:r>
      <w:r>
        <w:rPr>
          <w:rFonts w:hint="eastAsia"/>
          <w:color w:val="auto"/>
          <w:sz w:val="24"/>
          <w:szCs w:val="24"/>
          <w:highlight w:val="none"/>
        </w:rPr>
        <w:t>委托人对受托人的咨询服务成果审查期限不超过</w:t>
      </w:r>
      <w:r>
        <w:rPr>
          <w:rFonts w:hint="eastAsia"/>
          <w:color w:val="auto"/>
          <w:sz w:val="24"/>
          <w:szCs w:val="24"/>
          <w:highlight w:val="none"/>
          <w:u w:val="single"/>
        </w:rPr>
        <w:t>14</w:t>
      </w:r>
      <w:r>
        <w:rPr>
          <w:rFonts w:hint="eastAsia"/>
          <w:color w:val="auto"/>
          <w:sz w:val="24"/>
          <w:szCs w:val="24"/>
          <w:highlight w:val="none"/>
        </w:rPr>
        <w:t>天。</w:t>
      </w:r>
    </w:p>
    <w:p w14:paraId="1497B840">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_Ref523743499 \r \h </w:instrText>
      </w:r>
      <w:r>
        <w:rPr>
          <w:rFonts w:hint="eastAsia"/>
          <w:color w:val="auto"/>
          <w:sz w:val="24"/>
          <w:szCs w:val="24"/>
          <w:highlight w:val="none"/>
        </w:rPr>
        <w:fldChar w:fldCharType="separate"/>
      </w:r>
      <w:r>
        <w:rPr>
          <w:rFonts w:hint="eastAsia"/>
          <w:color w:val="auto"/>
          <w:sz w:val="24"/>
          <w:szCs w:val="24"/>
          <w:highlight w:val="none"/>
        </w:rPr>
        <w:t>4.4.</w:t>
      </w:r>
      <w:r>
        <w:rPr>
          <w:rFonts w:hint="eastAsia"/>
          <w:color w:val="auto"/>
          <w:sz w:val="24"/>
          <w:szCs w:val="24"/>
          <w:highlight w:val="none"/>
        </w:rPr>
        <w:fldChar w:fldCharType="end"/>
      </w:r>
      <w:r>
        <w:rPr>
          <w:rFonts w:hint="eastAsia"/>
          <w:color w:val="auto"/>
          <w:sz w:val="24"/>
          <w:szCs w:val="24"/>
          <w:highlight w:val="none"/>
        </w:rPr>
        <w:t>3审查会议的审查形式和时间安排：</w:t>
      </w:r>
      <w:r>
        <w:rPr>
          <w:rFonts w:hint="eastAsia"/>
          <w:color w:val="auto"/>
          <w:sz w:val="24"/>
          <w:szCs w:val="24"/>
          <w:highlight w:val="none"/>
          <w:u w:val="single"/>
        </w:rPr>
        <w:t>受托人提交咨询服务成果7天内，由委托人组织会议进行审查，受托人配合参与。</w:t>
      </w:r>
    </w:p>
    <w:p w14:paraId="330FE0D6">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_Ref523706367 \r \h </w:instrText>
      </w:r>
      <w:r>
        <w:rPr>
          <w:rFonts w:hint="eastAsia"/>
          <w:color w:val="auto"/>
          <w:sz w:val="24"/>
          <w:szCs w:val="24"/>
          <w:highlight w:val="none"/>
        </w:rPr>
        <w:fldChar w:fldCharType="separate"/>
      </w:r>
      <w:r>
        <w:rPr>
          <w:rFonts w:hint="eastAsia"/>
          <w:color w:val="auto"/>
          <w:sz w:val="24"/>
          <w:szCs w:val="24"/>
          <w:highlight w:val="none"/>
        </w:rPr>
        <w:t>4.4.</w:t>
      </w:r>
      <w:r>
        <w:rPr>
          <w:rFonts w:hint="eastAsia"/>
          <w:color w:val="auto"/>
          <w:sz w:val="24"/>
          <w:szCs w:val="24"/>
          <w:highlight w:val="none"/>
        </w:rPr>
        <w:fldChar w:fldCharType="end"/>
      </w:r>
      <w:r>
        <w:rPr>
          <w:rFonts w:hint="eastAsia"/>
          <w:color w:val="auto"/>
          <w:sz w:val="24"/>
          <w:szCs w:val="24"/>
          <w:highlight w:val="none"/>
        </w:rPr>
        <w:t>5委托人在审查同意受托人的服务成果后</w:t>
      </w:r>
      <w:r>
        <w:rPr>
          <w:rFonts w:hint="eastAsia"/>
          <w:color w:val="auto"/>
          <w:sz w:val="24"/>
          <w:szCs w:val="24"/>
          <w:highlight w:val="none"/>
          <w:u w:val="single"/>
        </w:rPr>
        <w:t>7</w:t>
      </w:r>
      <w:r>
        <w:rPr>
          <w:rFonts w:hint="eastAsia"/>
          <w:color w:val="auto"/>
          <w:sz w:val="24"/>
          <w:szCs w:val="24"/>
          <w:highlight w:val="none"/>
        </w:rPr>
        <w:t>天内，向政府有关部门报送服务成果，受托人应按委托人要求及时予以协助，协助时间应为</w:t>
      </w:r>
      <w:r>
        <w:rPr>
          <w:rFonts w:hint="eastAsia"/>
          <w:color w:val="auto"/>
          <w:sz w:val="24"/>
          <w:szCs w:val="24"/>
          <w:highlight w:val="none"/>
          <w:u w:val="single"/>
        </w:rPr>
        <w:t>成果审核截止日期之前。</w:t>
      </w:r>
    </w:p>
    <w:p w14:paraId="1563F7A8">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_Ref523404669 \r \h  \* MERGEFORMAT </w:instrText>
      </w:r>
      <w:r>
        <w:rPr>
          <w:rFonts w:hint="eastAsia"/>
          <w:color w:val="auto"/>
          <w:sz w:val="24"/>
          <w:szCs w:val="24"/>
          <w:highlight w:val="none"/>
        </w:rPr>
        <w:fldChar w:fldCharType="separate"/>
      </w:r>
      <w:r>
        <w:rPr>
          <w:rFonts w:hint="eastAsia"/>
          <w:b/>
          <w:color w:val="auto"/>
          <w:sz w:val="24"/>
          <w:szCs w:val="24"/>
          <w:highlight w:val="none"/>
        </w:rPr>
        <w:t>4.</w:t>
      </w:r>
      <w:r>
        <w:rPr>
          <w:rFonts w:hint="eastAsia"/>
          <w:b/>
          <w:color w:val="auto"/>
          <w:sz w:val="24"/>
          <w:szCs w:val="24"/>
          <w:highlight w:val="none"/>
        </w:rPr>
        <w:fldChar w:fldCharType="end"/>
      </w:r>
      <w:r>
        <w:rPr>
          <w:rFonts w:hint="eastAsia"/>
          <w:b/>
          <w:color w:val="auto"/>
          <w:sz w:val="24"/>
          <w:szCs w:val="24"/>
          <w:highlight w:val="none"/>
        </w:rPr>
        <w:t>5</w:t>
      </w:r>
      <w:r>
        <w:rPr>
          <w:rFonts w:hint="eastAsia"/>
          <w:color w:val="auto"/>
          <w:sz w:val="24"/>
          <w:szCs w:val="24"/>
          <w:highlight w:val="none"/>
        </w:rPr>
        <w:fldChar w:fldCharType="begin"/>
      </w:r>
      <w:r>
        <w:rPr>
          <w:rFonts w:hint="eastAsia"/>
          <w:color w:val="auto"/>
          <w:sz w:val="24"/>
          <w:szCs w:val="24"/>
          <w:highlight w:val="none"/>
        </w:rPr>
        <w:instrText xml:space="preserve"> REF _Ref523403844 \h  \* MERGEFORMAT </w:instrText>
      </w:r>
      <w:r>
        <w:rPr>
          <w:rFonts w:hint="eastAsia"/>
          <w:color w:val="auto"/>
          <w:sz w:val="24"/>
          <w:szCs w:val="24"/>
          <w:highlight w:val="none"/>
        </w:rPr>
        <w:fldChar w:fldCharType="separate"/>
      </w:r>
      <w:r>
        <w:rPr>
          <w:rFonts w:hint="eastAsia"/>
          <w:b/>
          <w:color w:val="auto"/>
          <w:sz w:val="24"/>
          <w:szCs w:val="24"/>
          <w:highlight w:val="none"/>
        </w:rPr>
        <w:t>管理和配合服务</w:t>
      </w:r>
      <w:r>
        <w:rPr>
          <w:rFonts w:hint="eastAsia"/>
          <w:b/>
          <w:color w:val="auto"/>
          <w:sz w:val="24"/>
          <w:szCs w:val="24"/>
          <w:highlight w:val="none"/>
        </w:rPr>
        <w:fldChar w:fldCharType="end"/>
      </w:r>
    </w:p>
    <w:p w14:paraId="68258F5D">
      <w:pPr>
        <w:pStyle w:val="15"/>
        <w:pageBreakBefore w:val="0"/>
        <w:kinsoku/>
        <w:wordWrap/>
        <w:overflowPunct/>
        <w:topLinePunct w:val="0"/>
        <w:bidi w:val="0"/>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REF _Ref523696599 \r \h \* MERGEFORMAT </w:instrText>
      </w:r>
      <w:r>
        <w:rPr>
          <w:rFonts w:hint="eastAsia"/>
          <w:color w:val="auto"/>
          <w:sz w:val="24"/>
          <w:szCs w:val="24"/>
          <w:highlight w:val="none"/>
        </w:rPr>
        <w:fldChar w:fldCharType="separate"/>
      </w:r>
      <w:r>
        <w:rPr>
          <w:rFonts w:hint="eastAsia"/>
          <w:color w:val="auto"/>
          <w:sz w:val="24"/>
          <w:szCs w:val="24"/>
          <w:highlight w:val="none"/>
        </w:rPr>
        <w:t>4.5.1</w:t>
      </w:r>
      <w:r>
        <w:rPr>
          <w:rFonts w:hint="eastAsia"/>
          <w:color w:val="auto"/>
          <w:sz w:val="24"/>
          <w:szCs w:val="24"/>
          <w:highlight w:val="none"/>
        </w:rPr>
        <w:fldChar w:fldCharType="end"/>
      </w:r>
      <w:r>
        <w:rPr>
          <w:rFonts w:hint="eastAsia"/>
          <w:color w:val="auto"/>
          <w:sz w:val="24"/>
          <w:szCs w:val="24"/>
          <w:highlight w:val="none"/>
        </w:rPr>
        <w:t>关于管理和配合服务的其他约定：</w:t>
      </w:r>
      <w:r>
        <w:rPr>
          <w:rFonts w:hint="eastAsia"/>
          <w:color w:val="auto"/>
          <w:sz w:val="24"/>
          <w:szCs w:val="24"/>
          <w:highlight w:val="none"/>
          <w:u w:val="single"/>
        </w:rPr>
        <w:t xml:space="preserve">    /    。</w:t>
      </w:r>
    </w:p>
    <w:p w14:paraId="690BA516">
      <w:pPr>
        <w:pStyle w:val="15"/>
        <w:pageBreakBefore w:val="0"/>
        <w:kinsoku/>
        <w:wordWrap/>
        <w:overflowPunct/>
        <w:topLinePunct w:val="0"/>
        <w:bidi w:val="0"/>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REF _Ref523696443 \r \h</w:instrText>
      </w:r>
      <w:r>
        <w:rPr>
          <w:rFonts w:hint="eastAsia"/>
          <w:color w:val="auto"/>
          <w:sz w:val="24"/>
          <w:szCs w:val="24"/>
          <w:highlight w:val="none"/>
        </w:rPr>
        <w:fldChar w:fldCharType="separate"/>
      </w:r>
      <w:r>
        <w:rPr>
          <w:rFonts w:hint="eastAsia"/>
          <w:color w:val="auto"/>
          <w:sz w:val="24"/>
          <w:szCs w:val="24"/>
          <w:highlight w:val="none"/>
        </w:rPr>
        <w:t>4.5.2</w:t>
      </w:r>
      <w:r>
        <w:rPr>
          <w:rFonts w:hint="eastAsia"/>
          <w:color w:val="auto"/>
          <w:sz w:val="24"/>
          <w:szCs w:val="24"/>
          <w:highlight w:val="none"/>
        </w:rPr>
        <w:fldChar w:fldCharType="end"/>
      </w:r>
      <w:r>
        <w:rPr>
          <w:rFonts w:hint="eastAsia"/>
          <w:color w:val="auto"/>
          <w:sz w:val="24"/>
          <w:szCs w:val="24"/>
          <w:highlight w:val="none"/>
        </w:rPr>
        <w:t>委托人对受托人的授权范围：</w:t>
      </w:r>
      <w:r>
        <w:rPr>
          <w:rFonts w:hint="eastAsia"/>
          <w:color w:val="auto"/>
          <w:sz w:val="24"/>
          <w:szCs w:val="24"/>
          <w:highlight w:val="none"/>
          <w:u w:val="single"/>
        </w:rPr>
        <w:t xml:space="preserve"> /。</w:t>
      </w:r>
    </w:p>
    <w:p w14:paraId="6B101FAB">
      <w:pPr>
        <w:pStyle w:val="75"/>
        <w:pageBreakBefore w:val="0"/>
        <w:kinsoku/>
        <w:wordWrap/>
        <w:overflowPunct/>
        <w:topLinePunct w:val="0"/>
        <w:bidi w:val="0"/>
        <w:snapToGrid/>
        <w:spacing w:before="0" w:beforeLines="0" w:after="0" w:line="360" w:lineRule="auto"/>
        <w:textAlignment w:val="auto"/>
        <w:rPr>
          <w:rFonts w:hint="eastAsia"/>
          <w:color w:val="auto"/>
          <w:sz w:val="28"/>
          <w:szCs w:val="24"/>
          <w:highlight w:val="none"/>
        </w:rPr>
      </w:pPr>
      <w:bookmarkStart w:id="227" w:name="_Toc1866191301"/>
      <w:bookmarkStart w:id="228" w:name="_Toc13093"/>
      <w:bookmarkStart w:id="229" w:name="_Toc23228"/>
      <w:bookmarkStart w:id="230" w:name="_Toc30101"/>
      <w:r>
        <w:rPr>
          <w:rFonts w:hint="eastAsia"/>
          <w:color w:val="auto"/>
          <w:sz w:val="28"/>
          <w:szCs w:val="24"/>
          <w:highlight w:val="none"/>
        </w:rPr>
        <w:fldChar w:fldCharType="begin"/>
      </w:r>
      <w:r>
        <w:rPr>
          <w:rFonts w:hint="eastAsia"/>
          <w:color w:val="auto"/>
          <w:sz w:val="28"/>
          <w:szCs w:val="24"/>
          <w:highlight w:val="none"/>
        </w:rPr>
        <w:instrText xml:space="preserve"> REF _Ref508998009 \h  \* MERGEFORMAT </w:instrText>
      </w:r>
      <w:r>
        <w:rPr>
          <w:rFonts w:hint="eastAsia"/>
          <w:color w:val="auto"/>
          <w:sz w:val="28"/>
          <w:szCs w:val="24"/>
          <w:highlight w:val="none"/>
        </w:rPr>
        <w:fldChar w:fldCharType="separate"/>
      </w:r>
      <w:bookmarkStart w:id="231" w:name="_Toc56155254"/>
      <w:bookmarkStart w:id="232" w:name="_Toc182389482"/>
      <w:bookmarkStart w:id="233" w:name="_Toc182389621"/>
      <w:r>
        <w:rPr>
          <w:rFonts w:hint="eastAsia"/>
          <w:color w:val="auto"/>
          <w:sz w:val="28"/>
          <w:szCs w:val="24"/>
          <w:highlight w:val="none"/>
        </w:rPr>
        <w:t>进度计划、延误和暂停</w:t>
      </w:r>
      <w:bookmarkEnd w:id="231"/>
      <w:r>
        <w:rPr>
          <w:rFonts w:hint="eastAsia"/>
          <w:color w:val="auto"/>
          <w:sz w:val="28"/>
          <w:szCs w:val="24"/>
          <w:highlight w:val="none"/>
        </w:rPr>
        <w:fldChar w:fldCharType="end"/>
      </w:r>
      <w:bookmarkEnd w:id="227"/>
      <w:bookmarkEnd w:id="228"/>
      <w:bookmarkEnd w:id="229"/>
      <w:bookmarkEnd w:id="230"/>
      <w:bookmarkEnd w:id="232"/>
      <w:bookmarkEnd w:id="233"/>
    </w:p>
    <w:p w14:paraId="2A7813B1">
      <w:pPr>
        <w:pageBreakBefore w:val="0"/>
        <w:kinsoku/>
        <w:wordWrap/>
        <w:overflowPunct/>
        <w:topLinePunct w:val="0"/>
        <w:bidi w:val="0"/>
        <w:snapToGrid/>
        <w:spacing w:line="360" w:lineRule="auto"/>
        <w:textAlignment w:val="auto"/>
        <w:rPr>
          <w:rFonts w:hint="eastAsia" w:cs="Times New Roman"/>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_Ref509051546 \r \h  \* MERGEFORMAT </w:instrText>
      </w:r>
      <w:r>
        <w:rPr>
          <w:rFonts w:hint="eastAsia"/>
          <w:color w:val="auto"/>
          <w:sz w:val="24"/>
          <w:szCs w:val="24"/>
          <w:highlight w:val="none"/>
        </w:rPr>
        <w:fldChar w:fldCharType="separate"/>
      </w:r>
      <w:r>
        <w:rPr>
          <w:rFonts w:hint="eastAsia"/>
          <w:b/>
          <w:color w:val="auto"/>
          <w:sz w:val="24"/>
          <w:szCs w:val="24"/>
          <w:highlight w:val="none"/>
        </w:rPr>
        <w:t>5.1</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_Ref509051546 \h  \* MERGEFORMAT </w:instrText>
      </w:r>
      <w:r>
        <w:rPr>
          <w:rFonts w:hint="eastAsia"/>
          <w:color w:val="auto"/>
          <w:sz w:val="24"/>
          <w:szCs w:val="24"/>
          <w:highlight w:val="none"/>
        </w:rPr>
        <w:fldChar w:fldCharType="separate"/>
      </w:r>
      <w:r>
        <w:rPr>
          <w:rFonts w:hint="eastAsia"/>
          <w:b/>
          <w:color w:val="auto"/>
          <w:sz w:val="24"/>
          <w:szCs w:val="24"/>
          <w:highlight w:val="none"/>
        </w:rPr>
        <w:t>服务开始和完成</w:t>
      </w:r>
      <w:r>
        <w:rPr>
          <w:rFonts w:hint="eastAsia"/>
          <w:b/>
          <w:color w:val="auto"/>
          <w:sz w:val="24"/>
          <w:szCs w:val="24"/>
          <w:highlight w:val="none"/>
        </w:rPr>
        <w:fldChar w:fldCharType="end"/>
      </w:r>
    </w:p>
    <w:p w14:paraId="23A8B908">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服务开始日期为以下第</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w:t>
      </w:r>
      <w:r>
        <w:rPr>
          <w:rFonts w:hint="eastAsia"/>
          <w:color w:val="auto"/>
          <w:sz w:val="24"/>
          <w:szCs w:val="24"/>
          <w:highlight w:val="none"/>
          <w:u w:val="single"/>
        </w:rPr>
        <w:t xml:space="preserve"> </w:t>
      </w:r>
      <w:r>
        <w:rPr>
          <w:rFonts w:hint="eastAsia"/>
          <w:color w:val="auto"/>
          <w:sz w:val="24"/>
          <w:szCs w:val="24"/>
          <w:highlight w:val="none"/>
        </w:rPr>
        <w:t>项：</w:t>
      </w:r>
    </w:p>
    <w:p w14:paraId="2EE73258">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（1）在合同</w:t>
      </w:r>
      <w:r>
        <w:rPr>
          <w:rFonts w:hint="eastAsia"/>
          <w:color w:val="auto"/>
          <w:sz w:val="24"/>
          <w:szCs w:val="24"/>
          <w:highlight w:val="none"/>
          <w:lang w:val="en-US" w:eastAsia="zh-CN"/>
        </w:rPr>
        <w:t>签订之日起</w:t>
      </w:r>
      <w:r>
        <w:rPr>
          <w:rFonts w:hint="eastAsia"/>
          <w:color w:val="auto"/>
          <w:sz w:val="24"/>
          <w:szCs w:val="24"/>
          <w:highlight w:val="none"/>
          <w:u w:val="single"/>
          <w:lang w:val="en-US" w:eastAsia="zh-CN"/>
        </w:rPr>
        <w:t>即刻生效</w:t>
      </w:r>
      <w:r>
        <w:rPr>
          <w:rFonts w:hint="eastAsia"/>
          <w:color w:val="auto"/>
          <w:sz w:val="24"/>
          <w:szCs w:val="24"/>
          <w:highlight w:val="none"/>
        </w:rPr>
        <w:t>；</w:t>
      </w:r>
    </w:p>
    <w:p w14:paraId="02240748">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（2）在受托人收到合同约定的第一次付款后</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w:t>
      </w:r>
      <w:r>
        <w:rPr>
          <w:rFonts w:hint="eastAsia"/>
          <w:color w:val="auto"/>
          <w:sz w:val="24"/>
          <w:szCs w:val="24"/>
          <w:highlight w:val="none"/>
          <w:u w:val="single"/>
        </w:rPr>
        <w:t xml:space="preserve"> </w:t>
      </w:r>
      <w:r>
        <w:rPr>
          <w:rFonts w:hint="eastAsia"/>
          <w:color w:val="auto"/>
          <w:sz w:val="24"/>
          <w:szCs w:val="24"/>
          <w:highlight w:val="none"/>
        </w:rPr>
        <w:t>天内；</w:t>
      </w:r>
    </w:p>
    <w:p w14:paraId="547EB9FA">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（3）计划开始日期：</w:t>
      </w:r>
      <w:r>
        <w:rPr>
          <w:rFonts w:hint="eastAsia"/>
          <w:color w:val="auto"/>
          <w:sz w:val="24"/>
          <w:szCs w:val="24"/>
          <w:highlight w:val="none"/>
          <w:u w:val="single"/>
        </w:rPr>
        <w:t xml:space="preserve">   /   </w:t>
      </w:r>
      <w:r>
        <w:rPr>
          <w:rFonts w:hint="eastAsia"/>
          <w:color w:val="auto"/>
          <w:sz w:val="24"/>
          <w:szCs w:val="24"/>
          <w:highlight w:val="none"/>
        </w:rPr>
        <w:t>年</w:t>
      </w:r>
      <w:r>
        <w:rPr>
          <w:rFonts w:hint="eastAsia"/>
          <w:color w:val="auto"/>
          <w:sz w:val="24"/>
          <w:szCs w:val="24"/>
          <w:highlight w:val="none"/>
          <w:u w:val="single"/>
        </w:rPr>
        <w:t xml:space="preserve"> / </w:t>
      </w:r>
      <w:r>
        <w:rPr>
          <w:rFonts w:hint="eastAsia"/>
          <w:color w:val="auto"/>
          <w:sz w:val="24"/>
          <w:szCs w:val="24"/>
          <w:highlight w:val="none"/>
        </w:rPr>
        <w:t>月</w:t>
      </w:r>
      <w:r>
        <w:rPr>
          <w:rFonts w:hint="eastAsia"/>
          <w:color w:val="auto"/>
          <w:sz w:val="24"/>
          <w:szCs w:val="24"/>
          <w:highlight w:val="none"/>
          <w:u w:val="single"/>
        </w:rPr>
        <w:t xml:space="preserve"> / </w:t>
      </w:r>
      <w:r>
        <w:rPr>
          <w:rFonts w:hint="eastAsia"/>
          <w:color w:val="auto"/>
          <w:sz w:val="24"/>
          <w:szCs w:val="24"/>
          <w:highlight w:val="none"/>
        </w:rPr>
        <w:t>日。</w:t>
      </w:r>
    </w:p>
    <w:p w14:paraId="2BF9554D">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（4）以开始服务工作通知载明的开始服务日期。</w:t>
      </w:r>
    </w:p>
    <w:p w14:paraId="5B107833">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_Ref509052006 \r \h  \* MERGEFORMAT </w:instrText>
      </w:r>
      <w:r>
        <w:rPr>
          <w:rFonts w:hint="eastAsia"/>
          <w:color w:val="auto"/>
          <w:sz w:val="24"/>
          <w:szCs w:val="24"/>
          <w:highlight w:val="none"/>
        </w:rPr>
        <w:fldChar w:fldCharType="separate"/>
      </w:r>
      <w:r>
        <w:rPr>
          <w:rFonts w:hint="eastAsia"/>
          <w:b/>
          <w:color w:val="auto"/>
          <w:sz w:val="24"/>
          <w:szCs w:val="24"/>
          <w:highlight w:val="none"/>
        </w:rPr>
        <w:t>5.2</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_Ref509052006 \h  \* MERGEFORMAT </w:instrText>
      </w:r>
      <w:r>
        <w:rPr>
          <w:rFonts w:hint="eastAsia"/>
          <w:color w:val="auto"/>
          <w:sz w:val="24"/>
          <w:szCs w:val="24"/>
          <w:highlight w:val="none"/>
        </w:rPr>
        <w:fldChar w:fldCharType="separate"/>
      </w:r>
      <w:r>
        <w:rPr>
          <w:rFonts w:hint="eastAsia"/>
          <w:b/>
          <w:color w:val="auto"/>
          <w:sz w:val="24"/>
          <w:szCs w:val="24"/>
          <w:highlight w:val="none"/>
        </w:rPr>
        <w:t>服务进度计划</w:t>
      </w:r>
      <w:r>
        <w:rPr>
          <w:rFonts w:hint="eastAsia"/>
          <w:b/>
          <w:color w:val="auto"/>
          <w:sz w:val="24"/>
          <w:szCs w:val="24"/>
          <w:highlight w:val="none"/>
        </w:rPr>
        <w:fldChar w:fldCharType="end"/>
      </w:r>
    </w:p>
    <w:p w14:paraId="0FC4039F">
      <w:pPr>
        <w:pageBreakBefore w:val="0"/>
        <w:kinsoku/>
        <w:wordWrap/>
        <w:overflowPunct/>
        <w:topLinePunct w:val="0"/>
        <w:bidi w:val="0"/>
        <w:snapToGrid/>
        <w:spacing w:line="360" w:lineRule="auto"/>
        <w:textAlignment w:val="auto"/>
        <w:rPr>
          <w:rFonts w:hint="eastAsia"/>
          <w:color w:val="auto"/>
          <w:sz w:val="24"/>
          <w:szCs w:val="24"/>
          <w:highlight w:val="none"/>
          <w:u w:val="single"/>
        </w:rPr>
      </w:pPr>
      <w:r>
        <w:rPr>
          <w:rFonts w:hint="eastAsia"/>
          <w:color w:val="auto"/>
          <w:sz w:val="24"/>
          <w:szCs w:val="24"/>
          <w:highlight w:val="none"/>
        </w:rPr>
        <w:fldChar w:fldCharType="begin"/>
      </w:r>
      <w:r>
        <w:rPr>
          <w:rFonts w:hint="eastAsia"/>
          <w:color w:val="auto"/>
          <w:sz w:val="24"/>
          <w:szCs w:val="24"/>
          <w:highlight w:val="none"/>
        </w:rPr>
        <w:instrText xml:space="preserve"> REF _Ref523404652 \r \h  \* MERGEFORMAT </w:instrText>
      </w:r>
      <w:r>
        <w:rPr>
          <w:rFonts w:hint="eastAsia"/>
          <w:color w:val="auto"/>
          <w:sz w:val="24"/>
          <w:szCs w:val="24"/>
          <w:highlight w:val="none"/>
        </w:rPr>
        <w:fldChar w:fldCharType="separate"/>
      </w:r>
      <w:r>
        <w:rPr>
          <w:rFonts w:hint="eastAsia"/>
          <w:color w:val="auto"/>
          <w:sz w:val="24"/>
          <w:szCs w:val="24"/>
          <w:highlight w:val="none"/>
        </w:rPr>
        <w:t>5.2.1</w:t>
      </w:r>
      <w:r>
        <w:rPr>
          <w:rFonts w:hint="eastAsia"/>
          <w:color w:val="auto"/>
          <w:sz w:val="24"/>
          <w:szCs w:val="24"/>
          <w:highlight w:val="none"/>
        </w:rPr>
        <w:fldChar w:fldCharType="end"/>
      </w:r>
      <w:r>
        <w:rPr>
          <w:rFonts w:hint="eastAsia"/>
          <w:color w:val="auto"/>
          <w:sz w:val="24"/>
          <w:szCs w:val="24"/>
          <w:highlight w:val="none"/>
        </w:rPr>
        <w:t>受托人应提交服务进度计划的时间：</w:t>
      </w:r>
      <w:r>
        <w:rPr>
          <w:rFonts w:hint="eastAsia"/>
          <w:color w:val="auto"/>
          <w:sz w:val="24"/>
          <w:szCs w:val="24"/>
          <w:highlight w:val="none"/>
          <w:u w:val="single"/>
        </w:rPr>
        <w:t>合同签订后14天内。</w:t>
      </w:r>
    </w:p>
    <w:p w14:paraId="13206F1D">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REF _Ref17459431 \r \h</w:instrText>
      </w:r>
      <w:r>
        <w:rPr>
          <w:rFonts w:hint="eastAsia"/>
          <w:color w:val="auto"/>
          <w:sz w:val="24"/>
          <w:szCs w:val="24"/>
          <w:highlight w:val="none"/>
        </w:rPr>
        <w:fldChar w:fldCharType="separate"/>
      </w:r>
      <w:r>
        <w:rPr>
          <w:rFonts w:hint="eastAsia"/>
          <w:color w:val="auto"/>
          <w:sz w:val="24"/>
          <w:szCs w:val="24"/>
          <w:highlight w:val="none"/>
        </w:rPr>
        <w:t>5.2.2</w:t>
      </w:r>
      <w:r>
        <w:rPr>
          <w:rFonts w:hint="eastAsia"/>
          <w:color w:val="auto"/>
          <w:sz w:val="24"/>
          <w:szCs w:val="24"/>
          <w:highlight w:val="none"/>
        </w:rPr>
        <w:fldChar w:fldCharType="end"/>
      </w:r>
      <w:r>
        <w:rPr>
          <w:rFonts w:hint="eastAsia"/>
          <w:color w:val="auto"/>
          <w:sz w:val="24"/>
          <w:szCs w:val="24"/>
          <w:highlight w:val="none"/>
        </w:rPr>
        <w:t>委托人审查服务进度计划的时间：</w:t>
      </w:r>
      <w:r>
        <w:rPr>
          <w:rFonts w:hint="eastAsia"/>
          <w:color w:val="auto"/>
          <w:sz w:val="24"/>
          <w:szCs w:val="24"/>
          <w:highlight w:val="none"/>
          <w:u w:val="single"/>
        </w:rPr>
        <w:t xml:space="preserve">    /    。</w:t>
      </w:r>
    </w:p>
    <w:p w14:paraId="5559C5BC">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_Ref523429993 \r \h </w:instrText>
      </w:r>
      <w:r>
        <w:rPr>
          <w:rFonts w:hint="eastAsia"/>
          <w:color w:val="auto"/>
          <w:sz w:val="24"/>
          <w:szCs w:val="24"/>
          <w:highlight w:val="none"/>
        </w:rPr>
        <w:fldChar w:fldCharType="separate"/>
      </w:r>
      <w:r>
        <w:rPr>
          <w:rFonts w:hint="eastAsia"/>
          <w:color w:val="auto"/>
          <w:sz w:val="24"/>
          <w:szCs w:val="24"/>
          <w:highlight w:val="none"/>
        </w:rPr>
        <w:t>5.2.3</w:t>
      </w:r>
      <w:r>
        <w:rPr>
          <w:rFonts w:hint="eastAsia"/>
          <w:color w:val="auto"/>
          <w:sz w:val="24"/>
          <w:szCs w:val="24"/>
          <w:highlight w:val="none"/>
        </w:rPr>
        <w:fldChar w:fldCharType="end"/>
      </w:r>
      <w:r>
        <w:rPr>
          <w:rFonts w:hint="eastAsia"/>
          <w:color w:val="auto"/>
          <w:sz w:val="24"/>
          <w:szCs w:val="24"/>
          <w:highlight w:val="none"/>
        </w:rPr>
        <w:t>委托人审查修订的服务进度计划的时间：</w:t>
      </w:r>
      <w:r>
        <w:rPr>
          <w:rFonts w:hint="eastAsia"/>
          <w:color w:val="auto"/>
          <w:sz w:val="24"/>
          <w:szCs w:val="24"/>
          <w:highlight w:val="none"/>
          <w:u w:val="single"/>
        </w:rPr>
        <w:t xml:space="preserve">    /    。</w:t>
      </w:r>
    </w:p>
    <w:p w14:paraId="4AAB6A56">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_Ref508800118 \r \h  \* MERGEFORMAT </w:instrText>
      </w:r>
      <w:r>
        <w:rPr>
          <w:rFonts w:hint="eastAsia"/>
          <w:color w:val="auto"/>
          <w:sz w:val="24"/>
          <w:szCs w:val="24"/>
          <w:highlight w:val="none"/>
        </w:rPr>
        <w:fldChar w:fldCharType="separate"/>
      </w:r>
      <w:r>
        <w:rPr>
          <w:rFonts w:hint="eastAsia"/>
          <w:b/>
          <w:color w:val="auto"/>
          <w:sz w:val="24"/>
          <w:szCs w:val="24"/>
          <w:highlight w:val="none"/>
        </w:rPr>
        <w:t>5.3</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_Ref508800118 \h  \* MERGEFORMAT </w:instrText>
      </w:r>
      <w:r>
        <w:rPr>
          <w:rFonts w:hint="eastAsia"/>
          <w:color w:val="auto"/>
          <w:sz w:val="24"/>
          <w:szCs w:val="24"/>
          <w:highlight w:val="none"/>
        </w:rPr>
        <w:fldChar w:fldCharType="separate"/>
      </w:r>
      <w:r>
        <w:rPr>
          <w:rFonts w:hint="eastAsia"/>
          <w:b/>
          <w:color w:val="auto"/>
          <w:sz w:val="24"/>
          <w:szCs w:val="24"/>
          <w:highlight w:val="none"/>
        </w:rPr>
        <w:t>服务进度延误</w:t>
      </w:r>
      <w:r>
        <w:rPr>
          <w:rFonts w:hint="eastAsia"/>
          <w:b/>
          <w:color w:val="auto"/>
          <w:sz w:val="24"/>
          <w:szCs w:val="24"/>
          <w:highlight w:val="none"/>
        </w:rPr>
        <w:fldChar w:fldCharType="end"/>
      </w:r>
    </w:p>
    <w:p w14:paraId="05820AA1">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ascii="Calibri" w:hAnsi="Calibri" w:eastAsia="宋体" w:cs="Times New Roman"/>
          <w:color w:val="auto"/>
          <w:kern w:val="2"/>
          <w:sz w:val="24"/>
          <w:szCs w:val="24"/>
          <w:highlight w:val="none"/>
          <w:lang w:val="en-US" w:eastAsia="zh-CN" w:bidi="ar-SA"/>
        </w:rPr>
        <w:fldChar w:fldCharType="begin"/>
      </w:r>
      <w:r>
        <w:rPr>
          <w:rFonts w:hint="eastAsia" w:ascii="Calibri" w:hAnsi="Calibri" w:eastAsia="宋体" w:cs="Times New Roman"/>
          <w:color w:val="auto"/>
          <w:kern w:val="2"/>
          <w:sz w:val="24"/>
          <w:szCs w:val="24"/>
          <w:highlight w:val="none"/>
          <w:lang w:val="en-US" w:eastAsia="zh-CN" w:bidi="ar-SA"/>
        </w:rPr>
        <w:instrText xml:space="preserve"> REF _Hlk521939549 \r \h  \* MERGEFORMAT </w:instrText>
      </w:r>
      <w:r>
        <w:rPr>
          <w:rFonts w:hint="eastAsia" w:ascii="Calibri" w:hAnsi="Calibri" w:eastAsia="宋体" w:cs="Times New Roman"/>
          <w:color w:val="auto"/>
          <w:kern w:val="2"/>
          <w:sz w:val="24"/>
          <w:szCs w:val="24"/>
          <w:highlight w:val="none"/>
          <w:lang w:val="en-US" w:eastAsia="zh-CN" w:bidi="ar-SA"/>
        </w:rPr>
        <w:fldChar w:fldCharType="separate"/>
      </w:r>
      <w:r>
        <w:rPr>
          <w:rFonts w:hint="eastAsia" w:ascii="Calibri" w:hAnsi="Calibri" w:eastAsia="宋体" w:cs="Times New Roman"/>
          <w:color w:val="auto"/>
          <w:kern w:val="2"/>
          <w:sz w:val="24"/>
          <w:szCs w:val="24"/>
          <w:highlight w:val="none"/>
          <w:lang w:val="en-US" w:eastAsia="zh-CN" w:bidi="ar-SA"/>
        </w:rPr>
        <w:t>5.3.1</w:t>
      </w:r>
      <w:r>
        <w:rPr>
          <w:rFonts w:hint="eastAsia" w:ascii="Calibri" w:hAnsi="Calibri" w:eastAsia="宋体" w:cs="Times New Roman"/>
          <w:color w:val="auto"/>
          <w:kern w:val="2"/>
          <w:sz w:val="24"/>
          <w:szCs w:val="24"/>
          <w:highlight w:val="none"/>
          <w:lang w:val="en-US" w:eastAsia="zh-CN" w:bidi="ar-SA"/>
        </w:rPr>
        <w:fldChar w:fldCharType="end"/>
      </w:r>
      <w:r>
        <w:rPr>
          <w:rFonts w:hint="eastAsia" w:ascii="Calibri" w:hAnsi="Calibri" w:eastAsia="宋体" w:cs="Times New Roman"/>
          <w:color w:val="auto"/>
          <w:kern w:val="2"/>
          <w:sz w:val="24"/>
          <w:szCs w:val="24"/>
          <w:highlight w:val="none"/>
          <w:lang w:val="en-US" w:eastAsia="zh-CN" w:bidi="ar-SA"/>
        </w:rPr>
        <w:t>非受托人</w:t>
      </w:r>
      <w:r>
        <w:rPr>
          <w:rFonts w:hint="eastAsia"/>
          <w:color w:val="auto"/>
          <w:sz w:val="24"/>
          <w:szCs w:val="24"/>
          <w:highlight w:val="none"/>
        </w:rPr>
        <w:t>原因导致延误的其他情形：</w:t>
      </w:r>
      <w:r>
        <w:rPr>
          <w:rFonts w:hint="eastAsia"/>
          <w:color w:val="auto"/>
          <w:sz w:val="24"/>
          <w:szCs w:val="24"/>
          <w:highlight w:val="none"/>
          <w:u w:val="single"/>
        </w:rPr>
        <w:t xml:space="preserve">    /    。</w:t>
      </w:r>
    </w:p>
    <w:p w14:paraId="3288B60A">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5.3.2受托人发出延期书面通知的时间：</w:t>
      </w:r>
      <w:r>
        <w:rPr>
          <w:rFonts w:hint="eastAsia"/>
          <w:color w:val="auto"/>
          <w:sz w:val="24"/>
          <w:szCs w:val="24"/>
          <w:highlight w:val="none"/>
          <w:u w:val="single"/>
        </w:rPr>
        <w:t xml:space="preserve">    /    。</w:t>
      </w:r>
    </w:p>
    <w:p w14:paraId="23B794E0">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委托人书面答复的时间：</w:t>
      </w:r>
      <w:r>
        <w:rPr>
          <w:rFonts w:hint="eastAsia"/>
          <w:color w:val="auto"/>
          <w:sz w:val="24"/>
          <w:szCs w:val="24"/>
          <w:highlight w:val="none"/>
          <w:u w:val="single"/>
        </w:rPr>
        <w:t xml:space="preserve">    /    。</w:t>
      </w:r>
    </w:p>
    <w:p w14:paraId="36659414">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_Ref523709682 \r \h </w:instrText>
      </w:r>
      <w:r>
        <w:rPr>
          <w:rFonts w:hint="eastAsia"/>
          <w:color w:val="auto"/>
          <w:sz w:val="24"/>
          <w:szCs w:val="24"/>
          <w:highlight w:val="none"/>
        </w:rPr>
        <w:fldChar w:fldCharType="separate"/>
      </w:r>
      <w:r>
        <w:rPr>
          <w:rFonts w:hint="eastAsia"/>
          <w:color w:val="auto"/>
          <w:sz w:val="24"/>
          <w:szCs w:val="24"/>
          <w:highlight w:val="none"/>
        </w:rPr>
        <w:t>5.3.</w:t>
      </w:r>
      <w:r>
        <w:rPr>
          <w:rFonts w:hint="eastAsia"/>
          <w:color w:val="auto"/>
          <w:sz w:val="24"/>
          <w:szCs w:val="24"/>
          <w:highlight w:val="none"/>
        </w:rPr>
        <w:fldChar w:fldCharType="end"/>
      </w:r>
      <w:r>
        <w:rPr>
          <w:rFonts w:hint="eastAsia"/>
          <w:color w:val="auto"/>
          <w:sz w:val="24"/>
          <w:szCs w:val="24"/>
          <w:highlight w:val="none"/>
        </w:rPr>
        <w:t>3因受托人原因导致咨询服务进度延误，逾期违约金的计算方法和上限为：</w:t>
      </w:r>
      <w:r>
        <w:rPr>
          <w:rFonts w:hint="eastAsia"/>
          <w:color w:val="auto"/>
          <w:sz w:val="24"/>
          <w:szCs w:val="24"/>
          <w:highlight w:val="none"/>
          <w:u w:val="single"/>
        </w:rPr>
        <w:t>在对应咨询服务费中扣除委托方实际损失，最高不超过委托咨询服务费的20%。</w:t>
      </w:r>
    </w:p>
    <w:p w14:paraId="140DF6BF">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_Ref523404626 \r \h  \* MERGEFORMAT </w:instrText>
      </w:r>
      <w:r>
        <w:rPr>
          <w:rFonts w:hint="eastAsia"/>
          <w:color w:val="auto"/>
          <w:sz w:val="24"/>
          <w:szCs w:val="24"/>
          <w:highlight w:val="none"/>
        </w:rPr>
        <w:fldChar w:fldCharType="separate"/>
      </w:r>
      <w:r>
        <w:rPr>
          <w:rFonts w:hint="eastAsia"/>
          <w:b/>
          <w:color w:val="auto"/>
          <w:sz w:val="24"/>
          <w:szCs w:val="24"/>
          <w:highlight w:val="none"/>
        </w:rPr>
        <w:t>5.4</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_Ref523403899 \h  \* MERGEFORMAT </w:instrText>
      </w:r>
      <w:r>
        <w:rPr>
          <w:rFonts w:hint="eastAsia"/>
          <w:color w:val="auto"/>
          <w:sz w:val="24"/>
          <w:szCs w:val="24"/>
          <w:highlight w:val="none"/>
        </w:rPr>
        <w:fldChar w:fldCharType="separate"/>
      </w:r>
      <w:r>
        <w:rPr>
          <w:rFonts w:hint="eastAsia"/>
          <w:b/>
          <w:color w:val="auto"/>
          <w:sz w:val="24"/>
          <w:szCs w:val="24"/>
          <w:highlight w:val="none"/>
        </w:rPr>
        <w:t>服务暂停</w:t>
      </w:r>
      <w:r>
        <w:rPr>
          <w:rFonts w:hint="eastAsia"/>
          <w:b/>
          <w:color w:val="auto"/>
          <w:sz w:val="24"/>
          <w:szCs w:val="24"/>
          <w:highlight w:val="none"/>
        </w:rPr>
        <w:fldChar w:fldCharType="end"/>
      </w:r>
    </w:p>
    <w:p w14:paraId="519BB674">
      <w:pPr>
        <w:pStyle w:val="15"/>
        <w:pageBreakBefore w:val="0"/>
        <w:kinsoku/>
        <w:wordWrap/>
        <w:overflowPunct/>
        <w:topLinePunct w:val="0"/>
        <w:bidi w:val="0"/>
        <w:snapToGrid/>
        <w:spacing w:line="360" w:lineRule="auto"/>
        <w:ind w:firstLine="480" w:firstLineChars="200"/>
        <w:textAlignment w:val="auto"/>
        <w:rPr>
          <w:rFonts w:hint="eastAsia"/>
          <w:color w:val="auto"/>
          <w:sz w:val="24"/>
          <w:szCs w:val="24"/>
          <w:highlight w:val="none"/>
          <w:u w:val="single"/>
        </w:rPr>
      </w:pPr>
      <w:r>
        <w:rPr>
          <w:rFonts w:hint="eastAsia"/>
          <w:color w:val="auto"/>
          <w:sz w:val="24"/>
          <w:szCs w:val="24"/>
          <w:highlight w:val="none"/>
        </w:rPr>
        <w:t>受托人可暂停全部或部分服务的其他情形：</w:t>
      </w:r>
      <w:r>
        <w:rPr>
          <w:rFonts w:hint="eastAsia"/>
          <w:color w:val="auto"/>
          <w:sz w:val="24"/>
          <w:szCs w:val="24"/>
          <w:highlight w:val="none"/>
          <w:u w:val="single"/>
        </w:rPr>
        <w:t xml:space="preserve">    /    。</w:t>
      </w:r>
    </w:p>
    <w:p w14:paraId="0C6549D8">
      <w:pPr>
        <w:pStyle w:val="75"/>
        <w:pageBreakBefore w:val="0"/>
        <w:kinsoku/>
        <w:wordWrap/>
        <w:overflowPunct/>
        <w:topLinePunct w:val="0"/>
        <w:bidi w:val="0"/>
        <w:snapToGrid/>
        <w:spacing w:before="0" w:beforeLines="0" w:after="0" w:line="360" w:lineRule="auto"/>
        <w:textAlignment w:val="auto"/>
        <w:rPr>
          <w:rFonts w:hint="eastAsia"/>
          <w:color w:val="auto"/>
          <w:sz w:val="28"/>
          <w:szCs w:val="24"/>
          <w:highlight w:val="none"/>
        </w:rPr>
      </w:pPr>
      <w:bookmarkStart w:id="234" w:name="_Toc1854"/>
      <w:bookmarkStart w:id="235" w:name="_Toc3684"/>
      <w:r>
        <w:rPr>
          <w:rFonts w:hint="eastAsia"/>
          <w:color w:val="auto"/>
          <w:sz w:val="28"/>
          <w:szCs w:val="24"/>
          <w:highlight w:val="none"/>
        </w:rPr>
        <w:fldChar w:fldCharType="begin"/>
      </w:r>
      <w:r>
        <w:rPr>
          <w:rFonts w:hint="eastAsia"/>
          <w:color w:val="auto"/>
          <w:sz w:val="28"/>
          <w:szCs w:val="24"/>
          <w:highlight w:val="none"/>
        </w:rPr>
        <w:instrText xml:space="preserve"> REF _Ref521266685 \h  \* MERGEFORMAT </w:instrText>
      </w:r>
      <w:r>
        <w:rPr>
          <w:rFonts w:hint="eastAsia"/>
          <w:color w:val="auto"/>
          <w:sz w:val="28"/>
          <w:szCs w:val="24"/>
          <w:highlight w:val="none"/>
        </w:rPr>
        <w:fldChar w:fldCharType="separate"/>
      </w:r>
      <w:bookmarkStart w:id="236" w:name="_Toc182389622"/>
      <w:bookmarkStart w:id="237" w:name="_Toc182389483"/>
      <w:r>
        <w:rPr>
          <w:rFonts w:hint="eastAsia"/>
          <w:color w:val="auto"/>
          <w:sz w:val="28"/>
          <w:szCs w:val="24"/>
          <w:highlight w:val="none"/>
        </w:rPr>
        <w:t>服务费用和支付</w:t>
      </w:r>
      <w:bookmarkEnd w:id="236"/>
      <w:r>
        <w:rPr>
          <w:rFonts w:hint="eastAsia"/>
          <w:color w:val="auto"/>
          <w:sz w:val="28"/>
          <w:szCs w:val="24"/>
          <w:highlight w:val="none"/>
        </w:rPr>
        <w:fldChar w:fldCharType="end"/>
      </w:r>
      <w:bookmarkEnd w:id="234"/>
      <w:bookmarkEnd w:id="235"/>
      <w:bookmarkEnd w:id="237"/>
    </w:p>
    <w:p w14:paraId="5F9ABDBD">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_Ref523405711 \r \h  \* MERGEFORMAT </w:instrText>
      </w:r>
      <w:r>
        <w:rPr>
          <w:rFonts w:hint="eastAsia"/>
          <w:color w:val="auto"/>
          <w:sz w:val="24"/>
          <w:szCs w:val="24"/>
          <w:highlight w:val="none"/>
        </w:rPr>
        <w:fldChar w:fldCharType="separate"/>
      </w:r>
      <w:r>
        <w:rPr>
          <w:rFonts w:hint="eastAsia"/>
          <w:b/>
          <w:color w:val="auto"/>
          <w:sz w:val="24"/>
          <w:szCs w:val="24"/>
          <w:highlight w:val="none"/>
        </w:rPr>
        <w:t>6.</w:t>
      </w:r>
      <w:r>
        <w:rPr>
          <w:rFonts w:hint="eastAsia"/>
          <w:b/>
          <w:color w:val="auto"/>
          <w:sz w:val="24"/>
          <w:szCs w:val="24"/>
          <w:highlight w:val="none"/>
        </w:rPr>
        <w:fldChar w:fldCharType="end"/>
      </w:r>
      <w:r>
        <w:rPr>
          <w:rFonts w:hint="eastAsia"/>
          <w:b/>
          <w:color w:val="auto"/>
          <w:sz w:val="24"/>
          <w:szCs w:val="24"/>
          <w:highlight w:val="none"/>
        </w:rPr>
        <w:t>2</w:t>
      </w:r>
      <w:r>
        <w:rPr>
          <w:rFonts w:hint="eastAsia"/>
          <w:color w:val="auto"/>
          <w:sz w:val="24"/>
          <w:szCs w:val="24"/>
          <w:highlight w:val="none"/>
        </w:rPr>
        <w:fldChar w:fldCharType="begin"/>
      </w:r>
      <w:r>
        <w:rPr>
          <w:rFonts w:hint="eastAsia"/>
          <w:color w:val="auto"/>
          <w:sz w:val="24"/>
          <w:szCs w:val="24"/>
          <w:highlight w:val="none"/>
        </w:rPr>
        <w:instrText xml:space="preserve"> REF _Ref13950651 \h  \* MERGEFORMAT </w:instrText>
      </w:r>
      <w:r>
        <w:rPr>
          <w:rFonts w:hint="eastAsia"/>
          <w:color w:val="auto"/>
          <w:sz w:val="24"/>
          <w:szCs w:val="24"/>
          <w:highlight w:val="none"/>
        </w:rPr>
        <w:fldChar w:fldCharType="separate"/>
      </w:r>
      <w:r>
        <w:rPr>
          <w:rFonts w:hint="eastAsia"/>
          <w:b/>
          <w:color w:val="auto"/>
          <w:sz w:val="24"/>
          <w:szCs w:val="24"/>
          <w:highlight w:val="none"/>
        </w:rPr>
        <w:t>支付程序和方式</w:t>
      </w:r>
      <w:r>
        <w:rPr>
          <w:rFonts w:hint="eastAsia"/>
          <w:b/>
          <w:color w:val="auto"/>
          <w:sz w:val="24"/>
          <w:szCs w:val="24"/>
          <w:highlight w:val="none"/>
        </w:rPr>
        <w:fldChar w:fldCharType="end"/>
      </w:r>
    </w:p>
    <w:p w14:paraId="76096809">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_Ref14113093 \r \h </w:instrText>
      </w:r>
      <w:r>
        <w:rPr>
          <w:rFonts w:hint="eastAsia"/>
          <w:color w:val="auto"/>
          <w:sz w:val="24"/>
          <w:szCs w:val="24"/>
          <w:highlight w:val="none"/>
        </w:rPr>
        <w:fldChar w:fldCharType="separate"/>
      </w:r>
      <w:r>
        <w:rPr>
          <w:rFonts w:hint="eastAsia"/>
          <w:color w:val="auto"/>
          <w:sz w:val="24"/>
          <w:szCs w:val="24"/>
          <w:highlight w:val="none"/>
        </w:rPr>
        <w:t>6.2.1</w:t>
      </w:r>
      <w:r>
        <w:rPr>
          <w:rFonts w:hint="eastAsia"/>
          <w:color w:val="auto"/>
          <w:sz w:val="24"/>
          <w:szCs w:val="24"/>
          <w:highlight w:val="none"/>
        </w:rPr>
        <w:fldChar w:fldCharType="end"/>
      </w:r>
      <w:r>
        <w:rPr>
          <w:rFonts w:hint="eastAsia"/>
          <w:color w:val="auto"/>
          <w:sz w:val="24"/>
          <w:szCs w:val="24"/>
          <w:highlight w:val="none"/>
        </w:rPr>
        <w:t>支付时间：</w:t>
      </w:r>
      <w:r>
        <w:rPr>
          <w:rFonts w:hint="eastAsia"/>
          <w:color w:val="auto"/>
          <w:sz w:val="24"/>
          <w:szCs w:val="24"/>
          <w:highlight w:val="none"/>
          <w:u w:val="single"/>
        </w:rPr>
        <w:t>详见附件2 服务费用和支付。</w:t>
      </w:r>
    </w:p>
    <w:p w14:paraId="1DB05950">
      <w:pPr>
        <w:pageBreakBefore w:val="0"/>
        <w:kinsoku/>
        <w:wordWrap/>
        <w:overflowPunct/>
        <w:topLinePunct w:val="0"/>
        <w:bidi w:val="0"/>
        <w:snapToGrid/>
        <w:spacing w:line="360" w:lineRule="auto"/>
        <w:textAlignment w:val="auto"/>
        <w:rPr>
          <w:rFonts w:hint="eastAsia" w:cs="Times New Roman"/>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_Ref523404047 \r \h  \* MERGEFORMAT </w:instrText>
      </w:r>
      <w:r>
        <w:rPr>
          <w:rFonts w:hint="eastAsia"/>
          <w:color w:val="auto"/>
          <w:sz w:val="24"/>
          <w:szCs w:val="24"/>
          <w:highlight w:val="none"/>
        </w:rPr>
        <w:fldChar w:fldCharType="separate"/>
      </w:r>
      <w:r>
        <w:rPr>
          <w:rFonts w:hint="eastAsia"/>
          <w:color w:val="auto"/>
          <w:sz w:val="24"/>
          <w:szCs w:val="24"/>
          <w:highlight w:val="none"/>
        </w:rPr>
        <w:t>6.2.</w:t>
      </w:r>
      <w:r>
        <w:rPr>
          <w:rFonts w:hint="eastAsia"/>
          <w:color w:val="auto"/>
          <w:sz w:val="24"/>
          <w:szCs w:val="24"/>
          <w:highlight w:val="none"/>
        </w:rPr>
        <w:fldChar w:fldCharType="end"/>
      </w:r>
      <w:r>
        <w:rPr>
          <w:rFonts w:hint="eastAsia"/>
          <w:color w:val="auto"/>
          <w:sz w:val="24"/>
          <w:szCs w:val="24"/>
          <w:highlight w:val="none"/>
        </w:rPr>
        <w:t>4委托人逾期付款违约金的计算方式：</w:t>
      </w:r>
      <w:r>
        <w:rPr>
          <w:rFonts w:hint="eastAsia"/>
          <w:color w:val="auto"/>
          <w:sz w:val="24"/>
          <w:szCs w:val="24"/>
          <w:highlight w:val="none"/>
          <w:u w:val="single"/>
        </w:rPr>
        <w:t>逾期付款违约金=当期应付未付款金额×同期银行活期存款基准利率×拖延支付天数。</w:t>
      </w:r>
    </w:p>
    <w:p w14:paraId="6FD67A98">
      <w:pPr>
        <w:pageBreakBefore w:val="0"/>
        <w:kinsoku/>
        <w:wordWrap/>
        <w:overflowPunct/>
        <w:topLinePunct w:val="0"/>
        <w:bidi w:val="0"/>
        <w:snapToGrid/>
        <w:spacing w:line="360" w:lineRule="auto"/>
        <w:textAlignment w:val="auto"/>
        <w:rPr>
          <w:rFonts w:hint="eastAsia" w:cs="Times New Roman"/>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_Ref523404111 \r \h  \* MERGEFORMAT </w:instrText>
      </w:r>
      <w:r>
        <w:rPr>
          <w:rFonts w:hint="eastAsia"/>
          <w:color w:val="auto"/>
          <w:sz w:val="24"/>
          <w:szCs w:val="24"/>
          <w:highlight w:val="none"/>
        </w:rPr>
        <w:fldChar w:fldCharType="separate"/>
      </w:r>
      <w:r>
        <w:rPr>
          <w:rFonts w:hint="eastAsia"/>
          <w:color w:val="auto"/>
          <w:sz w:val="24"/>
          <w:szCs w:val="24"/>
          <w:highlight w:val="none"/>
        </w:rPr>
        <w:t>6.2.</w:t>
      </w:r>
      <w:r>
        <w:rPr>
          <w:rFonts w:hint="eastAsia"/>
          <w:color w:val="auto"/>
          <w:sz w:val="24"/>
          <w:szCs w:val="24"/>
          <w:highlight w:val="none"/>
        </w:rPr>
        <w:fldChar w:fldCharType="end"/>
      </w:r>
      <w:r>
        <w:rPr>
          <w:rFonts w:hint="eastAsia"/>
          <w:color w:val="auto"/>
          <w:sz w:val="24"/>
          <w:szCs w:val="24"/>
          <w:highlight w:val="none"/>
        </w:rPr>
        <w:t>7服务费用支付货币：</w:t>
      </w:r>
    </w:p>
    <w:tbl>
      <w:tblPr>
        <w:tblStyle w:val="26"/>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42"/>
        <w:gridCol w:w="2268"/>
        <w:gridCol w:w="2264"/>
      </w:tblGrid>
      <w:tr w14:paraId="2623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FA62EC">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服务范围</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1DFD95">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支付币种</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107C6">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占合同货币的比例</w:t>
            </w:r>
          </w:p>
        </w:tc>
        <w:tc>
          <w:tcPr>
            <w:tcW w:w="2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04CA08">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对合同货币的汇率</w:t>
            </w:r>
          </w:p>
        </w:tc>
      </w:tr>
      <w:tr w14:paraId="743B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8F4864">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87AE6">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B927F">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w:t>
            </w:r>
          </w:p>
        </w:tc>
        <w:tc>
          <w:tcPr>
            <w:tcW w:w="2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723968">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w:t>
            </w:r>
          </w:p>
        </w:tc>
      </w:tr>
    </w:tbl>
    <w:p w14:paraId="4E1DCFD7">
      <w:pPr>
        <w:pageBreakBefore w:val="0"/>
        <w:kinsoku/>
        <w:wordWrap/>
        <w:overflowPunct/>
        <w:topLinePunct w:val="0"/>
        <w:bidi w:val="0"/>
        <w:snapToGrid/>
        <w:spacing w:line="360" w:lineRule="auto"/>
        <w:textAlignment w:val="auto"/>
        <w:rPr>
          <w:rFonts w:hint="eastAsia"/>
          <w:color w:val="auto"/>
          <w:sz w:val="24"/>
          <w:szCs w:val="24"/>
          <w:highlight w:val="none"/>
        </w:rPr>
      </w:pPr>
    </w:p>
    <w:p w14:paraId="483C2592">
      <w:pPr>
        <w:pStyle w:val="75"/>
        <w:pageBreakBefore w:val="0"/>
        <w:kinsoku/>
        <w:wordWrap/>
        <w:overflowPunct/>
        <w:topLinePunct w:val="0"/>
        <w:bidi w:val="0"/>
        <w:snapToGrid/>
        <w:spacing w:before="0" w:beforeLines="0" w:after="0" w:line="360" w:lineRule="auto"/>
        <w:textAlignment w:val="auto"/>
        <w:rPr>
          <w:rFonts w:hint="eastAsia"/>
          <w:color w:val="auto"/>
          <w:sz w:val="28"/>
          <w:szCs w:val="24"/>
          <w:highlight w:val="none"/>
        </w:rPr>
      </w:pPr>
      <w:bookmarkStart w:id="238" w:name="_Toc19590"/>
      <w:bookmarkStart w:id="239" w:name="_Toc10327"/>
      <w:bookmarkStart w:id="240" w:name="_Toc641517696"/>
      <w:bookmarkStart w:id="241" w:name="_Toc9795"/>
      <w:r>
        <w:rPr>
          <w:rFonts w:hint="eastAsia"/>
          <w:color w:val="auto"/>
          <w:sz w:val="28"/>
          <w:szCs w:val="24"/>
          <w:highlight w:val="none"/>
        </w:rPr>
        <w:fldChar w:fldCharType="begin"/>
      </w:r>
      <w:r>
        <w:rPr>
          <w:rFonts w:hint="eastAsia"/>
          <w:color w:val="auto"/>
          <w:sz w:val="28"/>
          <w:szCs w:val="24"/>
          <w:highlight w:val="none"/>
        </w:rPr>
        <w:instrText xml:space="preserve"> REF _Ref14106185 \h  \* MERGEFORMAT </w:instrText>
      </w:r>
      <w:r>
        <w:rPr>
          <w:rFonts w:hint="eastAsia"/>
          <w:color w:val="auto"/>
          <w:sz w:val="28"/>
          <w:szCs w:val="24"/>
          <w:highlight w:val="none"/>
        </w:rPr>
        <w:fldChar w:fldCharType="separate"/>
      </w:r>
      <w:bookmarkStart w:id="242" w:name="_Toc182389623"/>
      <w:bookmarkStart w:id="243" w:name="_Toc56155256"/>
      <w:bookmarkStart w:id="244" w:name="_Toc18156043"/>
      <w:bookmarkStart w:id="245" w:name="_Toc182389484"/>
      <w:r>
        <w:rPr>
          <w:rFonts w:hint="eastAsia"/>
          <w:color w:val="auto"/>
          <w:sz w:val="28"/>
          <w:szCs w:val="24"/>
          <w:highlight w:val="none"/>
        </w:rPr>
        <w:t>变更和服务费用调整</w:t>
      </w:r>
      <w:bookmarkEnd w:id="242"/>
      <w:r>
        <w:rPr>
          <w:rFonts w:hint="eastAsia"/>
          <w:color w:val="auto"/>
          <w:sz w:val="28"/>
          <w:szCs w:val="24"/>
          <w:highlight w:val="none"/>
        </w:rPr>
        <w:fldChar w:fldCharType="end"/>
      </w:r>
      <w:bookmarkEnd w:id="238"/>
      <w:bookmarkEnd w:id="239"/>
      <w:bookmarkEnd w:id="240"/>
      <w:bookmarkEnd w:id="241"/>
      <w:bookmarkEnd w:id="243"/>
      <w:bookmarkEnd w:id="244"/>
      <w:bookmarkEnd w:id="245"/>
    </w:p>
    <w:p w14:paraId="25DAFF25">
      <w:pPr>
        <w:pageBreakBefore w:val="0"/>
        <w:kinsoku/>
        <w:wordWrap/>
        <w:overflowPunct/>
        <w:topLinePunct w:val="0"/>
        <w:bidi w:val="0"/>
        <w:snapToGrid/>
        <w:spacing w:line="360" w:lineRule="auto"/>
        <w:textAlignment w:val="auto"/>
        <w:rPr>
          <w:rFonts w:hint="eastAsia" w:cs="Times New Roman"/>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_Ref521315773 \r \h  \* MERGEFORMAT </w:instrText>
      </w:r>
      <w:r>
        <w:rPr>
          <w:rFonts w:hint="eastAsia"/>
          <w:color w:val="auto"/>
          <w:sz w:val="24"/>
          <w:szCs w:val="24"/>
          <w:highlight w:val="none"/>
        </w:rPr>
        <w:fldChar w:fldCharType="separate"/>
      </w:r>
      <w:r>
        <w:rPr>
          <w:rFonts w:hint="eastAsia"/>
          <w:b/>
          <w:color w:val="auto"/>
          <w:sz w:val="24"/>
          <w:szCs w:val="24"/>
          <w:highlight w:val="none"/>
        </w:rPr>
        <w:t>7.1</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_Ref521315776 \h  \* MERGEFORMAT </w:instrText>
      </w:r>
      <w:r>
        <w:rPr>
          <w:rFonts w:hint="eastAsia"/>
          <w:color w:val="auto"/>
          <w:sz w:val="24"/>
          <w:szCs w:val="24"/>
          <w:highlight w:val="none"/>
        </w:rPr>
        <w:fldChar w:fldCharType="separate"/>
      </w:r>
      <w:r>
        <w:rPr>
          <w:rFonts w:hint="eastAsia"/>
          <w:b/>
          <w:color w:val="auto"/>
          <w:sz w:val="24"/>
          <w:szCs w:val="24"/>
          <w:highlight w:val="none"/>
        </w:rPr>
        <w:t>变更情形</w:t>
      </w:r>
      <w:r>
        <w:rPr>
          <w:rFonts w:hint="eastAsia"/>
          <w:b/>
          <w:color w:val="auto"/>
          <w:sz w:val="24"/>
          <w:szCs w:val="24"/>
          <w:highlight w:val="none"/>
        </w:rPr>
        <w:fldChar w:fldCharType="end"/>
      </w:r>
    </w:p>
    <w:p w14:paraId="73972943">
      <w:pPr>
        <w:pageBreakBefore w:val="0"/>
        <w:kinsoku/>
        <w:wordWrap/>
        <w:overflowPunct/>
        <w:topLinePunct w:val="0"/>
        <w:bidi w:val="0"/>
        <w:snapToGrid/>
        <w:spacing w:line="360" w:lineRule="auto"/>
        <w:textAlignment w:val="auto"/>
        <w:rPr>
          <w:rFonts w:hint="eastAsia" w:cs="Times New Roman"/>
          <w:color w:val="auto"/>
          <w:sz w:val="24"/>
          <w:szCs w:val="24"/>
          <w:highlight w:val="none"/>
        </w:rPr>
      </w:pPr>
      <w:r>
        <w:rPr>
          <w:rFonts w:hint="eastAsia"/>
          <w:color w:val="auto"/>
          <w:sz w:val="24"/>
          <w:szCs w:val="24"/>
          <w:highlight w:val="none"/>
        </w:rPr>
        <w:t>7.1.1其他服务变更情形：</w:t>
      </w:r>
      <w:r>
        <w:rPr>
          <w:rFonts w:hint="eastAsia"/>
          <w:color w:val="auto"/>
          <w:sz w:val="24"/>
          <w:szCs w:val="24"/>
          <w:highlight w:val="none"/>
          <w:u w:val="single"/>
        </w:rPr>
        <w:t xml:space="preserve">    /    。</w:t>
      </w:r>
    </w:p>
    <w:p w14:paraId="19E47BC3">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_Ref523404607 \r \h  \* MERGEFORMAT </w:instrText>
      </w:r>
      <w:r>
        <w:rPr>
          <w:rFonts w:hint="eastAsia"/>
          <w:color w:val="auto"/>
          <w:sz w:val="24"/>
          <w:szCs w:val="24"/>
          <w:highlight w:val="none"/>
        </w:rPr>
        <w:fldChar w:fldCharType="separate"/>
      </w:r>
      <w:r>
        <w:rPr>
          <w:rFonts w:hint="eastAsia"/>
          <w:b/>
          <w:color w:val="auto"/>
          <w:sz w:val="24"/>
          <w:szCs w:val="24"/>
          <w:highlight w:val="none"/>
        </w:rPr>
        <w:t>7.2</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_Ref523403931 \h  \* MERGEFORMAT </w:instrText>
      </w:r>
      <w:r>
        <w:rPr>
          <w:rFonts w:hint="eastAsia"/>
          <w:color w:val="auto"/>
          <w:sz w:val="24"/>
          <w:szCs w:val="24"/>
          <w:highlight w:val="none"/>
        </w:rPr>
        <w:fldChar w:fldCharType="separate"/>
      </w:r>
      <w:r>
        <w:rPr>
          <w:rFonts w:hint="eastAsia"/>
          <w:b/>
          <w:color w:val="auto"/>
          <w:sz w:val="24"/>
          <w:szCs w:val="24"/>
          <w:highlight w:val="none"/>
        </w:rPr>
        <w:t>变更程序</w:t>
      </w:r>
      <w:r>
        <w:rPr>
          <w:rFonts w:hint="eastAsia"/>
          <w:b/>
          <w:color w:val="auto"/>
          <w:sz w:val="24"/>
          <w:szCs w:val="24"/>
          <w:highlight w:val="none"/>
        </w:rPr>
        <w:fldChar w:fldCharType="end"/>
      </w:r>
    </w:p>
    <w:p w14:paraId="2D997FE5">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7.2.1委托人对服务变更的答复时间：</w:t>
      </w:r>
      <w:r>
        <w:rPr>
          <w:rFonts w:hint="eastAsia"/>
          <w:color w:val="auto"/>
          <w:sz w:val="24"/>
          <w:szCs w:val="24"/>
          <w:highlight w:val="none"/>
          <w:u w:val="single"/>
        </w:rPr>
        <w:t xml:space="preserve">    /    。</w:t>
      </w:r>
    </w:p>
    <w:p w14:paraId="4292CFA3">
      <w:pPr>
        <w:pageBreakBefore w:val="0"/>
        <w:kinsoku/>
        <w:wordWrap/>
        <w:overflowPunct/>
        <w:topLinePunct w:val="0"/>
        <w:bidi w:val="0"/>
        <w:snapToGrid/>
        <w:spacing w:line="360" w:lineRule="auto"/>
        <w:textAlignment w:val="auto"/>
        <w:rPr>
          <w:rFonts w:hint="eastAsia"/>
          <w:color w:val="auto"/>
          <w:sz w:val="24"/>
          <w:szCs w:val="24"/>
          <w:highlight w:val="none"/>
        </w:rPr>
      </w:pPr>
    </w:p>
    <w:p w14:paraId="78E36906">
      <w:pPr>
        <w:pStyle w:val="75"/>
        <w:pageBreakBefore w:val="0"/>
        <w:kinsoku/>
        <w:wordWrap/>
        <w:overflowPunct/>
        <w:topLinePunct w:val="0"/>
        <w:bidi w:val="0"/>
        <w:snapToGrid/>
        <w:spacing w:before="0" w:beforeLines="0" w:after="0" w:line="360" w:lineRule="auto"/>
        <w:textAlignment w:val="auto"/>
        <w:rPr>
          <w:rFonts w:hint="eastAsia"/>
          <w:color w:val="auto"/>
          <w:sz w:val="28"/>
          <w:szCs w:val="24"/>
          <w:highlight w:val="none"/>
        </w:rPr>
      </w:pPr>
      <w:bookmarkStart w:id="246" w:name="_Toc25262"/>
      <w:bookmarkStart w:id="247" w:name="_Toc3365"/>
      <w:bookmarkStart w:id="248" w:name="_Toc1814248252"/>
      <w:bookmarkStart w:id="249" w:name="_Toc13914"/>
      <w:r>
        <w:rPr>
          <w:rFonts w:hint="eastAsia"/>
          <w:color w:val="auto"/>
          <w:sz w:val="28"/>
          <w:szCs w:val="24"/>
          <w:highlight w:val="none"/>
        </w:rPr>
        <w:fldChar w:fldCharType="begin"/>
      </w:r>
      <w:r>
        <w:rPr>
          <w:rFonts w:hint="eastAsia"/>
          <w:color w:val="auto"/>
          <w:sz w:val="28"/>
          <w:szCs w:val="24"/>
          <w:highlight w:val="none"/>
        </w:rPr>
        <w:instrText xml:space="preserve"> REF _Ref521268034 \h  \* MERGEFORMAT </w:instrText>
      </w:r>
      <w:r>
        <w:rPr>
          <w:rFonts w:hint="eastAsia"/>
          <w:color w:val="auto"/>
          <w:sz w:val="28"/>
          <w:szCs w:val="24"/>
          <w:highlight w:val="none"/>
        </w:rPr>
        <w:fldChar w:fldCharType="separate"/>
      </w:r>
      <w:bookmarkStart w:id="250" w:name="_Toc56155257"/>
      <w:bookmarkStart w:id="251" w:name="_Toc182389624"/>
      <w:bookmarkStart w:id="252" w:name="_Toc182389485"/>
      <w:r>
        <w:rPr>
          <w:rFonts w:hint="eastAsia"/>
          <w:color w:val="auto"/>
          <w:sz w:val="28"/>
          <w:szCs w:val="24"/>
          <w:highlight w:val="none"/>
        </w:rPr>
        <w:t>知识产权</w:t>
      </w:r>
      <w:bookmarkEnd w:id="250"/>
      <w:r>
        <w:rPr>
          <w:rFonts w:hint="eastAsia"/>
          <w:color w:val="auto"/>
          <w:sz w:val="28"/>
          <w:szCs w:val="24"/>
          <w:highlight w:val="none"/>
        </w:rPr>
        <w:fldChar w:fldCharType="end"/>
      </w:r>
      <w:bookmarkEnd w:id="246"/>
      <w:bookmarkEnd w:id="247"/>
      <w:bookmarkEnd w:id="248"/>
      <w:bookmarkEnd w:id="249"/>
      <w:bookmarkEnd w:id="251"/>
      <w:bookmarkEnd w:id="252"/>
    </w:p>
    <w:p w14:paraId="05F50068">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_Ref522810754 \r \h  \* MERGEFORMAT </w:instrText>
      </w:r>
      <w:r>
        <w:rPr>
          <w:rFonts w:hint="eastAsia"/>
          <w:color w:val="auto"/>
          <w:sz w:val="24"/>
          <w:szCs w:val="24"/>
          <w:highlight w:val="none"/>
        </w:rPr>
        <w:fldChar w:fldCharType="separate"/>
      </w:r>
      <w:r>
        <w:rPr>
          <w:rFonts w:hint="eastAsia"/>
          <w:b/>
          <w:color w:val="auto"/>
          <w:sz w:val="24"/>
          <w:szCs w:val="24"/>
          <w:highlight w:val="none"/>
        </w:rPr>
        <w:t>8.1</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_Ref522810868 \h  \* MERGEFORMAT </w:instrText>
      </w:r>
      <w:r>
        <w:rPr>
          <w:rFonts w:hint="eastAsia"/>
          <w:color w:val="auto"/>
          <w:sz w:val="24"/>
          <w:szCs w:val="24"/>
          <w:highlight w:val="none"/>
        </w:rPr>
        <w:fldChar w:fldCharType="separate"/>
      </w:r>
      <w:r>
        <w:rPr>
          <w:rFonts w:hint="eastAsia"/>
          <w:b/>
          <w:color w:val="auto"/>
          <w:sz w:val="24"/>
          <w:szCs w:val="24"/>
          <w:highlight w:val="none"/>
        </w:rPr>
        <w:t>知识产权归属和许可</w:t>
      </w:r>
      <w:r>
        <w:rPr>
          <w:rFonts w:hint="eastAsia"/>
          <w:b/>
          <w:color w:val="auto"/>
          <w:sz w:val="24"/>
          <w:szCs w:val="24"/>
          <w:highlight w:val="none"/>
        </w:rPr>
        <w:fldChar w:fldCharType="end"/>
      </w:r>
    </w:p>
    <w:p w14:paraId="0BBFE21D">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双方关于知识产权归属及许可的约定：</w:t>
      </w:r>
      <w:r>
        <w:rPr>
          <w:rFonts w:hint="eastAsia"/>
          <w:color w:val="auto"/>
          <w:sz w:val="24"/>
          <w:szCs w:val="24"/>
          <w:highlight w:val="none"/>
          <w:u w:val="single"/>
        </w:rPr>
        <w:t xml:space="preserve">    /    。</w:t>
      </w:r>
    </w:p>
    <w:p w14:paraId="34F95786">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_Ref522810787 \r \h  \* MERGEFORMAT </w:instrText>
      </w:r>
      <w:r>
        <w:rPr>
          <w:rFonts w:hint="eastAsia"/>
          <w:color w:val="auto"/>
          <w:sz w:val="24"/>
          <w:szCs w:val="24"/>
          <w:highlight w:val="none"/>
        </w:rPr>
        <w:fldChar w:fldCharType="separate"/>
      </w:r>
      <w:r>
        <w:rPr>
          <w:rFonts w:hint="eastAsia"/>
          <w:b/>
          <w:color w:val="auto"/>
          <w:sz w:val="24"/>
          <w:szCs w:val="24"/>
          <w:highlight w:val="none"/>
        </w:rPr>
        <w:t>8.</w:t>
      </w:r>
      <w:r>
        <w:rPr>
          <w:rFonts w:hint="eastAsia"/>
          <w:b/>
          <w:color w:val="auto"/>
          <w:sz w:val="24"/>
          <w:szCs w:val="24"/>
          <w:highlight w:val="none"/>
        </w:rPr>
        <w:fldChar w:fldCharType="end"/>
      </w:r>
      <w:r>
        <w:rPr>
          <w:rFonts w:hint="eastAsia"/>
          <w:b/>
          <w:color w:val="auto"/>
          <w:sz w:val="24"/>
          <w:szCs w:val="24"/>
          <w:highlight w:val="none"/>
        </w:rPr>
        <w:t>3</w:t>
      </w:r>
      <w:r>
        <w:rPr>
          <w:rFonts w:hint="eastAsia"/>
          <w:color w:val="auto"/>
          <w:sz w:val="24"/>
          <w:szCs w:val="24"/>
          <w:highlight w:val="none"/>
        </w:rPr>
        <w:fldChar w:fldCharType="begin"/>
      </w:r>
      <w:r>
        <w:rPr>
          <w:rFonts w:hint="eastAsia"/>
          <w:color w:val="auto"/>
          <w:sz w:val="24"/>
          <w:szCs w:val="24"/>
          <w:highlight w:val="none"/>
        </w:rPr>
        <w:instrText xml:space="preserve"> REF _Ref522811259 \h  \* MERGEFORMAT </w:instrText>
      </w:r>
      <w:r>
        <w:rPr>
          <w:rFonts w:hint="eastAsia"/>
          <w:color w:val="auto"/>
          <w:sz w:val="24"/>
          <w:szCs w:val="24"/>
          <w:highlight w:val="none"/>
        </w:rPr>
        <w:fldChar w:fldCharType="separate"/>
      </w:r>
      <w:r>
        <w:rPr>
          <w:rFonts w:hint="eastAsia"/>
          <w:b/>
          <w:color w:val="auto"/>
          <w:sz w:val="24"/>
          <w:szCs w:val="24"/>
          <w:highlight w:val="none"/>
        </w:rPr>
        <w:t>知识产权许可的撤销</w:t>
      </w:r>
      <w:r>
        <w:rPr>
          <w:rFonts w:hint="eastAsia"/>
          <w:b/>
          <w:color w:val="auto"/>
          <w:sz w:val="24"/>
          <w:szCs w:val="24"/>
          <w:highlight w:val="none"/>
        </w:rPr>
        <w:fldChar w:fldCharType="end"/>
      </w:r>
    </w:p>
    <w:p w14:paraId="0E6C9471">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双方关于知识产权许可撤销的其他约定：</w:t>
      </w:r>
      <w:r>
        <w:rPr>
          <w:rFonts w:hint="eastAsia"/>
          <w:color w:val="auto"/>
          <w:sz w:val="24"/>
          <w:szCs w:val="24"/>
          <w:highlight w:val="none"/>
          <w:u w:val="single"/>
        </w:rPr>
        <w:t xml:space="preserve">    /    。</w:t>
      </w:r>
    </w:p>
    <w:p w14:paraId="650838CA">
      <w:pPr>
        <w:pStyle w:val="75"/>
        <w:pageBreakBefore w:val="0"/>
        <w:kinsoku/>
        <w:wordWrap/>
        <w:overflowPunct/>
        <w:topLinePunct w:val="0"/>
        <w:bidi w:val="0"/>
        <w:snapToGrid/>
        <w:spacing w:before="0" w:beforeLines="0" w:after="0" w:line="360" w:lineRule="auto"/>
        <w:textAlignment w:val="auto"/>
        <w:rPr>
          <w:rFonts w:hint="eastAsia"/>
          <w:color w:val="auto"/>
          <w:sz w:val="28"/>
          <w:szCs w:val="24"/>
          <w:highlight w:val="none"/>
        </w:rPr>
      </w:pPr>
      <w:bookmarkStart w:id="253" w:name="_Toc24715"/>
      <w:bookmarkStart w:id="254" w:name="_Toc62089578"/>
      <w:bookmarkStart w:id="255" w:name="_Toc23128"/>
      <w:bookmarkStart w:id="256" w:name="_Toc18665"/>
      <w:r>
        <w:rPr>
          <w:rFonts w:hint="eastAsia"/>
          <w:color w:val="auto"/>
          <w:sz w:val="28"/>
          <w:szCs w:val="24"/>
          <w:highlight w:val="none"/>
        </w:rPr>
        <w:fldChar w:fldCharType="begin"/>
      </w:r>
      <w:r>
        <w:rPr>
          <w:rFonts w:hint="eastAsia"/>
          <w:color w:val="auto"/>
          <w:sz w:val="28"/>
          <w:szCs w:val="24"/>
          <w:highlight w:val="none"/>
        </w:rPr>
        <w:instrText xml:space="preserve"> REF _Ref523302948 \h  \* MERGEFORMAT </w:instrText>
      </w:r>
      <w:r>
        <w:rPr>
          <w:rFonts w:hint="eastAsia"/>
          <w:color w:val="auto"/>
          <w:sz w:val="28"/>
          <w:szCs w:val="24"/>
          <w:highlight w:val="none"/>
        </w:rPr>
        <w:fldChar w:fldCharType="separate"/>
      </w:r>
      <w:bookmarkStart w:id="257" w:name="_Toc182389625"/>
      <w:bookmarkStart w:id="258" w:name="_Toc182389486"/>
      <w:bookmarkStart w:id="259" w:name="_Toc56155258"/>
      <w:r>
        <w:rPr>
          <w:rFonts w:hint="eastAsia"/>
          <w:color w:val="auto"/>
          <w:sz w:val="28"/>
          <w:szCs w:val="24"/>
          <w:highlight w:val="none"/>
        </w:rPr>
        <w:t>保险</w:t>
      </w:r>
      <w:bookmarkEnd w:id="257"/>
      <w:r>
        <w:rPr>
          <w:rFonts w:hint="eastAsia"/>
          <w:color w:val="auto"/>
          <w:sz w:val="28"/>
          <w:szCs w:val="24"/>
          <w:highlight w:val="none"/>
        </w:rPr>
        <w:fldChar w:fldCharType="end"/>
      </w:r>
      <w:bookmarkEnd w:id="253"/>
      <w:bookmarkEnd w:id="254"/>
      <w:bookmarkEnd w:id="255"/>
      <w:bookmarkEnd w:id="256"/>
      <w:bookmarkEnd w:id="258"/>
      <w:bookmarkEnd w:id="259"/>
    </w:p>
    <w:p w14:paraId="0F72BA83">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_Ref509049235 \r \h  \* MERGEFORMAT </w:instrText>
      </w:r>
      <w:r>
        <w:rPr>
          <w:rFonts w:hint="eastAsia"/>
          <w:color w:val="auto"/>
          <w:sz w:val="24"/>
          <w:szCs w:val="24"/>
          <w:highlight w:val="none"/>
        </w:rPr>
        <w:fldChar w:fldCharType="separate"/>
      </w:r>
      <w:r>
        <w:rPr>
          <w:rFonts w:hint="eastAsia"/>
          <w:b/>
          <w:color w:val="auto"/>
          <w:sz w:val="24"/>
          <w:szCs w:val="24"/>
          <w:highlight w:val="none"/>
        </w:rPr>
        <w:t>9.1</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_Ref509049235 \h  \* MERGEFORMAT </w:instrText>
      </w:r>
      <w:r>
        <w:rPr>
          <w:rFonts w:hint="eastAsia"/>
          <w:color w:val="auto"/>
          <w:sz w:val="24"/>
          <w:szCs w:val="24"/>
          <w:highlight w:val="none"/>
        </w:rPr>
        <w:fldChar w:fldCharType="separate"/>
      </w:r>
      <w:r>
        <w:rPr>
          <w:rFonts w:hint="eastAsia"/>
          <w:b/>
          <w:color w:val="auto"/>
          <w:sz w:val="24"/>
          <w:szCs w:val="24"/>
          <w:highlight w:val="none"/>
        </w:rPr>
        <w:t>受托人保险</w:t>
      </w:r>
      <w:r>
        <w:rPr>
          <w:rFonts w:hint="eastAsia"/>
          <w:b/>
          <w:color w:val="auto"/>
          <w:sz w:val="24"/>
          <w:szCs w:val="24"/>
          <w:highlight w:val="none"/>
        </w:rPr>
        <w:fldChar w:fldCharType="end"/>
      </w:r>
    </w:p>
    <w:p w14:paraId="4582C864">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REF _Ref523430368 \r \h  \* MERGEFORMAT </w:instrText>
      </w:r>
      <w:r>
        <w:rPr>
          <w:rFonts w:hint="eastAsia"/>
          <w:color w:val="auto"/>
          <w:sz w:val="24"/>
          <w:szCs w:val="24"/>
          <w:highlight w:val="none"/>
        </w:rPr>
        <w:fldChar w:fldCharType="separate"/>
      </w:r>
      <w:r>
        <w:rPr>
          <w:rFonts w:hint="eastAsia"/>
          <w:color w:val="auto"/>
          <w:sz w:val="24"/>
          <w:szCs w:val="24"/>
          <w:highlight w:val="none"/>
        </w:rPr>
        <w:t>9.1.1</w:t>
      </w:r>
      <w:r>
        <w:rPr>
          <w:rFonts w:hint="eastAsia"/>
          <w:color w:val="auto"/>
          <w:sz w:val="24"/>
          <w:szCs w:val="24"/>
          <w:highlight w:val="none"/>
        </w:rPr>
        <w:fldChar w:fldCharType="end"/>
      </w:r>
      <w:r>
        <w:rPr>
          <w:rFonts w:hint="eastAsia"/>
          <w:color w:val="auto"/>
          <w:sz w:val="24"/>
          <w:szCs w:val="24"/>
          <w:highlight w:val="none"/>
        </w:rPr>
        <w:t>受托人应投保的险种：</w:t>
      </w:r>
    </w:p>
    <w:tbl>
      <w:tblPr>
        <w:tblStyle w:val="26"/>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843"/>
        <w:gridCol w:w="1843"/>
        <w:gridCol w:w="3118"/>
      </w:tblGrid>
      <w:tr w14:paraId="6306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8D0A04">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险种</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B8FB48">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最低保险额</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4B334B">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保险期限</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7B638">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其他信息</w:t>
            </w:r>
          </w:p>
        </w:tc>
      </w:tr>
      <w:tr w14:paraId="1BF6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DE6578">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AEFE6">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top"/>
          </w:tcPr>
          <w:p w14:paraId="6EB7880E">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w:t>
            </w: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51F852">
            <w:pPr>
              <w:pStyle w:val="15"/>
              <w:pageBreakBefore w:val="0"/>
              <w:kinsoku/>
              <w:wordWrap/>
              <w:overflowPunct/>
              <w:topLinePunct w:val="0"/>
              <w:bidi w:val="0"/>
              <w:snapToGrid/>
              <w:spacing w:line="240" w:lineRule="auto"/>
              <w:jc w:val="center"/>
              <w:textAlignment w:val="auto"/>
              <w:rPr>
                <w:rFonts w:hint="eastAsia"/>
                <w:color w:val="auto"/>
                <w:sz w:val="24"/>
                <w:szCs w:val="24"/>
                <w:highlight w:val="none"/>
              </w:rPr>
            </w:pPr>
            <w:r>
              <w:rPr>
                <w:rFonts w:hint="eastAsia"/>
                <w:color w:val="auto"/>
                <w:sz w:val="24"/>
                <w:szCs w:val="24"/>
                <w:highlight w:val="none"/>
              </w:rPr>
              <w:t>/</w:t>
            </w:r>
          </w:p>
        </w:tc>
      </w:tr>
      <w:tr w14:paraId="4469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2CD7B7">
            <w:pPr>
              <w:pStyle w:val="15"/>
              <w:pageBreakBefore w:val="0"/>
              <w:kinsoku/>
              <w:wordWrap/>
              <w:overflowPunct/>
              <w:topLinePunct w:val="0"/>
              <w:bidi w:val="0"/>
              <w:snapToGrid/>
              <w:spacing w:line="240" w:lineRule="auto"/>
              <w:textAlignment w:val="auto"/>
              <w:rPr>
                <w:rFonts w:hint="eastAsia"/>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4F722">
            <w:pPr>
              <w:pStyle w:val="15"/>
              <w:pageBreakBefore w:val="0"/>
              <w:kinsoku/>
              <w:wordWrap/>
              <w:overflowPunct/>
              <w:topLinePunct w:val="0"/>
              <w:bidi w:val="0"/>
              <w:snapToGrid/>
              <w:spacing w:line="240" w:lineRule="auto"/>
              <w:textAlignment w:val="auto"/>
              <w:rPr>
                <w:rFonts w:hint="eastAsia"/>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top"/>
          </w:tcPr>
          <w:p w14:paraId="50D7ADE0">
            <w:pPr>
              <w:pStyle w:val="15"/>
              <w:pageBreakBefore w:val="0"/>
              <w:kinsoku/>
              <w:wordWrap/>
              <w:overflowPunct/>
              <w:topLinePunct w:val="0"/>
              <w:bidi w:val="0"/>
              <w:snapToGrid/>
              <w:spacing w:line="240" w:lineRule="auto"/>
              <w:textAlignment w:val="auto"/>
              <w:rPr>
                <w:rFonts w:hint="eastAsia"/>
                <w:color w:val="auto"/>
                <w:sz w:val="24"/>
                <w:szCs w:val="24"/>
                <w:highlight w:val="none"/>
              </w:rPr>
            </w:pP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918881">
            <w:pPr>
              <w:pStyle w:val="15"/>
              <w:pageBreakBefore w:val="0"/>
              <w:kinsoku/>
              <w:wordWrap/>
              <w:overflowPunct/>
              <w:topLinePunct w:val="0"/>
              <w:bidi w:val="0"/>
              <w:snapToGrid/>
              <w:spacing w:line="240" w:lineRule="auto"/>
              <w:textAlignment w:val="auto"/>
              <w:rPr>
                <w:rFonts w:hint="eastAsia"/>
                <w:color w:val="auto"/>
                <w:sz w:val="24"/>
                <w:szCs w:val="24"/>
                <w:highlight w:val="none"/>
              </w:rPr>
            </w:pPr>
          </w:p>
        </w:tc>
      </w:tr>
      <w:tr w14:paraId="6578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255B6">
            <w:pPr>
              <w:pStyle w:val="15"/>
              <w:pageBreakBefore w:val="0"/>
              <w:kinsoku/>
              <w:wordWrap/>
              <w:overflowPunct/>
              <w:topLinePunct w:val="0"/>
              <w:bidi w:val="0"/>
              <w:snapToGrid/>
              <w:spacing w:line="240" w:lineRule="auto"/>
              <w:textAlignment w:val="auto"/>
              <w:rPr>
                <w:rFonts w:hint="eastAsia"/>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024517">
            <w:pPr>
              <w:pStyle w:val="15"/>
              <w:pageBreakBefore w:val="0"/>
              <w:kinsoku/>
              <w:wordWrap/>
              <w:overflowPunct/>
              <w:topLinePunct w:val="0"/>
              <w:bidi w:val="0"/>
              <w:snapToGrid/>
              <w:spacing w:line="240" w:lineRule="auto"/>
              <w:textAlignment w:val="auto"/>
              <w:rPr>
                <w:rFonts w:hint="eastAsia"/>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top"/>
          </w:tcPr>
          <w:p w14:paraId="751F5144">
            <w:pPr>
              <w:pStyle w:val="15"/>
              <w:pageBreakBefore w:val="0"/>
              <w:kinsoku/>
              <w:wordWrap/>
              <w:overflowPunct/>
              <w:topLinePunct w:val="0"/>
              <w:bidi w:val="0"/>
              <w:snapToGrid/>
              <w:spacing w:line="240" w:lineRule="auto"/>
              <w:textAlignment w:val="auto"/>
              <w:rPr>
                <w:rFonts w:hint="eastAsia"/>
                <w:color w:val="auto"/>
                <w:sz w:val="24"/>
                <w:szCs w:val="24"/>
                <w:highlight w:val="none"/>
              </w:rPr>
            </w:pP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3BA51A">
            <w:pPr>
              <w:pStyle w:val="15"/>
              <w:pageBreakBefore w:val="0"/>
              <w:kinsoku/>
              <w:wordWrap/>
              <w:overflowPunct/>
              <w:topLinePunct w:val="0"/>
              <w:bidi w:val="0"/>
              <w:snapToGrid/>
              <w:spacing w:line="240" w:lineRule="auto"/>
              <w:textAlignment w:val="auto"/>
              <w:rPr>
                <w:rFonts w:hint="eastAsia"/>
                <w:color w:val="auto"/>
                <w:sz w:val="24"/>
                <w:szCs w:val="24"/>
                <w:highlight w:val="none"/>
              </w:rPr>
            </w:pPr>
          </w:p>
        </w:tc>
      </w:tr>
      <w:tr w14:paraId="760E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3FCDA2">
            <w:pPr>
              <w:pStyle w:val="15"/>
              <w:pageBreakBefore w:val="0"/>
              <w:kinsoku/>
              <w:wordWrap/>
              <w:overflowPunct/>
              <w:topLinePunct w:val="0"/>
              <w:bidi w:val="0"/>
              <w:snapToGrid/>
              <w:spacing w:line="240" w:lineRule="auto"/>
              <w:textAlignment w:val="auto"/>
              <w:rPr>
                <w:rFonts w:hint="eastAsia"/>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6E5E06">
            <w:pPr>
              <w:pStyle w:val="15"/>
              <w:pageBreakBefore w:val="0"/>
              <w:kinsoku/>
              <w:wordWrap/>
              <w:overflowPunct/>
              <w:topLinePunct w:val="0"/>
              <w:bidi w:val="0"/>
              <w:snapToGrid/>
              <w:spacing w:line="240" w:lineRule="auto"/>
              <w:textAlignment w:val="auto"/>
              <w:rPr>
                <w:rFonts w:hint="eastAsia"/>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top"/>
          </w:tcPr>
          <w:p w14:paraId="065A527C">
            <w:pPr>
              <w:pStyle w:val="15"/>
              <w:pageBreakBefore w:val="0"/>
              <w:kinsoku/>
              <w:wordWrap/>
              <w:overflowPunct/>
              <w:topLinePunct w:val="0"/>
              <w:bidi w:val="0"/>
              <w:snapToGrid/>
              <w:spacing w:line="240" w:lineRule="auto"/>
              <w:textAlignment w:val="auto"/>
              <w:rPr>
                <w:rFonts w:hint="eastAsia"/>
                <w:color w:val="auto"/>
                <w:sz w:val="24"/>
                <w:szCs w:val="24"/>
                <w:highlight w:val="none"/>
              </w:rPr>
            </w:pPr>
          </w:p>
        </w:tc>
        <w:tc>
          <w:tcPr>
            <w:tcW w:w="31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65C39">
            <w:pPr>
              <w:pStyle w:val="15"/>
              <w:pageBreakBefore w:val="0"/>
              <w:kinsoku/>
              <w:wordWrap/>
              <w:overflowPunct/>
              <w:topLinePunct w:val="0"/>
              <w:bidi w:val="0"/>
              <w:snapToGrid/>
              <w:spacing w:line="240" w:lineRule="auto"/>
              <w:textAlignment w:val="auto"/>
              <w:rPr>
                <w:rFonts w:hint="eastAsia"/>
                <w:color w:val="auto"/>
                <w:sz w:val="24"/>
                <w:szCs w:val="24"/>
                <w:highlight w:val="none"/>
              </w:rPr>
            </w:pPr>
          </w:p>
        </w:tc>
      </w:tr>
    </w:tbl>
    <w:p w14:paraId="7173B64D">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_Ref523430275 \r \h </w:instrText>
      </w:r>
      <w:r>
        <w:rPr>
          <w:rFonts w:hint="eastAsia"/>
          <w:color w:val="auto"/>
          <w:sz w:val="24"/>
          <w:szCs w:val="24"/>
          <w:highlight w:val="none"/>
        </w:rPr>
        <w:fldChar w:fldCharType="separate"/>
      </w:r>
      <w:r>
        <w:rPr>
          <w:rFonts w:hint="eastAsia"/>
          <w:color w:val="auto"/>
          <w:sz w:val="24"/>
          <w:szCs w:val="24"/>
          <w:highlight w:val="none"/>
        </w:rPr>
        <w:t>9.1.2</w:t>
      </w:r>
      <w:r>
        <w:rPr>
          <w:rFonts w:hint="eastAsia"/>
          <w:color w:val="auto"/>
          <w:sz w:val="24"/>
          <w:szCs w:val="24"/>
          <w:highlight w:val="none"/>
        </w:rPr>
        <w:fldChar w:fldCharType="end"/>
      </w:r>
      <w:r>
        <w:rPr>
          <w:rFonts w:hint="eastAsia"/>
          <w:color w:val="auto"/>
          <w:sz w:val="24"/>
          <w:szCs w:val="24"/>
          <w:highlight w:val="none"/>
        </w:rPr>
        <w:t>关于保险费用的其他约定：</w:t>
      </w:r>
      <w:r>
        <w:rPr>
          <w:rFonts w:hint="eastAsia"/>
          <w:color w:val="auto"/>
          <w:sz w:val="24"/>
          <w:szCs w:val="24"/>
          <w:highlight w:val="none"/>
          <w:u w:val="single"/>
        </w:rPr>
        <w:t xml:space="preserve">    /    。</w:t>
      </w:r>
    </w:p>
    <w:p w14:paraId="37B6A35F">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_Ref522810970 \r \h  \* MERGEFORMAT </w:instrText>
      </w:r>
      <w:r>
        <w:rPr>
          <w:rFonts w:hint="eastAsia"/>
          <w:color w:val="auto"/>
          <w:sz w:val="24"/>
          <w:szCs w:val="24"/>
          <w:highlight w:val="none"/>
        </w:rPr>
        <w:fldChar w:fldCharType="separate"/>
      </w:r>
      <w:r>
        <w:rPr>
          <w:rFonts w:hint="eastAsia"/>
          <w:b/>
          <w:color w:val="auto"/>
          <w:sz w:val="24"/>
          <w:szCs w:val="24"/>
          <w:highlight w:val="none"/>
        </w:rPr>
        <w:t>9.2</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_Ref522810970 \h  \* MERGEFORMAT </w:instrText>
      </w:r>
      <w:r>
        <w:rPr>
          <w:rFonts w:hint="eastAsia"/>
          <w:color w:val="auto"/>
          <w:sz w:val="24"/>
          <w:szCs w:val="24"/>
          <w:highlight w:val="none"/>
        </w:rPr>
        <w:fldChar w:fldCharType="separate"/>
      </w:r>
      <w:r>
        <w:rPr>
          <w:rFonts w:hint="eastAsia"/>
          <w:b/>
          <w:color w:val="auto"/>
          <w:sz w:val="24"/>
          <w:szCs w:val="24"/>
          <w:highlight w:val="none"/>
        </w:rPr>
        <w:t>保险的其他约定</w:t>
      </w:r>
      <w:r>
        <w:rPr>
          <w:rFonts w:hint="eastAsia"/>
          <w:b/>
          <w:color w:val="auto"/>
          <w:sz w:val="24"/>
          <w:szCs w:val="24"/>
          <w:highlight w:val="none"/>
        </w:rPr>
        <w:fldChar w:fldCharType="end"/>
      </w:r>
    </w:p>
    <w:p w14:paraId="110D6EFE">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ascii="Calibri" w:hAnsi="Calibri" w:eastAsia="宋体" w:cs="Times New Roman"/>
          <w:color w:val="auto"/>
          <w:kern w:val="2"/>
          <w:sz w:val="24"/>
          <w:szCs w:val="24"/>
          <w:highlight w:val="none"/>
          <w:lang w:val="en-US" w:eastAsia="zh-CN" w:bidi="ar-SA"/>
        </w:rPr>
        <w:fldChar w:fldCharType="begin"/>
      </w:r>
      <w:r>
        <w:rPr>
          <w:rFonts w:hint="eastAsia" w:ascii="Calibri" w:hAnsi="Calibri" w:eastAsia="宋体" w:cs="Times New Roman"/>
          <w:color w:val="auto"/>
          <w:kern w:val="2"/>
          <w:sz w:val="24"/>
          <w:szCs w:val="24"/>
          <w:highlight w:val="none"/>
          <w:lang w:val="en-US" w:eastAsia="zh-CN" w:bidi="ar-SA"/>
        </w:rPr>
        <w:instrText xml:space="preserve"> REF _Ref523404211 \r \h  \* MERGEFORMAT </w:instrText>
      </w:r>
      <w:r>
        <w:rPr>
          <w:rFonts w:hint="eastAsia" w:ascii="Calibri" w:hAnsi="Calibri" w:eastAsia="宋体" w:cs="Times New Roman"/>
          <w:color w:val="auto"/>
          <w:kern w:val="2"/>
          <w:sz w:val="24"/>
          <w:szCs w:val="24"/>
          <w:highlight w:val="none"/>
          <w:lang w:val="en-US" w:eastAsia="zh-CN" w:bidi="ar-SA"/>
        </w:rPr>
        <w:fldChar w:fldCharType="separate"/>
      </w:r>
      <w:r>
        <w:rPr>
          <w:rFonts w:hint="eastAsia" w:ascii="Calibri" w:hAnsi="Calibri" w:eastAsia="宋体" w:cs="Times New Roman"/>
          <w:color w:val="auto"/>
          <w:kern w:val="2"/>
          <w:sz w:val="24"/>
          <w:szCs w:val="24"/>
          <w:highlight w:val="none"/>
          <w:lang w:val="en-US" w:eastAsia="zh-CN" w:bidi="ar-SA"/>
        </w:rPr>
        <w:t>9.2.</w:t>
      </w:r>
      <w:r>
        <w:rPr>
          <w:rFonts w:hint="eastAsia" w:ascii="Calibri" w:hAnsi="Calibri" w:eastAsia="宋体" w:cs="Times New Roman"/>
          <w:color w:val="auto"/>
          <w:kern w:val="2"/>
          <w:sz w:val="24"/>
          <w:szCs w:val="24"/>
          <w:highlight w:val="none"/>
          <w:lang w:val="en-US" w:eastAsia="zh-CN" w:bidi="ar-SA"/>
        </w:rPr>
        <w:fldChar w:fldCharType="end"/>
      </w:r>
      <w:r>
        <w:rPr>
          <w:rFonts w:hint="eastAsia" w:ascii="Calibri" w:hAnsi="Calibri" w:eastAsia="宋体" w:cs="Times New Roman"/>
          <w:color w:val="auto"/>
          <w:kern w:val="2"/>
          <w:sz w:val="24"/>
          <w:szCs w:val="24"/>
          <w:highlight w:val="none"/>
          <w:lang w:val="en-US" w:eastAsia="zh-CN" w:bidi="ar-SA"/>
        </w:rPr>
        <w:t>2关</w:t>
      </w:r>
      <w:r>
        <w:rPr>
          <w:rFonts w:hint="eastAsia"/>
          <w:color w:val="auto"/>
          <w:sz w:val="24"/>
          <w:szCs w:val="24"/>
          <w:highlight w:val="none"/>
        </w:rPr>
        <w:t>于保险凭证提供的约定：</w:t>
      </w:r>
      <w:r>
        <w:rPr>
          <w:rFonts w:hint="eastAsia"/>
          <w:color w:val="auto"/>
          <w:sz w:val="24"/>
          <w:szCs w:val="24"/>
          <w:highlight w:val="none"/>
          <w:u w:val="single"/>
        </w:rPr>
        <w:t xml:space="preserve">    /    。</w:t>
      </w:r>
    </w:p>
    <w:p w14:paraId="1131BEB9">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_Ref523695563 \r \h </w:instrText>
      </w:r>
      <w:r>
        <w:rPr>
          <w:rFonts w:hint="eastAsia"/>
          <w:color w:val="auto"/>
          <w:sz w:val="24"/>
          <w:szCs w:val="24"/>
          <w:highlight w:val="none"/>
        </w:rPr>
        <w:fldChar w:fldCharType="separate"/>
      </w:r>
      <w:r>
        <w:rPr>
          <w:rFonts w:hint="eastAsia"/>
          <w:color w:val="auto"/>
          <w:sz w:val="24"/>
          <w:szCs w:val="24"/>
          <w:highlight w:val="none"/>
        </w:rPr>
        <w:t>9.2.</w:t>
      </w:r>
      <w:r>
        <w:rPr>
          <w:rFonts w:hint="eastAsia"/>
          <w:color w:val="auto"/>
          <w:sz w:val="24"/>
          <w:szCs w:val="24"/>
          <w:highlight w:val="none"/>
        </w:rPr>
        <w:fldChar w:fldCharType="end"/>
      </w:r>
      <w:r>
        <w:rPr>
          <w:rFonts w:hint="eastAsia"/>
          <w:color w:val="auto"/>
          <w:sz w:val="24"/>
          <w:szCs w:val="24"/>
          <w:highlight w:val="none"/>
        </w:rPr>
        <w:t>3关于保险变更或提前终止的约定：</w:t>
      </w:r>
      <w:r>
        <w:rPr>
          <w:rFonts w:hint="eastAsia"/>
          <w:color w:val="auto"/>
          <w:sz w:val="24"/>
          <w:szCs w:val="24"/>
          <w:highlight w:val="none"/>
          <w:u w:val="single"/>
        </w:rPr>
        <w:t xml:space="preserve">    /    。</w:t>
      </w:r>
    </w:p>
    <w:p w14:paraId="6A59D30A">
      <w:pPr>
        <w:pStyle w:val="75"/>
        <w:pageBreakBefore w:val="0"/>
        <w:kinsoku/>
        <w:wordWrap/>
        <w:overflowPunct/>
        <w:topLinePunct w:val="0"/>
        <w:bidi w:val="0"/>
        <w:snapToGrid/>
        <w:spacing w:before="0" w:beforeLines="0" w:after="0" w:line="360" w:lineRule="auto"/>
        <w:textAlignment w:val="auto"/>
        <w:rPr>
          <w:rFonts w:hint="eastAsia"/>
          <w:color w:val="auto"/>
          <w:sz w:val="28"/>
          <w:szCs w:val="24"/>
          <w:highlight w:val="none"/>
        </w:rPr>
      </w:pPr>
      <w:bookmarkStart w:id="260" w:name="_Toc345617401"/>
      <w:bookmarkStart w:id="261" w:name="_Toc6502"/>
      <w:r>
        <w:rPr>
          <w:rFonts w:hint="eastAsia"/>
          <w:color w:val="auto"/>
          <w:sz w:val="28"/>
          <w:szCs w:val="24"/>
          <w:highlight w:val="none"/>
        </w:rPr>
        <w:t xml:space="preserve"> </w:t>
      </w:r>
      <w:bookmarkStart w:id="262" w:name="_Toc17470"/>
      <w:bookmarkStart w:id="263" w:name="_Toc20491"/>
      <w:r>
        <w:rPr>
          <w:rFonts w:hint="eastAsia"/>
          <w:color w:val="auto"/>
          <w:sz w:val="28"/>
          <w:szCs w:val="24"/>
          <w:highlight w:val="none"/>
        </w:rPr>
        <w:fldChar w:fldCharType="begin"/>
      </w:r>
      <w:r>
        <w:rPr>
          <w:rFonts w:hint="eastAsia"/>
          <w:color w:val="auto"/>
          <w:sz w:val="28"/>
          <w:szCs w:val="24"/>
          <w:highlight w:val="none"/>
        </w:rPr>
        <w:instrText xml:space="preserve"> REF _Ref508893744 \h  \* MERGEFORMAT </w:instrText>
      </w:r>
      <w:r>
        <w:rPr>
          <w:rFonts w:hint="eastAsia"/>
          <w:color w:val="auto"/>
          <w:sz w:val="28"/>
          <w:szCs w:val="24"/>
          <w:highlight w:val="none"/>
        </w:rPr>
        <w:fldChar w:fldCharType="separate"/>
      </w:r>
      <w:bookmarkStart w:id="264" w:name="_Toc182389487"/>
      <w:bookmarkStart w:id="265" w:name="_Toc56155259"/>
      <w:bookmarkStart w:id="266" w:name="_Toc182389626"/>
      <w:r>
        <w:rPr>
          <w:rFonts w:hint="eastAsia"/>
          <w:color w:val="auto"/>
          <w:sz w:val="28"/>
          <w:szCs w:val="24"/>
          <w:highlight w:val="none"/>
        </w:rPr>
        <w:t>不可抗力</w:t>
      </w:r>
      <w:bookmarkEnd w:id="264"/>
      <w:r>
        <w:rPr>
          <w:rFonts w:hint="eastAsia"/>
          <w:color w:val="auto"/>
          <w:sz w:val="28"/>
          <w:szCs w:val="24"/>
          <w:highlight w:val="none"/>
        </w:rPr>
        <w:fldChar w:fldCharType="end"/>
      </w:r>
      <w:bookmarkEnd w:id="260"/>
      <w:bookmarkEnd w:id="261"/>
      <w:bookmarkEnd w:id="262"/>
      <w:bookmarkEnd w:id="263"/>
      <w:bookmarkEnd w:id="265"/>
      <w:bookmarkEnd w:id="266"/>
    </w:p>
    <w:p w14:paraId="660BCB56">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_Ref523404510 \r \h  \* MERGEFORMAT </w:instrText>
      </w:r>
      <w:r>
        <w:rPr>
          <w:rFonts w:hint="eastAsia"/>
          <w:color w:val="auto"/>
          <w:sz w:val="24"/>
          <w:szCs w:val="24"/>
          <w:highlight w:val="none"/>
        </w:rPr>
        <w:fldChar w:fldCharType="separate"/>
      </w:r>
      <w:r>
        <w:rPr>
          <w:rFonts w:hint="eastAsia"/>
          <w:b/>
          <w:color w:val="auto"/>
          <w:sz w:val="24"/>
          <w:szCs w:val="24"/>
          <w:highlight w:val="none"/>
        </w:rPr>
        <w:t>10.1</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_Ref523404237 \h  \* MERGEFORMAT </w:instrText>
      </w:r>
      <w:r>
        <w:rPr>
          <w:rFonts w:hint="eastAsia"/>
          <w:color w:val="auto"/>
          <w:sz w:val="24"/>
          <w:szCs w:val="24"/>
          <w:highlight w:val="none"/>
        </w:rPr>
        <w:fldChar w:fldCharType="separate"/>
      </w:r>
      <w:r>
        <w:rPr>
          <w:rFonts w:hint="eastAsia"/>
          <w:b/>
          <w:color w:val="auto"/>
          <w:sz w:val="24"/>
          <w:szCs w:val="24"/>
          <w:highlight w:val="none"/>
        </w:rPr>
        <w:t>不可抗力的确认</w:t>
      </w:r>
      <w:r>
        <w:rPr>
          <w:rFonts w:hint="eastAsia"/>
          <w:b/>
          <w:color w:val="auto"/>
          <w:sz w:val="24"/>
          <w:szCs w:val="24"/>
          <w:highlight w:val="none"/>
        </w:rPr>
        <w:fldChar w:fldCharType="end"/>
      </w:r>
    </w:p>
    <w:p w14:paraId="035F90A7">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视为不可抗力的其他情形：</w:t>
      </w:r>
      <w:r>
        <w:rPr>
          <w:rFonts w:hint="eastAsia"/>
          <w:color w:val="auto"/>
          <w:sz w:val="24"/>
          <w:szCs w:val="24"/>
          <w:highlight w:val="none"/>
          <w:u w:val="single"/>
        </w:rPr>
        <w:t xml:space="preserve">    /    。</w:t>
      </w:r>
    </w:p>
    <w:p w14:paraId="66B1909E">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_Ref523404505 \r \h  \* MERGEFORMAT </w:instrText>
      </w:r>
      <w:r>
        <w:rPr>
          <w:rFonts w:hint="eastAsia"/>
          <w:color w:val="auto"/>
          <w:sz w:val="24"/>
          <w:szCs w:val="24"/>
          <w:highlight w:val="none"/>
        </w:rPr>
        <w:fldChar w:fldCharType="separate"/>
      </w:r>
      <w:r>
        <w:rPr>
          <w:rFonts w:hint="eastAsia"/>
          <w:b/>
          <w:color w:val="auto"/>
          <w:sz w:val="24"/>
          <w:szCs w:val="24"/>
          <w:highlight w:val="none"/>
        </w:rPr>
        <w:t>10.</w:t>
      </w:r>
      <w:r>
        <w:rPr>
          <w:rFonts w:hint="eastAsia"/>
          <w:b/>
          <w:color w:val="auto"/>
          <w:sz w:val="24"/>
          <w:szCs w:val="24"/>
          <w:highlight w:val="none"/>
        </w:rPr>
        <w:fldChar w:fldCharType="end"/>
      </w:r>
      <w:r>
        <w:rPr>
          <w:rFonts w:hint="eastAsia"/>
          <w:b/>
          <w:color w:val="auto"/>
          <w:sz w:val="24"/>
          <w:szCs w:val="24"/>
          <w:highlight w:val="none"/>
        </w:rPr>
        <w:t>3</w:t>
      </w:r>
      <w:r>
        <w:rPr>
          <w:rFonts w:hint="eastAsia"/>
          <w:color w:val="auto"/>
          <w:sz w:val="24"/>
          <w:szCs w:val="24"/>
          <w:highlight w:val="none"/>
        </w:rPr>
        <w:fldChar w:fldCharType="begin"/>
      </w:r>
      <w:r>
        <w:rPr>
          <w:rFonts w:hint="eastAsia"/>
          <w:color w:val="auto"/>
          <w:sz w:val="24"/>
          <w:szCs w:val="24"/>
          <w:highlight w:val="none"/>
        </w:rPr>
        <w:instrText xml:space="preserve"> REF _Ref523404257 \h  \* MERGEFORMAT </w:instrText>
      </w:r>
      <w:r>
        <w:rPr>
          <w:rFonts w:hint="eastAsia"/>
          <w:color w:val="auto"/>
          <w:sz w:val="24"/>
          <w:szCs w:val="24"/>
          <w:highlight w:val="none"/>
        </w:rPr>
        <w:fldChar w:fldCharType="separate"/>
      </w:r>
      <w:r>
        <w:rPr>
          <w:rFonts w:hint="eastAsia"/>
          <w:b/>
          <w:color w:val="auto"/>
          <w:sz w:val="24"/>
          <w:szCs w:val="24"/>
          <w:highlight w:val="none"/>
        </w:rPr>
        <w:t>不可抗力的后果</w:t>
      </w:r>
      <w:r>
        <w:rPr>
          <w:rFonts w:hint="eastAsia"/>
          <w:b/>
          <w:color w:val="auto"/>
          <w:sz w:val="24"/>
          <w:szCs w:val="24"/>
          <w:highlight w:val="none"/>
        </w:rPr>
        <w:fldChar w:fldCharType="end"/>
      </w:r>
    </w:p>
    <w:p w14:paraId="1B76DF98">
      <w:pPr>
        <w:pStyle w:val="15"/>
        <w:pageBreakBefore w:val="0"/>
        <w:kinsoku/>
        <w:wordWrap/>
        <w:overflowPunct/>
        <w:topLinePunct w:val="0"/>
        <w:bidi w:val="0"/>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双方约定的不可抗力后果承担方式：</w:t>
      </w:r>
      <w:r>
        <w:rPr>
          <w:rFonts w:hint="eastAsia"/>
          <w:color w:val="auto"/>
          <w:sz w:val="24"/>
          <w:szCs w:val="24"/>
          <w:highlight w:val="none"/>
          <w:u w:val="single"/>
        </w:rPr>
        <w:t xml:space="preserve">    /    。</w:t>
      </w:r>
    </w:p>
    <w:p w14:paraId="682FD915">
      <w:pPr>
        <w:pStyle w:val="75"/>
        <w:pageBreakBefore w:val="0"/>
        <w:kinsoku/>
        <w:wordWrap/>
        <w:overflowPunct/>
        <w:topLinePunct w:val="0"/>
        <w:bidi w:val="0"/>
        <w:snapToGrid/>
        <w:spacing w:before="0" w:beforeLines="0" w:after="0" w:line="360" w:lineRule="auto"/>
        <w:textAlignment w:val="auto"/>
        <w:rPr>
          <w:rFonts w:hint="eastAsia"/>
          <w:color w:val="auto"/>
          <w:sz w:val="28"/>
          <w:szCs w:val="24"/>
          <w:highlight w:val="none"/>
        </w:rPr>
      </w:pPr>
      <w:bookmarkStart w:id="267" w:name="_Toc5532"/>
      <w:bookmarkStart w:id="268" w:name="_Toc900377660"/>
      <w:r>
        <w:rPr>
          <w:rFonts w:hint="eastAsia"/>
          <w:color w:val="auto"/>
          <w:sz w:val="28"/>
          <w:szCs w:val="24"/>
          <w:highlight w:val="none"/>
        </w:rPr>
        <w:t xml:space="preserve"> </w:t>
      </w:r>
      <w:bookmarkStart w:id="269" w:name="_Toc32502"/>
      <w:bookmarkStart w:id="270" w:name="_Toc22012"/>
      <w:r>
        <w:rPr>
          <w:rFonts w:hint="eastAsia"/>
          <w:color w:val="auto"/>
          <w:sz w:val="28"/>
          <w:szCs w:val="24"/>
          <w:highlight w:val="none"/>
        </w:rPr>
        <w:fldChar w:fldCharType="begin"/>
      </w:r>
      <w:r>
        <w:rPr>
          <w:rFonts w:hint="eastAsia"/>
          <w:color w:val="auto"/>
          <w:sz w:val="28"/>
          <w:szCs w:val="24"/>
          <w:highlight w:val="none"/>
        </w:rPr>
        <w:instrText xml:space="preserve"> REF _Ref521268028 \h  \* MERGEFORMAT </w:instrText>
      </w:r>
      <w:r>
        <w:rPr>
          <w:rFonts w:hint="eastAsia"/>
          <w:color w:val="auto"/>
          <w:sz w:val="28"/>
          <w:szCs w:val="24"/>
          <w:highlight w:val="none"/>
        </w:rPr>
        <w:fldChar w:fldCharType="separate"/>
      </w:r>
      <w:bookmarkStart w:id="271" w:name="_Toc182389627"/>
      <w:bookmarkStart w:id="272" w:name="_Toc182389488"/>
      <w:bookmarkStart w:id="273" w:name="_Toc56155260"/>
      <w:r>
        <w:rPr>
          <w:rFonts w:hint="eastAsia"/>
          <w:color w:val="auto"/>
          <w:sz w:val="28"/>
          <w:szCs w:val="24"/>
          <w:highlight w:val="none"/>
        </w:rPr>
        <w:t>违约责任</w:t>
      </w:r>
      <w:bookmarkEnd w:id="271"/>
      <w:r>
        <w:rPr>
          <w:rFonts w:hint="eastAsia"/>
          <w:color w:val="auto"/>
          <w:sz w:val="28"/>
          <w:szCs w:val="24"/>
          <w:highlight w:val="none"/>
        </w:rPr>
        <w:fldChar w:fldCharType="end"/>
      </w:r>
      <w:bookmarkEnd w:id="267"/>
      <w:bookmarkEnd w:id="268"/>
      <w:bookmarkEnd w:id="269"/>
      <w:bookmarkEnd w:id="270"/>
      <w:bookmarkEnd w:id="272"/>
      <w:bookmarkEnd w:id="273"/>
    </w:p>
    <w:p w14:paraId="5F07880B">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_Ref522811338 \r \h  \* MERGEFORMAT </w:instrText>
      </w:r>
      <w:r>
        <w:rPr>
          <w:rFonts w:hint="eastAsia"/>
          <w:color w:val="auto"/>
          <w:sz w:val="24"/>
          <w:szCs w:val="24"/>
          <w:highlight w:val="none"/>
        </w:rPr>
        <w:fldChar w:fldCharType="separate"/>
      </w:r>
      <w:r>
        <w:rPr>
          <w:rFonts w:hint="eastAsia"/>
          <w:b/>
          <w:color w:val="auto"/>
          <w:sz w:val="24"/>
          <w:szCs w:val="24"/>
          <w:highlight w:val="none"/>
        </w:rPr>
        <w:t>11.1</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_Ref522811341 \h  \* MERGEFORMAT </w:instrText>
      </w:r>
      <w:r>
        <w:rPr>
          <w:rFonts w:hint="eastAsia"/>
          <w:color w:val="auto"/>
          <w:sz w:val="24"/>
          <w:szCs w:val="24"/>
          <w:highlight w:val="none"/>
        </w:rPr>
        <w:fldChar w:fldCharType="separate"/>
      </w:r>
      <w:r>
        <w:rPr>
          <w:rFonts w:hint="eastAsia"/>
          <w:b/>
          <w:color w:val="auto"/>
          <w:sz w:val="24"/>
          <w:szCs w:val="24"/>
          <w:highlight w:val="none"/>
        </w:rPr>
        <w:t>委托人违约</w:t>
      </w:r>
      <w:r>
        <w:rPr>
          <w:rFonts w:hint="eastAsia"/>
          <w:b/>
          <w:color w:val="auto"/>
          <w:sz w:val="24"/>
          <w:szCs w:val="24"/>
          <w:highlight w:val="none"/>
        </w:rPr>
        <w:fldChar w:fldCharType="end"/>
      </w:r>
    </w:p>
    <w:p w14:paraId="7487B303">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ascii="Calibri" w:hAnsi="Calibri" w:eastAsia="宋体" w:cs="Times New Roman"/>
          <w:color w:val="auto"/>
          <w:kern w:val="2"/>
          <w:sz w:val="24"/>
          <w:szCs w:val="24"/>
          <w:highlight w:val="none"/>
          <w:lang w:val="en-US" w:eastAsia="zh-CN" w:bidi="ar-SA"/>
        </w:rPr>
        <w:fldChar w:fldCharType="begin"/>
      </w:r>
      <w:r>
        <w:rPr>
          <w:rFonts w:hint="eastAsia" w:ascii="Calibri" w:hAnsi="Calibri" w:eastAsia="宋体" w:cs="Times New Roman"/>
          <w:color w:val="auto"/>
          <w:kern w:val="2"/>
          <w:sz w:val="24"/>
          <w:szCs w:val="24"/>
          <w:highlight w:val="none"/>
          <w:lang w:val="en-US" w:eastAsia="zh-CN" w:bidi="ar-SA"/>
        </w:rPr>
        <w:instrText xml:space="preserve"> REF _Ref523694623 \r \h  \* MERGEFORMAT </w:instrText>
      </w:r>
      <w:r>
        <w:rPr>
          <w:rFonts w:hint="eastAsia" w:ascii="Calibri" w:hAnsi="Calibri" w:eastAsia="宋体" w:cs="Times New Roman"/>
          <w:color w:val="auto"/>
          <w:kern w:val="2"/>
          <w:sz w:val="24"/>
          <w:szCs w:val="24"/>
          <w:highlight w:val="none"/>
          <w:lang w:val="en-US" w:eastAsia="zh-CN" w:bidi="ar-SA"/>
        </w:rPr>
        <w:fldChar w:fldCharType="separate"/>
      </w:r>
      <w:r>
        <w:rPr>
          <w:rFonts w:hint="eastAsia" w:ascii="Calibri" w:hAnsi="Calibri" w:eastAsia="宋体" w:cs="Times New Roman"/>
          <w:color w:val="auto"/>
          <w:kern w:val="2"/>
          <w:sz w:val="24"/>
          <w:szCs w:val="24"/>
          <w:highlight w:val="none"/>
          <w:lang w:val="en-US" w:eastAsia="zh-CN" w:bidi="ar-SA"/>
        </w:rPr>
        <w:t>11.1.1</w:t>
      </w:r>
      <w:r>
        <w:rPr>
          <w:rFonts w:hint="eastAsia" w:ascii="Calibri" w:hAnsi="Calibri" w:eastAsia="宋体" w:cs="Times New Roman"/>
          <w:color w:val="auto"/>
          <w:kern w:val="2"/>
          <w:sz w:val="24"/>
          <w:szCs w:val="24"/>
          <w:highlight w:val="none"/>
          <w:lang w:val="en-US" w:eastAsia="zh-CN" w:bidi="ar-SA"/>
        </w:rPr>
        <w:fldChar w:fldCharType="end"/>
      </w:r>
      <w:r>
        <w:rPr>
          <w:rFonts w:hint="eastAsia" w:ascii="Calibri" w:hAnsi="Calibri" w:eastAsia="宋体" w:cs="Times New Roman"/>
          <w:color w:val="auto"/>
          <w:kern w:val="2"/>
          <w:sz w:val="24"/>
          <w:szCs w:val="24"/>
          <w:highlight w:val="none"/>
          <w:lang w:val="en-US" w:eastAsia="zh-CN" w:bidi="ar-SA"/>
        </w:rPr>
        <w:t>委</w:t>
      </w:r>
      <w:r>
        <w:rPr>
          <w:rFonts w:hint="eastAsia"/>
          <w:color w:val="auto"/>
          <w:sz w:val="24"/>
          <w:szCs w:val="24"/>
          <w:highlight w:val="none"/>
        </w:rPr>
        <w:t>托人违约的其他情形：</w:t>
      </w:r>
      <w:r>
        <w:rPr>
          <w:rFonts w:hint="eastAsia"/>
          <w:color w:val="auto"/>
          <w:sz w:val="24"/>
          <w:szCs w:val="24"/>
          <w:highlight w:val="none"/>
          <w:u w:val="single"/>
        </w:rPr>
        <w:t xml:space="preserve">    /    。</w:t>
      </w:r>
    </w:p>
    <w:p w14:paraId="72CC3BD6">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ascii="Calibri" w:hAnsi="Calibri" w:eastAsia="宋体" w:cs="Times New Roman"/>
          <w:color w:val="auto"/>
          <w:kern w:val="2"/>
          <w:sz w:val="24"/>
          <w:szCs w:val="24"/>
          <w:highlight w:val="none"/>
          <w:lang w:val="en-US" w:eastAsia="zh-CN" w:bidi="ar-SA"/>
        </w:rPr>
        <w:fldChar w:fldCharType="begin"/>
      </w:r>
      <w:r>
        <w:rPr>
          <w:rFonts w:hint="eastAsia" w:ascii="Calibri" w:hAnsi="Calibri" w:eastAsia="宋体" w:cs="Times New Roman"/>
          <w:color w:val="auto"/>
          <w:kern w:val="2"/>
          <w:sz w:val="24"/>
          <w:szCs w:val="24"/>
          <w:highlight w:val="none"/>
          <w:lang w:val="en-US" w:eastAsia="zh-CN" w:bidi="ar-SA"/>
        </w:rPr>
        <w:instrText xml:space="preserve">REF _Ref16249381 \r \h</w:instrText>
      </w:r>
      <w:r>
        <w:rPr>
          <w:rFonts w:hint="eastAsia" w:ascii="Calibri" w:hAnsi="Calibri" w:eastAsia="宋体" w:cs="Times New Roman"/>
          <w:color w:val="auto"/>
          <w:kern w:val="2"/>
          <w:sz w:val="24"/>
          <w:szCs w:val="24"/>
          <w:highlight w:val="none"/>
          <w:lang w:val="en-US" w:eastAsia="zh-CN" w:bidi="ar-SA"/>
        </w:rPr>
        <w:fldChar w:fldCharType="separate"/>
      </w:r>
      <w:r>
        <w:rPr>
          <w:rFonts w:hint="eastAsia" w:ascii="Calibri" w:hAnsi="Calibri" w:eastAsia="宋体" w:cs="Times New Roman"/>
          <w:color w:val="auto"/>
          <w:kern w:val="2"/>
          <w:sz w:val="24"/>
          <w:szCs w:val="24"/>
          <w:highlight w:val="none"/>
          <w:lang w:val="en-US" w:eastAsia="zh-CN" w:bidi="ar-SA"/>
        </w:rPr>
        <w:t>11.1.</w:t>
      </w:r>
      <w:r>
        <w:rPr>
          <w:rFonts w:hint="eastAsia" w:ascii="Calibri" w:hAnsi="Calibri" w:eastAsia="宋体" w:cs="Times New Roman"/>
          <w:color w:val="auto"/>
          <w:kern w:val="2"/>
          <w:sz w:val="24"/>
          <w:szCs w:val="24"/>
          <w:highlight w:val="none"/>
          <w:lang w:val="en-US" w:eastAsia="zh-CN" w:bidi="ar-SA"/>
        </w:rPr>
        <w:fldChar w:fldCharType="end"/>
      </w:r>
      <w:r>
        <w:rPr>
          <w:rFonts w:hint="eastAsia" w:ascii="Calibri" w:hAnsi="Calibri" w:eastAsia="宋体" w:cs="Times New Roman"/>
          <w:color w:val="auto"/>
          <w:kern w:val="2"/>
          <w:sz w:val="24"/>
          <w:szCs w:val="24"/>
          <w:highlight w:val="none"/>
          <w:lang w:val="en-US" w:eastAsia="zh-CN" w:bidi="ar-SA"/>
        </w:rPr>
        <w:t>3委</w:t>
      </w:r>
      <w:r>
        <w:rPr>
          <w:rFonts w:hint="eastAsia"/>
          <w:color w:val="auto"/>
          <w:sz w:val="24"/>
          <w:szCs w:val="24"/>
          <w:highlight w:val="none"/>
        </w:rPr>
        <w:t>托人违约责任的承担方式和计算方法：</w:t>
      </w:r>
      <w:r>
        <w:rPr>
          <w:rFonts w:hint="eastAsia"/>
          <w:color w:val="auto"/>
          <w:sz w:val="24"/>
          <w:szCs w:val="24"/>
          <w:highlight w:val="none"/>
          <w:u w:val="single"/>
        </w:rPr>
        <w:t xml:space="preserve">    /    。</w:t>
      </w:r>
    </w:p>
    <w:p w14:paraId="37EA68AD">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_Ref16249424 \r \h  \* MERGEFORMAT </w:instrText>
      </w:r>
      <w:r>
        <w:rPr>
          <w:rFonts w:hint="eastAsia"/>
          <w:color w:val="auto"/>
          <w:sz w:val="24"/>
          <w:szCs w:val="24"/>
          <w:highlight w:val="none"/>
        </w:rPr>
        <w:fldChar w:fldCharType="separate"/>
      </w:r>
      <w:r>
        <w:rPr>
          <w:rFonts w:hint="eastAsia"/>
          <w:b/>
          <w:color w:val="auto"/>
          <w:sz w:val="24"/>
          <w:szCs w:val="24"/>
          <w:highlight w:val="none"/>
        </w:rPr>
        <w:t>11.2</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_Ref16249429 \h  \* MERGEFORMAT </w:instrText>
      </w:r>
      <w:r>
        <w:rPr>
          <w:rFonts w:hint="eastAsia"/>
          <w:color w:val="auto"/>
          <w:sz w:val="24"/>
          <w:szCs w:val="24"/>
          <w:highlight w:val="none"/>
        </w:rPr>
        <w:fldChar w:fldCharType="separate"/>
      </w:r>
      <w:r>
        <w:rPr>
          <w:rFonts w:hint="eastAsia"/>
          <w:b/>
          <w:color w:val="auto"/>
          <w:sz w:val="24"/>
          <w:szCs w:val="24"/>
          <w:highlight w:val="none"/>
        </w:rPr>
        <w:t>受托人违约</w:t>
      </w:r>
      <w:r>
        <w:rPr>
          <w:rFonts w:hint="eastAsia"/>
          <w:b/>
          <w:color w:val="auto"/>
          <w:sz w:val="24"/>
          <w:szCs w:val="24"/>
          <w:highlight w:val="none"/>
        </w:rPr>
        <w:fldChar w:fldCharType="end"/>
      </w:r>
    </w:p>
    <w:p w14:paraId="5045478A">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ascii="Calibri" w:hAnsi="Calibri" w:eastAsia="宋体" w:cs="Times New Roman"/>
          <w:color w:val="auto"/>
          <w:kern w:val="2"/>
          <w:sz w:val="24"/>
          <w:szCs w:val="24"/>
          <w:highlight w:val="none"/>
          <w:lang w:val="en-US" w:eastAsia="zh-CN" w:bidi="ar-SA"/>
        </w:rPr>
        <w:fldChar w:fldCharType="begin"/>
      </w:r>
      <w:r>
        <w:rPr>
          <w:rFonts w:hint="eastAsia" w:ascii="Calibri" w:hAnsi="Calibri" w:eastAsia="宋体" w:cs="Times New Roman"/>
          <w:color w:val="auto"/>
          <w:kern w:val="2"/>
          <w:sz w:val="24"/>
          <w:szCs w:val="24"/>
          <w:highlight w:val="none"/>
          <w:lang w:val="en-US" w:eastAsia="zh-CN" w:bidi="ar-SA"/>
        </w:rPr>
        <w:instrText xml:space="preserve"> REF _Ref16249362 \r \h </w:instrText>
      </w:r>
      <w:r>
        <w:rPr>
          <w:rFonts w:hint="eastAsia" w:ascii="Calibri" w:hAnsi="Calibri" w:eastAsia="宋体" w:cs="Times New Roman"/>
          <w:color w:val="auto"/>
          <w:kern w:val="2"/>
          <w:sz w:val="24"/>
          <w:szCs w:val="24"/>
          <w:highlight w:val="none"/>
          <w:lang w:val="en-US" w:eastAsia="zh-CN" w:bidi="ar-SA"/>
        </w:rPr>
        <w:fldChar w:fldCharType="separate"/>
      </w:r>
      <w:r>
        <w:rPr>
          <w:rFonts w:hint="eastAsia" w:ascii="Calibri" w:hAnsi="Calibri" w:eastAsia="宋体" w:cs="Times New Roman"/>
          <w:color w:val="auto"/>
          <w:kern w:val="2"/>
          <w:sz w:val="24"/>
          <w:szCs w:val="24"/>
          <w:highlight w:val="none"/>
          <w:lang w:val="en-US" w:eastAsia="zh-CN" w:bidi="ar-SA"/>
        </w:rPr>
        <w:t>11.2.1</w:t>
      </w:r>
      <w:r>
        <w:rPr>
          <w:rFonts w:hint="eastAsia" w:ascii="Calibri" w:hAnsi="Calibri" w:eastAsia="宋体" w:cs="Times New Roman"/>
          <w:color w:val="auto"/>
          <w:kern w:val="2"/>
          <w:sz w:val="24"/>
          <w:szCs w:val="24"/>
          <w:highlight w:val="none"/>
          <w:lang w:val="en-US" w:eastAsia="zh-CN" w:bidi="ar-SA"/>
        </w:rPr>
        <w:fldChar w:fldCharType="end"/>
      </w:r>
      <w:r>
        <w:rPr>
          <w:rFonts w:hint="eastAsia" w:ascii="Calibri" w:hAnsi="Calibri" w:eastAsia="宋体" w:cs="Times New Roman"/>
          <w:color w:val="auto"/>
          <w:kern w:val="2"/>
          <w:sz w:val="24"/>
          <w:szCs w:val="24"/>
          <w:highlight w:val="none"/>
          <w:lang w:val="en-US" w:eastAsia="zh-CN" w:bidi="ar-SA"/>
        </w:rPr>
        <w:t>受</w:t>
      </w:r>
      <w:r>
        <w:rPr>
          <w:rFonts w:hint="eastAsia"/>
          <w:color w:val="auto"/>
          <w:sz w:val="24"/>
          <w:szCs w:val="24"/>
          <w:highlight w:val="none"/>
        </w:rPr>
        <w:t>托人违约的其他情形：</w:t>
      </w:r>
      <w:r>
        <w:rPr>
          <w:rFonts w:hint="eastAsia"/>
          <w:color w:val="auto"/>
          <w:sz w:val="24"/>
          <w:szCs w:val="24"/>
          <w:highlight w:val="none"/>
          <w:u w:val="single"/>
        </w:rPr>
        <w:t xml:space="preserve">    /    。</w:t>
      </w:r>
    </w:p>
    <w:p w14:paraId="7B991F90">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ascii="Calibri" w:hAnsi="Calibri" w:eastAsia="宋体" w:cs="Times New Roman"/>
          <w:color w:val="auto"/>
          <w:kern w:val="2"/>
          <w:sz w:val="24"/>
          <w:szCs w:val="24"/>
          <w:highlight w:val="none"/>
          <w:lang w:val="en-US" w:eastAsia="zh-CN" w:bidi="ar-SA"/>
        </w:rPr>
        <w:fldChar w:fldCharType="begin"/>
      </w:r>
      <w:r>
        <w:rPr>
          <w:rFonts w:hint="eastAsia" w:ascii="Calibri" w:hAnsi="Calibri" w:eastAsia="宋体" w:cs="Times New Roman"/>
          <w:color w:val="auto"/>
          <w:kern w:val="2"/>
          <w:sz w:val="24"/>
          <w:szCs w:val="24"/>
          <w:highlight w:val="none"/>
          <w:lang w:val="en-US" w:eastAsia="zh-CN" w:bidi="ar-SA"/>
        </w:rPr>
        <w:instrText xml:space="preserve">REF _Ref16249374 \r \h</w:instrText>
      </w:r>
      <w:r>
        <w:rPr>
          <w:rFonts w:hint="eastAsia" w:ascii="Calibri" w:hAnsi="Calibri" w:eastAsia="宋体" w:cs="Times New Roman"/>
          <w:color w:val="auto"/>
          <w:kern w:val="2"/>
          <w:sz w:val="24"/>
          <w:szCs w:val="24"/>
          <w:highlight w:val="none"/>
          <w:lang w:val="en-US" w:eastAsia="zh-CN" w:bidi="ar-SA"/>
        </w:rPr>
        <w:fldChar w:fldCharType="separate"/>
      </w:r>
      <w:r>
        <w:rPr>
          <w:rFonts w:hint="eastAsia" w:ascii="Calibri" w:hAnsi="Calibri" w:eastAsia="宋体" w:cs="Times New Roman"/>
          <w:color w:val="auto"/>
          <w:kern w:val="2"/>
          <w:sz w:val="24"/>
          <w:szCs w:val="24"/>
          <w:highlight w:val="none"/>
          <w:lang w:val="en-US" w:eastAsia="zh-CN" w:bidi="ar-SA"/>
        </w:rPr>
        <w:t>11.2.</w:t>
      </w:r>
      <w:r>
        <w:rPr>
          <w:rFonts w:hint="eastAsia" w:ascii="Calibri" w:hAnsi="Calibri" w:eastAsia="宋体" w:cs="Times New Roman"/>
          <w:color w:val="auto"/>
          <w:kern w:val="2"/>
          <w:sz w:val="24"/>
          <w:szCs w:val="24"/>
          <w:highlight w:val="none"/>
          <w:lang w:val="en-US" w:eastAsia="zh-CN" w:bidi="ar-SA"/>
        </w:rPr>
        <w:fldChar w:fldCharType="end"/>
      </w:r>
      <w:r>
        <w:rPr>
          <w:rFonts w:hint="eastAsia" w:ascii="Calibri" w:hAnsi="Calibri" w:eastAsia="宋体" w:cs="Times New Roman"/>
          <w:color w:val="auto"/>
          <w:kern w:val="2"/>
          <w:sz w:val="24"/>
          <w:szCs w:val="24"/>
          <w:highlight w:val="none"/>
          <w:lang w:val="en-US" w:eastAsia="zh-CN" w:bidi="ar-SA"/>
        </w:rPr>
        <w:t>3</w:t>
      </w:r>
      <w:r>
        <w:rPr>
          <w:rFonts w:hint="eastAsia"/>
          <w:color w:val="auto"/>
          <w:sz w:val="24"/>
          <w:szCs w:val="24"/>
          <w:highlight w:val="none"/>
        </w:rPr>
        <w:t>受托人违约责任的承担方式和计算方法：</w:t>
      </w:r>
      <w:r>
        <w:rPr>
          <w:rFonts w:hint="eastAsia"/>
          <w:color w:val="auto"/>
          <w:sz w:val="24"/>
          <w:szCs w:val="24"/>
          <w:highlight w:val="none"/>
          <w:u w:val="single"/>
        </w:rPr>
        <w:t xml:space="preserve">    /    。</w:t>
      </w:r>
    </w:p>
    <w:p w14:paraId="64B2A946">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_Ref522784527 \r \h  \* MERGEFORMAT </w:instrText>
      </w:r>
      <w:r>
        <w:rPr>
          <w:rFonts w:hint="eastAsia"/>
          <w:color w:val="auto"/>
          <w:sz w:val="24"/>
          <w:szCs w:val="24"/>
          <w:highlight w:val="none"/>
        </w:rPr>
        <w:fldChar w:fldCharType="separate"/>
      </w:r>
      <w:r>
        <w:rPr>
          <w:rFonts w:hint="eastAsia"/>
          <w:b/>
          <w:color w:val="auto"/>
          <w:sz w:val="24"/>
          <w:szCs w:val="24"/>
          <w:highlight w:val="none"/>
        </w:rPr>
        <w:t>11.3</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_Ref522784527 \h  \* MERGEFORMAT </w:instrText>
      </w:r>
      <w:r>
        <w:rPr>
          <w:rFonts w:hint="eastAsia"/>
          <w:color w:val="auto"/>
          <w:sz w:val="24"/>
          <w:szCs w:val="24"/>
          <w:highlight w:val="none"/>
        </w:rPr>
        <w:fldChar w:fldCharType="separate"/>
      </w:r>
      <w:r>
        <w:rPr>
          <w:rFonts w:hint="eastAsia"/>
          <w:b/>
          <w:color w:val="auto"/>
          <w:sz w:val="24"/>
          <w:szCs w:val="24"/>
          <w:highlight w:val="none"/>
        </w:rPr>
        <w:t>责任期限</w:t>
      </w:r>
      <w:r>
        <w:rPr>
          <w:rFonts w:hint="eastAsia"/>
          <w:b/>
          <w:color w:val="auto"/>
          <w:sz w:val="24"/>
          <w:szCs w:val="24"/>
          <w:highlight w:val="none"/>
        </w:rPr>
        <w:fldChar w:fldCharType="end"/>
      </w:r>
    </w:p>
    <w:p w14:paraId="635DB067">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责任期限：</w:t>
      </w:r>
      <w:r>
        <w:rPr>
          <w:rFonts w:hint="eastAsia"/>
          <w:color w:val="auto"/>
          <w:sz w:val="24"/>
          <w:szCs w:val="24"/>
          <w:highlight w:val="none"/>
          <w:u w:val="single"/>
        </w:rPr>
        <w:t xml:space="preserve">    /    。</w:t>
      </w:r>
    </w:p>
    <w:p w14:paraId="4B50FBC1">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_Ref523404472 \r \h  \* MERGEFORMAT </w:instrText>
      </w:r>
      <w:r>
        <w:rPr>
          <w:rFonts w:hint="eastAsia"/>
          <w:color w:val="auto"/>
          <w:sz w:val="24"/>
          <w:szCs w:val="24"/>
          <w:highlight w:val="none"/>
        </w:rPr>
        <w:fldChar w:fldCharType="separate"/>
      </w:r>
      <w:r>
        <w:rPr>
          <w:rFonts w:hint="eastAsia"/>
          <w:b/>
          <w:color w:val="auto"/>
          <w:sz w:val="24"/>
          <w:szCs w:val="24"/>
          <w:highlight w:val="none"/>
        </w:rPr>
        <w:t>11.4</w:t>
      </w:r>
      <w:r>
        <w:rPr>
          <w:rFonts w:hint="eastAsia"/>
          <w:b/>
          <w:color w:val="auto"/>
          <w:sz w:val="24"/>
          <w:szCs w:val="24"/>
          <w:highlight w:val="none"/>
        </w:rPr>
        <w:fldChar w:fldCharType="end"/>
      </w:r>
      <w:r>
        <w:rPr>
          <w:rFonts w:hint="eastAsia"/>
          <w:color w:val="auto"/>
          <w:sz w:val="24"/>
          <w:szCs w:val="24"/>
          <w:highlight w:val="none"/>
        </w:rPr>
        <w:fldChar w:fldCharType="begin"/>
      </w:r>
      <w:r>
        <w:rPr>
          <w:rFonts w:hint="eastAsia"/>
          <w:color w:val="auto"/>
          <w:sz w:val="24"/>
          <w:szCs w:val="24"/>
          <w:highlight w:val="none"/>
        </w:rPr>
        <w:instrText xml:space="preserve"> REF _Ref523404472 \h  \* MERGEFORMAT </w:instrText>
      </w:r>
      <w:r>
        <w:rPr>
          <w:rFonts w:hint="eastAsia"/>
          <w:color w:val="auto"/>
          <w:sz w:val="24"/>
          <w:szCs w:val="24"/>
          <w:highlight w:val="none"/>
        </w:rPr>
        <w:fldChar w:fldCharType="separate"/>
      </w:r>
      <w:r>
        <w:rPr>
          <w:rFonts w:hint="eastAsia"/>
          <w:b/>
          <w:color w:val="auto"/>
          <w:sz w:val="24"/>
          <w:szCs w:val="24"/>
          <w:highlight w:val="none"/>
        </w:rPr>
        <w:t>责任限制</w:t>
      </w:r>
      <w:r>
        <w:rPr>
          <w:rFonts w:hint="eastAsia"/>
          <w:b/>
          <w:color w:val="auto"/>
          <w:sz w:val="24"/>
          <w:szCs w:val="24"/>
          <w:highlight w:val="none"/>
        </w:rPr>
        <w:fldChar w:fldCharType="end"/>
      </w:r>
    </w:p>
    <w:p w14:paraId="771455B7">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最大赔偿额：</w:t>
      </w:r>
      <w:r>
        <w:rPr>
          <w:rFonts w:hint="eastAsia"/>
          <w:color w:val="auto"/>
          <w:sz w:val="24"/>
          <w:szCs w:val="24"/>
          <w:highlight w:val="none"/>
          <w:u w:val="single"/>
        </w:rPr>
        <w:t>最高不超过咨询服务费的20%。</w:t>
      </w:r>
    </w:p>
    <w:p w14:paraId="3BA069D1">
      <w:pPr>
        <w:pStyle w:val="75"/>
        <w:pageBreakBefore w:val="0"/>
        <w:kinsoku/>
        <w:wordWrap/>
        <w:overflowPunct/>
        <w:topLinePunct w:val="0"/>
        <w:bidi w:val="0"/>
        <w:snapToGrid/>
        <w:spacing w:before="0" w:beforeLines="0" w:after="0" w:line="360" w:lineRule="auto"/>
        <w:textAlignment w:val="auto"/>
        <w:rPr>
          <w:rFonts w:hint="eastAsia"/>
          <w:color w:val="auto"/>
          <w:sz w:val="28"/>
          <w:szCs w:val="24"/>
          <w:highlight w:val="none"/>
        </w:rPr>
      </w:pPr>
      <w:bookmarkStart w:id="274" w:name="_Toc1464348112"/>
      <w:bookmarkStart w:id="275" w:name="_Toc1381"/>
      <w:r>
        <w:rPr>
          <w:rFonts w:hint="eastAsia"/>
          <w:color w:val="auto"/>
          <w:sz w:val="28"/>
          <w:szCs w:val="24"/>
          <w:highlight w:val="none"/>
        </w:rPr>
        <w:t xml:space="preserve"> </w:t>
      </w:r>
      <w:bookmarkStart w:id="276" w:name="_Toc4063"/>
      <w:bookmarkStart w:id="277" w:name="_Toc9891"/>
      <w:r>
        <w:rPr>
          <w:rFonts w:hint="eastAsia"/>
          <w:color w:val="auto"/>
          <w:sz w:val="28"/>
          <w:szCs w:val="24"/>
          <w:highlight w:val="none"/>
        </w:rPr>
        <w:fldChar w:fldCharType="begin"/>
      </w:r>
      <w:r>
        <w:rPr>
          <w:rFonts w:hint="eastAsia"/>
          <w:color w:val="auto"/>
          <w:sz w:val="28"/>
          <w:szCs w:val="24"/>
          <w:highlight w:val="none"/>
        </w:rPr>
        <w:instrText xml:space="preserve"> REF _Ref521268023 \h  \* MERGEFORMAT </w:instrText>
      </w:r>
      <w:r>
        <w:rPr>
          <w:rFonts w:hint="eastAsia"/>
          <w:color w:val="auto"/>
          <w:sz w:val="28"/>
          <w:szCs w:val="24"/>
          <w:highlight w:val="none"/>
        </w:rPr>
        <w:fldChar w:fldCharType="separate"/>
      </w:r>
      <w:bookmarkStart w:id="278" w:name="_Toc56155261"/>
      <w:bookmarkStart w:id="279" w:name="_Toc182389489"/>
      <w:bookmarkStart w:id="280" w:name="_Toc182389628"/>
      <w:r>
        <w:rPr>
          <w:rFonts w:hint="eastAsia"/>
          <w:color w:val="auto"/>
          <w:sz w:val="28"/>
          <w:szCs w:val="24"/>
          <w:highlight w:val="none"/>
        </w:rPr>
        <w:t>合同解除</w:t>
      </w:r>
      <w:bookmarkEnd w:id="278"/>
      <w:r>
        <w:rPr>
          <w:rFonts w:hint="eastAsia"/>
          <w:color w:val="auto"/>
          <w:sz w:val="28"/>
          <w:szCs w:val="24"/>
          <w:highlight w:val="none"/>
        </w:rPr>
        <w:fldChar w:fldCharType="end"/>
      </w:r>
      <w:bookmarkEnd w:id="274"/>
      <w:bookmarkEnd w:id="275"/>
      <w:bookmarkEnd w:id="276"/>
      <w:bookmarkEnd w:id="277"/>
      <w:bookmarkEnd w:id="279"/>
      <w:bookmarkEnd w:id="280"/>
    </w:p>
    <w:p w14:paraId="11776899">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_Ref17470632 \r \h  \* MERGEFORMAT </w:instrText>
      </w:r>
      <w:r>
        <w:rPr>
          <w:rFonts w:hint="eastAsia"/>
          <w:color w:val="auto"/>
          <w:sz w:val="24"/>
          <w:szCs w:val="24"/>
          <w:highlight w:val="none"/>
        </w:rPr>
        <w:fldChar w:fldCharType="separate"/>
      </w:r>
      <w:r>
        <w:rPr>
          <w:rFonts w:hint="eastAsia"/>
          <w:b/>
          <w:color w:val="auto"/>
          <w:sz w:val="24"/>
          <w:szCs w:val="24"/>
          <w:highlight w:val="none"/>
        </w:rPr>
        <w:t>12.1由</w:t>
      </w:r>
      <w:r>
        <w:rPr>
          <w:rFonts w:hint="eastAsia"/>
          <w:b/>
          <w:color w:val="auto"/>
          <w:sz w:val="24"/>
          <w:szCs w:val="24"/>
          <w:highlight w:val="none"/>
        </w:rPr>
        <w:fldChar w:fldCharType="end"/>
      </w:r>
      <w:r>
        <w:rPr>
          <w:rFonts w:hint="eastAsia"/>
          <w:b/>
          <w:color w:val="auto"/>
          <w:sz w:val="24"/>
          <w:szCs w:val="24"/>
          <w:highlight w:val="none"/>
        </w:rPr>
        <w:t>委托人解除合同</w:t>
      </w:r>
    </w:p>
    <w:p w14:paraId="04B532EE">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委托人可解除合同的其他情形：</w:t>
      </w:r>
      <w:r>
        <w:rPr>
          <w:rFonts w:hint="eastAsia"/>
          <w:color w:val="auto"/>
          <w:sz w:val="24"/>
          <w:szCs w:val="24"/>
          <w:highlight w:val="none"/>
          <w:u w:val="single"/>
        </w:rPr>
        <w:t xml:space="preserve">    /    。</w:t>
      </w:r>
    </w:p>
    <w:p w14:paraId="58CA4091">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_Ref17470632 \r \h  \* MERGEFORMAT </w:instrText>
      </w:r>
      <w:r>
        <w:rPr>
          <w:rFonts w:hint="eastAsia"/>
          <w:color w:val="auto"/>
          <w:sz w:val="24"/>
          <w:szCs w:val="24"/>
          <w:highlight w:val="none"/>
        </w:rPr>
        <w:fldChar w:fldCharType="separate"/>
      </w:r>
      <w:r>
        <w:rPr>
          <w:rFonts w:hint="eastAsia"/>
          <w:b/>
          <w:color w:val="auto"/>
          <w:sz w:val="24"/>
          <w:szCs w:val="24"/>
          <w:highlight w:val="none"/>
        </w:rPr>
        <w:t>12.2由</w:t>
      </w:r>
      <w:r>
        <w:rPr>
          <w:rFonts w:hint="eastAsia"/>
          <w:b/>
          <w:color w:val="auto"/>
          <w:sz w:val="24"/>
          <w:szCs w:val="24"/>
          <w:highlight w:val="none"/>
        </w:rPr>
        <w:fldChar w:fldCharType="end"/>
      </w:r>
      <w:r>
        <w:rPr>
          <w:rFonts w:hint="eastAsia"/>
          <w:b/>
          <w:color w:val="auto"/>
          <w:sz w:val="24"/>
          <w:szCs w:val="24"/>
          <w:highlight w:val="none"/>
        </w:rPr>
        <w:t>受托人解除合同</w:t>
      </w:r>
    </w:p>
    <w:p w14:paraId="2DAA6EA0">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受托人可解除合同的其他情形：</w:t>
      </w:r>
      <w:r>
        <w:rPr>
          <w:rFonts w:hint="eastAsia"/>
          <w:color w:val="auto"/>
          <w:sz w:val="24"/>
          <w:szCs w:val="24"/>
          <w:highlight w:val="none"/>
          <w:u w:val="single"/>
        </w:rPr>
        <w:t xml:space="preserve">    /    。</w:t>
      </w:r>
    </w:p>
    <w:p w14:paraId="5D118AD9">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_Ref523404447 \r \h  \* MERGEFORMAT </w:instrText>
      </w:r>
      <w:r>
        <w:rPr>
          <w:rFonts w:hint="eastAsia"/>
          <w:color w:val="auto"/>
          <w:sz w:val="24"/>
          <w:szCs w:val="24"/>
          <w:highlight w:val="none"/>
        </w:rPr>
        <w:fldChar w:fldCharType="separate"/>
      </w:r>
      <w:r>
        <w:rPr>
          <w:rFonts w:hint="eastAsia"/>
          <w:b/>
          <w:color w:val="auto"/>
          <w:sz w:val="24"/>
          <w:szCs w:val="24"/>
          <w:highlight w:val="none"/>
        </w:rPr>
        <w:t>12.</w:t>
      </w:r>
      <w:r>
        <w:rPr>
          <w:rFonts w:hint="eastAsia"/>
          <w:b/>
          <w:color w:val="auto"/>
          <w:sz w:val="24"/>
          <w:szCs w:val="24"/>
          <w:highlight w:val="none"/>
        </w:rPr>
        <w:fldChar w:fldCharType="end"/>
      </w:r>
      <w:r>
        <w:rPr>
          <w:rFonts w:hint="eastAsia"/>
          <w:b/>
          <w:color w:val="auto"/>
          <w:sz w:val="24"/>
          <w:szCs w:val="24"/>
          <w:highlight w:val="none"/>
        </w:rPr>
        <w:t>3合同</w:t>
      </w:r>
      <w:r>
        <w:rPr>
          <w:rFonts w:hint="eastAsia"/>
          <w:color w:val="auto"/>
          <w:sz w:val="24"/>
          <w:szCs w:val="24"/>
          <w:highlight w:val="none"/>
        </w:rPr>
        <w:fldChar w:fldCharType="begin"/>
      </w:r>
      <w:r>
        <w:rPr>
          <w:rFonts w:hint="eastAsia"/>
          <w:color w:val="auto"/>
          <w:sz w:val="24"/>
          <w:szCs w:val="24"/>
          <w:highlight w:val="none"/>
        </w:rPr>
        <w:instrText xml:space="preserve"> REF _Ref523404322 \h  \* MERGEFORMAT </w:instrText>
      </w:r>
      <w:r>
        <w:rPr>
          <w:rFonts w:hint="eastAsia"/>
          <w:color w:val="auto"/>
          <w:sz w:val="24"/>
          <w:szCs w:val="24"/>
          <w:highlight w:val="none"/>
        </w:rPr>
        <w:fldChar w:fldCharType="separate"/>
      </w:r>
      <w:r>
        <w:rPr>
          <w:rFonts w:hint="eastAsia"/>
          <w:b/>
          <w:color w:val="auto"/>
          <w:sz w:val="24"/>
          <w:szCs w:val="24"/>
          <w:highlight w:val="none"/>
        </w:rPr>
        <w:t>解除的后果</w:t>
      </w:r>
      <w:r>
        <w:rPr>
          <w:rFonts w:hint="eastAsia"/>
          <w:b/>
          <w:color w:val="auto"/>
          <w:sz w:val="24"/>
          <w:szCs w:val="24"/>
          <w:highlight w:val="none"/>
        </w:rPr>
        <w:fldChar w:fldCharType="end"/>
      </w:r>
    </w:p>
    <w:p w14:paraId="4A535328">
      <w:pPr>
        <w:pStyle w:val="15"/>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双方关于合同解除后果的其他补充约定：</w:t>
      </w:r>
      <w:r>
        <w:rPr>
          <w:rFonts w:hint="eastAsia"/>
          <w:color w:val="auto"/>
          <w:sz w:val="24"/>
          <w:szCs w:val="24"/>
          <w:highlight w:val="none"/>
          <w:u w:val="single"/>
        </w:rPr>
        <w:t xml:space="preserve">    /    。</w:t>
      </w:r>
    </w:p>
    <w:p w14:paraId="5EBF8951">
      <w:pPr>
        <w:pStyle w:val="75"/>
        <w:pageBreakBefore w:val="0"/>
        <w:kinsoku/>
        <w:wordWrap/>
        <w:overflowPunct/>
        <w:topLinePunct w:val="0"/>
        <w:bidi w:val="0"/>
        <w:snapToGrid/>
        <w:spacing w:before="0" w:beforeLines="0" w:after="0" w:line="360" w:lineRule="auto"/>
        <w:textAlignment w:val="auto"/>
        <w:rPr>
          <w:rFonts w:hint="eastAsia"/>
          <w:color w:val="auto"/>
          <w:sz w:val="28"/>
          <w:szCs w:val="24"/>
          <w:highlight w:val="none"/>
        </w:rPr>
      </w:pPr>
      <w:bookmarkStart w:id="281" w:name="_Toc1120380189"/>
      <w:bookmarkStart w:id="282" w:name="_Toc16509"/>
      <w:r>
        <w:rPr>
          <w:rFonts w:hint="eastAsia"/>
          <w:color w:val="auto"/>
          <w:sz w:val="28"/>
          <w:szCs w:val="24"/>
          <w:highlight w:val="none"/>
        </w:rPr>
        <w:t xml:space="preserve"> </w:t>
      </w:r>
      <w:bookmarkStart w:id="283" w:name="_Toc1656"/>
      <w:bookmarkStart w:id="284" w:name="_Toc598"/>
      <w:r>
        <w:rPr>
          <w:rFonts w:hint="eastAsia"/>
          <w:color w:val="auto"/>
          <w:sz w:val="28"/>
          <w:szCs w:val="24"/>
          <w:highlight w:val="none"/>
        </w:rPr>
        <w:fldChar w:fldCharType="begin"/>
      </w:r>
      <w:r>
        <w:rPr>
          <w:rFonts w:hint="eastAsia"/>
          <w:color w:val="auto"/>
          <w:sz w:val="28"/>
          <w:szCs w:val="24"/>
          <w:highlight w:val="none"/>
        </w:rPr>
        <w:instrText xml:space="preserve"> REF _Ref521309732 \h  \* MERGEFORMAT </w:instrText>
      </w:r>
      <w:r>
        <w:rPr>
          <w:rFonts w:hint="eastAsia"/>
          <w:color w:val="auto"/>
          <w:sz w:val="28"/>
          <w:szCs w:val="24"/>
          <w:highlight w:val="none"/>
        </w:rPr>
        <w:fldChar w:fldCharType="separate"/>
      </w:r>
      <w:bookmarkStart w:id="285" w:name="_Toc182389490"/>
      <w:bookmarkStart w:id="286" w:name="_Toc182389629"/>
      <w:bookmarkStart w:id="287" w:name="_Toc56155262"/>
      <w:r>
        <w:rPr>
          <w:rFonts w:hint="eastAsia"/>
          <w:color w:val="auto"/>
          <w:sz w:val="28"/>
          <w:szCs w:val="24"/>
          <w:highlight w:val="none"/>
        </w:rPr>
        <w:t>争议解决</w:t>
      </w:r>
      <w:bookmarkEnd w:id="285"/>
      <w:r>
        <w:rPr>
          <w:rFonts w:hint="eastAsia"/>
          <w:color w:val="auto"/>
          <w:sz w:val="28"/>
          <w:szCs w:val="24"/>
          <w:highlight w:val="none"/>
        </w:rPr>
        <w:fldChar w:fldCharType="end"/>
      </w:r>
      <w:bookmarkEnd w:id="281"/>
      <w:bookmarkEnd w:id="282"/>
      <w:bookmarkEnd w:id="283"/>
      <w:bookmarkEnd w:id="284"/>
      <w:bookmarkEnd w:id="286"/>
      <w:bookmarkEnd w:id="287"/>
    </w:p>
    <w:p w14:paraId="71DEACD0">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_Ref523428187 \w \h  \* MERGEFORMAT </w:instrText>
      </w:r>
      <w:r>
        <w:rPr>
          <w:rFonts w:hint="eastAsia"/>
          <w:color w:val="auto"/>
          <w:sz w:val="24"/>
          <w:szCs w:val="24"/>
          <w:highlight w:val="none"/>
        </w:rPr>
        <w:fldChar w:fldCharType="separate"/>
      </w:r>
      <w:r>
        <w:rPr>
          <w:rFonts w:hint="eastAsia"/>
          <w:b/>
          <w:color w:val="auto"/>
          <w:sz w:val="24"/>
          <w:szCs w:val="24"/>
          <w:highlight w:val="none"/>
        </w:rPr>
        <w:t>13.</w:t>
      </w:r>
      <w:r>
        <w:rPr>
          <w:rFonts w:hint="eastAsia"/>
          <w:b/>
          <w:color w:val="auto"/>
          <w:sz w:val="24"/>
          <w:szCs w:val="24"/>
          <w:highlight w:val="none"/>
        </w:rPr>
        <w:fldChar w:fldCharType="end"/>
      </w:r>
      <w:r>
        <w:rPr>
          <w:rFonts w:hint="eastAsia"/>
          <w:b/>
          <w:color w:val="auto"/>
          <w:sz w:val="24"/>
          <w:szCs w:val="24"/>
          <w:highlight w:val="none"/>
        </w:rPr>
        <w:t>2</w:t>
      </w:r>
      <w:r>
        <w:rPr>
          <w:rFonts w:hint="eastAsia"/>
          <w:color w:val="auto"/>
          <w:sz w:val="24"/>
          <w:szCs w:val="24"/>
          <w:highlight w:val="none"/>
        </w:rPr>
        <w:fldChar w:fldCharType="begin"/>
      </w:r>
      <w:r>
        <w:rPr>
          <w:rFonts w:hint="eastAsia"/>
          <w:color w:val="auto"/>
          <w:sz w:val="24"/>
          <w:szCs w:val="24"/>
          <w:highlight w:val="none"/>
        </w:rPr>
        <w:instrText xml:space="preserve">REF _Ref523428181 \h  \* MERGEFORMAT </w:instrText>
      </w:r>
      <w:r>
        <w:rPr>
          <w:rFonts w:hint="eastAsia"/>
          <w:color w:val="auto"/>
          <w:sz w:val="24"/>
          <w:szCs w:val="24"/>
          <w:highlight w:val="none"/>
        </w:rPr>
        <w:fldChar w:fldCharType="separate"/>
      </w:r>
      <w:r>
        <w:rPr>
          <w:rFonts w:hint="eastAsia"/>
          <w:b/>
          <w:color w:val="auto"/>
          <w:sz w:val="24"/>
          <w:szCs w:val="24"/>
          <w:highlight w:val="none"/>
        </w:rPr>
        <w:t>调解</w:t>
      </w:r>
      <w:r>
        <w:rPr>
          <w:rFonts w:hint="eastAsia"/>
          <w:b/>
          <w:color w:val="auto"/>
          <w:sz w:val="24"/>
          <w:szCs w:val="24"/>
          <w:highlight w:val="none"/>
        </w:rPr>
        <w:fldChar w:fldCharType="end"/>
      </w:r>
    </w:p>
    <w:p w14:paraId="75369275">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合同争议进行调解时，可提交</w:t>
      </w:r>
      <w:r>
        <w:rPr>
          <w:rFonts w:hint="eastAsia"/>
          <w:color w:val="auto"/>
          <w:sz w:val="24"/>
          <w:szCs w:val="24"/>
          <w:highlight w:val="none"/>
          <w:u w:val="single"/>
        </w:rPr>
        <w:t xml:space="preserve">    /    </w:t>
      </w:r>
      <w:r>
        <w:rPr>
          <w:rFonts w:hint="eastAsia"/>
          <w:color w:val="auto"/>
          <w:sz w:val="24"/>
          <w:szCs w:val="24"/>
          <w:highlight w:val="none"/>
        </w:rPr>
        <w:t>进行调解。</w:t>
      </w:r>
    </w:p>
    <w:p w14:paraId="2AEEA75A">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_Ref523404397 \r \h  \* MERGEFORMAT </w:instrText>
      </w:r>
      <w:r>
        <w:rPr>
          <w:rFonts w:hint="eastAsia"/>
          <w:color w:val="auto"/>
          <w:sz w:val="24"/>
          <w:szCs w:val="24"/>
          <w:highlight w:val="none"/>
        </w:rPr>
        <w:fldChar w:fldCharType="separate"/>
      </w:r>
      <w:r>
        <w:rPr>
          <w:rFonts w:hint="eastAsia"/>
          <w:b/>
          <w:color w:val="auto"/>
          <w:sz w:val="24"/>
          <w:szCs w:val="24"/>
          <w:highlight w:val="none"/>
        </w:rPr>
        <w:t>13.</w:t>
      </w:r>
      <w:r>
        <w:rPr>
          <w:rFonts w:hint="eastAsia"/>
          <w:b/>
          <w:color w:val="auto"/>
          <w:sz w:val="24"/>
          <w:szCs w:val="24"/>
          <w:highlight w:val="none"/>
        </w:rPr>
        <w:fldChar w:fldCharType="end"/>
      </w:r>
      <w:r>
        <w:rPr>
          <w:rFonts w:hint="eastAsia"/>
          <w:b/>
          <w:color w:val="auto"/>
          <w:sz w:val="24"/>
          <w:szCs w:val="24"/>
          <w:highlight w:val="none"/>
        </w:rPr>
        <w:t>3</w:t>
      </w:r>
      <w:r>
        <w:rPr>
          <w:rFonts w:hint="eastAsia"/>
          <w:color w:val="auto"/>
          <w:sz w:val="24"/>
          <w:szCs w:val="24"/>
          <w:highlight w:val="none"/>
        </w:rPr>
        <w:fldChar w:fldCharType="begin"/>
      </w:r>
      <w:r>
        <w:rPr>
          <w:rFonts w:hint="eastAsia"/>
          <w:color w:val="auto"/>
          <w:sz w:val="24"/>
          <w:szCs w:val="24"/>
          <w:highlight w:val="none"/>
        </w:rPr>
        <w:instrText xml:space="preserve"> REF _Ref523404390 \h  \* MERGEFORMAT </w:instrText>
      </w:r>
      <w:r>
        <w:rPr>
          <w:rFonts w:hint="eastAsia"/>
          <w:color w:val="auto"/>
          <w:sz w:val="24"/>
          <w:szCs w:val="24"/>
          <w:highlight w:val="none"/>
        </w:rPr>
        <w:fldChar w:fldCharType="separate"/>
      </w:r>
      <w:r>
        <w:rPr>
          <w:rFonts w:hint="eastAsia"/>
          <w:b/>
          <w:color w:val="auto"/>
          <w:sz w:val="24"/>
          <w:szCs w:val="24"/>
          <w:highlight w:val="none"/>
        </w:rPr>
        <w:t>争议评审</w:t>
      </w:r>
      <w:r>
        <w:rPr>
          <w:rFonts w:hint="eastAsia"/>
          <w:b/>
          <w:color w:val="auto"/>
          <w:sz w:val="24"/>
          <w:szCs w:val="24"/>
          <w:highlight w:val="none"/>
        </w:rPr>
        <w:fldChar w:fldCharType="end"/>
      </w:r>
    </w:p>
    <w:p w14:paraId="3BF53A10">
      <w:pPr>
        <w:pageBreakBefore w:val="0"/>
        <w:kinsoku/>
        <w:wordWrap/>
        <w:overflowPunct/>
        <w:topLinePunct w:val="0"/>
        <w:bidi w:val="0"/>
        <w:snapToGrid/>
        <w:spacing w:line="360" w:lineRule="auto"/>
        <w:ind w:left="2646" w:leftChars="221" w:hanging="2160" w:hangingChars="900"/>
        <w:jc w:val="left"/>
        <w:textAlignment w:val="auto"/>
        <w:rPr>
          <w:rFonts w:hint="eastAsia"/>
          <w:color w:val="auto"/>
          <w:sz w:val="24"/>
          <w:szCs w:val="24"/>
          <w:highlight w:val="none"/>
        </w:rPr>
      </w:pPr>
      <w:r>
        <w:rPr>
          <w:rFonts w:hint="eastAsia"/>
          <w:color w:val="auto"/>
          <w:sz w:val="24"/>
          <w:szCs w:val="24"/>
          <w:highlight w:val="none"/>
        </w:rPr>
        <w:t>13.3.1合同当事人关于争议评审的约定：</w:t>
      </w:r>
      <w:r>
        <w:rPr>
          <w:rFonts w:hint="eastAsia"/>
          <w:color w:val="auto"/>
          <w:sz w:val="24"/>
          <w:szCs w:val="24"/>
          <w:highlight w:val="none"/>
          <w:u w:val="single"/>
        </w:rPr>
        <w:t xml:space="preserve">    /    。</w:t>
      </w:r>
    </w:p>
    <w:p w14:paraId="4371A384">
      <w:pPr>
        <w:pageBreakBefore w:val="0"/>
        <w:kinsoku/>
        <w:wordWrap/>
        <w:overflowPunct/>
        <w:topLinePunct w:val="0"/>
        <w:bidi w:val="0"/>
        <w:snapToGrid/>
        <w:spacing w:line="360" w:lineRule="auto"/>
        <w:textAlignment w:val="auto"/>
        <w:rPr>
          <w:rFonts w:hint="eastAsia"/>
          <w:b/>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REF _Ref523404418 \r \h  \* MERGEFORMAT </w:instrText>
      </w:r>
      <w:r>
        <w:rPr>
          <w:rFonts w:hint="eastAsia"/>
          <w:color w:val="auto"/>
          <w:sz w:val="24"/>
          <w:szCs w:val="24"/>
          <w:highlight w:val="none"/>
        </w:rPr>
        <w:fldChar w:fldCharType="separate"/>
      </w:r>
      <w:r>
        <w:rPr>
          <w:rFonts w:hint="eastAsia"/>
          <w:b/>
          <w:color w:val="auto"/>
          <w:sz w:val="24"/>
          <w:szCs w:val="24"/>
          <w:highlight w:val="none"/>
        </w:rPr>
        <w:t>13.</w:t>
      </w:r>
      <w:r>
        <w:rPr>
          <w:rFonts w:hint="eastAsia"/>
          <w:b/>
          <w:color w:val="auto"/>
          <w:sz w:val="24"/>
          <w:szCs w:val="24"/>
          <w:highlight w:val="none"/>
        </w:rPr>
        <w:fldChar w:fldCharType="end"/>
      </w:r>
      <w:r>
        <w:rPr>
          <w:rFonts w:hint="eastAsia"/>
          <w:b/>
          <w:color w:val="auto"/>
          <w:sz w:val="24"/>
          <w:szCs w:val="24"/>
          <w:highlight w:val="none"/>
        </w:rPr>
        <w:t>4</w:t>
      </w:r>
      <w:r>
        <w:rPr>
          <w:rFonts w:hint="eastAsia"/>
          <w:color w:val="auto"/>
          <w:sz w:val="24"/>
          <w:szCs w:val="24"/>
          <w:highlight w:val="none"/>
        </w:rPr>
        <w:fldChar w:fldCharType="begin"/>
      </w:r>
      <w:r>
        <w:rPr>
          <w:rFonts w:hint="eastAsia"/>
          <w:color w:val="auto"/>
          <w:sz w:val="24"/>
          <w:szCs w:val="24"/>
          <w:highlight w:val="none"/>
        </w:rPr>
        <w:instrText xml:space="preserve"> REF _Ref523303607 \h  \* MERGEFORMAT </w:instrText>
      </w:r>
      <w:r>
        <w:rPr>
          <w:rFonts w:hint="eastAsia"/>
          <w:color w:val="auto"/>
          <w:sz w:val="24"/>
          <w:szCs w:val="24"/>
          <w:highlight w:val="none"/>
        </w:rPr>
        <w:fldChar w:fldCharType="separate"/>
      </w:r>
      <w:r>
        <w:rPr>
          <w:rFonts w:hint="eastAsia"/>
          <w:b/>
          <w:color w:val="auto"/>
          <w:sz w:val="24"/>
          <w:szCs w:val="24"/>
          <w:highlight w:val="none"/>
        </w:rPr>
        <w:t>仲裁或诉讼</w:t>
      </w:r>
      <w:r>
        <w:rPr>
          <w:rFonts w:hint="eastAsia"/>
          <w:b/>
          <w:color w:val="auto"/>
          <w:sz w:val="24"/>
          <w:szCs w:val="24"/>
          <w:highlight w:val="none"/>
        </w:rPr>
        <w:fldChar w:fldCharType="end"/>
      </w:r>
    </w:p>
    <w:p w14:paraId="46980E95">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s="Times New Roman"/>
          <w:color w:val="auto"/>
          <w:sz w:val="24"/>
          <w:szCs w:val="24"/>
          <w:highlight w:val="none"/>
        </w:rPr>
        <w:t>因合同及合同有关事项发生的争议，按下列第</w:t>
      </w:r>
      <w:r>
        <w:rPr>
          <w:rFonts w:hint="eastAsia"/>
          <w:color w:val="auto"/>
          <w:sz w:val="24"/>
          <w:szCs w:val="24"/>
          <w:highlight w:val="none"/>
          <w:u w:val="single"/>
        </w:rPr>
        <w:t>2</w:t>
      </w:r>
      <w:r>
        <w:rPr>
          <w:rFonts w:hint="eastAsia"/>
          <w:color w:val="auto"/>
          <w:sz w:val="24"/>
          <w:szCs w:val="24"/>
          <w:highlight w:val="none"/>
        </w:rPr>
        <w:t>种方式解决：</w:t>
      </w:r>
    </w:p>
    <w:p w14:paraId="1F3B9AD0">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（1）提请</w:t>
      </w:r>
      <w:r>
        <w:rPr>
          <w:rFonts w:hint="eastAsia"/>
          <w:color w:val="auto"/>
          <w:sz w:val="24"/>
          <w:szCs w:val="24"/>
          <w:highlight w:val="none"/>
          <w:u w:val="single"/>
        </w:rPr>
        <w:t xml:space="preserve">    /    </w:t>
      </w:r>
      <w:r>
        <w:rPr>
          <w:rFonts w:hint="eastAsia"/>
          <w:color w:val="auto"/>
          <w:sz w:val="24"/>
          <w:szCs w:val="24"/>
          <w:highlight w:val="none"/>
        </w:rPr>
        <w:t>仲裁委员会申请仲裁。</w:t>
      </w:r>
    </w:p>
    <w:p w14:paraId="737BA904">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（2）向</w:t>
      </w:r>
      <w:r>
        <w:rPr>
          <w:rFonts w:hint="eastAsia"/>
          <w:color w:val="auto"/>
          <w:sz w:val="24"/>
          <w:szCs w:val="24"/>
          <w:highlight w:val="none"/>
          <w:u w:val="single"/>
        </w:rPr>
        <w:t>委托人所在地</w:t>
      </w:r>
      <w:r>
        <w:rPr>
          <w:rFonts w:hint="eastAsia"/>
          <w:color w:val="auto"/>
          <w:sz w:val="24"/>
          <w:szCs w:val="24"/>
          <w:highlight w:val="none"/>
        </w:rPr>
        <w:t>人民法院起诉。</w:t>
      </w:r>
    </w:p>
    <w:p w14:paraId="6BA6FBED">
      <w:pPr>
        <w:pageBreakBefore w:val="0"/>
        <w:kinsoku/>
        <w:wordWrap/>
        <w:overflowPunct/>
        <w:topLinePunct w:val="0"/>
        <w:bidi w:val="0"/>
        <w:snapToGrid/>
        <w:spacing w:line="360" w:lineRule="auto"/>
        <w:ind w:firstLine="0" w:firstLineChars="0"/>
        <w:textAlignment w:val="auto"/>
        <w:rPr>
          <w:rFonts w:hint="eastAsia"/>
          <w:color w:val="auto"/>
          <w:sz w:val="24"/>
          <w:szCs w:val="24"/>
          <w:highlight w:val="none"/>
        </w:rPr>
      </w:pPr>
    </w:p>
    <w:p w14:paraId="101F64F3">
      <w:pPr>
        <w:pStyle w:val="2"/>
        <w:pageBreakBefore w:val="0"/>
        <w:kinsoku/>
        <w:wordWrap/>
        <w:overflowPunct/>
        <w:topLinePunct w:val="0"/>
        <w:bidi w:val="0"/>
        <w:snapToGrid/>
        <w:spacing w:after="0" w:line="360" w:lineRule="auto"/>
        <w:textAlignment w:val="auto"/>
        <w:rPr>
          <w:rFonts w:hint="eastAsia"/>
          <w:color w:val="auto"/>
          <w:sz w:val="24"/>
          <w:szCs w:val="24"/>
          <w:highlight w:val="none"/>
        </w:rPr>
      </w:pPr>
    </w:p>
    <w:p w14:paraId="310535AC">
      <w:pPr>
        <w:rPr>
          <w:rFonts w:hint="eastAsia"/>
          <w:color w:val="auto"/>
          <w:sz w:val="30"/>
          <w:szCs w:val="30"/>
          <w:highlight w:val="none"/>
        </w:rPr>
      </w:pPr>
      <w:bookmarkStart w:id="288" w:name="_Ref521078342"/>
      <w:bookmarkStart w:id="289" w:name="_Toc182389630"/>
      <w:bookmarkStart w:id="290" w:name="_Toc56155263"/>
      <w:bookmarkStart w:id="291" w:name="_Toc1867"/>
      <w:bookmarkStart w:id="292" w:name="_Toc18156050"/>
      <w:bookmarkStart w:id="293" w:name="_Toc2257"/>
      <w:bookmarkStart w:id="294" w:name="_Toc182389491"/>
      <w:bookmarkStart w:id="295" w:name="_Ref523405266"/>
      <w:bookmarkStart w:id="296" w:name="_Toc201"/>
      <w:bookmarkStart w:id="297" w:name="_Toc589902494"/>
      <w:r>
        <w:rPr>
          <w:rFonts w:hint="eastAsia"/>
          <w:color w:val="auto"/>
          <w:sz w:val="30"/>
          <w:szCs w:val="30"/>
          <w:highlight w:val="none"/>
        </w:rPr>
        <w:br w:type="page"/>
      </w:r>
    </w:p>
    <w:p w14:paraId="48353B29">
      <w:pPr>
        <w:pStyle w:val="76"/>
        <w:pageBreakBefore w:val="0"/>
        <w:kinsoku/>
        <w:wordWrap/>
        <w:overflowPunct/>
        <w:topLinePunct w:val="0"/>
        <w:bidi w:val="0"/>
        <w:snapToGrid/>
        <w:spacing w:before="0" w:beforeLines="0" w:after="0" w:line="360" w:lineRule="auto"/>
        <w:ind w:left="0" w:firstLine="0"/>
        <w:textAlignment w:val="auto"/>
        <w:rPr>
          <w:rFonts w:hint="eastAsia"/>
          <w:color w:val="auto"/>
          <w:sz w:val="30"/>
          <w:szCs w:val="30"/>
          <w:highlight w:val="none"/>
        </w:rPr>
      </w:pPr>
      <w:r>
        <w:rPr>
          <w:rFonts w:hint="eastAsia"/>
          <w:color w:val="auto"/>
          <w:sz w:val="30"/>
          <w:szCs w:val="30"/>
          <w:highlight w:val="none"/>
        </w:rPr>
        <w:t>服务范围</w:t>
      </w:r>
      <w:bookmarkEnd w:id="288"/>
      <w:bookmarkEnd w:id="289"/>
      <w:bookmarkEnd w:id="290"/>
      <w:bookmarkEnd w:id="291"/>
      <w:bookmarkEnd w:id="292"/>
      <w:bookmarkEnd w:id="293"/>
      <w:bookmarkEnd w:id="294"/>
      <w:bookmarkEnd w:id="295"/>
      <w:bookmarkEnd w:id="296"/>
      <w:bookmarkEnd w:id="297"/>
    </w:p>
    <w:p w14:paraId="560705C0">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b/>
          <w:color w:val="auto"/>
          <w:sz w:val="24"/>
          <w:szCs w:val="24"/>
          <w:highlight w:val="none"/>
        </w:rPr>
        <w:t>一、工程建设全过程咨询服务</w:t>
      </w:r>
    </w:p>
    <w:p w14:paraId="70596094">
      <w:pPr>
        <w:pageBreakBefore w:val="0"/>
        <w:kinsoku/>
        <w:wordWrap/>
        <w:overflowPunct/>
        <w:topLinePunct w:val="0"/>
        <w:bidi w:val="0"/>
        <w:snapToGrid/>
        <w:spacing w:line="360" w:lineRule="auto"/>
        <w:ind w:firstLine="482"/>
        <w:textAlignment w:val="auto"/>
        <w:rPr>
          <w:rFonts w:hint="eastAsia"/>
          <w:color w:val="auto"/>
          <w:sz w:val="24"/>
          <w:szCs w:val="24"/>
          <w:highlight w:val="none"/>
        </w:rPr>
      </w:pPr>
      <w:r>
        <w:rPr>
          <w:rFonts w:hint="eastAsia"/>
          <w:color w:val="auto"/>
          <w:sz w:val="24"/>
          <w:szCs w:val="24"/>
          <w:highlight w:val="none"/>
        </w:rPr>
        <w:t>1.乙方向甲方提供的全过程工程咨询服务范围，包括但不限于以下工作内容（具体详见合同约定条款及甲方要求）：本项目建设内容相关的咨询服务及后续服务，包括但不限于对相关单位（设计、施工、监理等）的协调管理、监督合同（设计、施工、监理等）履行、审查进度计划（设计、施工、监理等）并监督实施、核查设计大纲和设计深度、使用技术规范合理性、提出设计评估报告(包括各阶段设计的核查意见和优化建议)、协助审核所有工程预算清单等工作。协助我行参与各项目的招标工作（包括但不限于招标文件的审核、修改等相关工作）、施工过程质量、进度、费用控制、对合同、信息等工作协调管理、编制竣工验收方案并参与竣工验收。协助我行检查和记录工程质量缺陷、对缺陷原因进行调查分析并确定责任归属、审核修复方案、监督修复过程并验收、审核修复费用等。</w:t>
      </w:r>
    </w:p>
    <w:p w14:paraId="48CECB68">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b/>
          <w:color w:val="auto"/>
          <w:sz w:val="24"/>
          <w:szCs w:val="24"/>
          <w:highlight w:val="none"/>
        </w:rPr>
        <w:t>二、其他专项咨询服务</w:t>
      </w:r>
    </w:p>
    <w:p w14:paraId="1448C778">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 xml:space="preserve">    /    </w:t>
      </w:r>
    </w:p>
    <w:p w14:paraId="399D10BB">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工作内容：</w:t>
      </w:r>
      <w:r>
        <w:rPr>
          <w:rFonts w:hint="eastAsia"/>
          <w:color w:val="auto"/>
          <w:sz w:val="24"/>
          <w:szCs w:val="24"/>
          <w:highlight w:val="none"/>
          <w:u w:val="single"/>
        </w:rPr>
        <w:t xml:space="preserve">    /    ；</w:t>
      </w:r>
    </w:p>
    <w:p w14:paraId="35D698EF">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成果文件：</w:t>
      </w:r>
      <w:r>
        <w:rPr>
          <w:rFonts w:hint="eastAsia"/>
          <w:color w:val="auto"/>
          <w:sz w:val="24"/>
          <w:szCs w:val="24"/>
          <w:highlight w:val="none"/>
          <w:u w:val="single"/>
        </w:rPr>
        <w:t xml:space="preserve">    /    ；</w:t>
      </w:r>
    </w:p>
    <w:p w14:paraId="24DCB1F5">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标准和要求：</w:t>
      </w:r>
      <w:r>
        <w:rPr>
          <w:rFonts w:hint="eastAsia"/>
          <w:color w:val="auto"/>
          <w:sz w:val="24"/>
          <w:szCs w:val="24"/>
          <w:highlight w:val="none"/>
          <w:u w:val="single"/>
        </w:rPr>
        <w:t xml:space="preserve">    /    ；</w:t>
      </w:r>
    </w:p>
    <w:p w14:paraId="0B002D2F">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相关管理和配合服务（如有）：</w:t>
      </w:r>
      <w:r>
        <w:rPr>
          <w:rFonts w:hint="eastAsia"/>
          <w:color w:val="auto"/>
          <w:sz w:val="24"/>
          <w:szCs w:val="24"/>
          <w:highlight w:val="none"/>
          <w:u w:val="single"/>
        </w:rPr>
        <w:t xml:space="preserve">    /    ；</w:t>
      </w:r>
    </w:p>
    <w:p w14:paraId="5B97FAD5">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其他：</w:t>
      </w:r>
      <w:r>
        <w:rPr>
          <w:rFonts w:hint="eastAsia"/>
          <w:color w:val="auto"/>
          <w:sz w:val="24"/>
          <w:szCs w:val="24"/>
          <w:highlight w:val="none"/>
          <w:u w:val="single"/>
        </w:rPr>
        <w:t xml:space="preserve">    /    。</w:t>
      </w:r>
    </w:p>
    <w:p w14:paraId="113CE6C7">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w:t>
      </w:r>
    </w:p>
    <w:p w14:paraId="4F8C456F">
      <w:pPr>
        <w:pageBreakBefore w:val="0"/>
        <w:numPr>
          <w:ilvl w:val="0"/>
          <w:numId w:val="11"/>
        </w:numPr>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b/>
          <w:color w:val="auto"/>
          <w:sz w:val="24"/>
          <w:szCs w:val="24"/>
          <w:highlight w:val="none"/>
        </w:rPr>
        <w:t>另行约定的服务</w:t>
      </w:r>
    </w:p>
    <w:p w14:paraId="06A89F69">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 xml:space="preserve">    /    </w:t>
      </w:r>
    </w:p>
    <w:p w14:paraId="589E4DD4">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工作内容：</w:t>
      </w:r>
      <w:r>
        <w:rPr>
          <w:rFonts w:hint="eastAsia"/>
          <w:color w:val="auto"/>
          <w:sz w:val="24"/>
          <w:szCs w:val="24"/>
          <w:highlight w:val="none"/>
          <w:u w:val="single"/>
        </w:rPr>
        <w:t xml:space="preserve">    /    ；</w:t>
      </w:r>
    </w:p>
    <w:p w14:paraId="112D7684">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成果文件：</w:t>
      </w:r>
      <w:r>
        <w:rPr>
          <w:rFonts w:hint="eastAsia"/>
          <w:color w:val="auto"/>
          <w:sz w:val="24"/>
          <w:szCs w:val="24"/>
          <w:highlight w:val="none"/>
          <w:u w:val="single"/>
        </w:rPr>
        <w:t xml:space="preserve">    /    ；</w:t>
      </w:r>
    </w:p>
    <w:p w14:paraId="58A19A7D">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标准和要求：</w:t>
      </w:r>
      <w:r>
        <w:rPr>
          <w:rFonts w:hint="eastAsia"/>
          <w:color w:val="auto"/>
          <w:sz w:val="24"/>
          <w:szCs w:val="24"/>
          <w:highlight w:val="none"/>
          <w:u w:val="single"/>
        </w:rPr>
        <w:t xml:space="preserve">    /    ；</w:t>
      </w:r>
    </w:p>
    <w:p w14:paraId="44EC120E">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相关管理和配合服务（如有）：</w:t>
      </w:r>
      <w:r>
        <w:rPr>
          <w:rFonts w:hint="eastAsia"/>
          <w:color w:val="auto"/>
          <w:sz w:val="24"/>
          <w:szCs w:val="24"/>
          <w:highlight w:val="none"/>
          <w:u w:val="single"/>
        </w:rPr>
        <w:t xml:space="preserve">    /    ；</w:t>
      </w:r>
    </w:p>
    <w:p w14:paraId="3D1E4781">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其他：</w:t>
      </w:r>
      <w:r>
        <w:rPr>
          <w:rFonts w:hint="eastAsia"/>
          <w:color w:val="auto"/>
          <w:sz w:val="24"/>
          <w:szCs w:val="24"/>
          <w:highlight w:val="none"/>
          <w:u w:val="single"/>
        </w:rPr>
        <w:t xml:space="preserve">    /    。</w:t>
      </w:r>
    </w:p>
    <w:p w14:paraId="0F2336ED">
      <w:pPr>
        <w:pageBreakBefore w:val="0"/>
        <w:kinsoku/>
        <w:wordWrap/>
        <w:overflowPunct/>
        <w:topLinePunct w:val="0"/>
        <w:bidi w:val="0"/>
        <w:snapToGrid/>
        <w:spacing w:line="360" w:lineRule="auto"/>
        <w:ind w:firstLine="0" w:firstLineChars="0"/>
        <w:textAlignment w:val="auto"/>
        <w:rPr>
          <w:rFonts w:hint="eastAsia" w:cs="Times New Roman"/>
          <w:color w:val="auto"/>
          <w:sz w:val="24"/>
          <w:szCs w:val="24"/>
          <w:highlight w:val="none"/>
        </w:rPr>
      </w:pPr>
      <w:r>
        <w:rPr>
          <w:rFonts w:hint="eastAsia"/>
          <w:color w:val="auto"/>
          <w:sz w:val="24"/>
          <w:szCs w:val="24"/>
          <w:highlight w:val="none"/>
        </w:rPr>
        <w:t xml:space="preserve">    ……</w:t>
      </w:r>
    </w:p>
    <w:p w14:paraId="18EDB63A">
      <w:pPr>
        <w:pStyle w:val="76"/>
        <w:pageBreakBefore w:val="0"/>
        <w:kinsoku/>
        <w:wordWrap/>
        <w:overflowPunct/>
        <w:topLinePunct w:val="0"/>
        <w:bidi w:val="0"/>
        <w:snapToGrid/>
        <w:spacing w:before="0" w:beforeLines="0" w:after="0" w:line="360" w:lineRule="auto"/>
        <w:ind w:left="0" w:firstLine="0"/>
        <w:textAlignment w:val="auto"/>
        <w:rPr>
          <w:rFonts w:hint="eastAsia"/>
          <w:color w:val="auto"/>
          <w:sz w:val="30"/>
          <w:szCs w:val="30"/>
          <w:highlight w:val="none"/>
        </w:rPr>
      </w:pPr>
      <w:bookmarkStart w:id="298" w:name="_Toc29594"/>
      <w:bookmarkStart w:id="299" w:name="_Ref521078387"/>
      <w:bookmarkStart w:id="300" w:name="_Toc18156051"/>
      <w:bookmarkStart w:id="301" w:name="_Toc14385"/>
      <w:bookmarkStart w:id="302" w:name="_Toc8907"/>
      <w:bookmarkStart w:id="303" w:name="_Toc19928727"/>
      <w:bookmarkStart w:id="304" w:name="_Ref523405521"/>
      <w:bookmarkStart w:id="305" w:name="_Toc182389631"/>
      <w:bookmarkStart w:id="306" w:name="_Toc56155264"/>
      <w:bookmarkStart w:id="307" w:name="_Ref522024485"/>
      <w:bookmarkStart w:id="308" w:name="_Toc182389492"/>
      <w:r>
        <w:rPr>
          <w:rFonts w:hint="eastAsia"/>
          <w:color w:val="auto"/>
          <w:sz w:val="30"/>
          <w:szCs w:val="30"/>
          <w:highlight w:val="none"/>
        </w:rPr>
        <w:t>服务费用和支付</w:t>
      </w:r>
      <w:bookmarkEnd w:id="298"/>
      <w:bookmarkEnd w:id="299"/>
      <w:bookmarkEnd w:id="300"/>
      <w:bookmarkEnd w:id="301"/>
      <w:bookmarkEnd w:id="302"/>
      <w:bookmarkEnd w:id="303"/>
      <w:bookmarkEnd w:id="304"/>
      <w:bookmarkEnd w:id="305"/>
      <w:bookmarkEnd w:id="306"/>
      <w:bookmarkEnd w:id="307"/>
      <w:bookmarkEnd w:id="308"/>
    </w:p>
    <w:p w14:paraId="1DB22F91">
      <w:pPr>
        <w:pStyle w:val="77"/>
        <w:pageBreakBefore w:val="0"/>
        <w:numPr>
          <w:ilvl w:val="0"/>
          <w:numId w:val="0"/>
        </w:numPr>
        <w:kinsoku/>
        <w:wordWrap/>
        <w:overflowPunct/>
        <w:topLinePunct w:val="0"/>
        <w:bidi w:val="0"/>
        <w:snapToGrid/>
        <w:spacing w:beforeLines="0" w:after="0" w:afterLines="0" w:line="360" w:lineRule="auto"/>
        <w:ind w:firstLine="482" w:firstLineChars="200"/>
        <w:textAlignment w:val="auto"/>
        <w:rPr>
          <w:rFonts w:hint="eastAsia"/>
          <w:color w:val="auto"/>
          <w:sz w:val="24"/>
          <w:szCs w:val="24"/>
          <w:highlight w:val="none"/>
        </w:rPr>
      </w:pPr>
      <w:bookmarkStart w:id="309" w:name="_Toc521267478"/>
      <w:r>
        <w:rPr>
          <w:rFonts w:hint="eastAsia"/>
          <w:color w:val="auto"/>
          <w:sz w:val="24"/>
          <w:szCs w:val="24"/>
          <w:highlight w:val="none"/>
        </w:rPr>
        <w:t>一、服务费用</w:t>
      </w:r>
      <w:bookmarkEnd w:id="309"/>
      <w:r>
        <w:rPr>
          <w:rFonts w:hint="eastAsia"/>
          <w:color w:val="auto"/>
          <w:sz w:val="24"/>
          <w:szCs w:val="24"/>
          <w:highlight w:val="none"/>
        </w:rPr>
        <w:t>计取</w:t>
      </w:r>
    </w:p>
    <w:p w14:paraId="04DD353E">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合同所列的服务费用均包含国家规定的增值税税金，税率为</w:t>
      </w:r>
      <w:r>
        <w:rPr>
          <w:rFonts w:hint="eastAsia"/>
          <w:color w:val="auto"/>
          <w:sz w:val="24"/>
          <w:szCs w:val="24"/>
          <w:highlight w:val="none"/>
          <w:u w:val="single"/>
        </w:rPr>
        <w:t xml:space="preserve">  6%  </w:t>
      </w:r>
      <w:r>
        <w:rPr>
          <w:rFonts w:hint="eastAsia"/>
          <w:color w:val="auto"/>
          <w:sz w:val="24"/>
          <w:szCs w:val="24"/>
          <w:highlight w:val="none"/>
        </w:rPr>
        <w:t>。服务费用包括服务费用、服务开支和奖励金额。具体计取方式如下：</w:t>
      </w:r>
    </w:p>
    <w:p w14:paraId="6DDA2522">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b/>
          <w:color w:val="auto"/>
          <w:sz w:val="24"/>
          <w:szCs w:val="24"/>
          <w:highlight w:val="none"/>
        </w:rPr>
        <w:t>1.服务费用</w:t>
      </w:r>
    </w:p>
    <w:p w14:paraId="303A8A5C">
      <w:pPr>
        <w:pageBreakBefore w:val="0"/>
        <w:kinsoku/>
        <w:wordWrap/>
        <w:overflowPunct/>
        <w:topLinePunct w:val="0"/>
        <w:bidi w:val="0"/>
        <w:snapToGrid/>
        <w:spacing w:line="360" w:lineRule="auto"/>
        <w:ind w:left="15" w:leftChars="7" w:firstLine="379" w:firstLineChars="158"/>
        <w:textAlignment w:val="auto"/>
        <w:rPr>
          <w:rFonts w:hint="eastAsia"/>
          <w:color w:val="auto"/>
          <w:sz w:val="24"/>
          <w:szCs w:val="24"/>
          <w:highlight w:val="none"/>
        </w:rPr>
      </w:pPr>
      <w:r>
        <w:rPr>
          <w:rFonts w:hint="eastAsia"/>
          <w:color w:val="auto"/>
          <w:sz w:val="24"/>
          <w:szCs w:val="24"/>
          <w:highlight w:val="none"/>
        </w:rPr>
        <w:t>双方同意按以下第</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3</w:t>
      </w:r>
      <w:r>
        <w:rPr>
          <w:rFonts w:hint="eastAsia"/>
          <w:color w:val="auto"/>
          <w:sz w:val="24"/>
          <w:szCs w:val="24"/>
          <w:highlight w:val="none"/>
          <w:u w:val="single"/>
        </w:rPr>
        <w:t xml:space="preserve">） </w:t>
      </w:r>
      <w:r>
        <w:rPr>
          <w:rFonts w:hint="eastAsia"/>
          <w:color w:val="auto"/>
          <w:sz w:val="24"/>
          <w:szCs w:val="24"/>
          <w:highlight w:val="none"/>
        </w:rPr>
        <w:t>种方式计算服务费用。服务费用合计为：</w:t>
      </w:r>
      <w:r>
        <w:rPr>
          <w:rFonts w:hint="default" w:ascii="Arial" w:hAnsi="Arial" w:cs="Arial"/>
          <w:color w:val="auto"/>
          <w:sz w:val="24"/>
          <w:szCs w:val="24"/>
          <w:highlight w:val="none"/>
        </w:rPr>
        <w:t>¥</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元，取费基价为</w:t>
      </w:r>
      <w:r>
        <w:rPr>
          <w:rFonts w:hint="default" w:ascii="Arial" w:hAnsi="Arial" w:cs="Arial"/>
          <w:color w:val="auto"/>
          <w:sz w:val="24"/>
          <w:szCs w:val="24"/>
          <w:highlight w:val="none"/>
        </w:rPr>
        <w:t>¥</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元，总费率（中标下浮率）为</w:t>
      </w:r>
      <w:r>
        <w:rPr>
          <w:rFonts w:hint="eastAsia"/>
          <w:color w:val="auto"/>
          <w:sz w:val="24"/>
          <w:szCs w:val="24"/>
          <w:highlight w:val="none"/>
          <w:u w:val="single"/>
        </w:rPr>
        <w:t xml:space="preserve">     </w:t>
      </w:r>
      <w:r>
        <w:rPr>
          <w:rFonts w:hint="eastAsia"/>
          <w:color w:val="auto"/>
          <w:sz w:val="24"/>
          <w:szCs w:val="24"/>
          <w:highlight w:val="none"/>
        </w:rPr>
        <w:t>%。</w:t>
      </w:r>
    </w:p>
    <w:p w14:paraId="2FA48A20">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b/>
          <w:color w:val="auto"/>
          <w:sz w:val="24"/>
          <w:szCs w:val="24"/>
          <w:highlight w:val="none"/>
        </w:rPr>
        <w:t>（1）按专项咨询服务费用计取</w:t>
      </w:r>
    </w:p>
    <w:p w14:paraId="4321D93F">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p>
    <w:p w14:paraId="29C071B1">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b/>
          <w:color w:val="auto"/>
          <w:sz w:val="24"/>
          <w:szCs w:val="24"/>
          <w:highlight w:val="none"/>
        </w:rPr>
        <w:t>（2）按人工成本加酬金方式计取</w:t>
      </w:r>
    </w:p>
    <w:p w14:paraId="58BC8DAF">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按照咨询服务的人工成本加一定比例酬金（以综合计算系数表示），并根据所耗工日计算服务费用，具体收费标准如下，该收费标准每年1月1日应按</w:t>
      </w:r>
      <w:r>
        <w:rPr>
          <w:rFonts w:hint="eastAsia"/>
          <w:color w:val="auto"/>
          <w:sz w:val="24"/>
          <w:szCs w:val="24"/>
          <w:highlight w:val="none"/>
          <w:u w:val="single"/>
        </w:rPr>
        <w:t xml:space="preserve">    /    </w:t>
      </w:r>
      <w:r>
        <w:rPr>
          <w:rFonts w:hint="eastAsia"/>
          <w:color w:val="auto"/>
          <w:sz w:val="24"/>
          <w:szCs w:val="24"/>
          <w:highlight w:val="none"/>
        </w:rPr>
        <w:t>进行必要调整。</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928"/>
        <w:gridCol w:w="1570"/>
        <w:gridCol w:w="1702"/>
        <w:gridCol w:w="988"/>
        <w:gridCol w:w="928"/>
        <w:gridCol w:w="869"/>
        <w:gridCol w:w="928"/>
      </w:tblGrid>
      <w:tr w14:paraId="0321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625CB6">
            <w:pPr>
              <w:pageBreakBefore w:val="0"/>
              <w:kinsoku/>
              <w:wordWrap/>
              <w:overflowPunct/>
              <w:topLinePunct w:val="0"/>
              <w:bidi w:val="0"/>
              <w:snapToGrid/>
              <w:spacing w:line="240" w:lineRule="auto"/>
              <w:ind w:firstLine="0" w:firstLineChars="0"/>
              <w:jc w:val="center"/>
              <w:textAlignment w:val="auto"/>
              <w:rPr>
                <w:rFonts w:hint="eastAsia"/>
                <w:color w:val="auto"/>
                <w:sz w:val="24"/>
                <w:szCs w:val="24"/>
                <w:highlight w:val="none"/>
              </w:rPr>
            </w:pPr>
            <w:r>
              <w:rPr>
                <w:rFonts w:hint="eastAsia"/>
                <w:color w:val="auto"/>
                <w:sz w:val="24"/>
                <w:szCs w:val="24"/>
                <w:highlight w:val="none"/>
              </w:rPr>
              <w:t>人员</w:t>
            </w: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47D19C">
            <w:pPr>
              <w:pageBreakBefore w:val="0"/>
              <w:kinsoku/>
              <w:wordWrap/>
              <w:overflowPunct/>
              <w:topLinePunct w:val="0"/>
              <w:bidi w:val="0"/>
              <w:snapToGrid/>
              <w:spacing w:line="240" w:lineRule="auto"/>
              <w:ind w:firstLine="0" w:firstLineChars="0"/>
              <w:jc w:val="center"/>
              <w:textAlignment w:val="auto"/>
              <w:rPr>
                <w:rFonts w:hint="eastAsia"/>
                <w:color w:val="auto"/>
                <w:sz w:val="24"/>
                <w:szCs w:val="24"/>
                <w:highlight w:val="none"/>
              </w:rPr>
            </w:pPr>
            <w:r>
              <w:rPr>
                <w:rFonts w:hint="eastAsia"/>
                <w:color w:val="auto"/>
                <w:sz w:val="24"/>
                <w:szCs w:val="24"/>
                <w:highlight w:val="none"/>
              </w:rPr>
              <w:t>数量</w:t>
            </w: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EA1B9">
            <w:pPr>
              <w:pageBreakBefore w:val="0"/>
              <w:kinsoku/>
              <w:wordWrap/>
              <w:overflowPunct/>
              <w:topLinePunct w:val="0"/>
              <w:bidi w:val="0"/>
              <w:snapToGrid/>
              <w:spacing w:line="240" w:lineRule="auto"/>
              <w:ind w:firstLine="0" w:firstLineChars="0"/>
              <w:jc w:val="center"/>
              <w:textAlignment w:val="auto"/>
              <w:rPr>
                <w:rFonts w:hint="eastAsia"/>
                <w:color w:val="auto"/>
                <w:sz w:val="24"/>
                <w:szCs w:val="24"/>
                <w:highlight w:val="none"/>
              </w:rPr>
            </w:pPr>
            <w:r>
              <w:rPr>
                <w:rFonts w:hint="eastAsia"/>
                <w:color w:val="auto"/>
                <w:sz w:val="24"/>
                <w:szCs w:val="24"/>
                <w:highlight w:val="none"/>
              </w:rPr>
              <w:t>工日单价</w:t>
            </w:r>
          </w:p>
        </w:tc>
        <w:tc>
          <w:tcPr>
            <w:tcW w:w="17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0992F">
            <w:pPr>
              <w:pageBreakBefore w:val="0"/>
              <w:kinsoku/>
              <w:wordWrap/>
              <w:overflowPunct/>
              <w:topLinePunct w:val="0"/>
              <w:bidi w:val="0"/>
              <w:snapToGrid/>
              <w:spacing w:line="240" w:lineRule="auto"/>
              <w:ind w:firstLine="0" w:firstLineChars="0"/>
              <w:jc w:val="center"/>
              <w:textAlignment w:val="auto"/>
              <w:rPr>
                <w:rFonts w:hint="eastAsia"/>
                <w:color w:val="auto"/>
                <w:sz w:val="24"/>
                <w:szCs w:val="24"/>
                <w:highlight w:val="none"/>
              </w:rPr>
            </w:pPr>
            <w:r>
              <w:rPr>
                <w:rFonts w:hint="eastAsia"/>
                <w:color w:val="auto"/>
                <w:sz w:val="24"/>
                <w:szCs w:val="24"/>
                <w:highlight w:val="none"/>
              </w:rPr>
              <w:t>工月单价</w:t>
            </w:r>
          </w:p>
        </w:tc>
        <w:tc>
          <w:tcPr>
            <w:tcW w:w="9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5A48F">
            <w:pPr>
              <w:pageBreakBefore w:val="0"/>
              <w:kinsoku/>
              <w:wordWrap/>
              <w:overflowPunct/>
              <w:topLinePunct w:val="0"/>
              <w:bidi w:val="0"/>
              <w:snapToGrid/>
              <w:spacing w:line="240" w:lineRule="auto"/>
              <w:ind w:firstLine="0" w:firstLineChars="0"/>
              <w:jc w:val="center"/>
              <w:textAlignment w:val="auto"/>
              <w:rPr>
                <w:rFonts w:hint="eastAsia"/>
                <w:color w:val="auto"/>
                <w:sz w:val="24"/>
                <w:szCs w:val="24"/>
                <w:highlight w:val="none"/>
              </w:rPr>
            </w:pPr>
            <w:r>
              <w:rPr>
                <w:rFonts w:hint="eastAsia"/>
                <w:color w:val="auto"/>
                <w:sz w:val="24"/>
                <w:szCs w:val="24"/>
                <w:highlight w:val="none"/>
              </w:rPr>
              <w:t>工日</w:t>
            </w: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0FC60">
            <w:pPr>
              <w:pageBreakBefore w:val="0"/>
              <w:kinsoku/>
              <w:wordWrap/>
              <w:overflowPunct/>
              <w:topLinePunct w:val="0"/>
              <w:bidi w:val="0"/>
              <w:snapToGrid/>
              <w:spacing w:line="240" w:lineRule="auto"/>
              <w:ind w:firstLine="0" w:firstLineChars="0"/>
              <w:jc w:val="center"/>
              <w:textAlignment w:val="auto"/>
              <w:rPr>
                <w:rFonts w:hint="eastAsia"/>
                <w:color w:val="auto"/>
                <w:sz w:val="24"/>
                <w:szCs w:val="24"/>
                <w:highlight w:val="none"/>
              </w:rPr>
            </w:pPr>
            <w:r>
              <w:rPr>
                <w:rFonts w:hint="eastAsia"/>
                <w:color w:val="auto"/>
                <w:sz w:val="24"/>
                <w:szCs w:val="24"/>
                <w:highlight w:val="none"/>
              </w:rPr>
              <w:t>工月</w:t>
            </w: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7BC4ED">
            <w:pPr>
              <w:pageBreakBefore w:val="0"/>
              <w:kinsoku/>
              <w:wordWrap/>
              <w:overflowPunct/>
              <w:topLinePunct w:val="0"/>
              <w:bidi w:val="0"/>
              <w:snapToGrid/>
              <w:spacing w:line="240" w:lineRule="auto"/>
              <w:ind w:firstLine="0" w:firstLineChars="0"/>
              <w:jc w:val="center"/>
              <w:textAlignment w:val="auto"/>
              <w:rPr>
                <w:rFonts w:hint="eastAsia"/>
                <w:color w:val="auto"/>
                <w:sz w:val="24"/>
                <w:szCs w:val="24"/>
                <w:highlight w:val="none"/>
              </w:rPr>
            </w:pPr>
            <w:r>
              <w:rPr>
                <w:rFonts w:hint="eastAsia"/>
                <w:color w:val="auto"/>
                <w:sz w:val="24"/>
                <w:szCs w:val="24"/>
                <w:highlight w:val="none"/>
              </w:rPr>
              <w:t>酬金比例</w:t>
            </w: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4691F9">
            <w:pPr>
              <w:pageBreakBefore w:val="0"/>
              <w:kinsoku/>
              <w:wordWrap/>
              <w:overflowPunct/>
              <w:topLinePunct w:val="0"/>
              <w:bidi w:val="0"/>
              <w:snapToGrid/>
              <w:spacing w:line="240" w:lineRule="auto"/>
              <w:ind w:firstLine="0" w:firstLineChars="0"/>
              <w:jc w:val="center"/>
              <w:textAlignment w:val="auto"/>
              <w:rPr>
                <w:rFonts w:hint="eastAsia"/>
                <w:color w:val="auto"/>
                <w:sz w:val="24"/>
                <w:szCs w:val="24"/>
                <w:highlight w:val="none"/>
              </w:rPr>
            </w:pPr>
            <w:r>
              <w:rPr>
                <w:rFonts w:hint="eastAsia"/>
                <w:color w:val="auto"/>
                <w:sz w:val="24"/>
                <w:szCs w:val="24"/>
                <w:highlight w:val="none"/>
              </w:rPr>
              <w:t>总价</w:t>
            </w:r>
          </w:p>
        </w:tc>
      </w:tr>
      <w:tr w14:paraId="04C1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44D21E">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730034">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939855">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7A5736">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1C7F30">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67E21">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0F266">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4585C">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r>
      <w:tr w14:paraId="2980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A50CA5">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88E1A">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A35A7">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DA02B5">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DEA3B1">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0F383">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1D6569">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995F8A">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r>
      <w:tr w14:paraId="1D84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4AC301">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A34929">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580469">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C28192">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61B34">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54F97">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C0799">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5B8CC1">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r>
      <w:tr w14:paraId="4FA3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A3C056">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B1D0F">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EA8B1C">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9E83A4">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FEB24">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B4FE9">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8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33928">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c>
          <w:tcPr>
            <w:tcW w:w="9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26E378">
            <w:pPr>
              <w:pageBreakBefore w:val="0"/>
              <w:kinsoku/>
              <w:wordWrap/>
              <w:overflowPunct/>
              <w:topLinePunct w:val="0"/>
              <w:bidi w:val="0"/>
              <w:snapToGrid/>
              <w:spacing w:line="240" w:lineRule="auto"/>
              <w:ind w:firstLine="0" w:firstLineChars="0"/>
              <w:textAlignment w:val="auto"/>
              <w:rPr>
                <w:rFonts w:hint="eastAsia"/>
                <w:b/>
                <w:color w:val="auto"/>
                <w:sz w:val="24"/>
                <w:szCs w:val="24"/>
                <w:highlight w:val="none"/>
              </w:rPr>
            </w:pPr>
          </w:p>
        </w:tc>
      </w:tr>
    </w:tbl>
    <w:p w14:paraId="344199A2">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p>
    <w:p w14:paraId="6E54FB58">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b/>
          <w:color w:val="auto"/>
          <w:sz w:val="24"/>
          <w:szCs w:val="24"/>
          <w:highlight w:val="none"/>
        </w:rPr>
        <w:t>（3）按其他方式计取</w:t>
      </w:r>
    </w:p>
    <w:p w14:paraId="55CD9548">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双方约定的服务费用其他计取方式为：</w:t>
      </w:r>
      <w:r>
        <w:rPr>
          <w:rFonts w:hint="eastAsia"/>
          <w:color w:val="auto"/>
          <w:sz w:val="24"/>
          <w:szCs w:val="24"/>
          <w:highlight w:val="none"/>
          <w:u w:val="single"/>
          <w:lang w:val="en-US" w:eastAsia="zh-CN"/>
        </w:rPr>
        <w:t>固定总价</w:t>
      </w:r>
      <w:r>
        <w:rPr>
          <w:rFonts w:hint="eastAsia"/>
          <w:color w:val="auto"/>
          <w:sz w:val="24"/>
          <w:szCs w:val="24"/>
          <w:highlight w:val="none"/>
          <w:u w:val="single"/>
        </w:rPr>
        <w:t>。</w:t>
      </w:r>
    </w:p>
    <w:p w14:paraId="4BEDF4E6">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b/>
          <w:color w:val="auto"/>
          <w:sz w:val="24"/>
          <w:szCs w:val="24"/>
          <w:highlight w:val="none"/>
        </w:rPr>
        <w:t>2.服务开支</w:t>
      </w:r>
    </w:p>
    <w:p w14:paraId="45A553B4">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上述服务费用中已包含的服务开支包括</w:t>
      </w:r>
      <w:r>
        <w:rPr>
          <w:rFonts w:hint="eastAsia"/>
          <w:color w:val="auto"/>
          <w:sz w:val="24"/>
          <w:szCs w:val="24"/>
          <w:highlight w:val="none"/>
          <w:u w:val="single"/>
        </w:rPr>
        <w:t xml:space="preserve">    /    。</w:t>
      </w:r>
    </w:p>
    <w:p w14:paraId="01B34F87">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委托人应补偿受托人除上述服务开支外为履行合同发生的其他合理服务开支，双方同意按</w:t>
      </w:r>
      <w:r>
        <w:rPr>
          <w:rFonts w:hint="eastAsia"/>
          <w:color w:val="auto"/>
          <w:sz w:val="24"/>
          <w:szCs w:val="24"/>
          <w:highlight w:val="none"/>
          <w:u w:val="single"/>
        </w:rPr>
        <w:t xml:space="preserve">    /    </w:t>
      </w:r>
      <w:r>
        <w:rPr>
          <w:rFonts w:hint="eastAsia"/>
          <w:color w:val="auto"/>
          <w:sz w:val="24"/>
          <w:szCs w:val="24"/>
          <w:highlight w:val="none"/>
        </w:rPr>
        <w:t>计取，预计为</w:t>
      </w:r>
      <w:r>
        <w:rPr>
          <w:rFonts w:hint="eastAsia"/>
          <w:color w:val="auto"/>
          <w:sz w:val="24"/>
          <w:szCs w:val="24"/>
          <w:highlight w:val="none"/>
          <w:u w:val="single"/>
        </w:rPr>
        <w:t xml:space="preserve">    /    </w:t>
      </w:r>
      <w:r>
        <w:rPr>
          <w:rFonts w:hint="eastAsia"/>
          <w:color w:val="auto"/>
          <w:sz w:val="24"/>
          <w:szCs w:val="24"/>
          <w:highlight w:val="none"/>
        </w:rPr>
        <w:t>元。</w:t>
      </w:r>
    </w:p>
    <w:p w14:paraId="613C3966">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b/>
          <w:color w:val="auto"/>
          <w:sz w:val="24"/>
          <w:szCs w:val="24"/>
          <w:highlight w:val="none"/>
        </w:rPr>
        <w:t>3. 奖励金额</w:t>
      </w:r>
    </w:p>
    <w:p w14:paraId="24514396">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委托人对受托人进行奖励采取以下第</w:t>
      </w:r>
      <w:r>
        <w:rPr>
          <w:rFonts w:hint="eastAsia"/>
          <w:b/>
          <w:color w:val="auto"/>
          <w:sz w:val="24"/>
          <w:szCs w:val="24"/>
          <w:highlight w:val="none"/>
          <w:u w:val="single"/>
        </w:rPr>
        <w:t>（1）</w:t>
      </w:r>
      <w:r>
        <w:rPr>
          <w:rFonts w:hint="eastAsia"/>
          <w:color w:val="auto"/>
          <w:sz w:val="24"/>
          <w:szCs w:val="24"/>
          <w:highlight w:val="none"/>
        </w:rPr>
        <w:t>种方式。</w:t>
      </w:r>
    </w:p>
    <w:p w14:paraId="108DEC0E">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b/>
          <w:color w:val="auto"/>
          <w:sz w:val="24"/>
          <w:szCs w:val="24"/>
          <w:highlight w:val="none"/>
        </w:rPr>
        <w:t>（1）由于受托人的服务导致委托人的投资节约而对受托人奖励的计取和支付方式</w:t>
      </w:r>
    </w:p>
    <w:p w14:paraId="75BC49DA">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lang w:val="en-US" w:eastAsia="zh-CN"/>
        </w:rPr>
        <w:t>无</w:t>
      </w:r>
      <w:r>
        <w:rPr>
          <w:rFonts w:hint="eastAsia"/>
          <w:color w:val="auto"/>
          <w:sz w:val="24"/>
          <w:szCs w:val="24"/>
          <w:highlight w:val="none"/>
        </w:rPr>
        <w:t>。</w:t>
      </w:r>
    </w:p>
    <w:p w14:paraId="03412F98">
      <w:pPr>
        <w:pageBreakBefore w:val="0"/>
        <w:kinsoku/>
        <w:wordWrap/>
        <w:overflowPunct/>
        <w:topLinePunct w:val="0"/>
        <w:bidi w:val="0"/>
        <w:snapToGrid/>
        <w:spacing w:line="360" w:lineRule="auto"/>
        <w:ind w:firstLine="482"/>
        <w:textAlignment w:val="auto"/>
        <w:rPr>
          <w:rFonts w:hint="eastAsia"/>
          <w:b/>
          <w:color w:val="auto"/>
          <w:sz w:val="24"/>
          <w:szCs w:val="24"/>
          <w:highlight w:val="none"/>
        </w:rPr>
      </w:pPr>
      <w:r>
        <w:rPr>
          <w:rFonts w:hint="eastAsia"/>
          <w:b/>
          <w:color w:val="auto"/>
          <w:sz w:val="24"/>
          <w:szCs w:val="24"/>
          <w:highlight w:val="none"/>
        </w:rPr>
        <w:t>（2）双方约定的其他奖励方式</w:t>
      </w:r>
    </w:p>
    <w:p w14:paraId="7DABA947">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进行奖励：</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w:t>
      </w:r>
      <w:r>
        <w:rPr>
          <w:rFonts w:hint="eastAsia"/>
          <w:color w:val="auto"/>
          <w:sz w:val="24"/>
          <w:szCs w:val="24"/>
          <w:highlight w:val="none"/>
          <w:u w:val="single"/>
        </w:rPr>
        <w:t xml:space="preserve">  </w:t>
      </w:r>
      <w:r>
        <w:rPr>
          <w:rFonts w:hint="eastAsia"/>
          <w:color w:val="auto"/>
          <w:sz w:val="24"/>
          <w:szCs w:val="24"/>
          <w:highlight w:val="none"/>
        </w:rPr>
        <w:t>；</w:t>
      </w:r>
    </w:p>
    <w:p w14:paraId="1FCBE58F">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奖励金额的计取：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w:t>
      </w:r>
      <w:r>
        <w:rPr>
          <w:rFonts w:hint="eastAsia"/>
          <w:color w:val="auto"/>
          <w:sz w:val="24"/>
          <w:szCs w:val="24"/>
          <w:highlight w:val="none"/>
          <w:u w:val="single"/>
        </w:rPr>
        <w:t xml:space="preserve">   </w:t>
      </w:r>
      <w:r>
        <w:rPr>
          <w:rFonts w:hint="eastAsia"/>
          <w:color w:val="auto"/>
          <w:sz w:val="24"/>
          <w:szCs w:val="24"/>
          <w:highlight w:val="none"/>
        </w:rPr>
        <w:t>；</w:t>
      </w:r>
    </w:p>
    <w:p w14:paraId="6207B2D6">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奖励金额的支付：</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w:t>
      </w:r>
      <w:r>
        <w:rPr>
          <w:rFonts w:hint="eastAsia"/>
          <w:color w:val="auto"/>
          <w:sz w:val="24"/>
          <w:szCs w:val="24"/>
          <w:highlight w:val="none"/>
          <w:u w:val="single"/>
        </w:rPr>
        <w:t xml:space="preserve">   </w:t>
      </w:r>
      <w:r>
        <w:rPr>
          <w:rFonts w:hint="eastAsia"/>
          <w:color w:val="auto"/>
          <w:sz w:val="24"/>
          <w:szCs w:val="24"/>
          <w:highlight w:val="none"/>
        </w:rPr>
        <w:t>。</w:t>
      </w:r>
    </w:p>
    <w:p w14:paraId="5F1D95CB">
      <w:pPr>
        <w:pStyle w:val="77"/>
        <w:pageBreakBefore w:val="0"/>
        <w:numPr>
          <w:ilvl w:val="0"/>
          <w:numId w:val="0"/>
        </w:numPr>
        <w:kinsoku/>
        <w:wordWrap/>
        <w:overflowPunct/>
        <w:topLinePunct w:val="0"/>
        <w:bidi w:val="0"/>
        <w:snapToGrid/>
        <w:spacing w:beforeLines="0" w:after="0" w:afterLines="0" w:line="360" w:lineRule="auto"/>
        <w:ind w:left="400" w:firstLine="0"/>
        <w:textAlignment w:val="auto"/>
        <w:rPr>
          <w:rFonts w:hint="eastAsia"/>
          <w:color w:val="auto"/>
          <w:sz w:val="24"/>
          <w:szCs w:val="24"/>
          <w:highlight w:val="none"/>
        </w:rPr>
      </w:pPr>
      <w:r>
        <w:rPr>
          <w:rFonts w:hint="eastAsia"/>
          <w:color w:val="auto"/>
          <w:sz w:val="24"/>
          <w:szCs w:val="24"/>
          <w:highlight w:val="none"/>
        </w:rPr>
        <w:t>二、服务费用的变更或调整</w:t>
      </w:r>
    </w:p>
    <w:p w14:paraId="59AC017E">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委托人与受托人双方同意，按照以下第</w:t>
      </w:r>
      <w:r>
        <w:rPr>
          <w:rFonts w:hint="eastAsia"/>
          <w:color w:val="auto"/>
          <w:sz w:val="24"/>
          <w:szCs w:val="24"/>
          <w:highlight w:val="none"/>
          <w:u w:val="single"/>
        </w:rPr>
        <w:t xml:space="preserve">  3  </w:t>
      </w:r>
      <w:r>
        <w:rPr>
          <w:rFonts w:hint="eastAsia"/>
          <w:color w:val="auto"/>
          <w:sz w:val="24"/>
          <w:szCs w:val="24"/>
          <w:highlight w:val="none"/>
        </w:rPr>
        <w:t>种方式计算</w:t>
      </w:r>
      <w:r>
        <w:rPr>
          <w:rFonts w:hint="eastAsia"/>
          <w:color w:val="auto"/>
          <w:sz w:val="24"/>
          <w:szCs w:val="24"/>
          <w:highlight w:val="none"/>
        </w:rPr>
        <w:fldChar w:fldCharType="begin"/>
      </w:r>
      <w:r>
        <w:rPr>
          <w:rFonts w:hint="eastAsia"/>
          <w:color w:val="auto"/>
          <w:sz w:val="24"/>
          <w:szCs w:val="24"/>
          <w:highlight w:val="none"/>
        </w:rPr>
        <w:instrText xml:space="preserve">REF _Ref521266679 \r \h</w:instrText>
      </w:r>
      <w:r>
        <w:rPr>
          <w:rFonts w:hint="eastAsia"/>
          <w:color w:val="auto"/>
          <w:sz w:val="24"/>
          <w:szCs w:val="24"/>
          <w:highlight w:val="none"/>
        </w:rPr>
        <w:fldChar w:fldCharType="separate"/>
      </w:r>
      <w:r>
        <w:rPr>
          <w:rFonts w:hint="eastAsia"/>
          <w:color w:val="auto"/>
          <w:sz w:val="24"/>
          <w:szCs w:val="24"/>
          <w:highlight w:val="none"/>
        </w:rPr>
        <w:t>第7条</w:t>
      </w:r>
      <w:r>
        <w:rPr>
          <w:rFonts w:hint="eastAsia"/>
          <w:color w:val="auto"/>
          <w:sz w:val="24"/>
          <w:szCs w:val="24"/>
          <w:highlight w:val="none"/>
        </w:rPr>
        <w:fldChar w:fldCharType="end"/>
      </w:r>
      <w:r>
        <w:rPr>
          <w:rFonts w:hint="eastAsia"/>
          <w:color w:val="auto"/>
          <w:sz w:val="24"/>
          <w:szCs w:val="24"/>
          <w:highlight w:val="none"/>
        </w:rPr>
        <w:t>［</w:t>
      </w:r>
      <w:r>
        <w:rPr>
          <w:rFonts w:hint="eastAsia"/>
          <w:color w:val="auto"/>
          <w:sz w:val="24"/>
          <w:szCs w:val="24"/>
          <w:highlight w:val="none"/>
        </w:rPr>
        <w:fldChar w:fldCharType="begin"/>
      </w:r>
      <w:r>
        <w:rPr>
          <w:rFonts w:hint="eastAsia"/>
          <w:color w:val="auto"/>
          <w:sz w:val="24"/>
          <w:szCs w:val="24"/>
          <w:highlight w:val="none"/>
        </w:rPr>
        <w:instrText xml:space="preserve">REF _Ref14106185 \h \* MERGEFORMAT </w:instrText>
      </w:r>
      <w:r>
        <w:rPr>
          <w:rFonts w:hint="eastAsia"/>
          <w:color w:val="auto"/>
          <w:sz w:val="24"/>
          <w:szCs w:val="24"/>
          <w:highlight w:val="none"/>
        </w:rPr>
        <w:fldChar w:fldCharType="separate"/>
      </w:r>
      <w:r>
        <w:rPr>
          <w:rFonts w:hint="eastAsia"/>
          <w:color w:val="auto"/>
          <w:sz w:val="24"/>
          <w:szCs w:val="24"/>
          <w:highlight w:val="none"/>
        </w:rPr>
        <w:t>变更和服务费用调整</w:t>
      </w:r>
      <w:r>
        <w:rPr>
          <w:rFonts w:hint="eastAsia"/>
          <w:color w:val="auto"/>
          <w:sz w:val="24"/>
          <w:szCs w:val="24"/>
          <w:highlight w:val="none"/>
        </w:rPr>
        <w:fldChar w:fldCharType="end"/>
      </w:r>
      <w:r>
        <w:rPr>
          <w:rFonts w:hint="eastAsia"/>
          <w:color w:val="auto"/>
          <w:sz w:val="24"/>
          <w:szCs w:val="24"/>
          <w:highlight w:val="none"/>
        </w:rPr>
        <w:t>］的服务费用：</w:t>
      </w:r>
    </w:p>
    <w:p w14:paraId="6BD3251D">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1.对</w:t>
      </w:r>
      <w:r>
        <w:rPr>
          <w:rFonts w:hint="eastAsia"/>
          <w:color w:val="auto"/>
          <w:sz w:val="24"/>
          <w:szCs w:val="24"/>
          <w:highlight w:val="none"/>
          <w:u w:val="single"/>
        </w:rPr>
        <w:t xml:space="preserve">    /    </w:t>
      </w:r>
      <w:r>
        <w:rPr>
          <w:rFonts w:hint="eastAsia"/>
          <w:color w:val="auto"/>
          <w:sz w:val="24"/>
          <w:szCs w:val="24"/>
          <w:highlight w:val="none"/>
        </w:rPr>
        <w:t>服务按照咨询人员工日收费标准</w:t>
      </w:r>
      <w:r>
        <w:rPr>
          <w:rFonts w:hint="eastAsia"/>
          <w:color w:val="auto"/>
          <w:sz w:val="24"/>
          <w:szCs w:val="24"/>
          <w:highlight w:val="none"/>
          <w:u w:val="single"/>
        </w:rPr>
        <w:t xml:space="preserve">    /    </w:t>
      </w:r>
      <w:r>
        <w:rPr>
          <w:rFonts w:hint="eastAsia"/>
          <w:color w:val="auto"/>
          <w:sz w:val="24"/>
          <w:szCs w:val="24"/>
          <w:highlight w:val="none"/>
        </w:rPr>
        <w:t>元/天；</w:t>
      </w:r>
    </w:p>
    <w:p w14:paraId="26D966D1">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2.对</w:t>
      </w:r>
      <w:r>
        <w:rPr>
          <w:rFonts w:hint="eastAsia"/>
          <w:color w:val="auto"/>
          <w:sz w:val="24"/>
          <w:szCs w:val="24"/>
          <w:highlight w:val="none"/>
          <w:u w:val="single"/>
        </w:rPr>
        <w:t xml:space="preserve">    /    </w:t>
      </w:r>
      <w:r>
        <w:rPr>
          <w:rFonts w:hint="eastAsia"/>
          <w:color w:val="auto"/>
          <w:sz w:val="24"/>
          <w:szCs w:val="24"/>
          <w:highlight w:val="none"/>
        </w:rPr>
        <w:t>服务按照</w:t>
      </w:r>
      <w:r>
        <w:rPr>
          <w:rFonts w:hint="eastAsia"/>
          <w:color w:val="auto"/>
          <w:sz w:val="24"/>
          <w:szCs w:val="24"/>
          <w:highlight w:val="none"/>
        </w:rPr>
        <w:fldChar w:fldCharType="begin"/>
      </w:r>
      <w:r>
        <w:rPr>
          <w:rFonts w:hint="eastAsia"/>
          <w:color w:val="auto"/>
          <w:sz w:val="24"/>
          <w:szCs w:val="24"/>
          <w:highlight w:val="none"/>
        </w:rPr>
        <w:instrText xml:space="preserve">REF _Ref522024485 \r \h</w:instrText>
      </w:r>
      <w:r>
        <w:rPr>
          <w:rFonts w:hint="eastAsia"/>
          <w:color w:val="auto"/>
          <w:sz w:val="24"/>
          <w:szCs w:val="24"/>
          <w:highlight w:val="none"/>
        </w:rPr>
        <w:fldChar w:fldCharType="separate"/>
      </w:r>
      <w:r>
        <w:rPr>
          <w:rFonts w:hint="eastAsia"/>
          <w:color w:val="auto"/>
          <w:sz w:val="24"/>
          <w:szCs w:val="24"/>
          <w:highlight w:val="none"/>
        </w:rPr>
        <w:t>附件2</w:t>
      </w:r>
      <w:r>
        <w:rPr>
          <w:rFonts w:hint="eastAsia"/>
          <w:color w:val="auto"/>
          <w:sz w:val="24"/>
          <w:szCs w:val="24"/>
          <w:highlight w:val="none"/>
        </w:rPr>
        <w:fldChar w:fldCharType="end"/>
      </w:r>
      <w:r>
        <w:rPr>
          <w:rFonts w:hint="eastAsia"/>
          <w:color w:val="auto"/>
          <w:sz w:val="24"/>
          <w:szCs w:val="24"/>
          <w:highlight w:val="none"/>
        </w:rPr>
        <w:t>（</w:t>
      </w:r>
      <w:r>
        <w:rPr>
          <w:rFonts w:hint="eastAsia"/>
          <w:color w:val="auto"/>
          <w:sz w:val="24"/>
          <w:szCs w:val="24"/>
          <w:highlight w:val="none"/>
        </w:rPr>
        <w:fldChar w:fldCharType="begin"/>
      </w:r>
      <w:r>
        <w:rPr>
          <w:rFonts w:hint="eastAsia"/>
          <w:color w:val="auto"/>
          <w:sz w:val="24"/>
          <w:szCs w:val="24"/>
          <w:highlight w:val="none"/>
        </w:rPr>
        <w:instrText xml:space="preserve"> REF _Ref522024485 \h </w:instrText>
      </w:r>
      <w:r>
        <w:rPr>
          <w:rFonts w:hint="eastAsia"/>
          <w:color w:val="auto"/>
          <w:sz w:val="24"/>
          <w:szCs w:val="24"/>
          <w:highlight w:val="none"/>
        </w:rPr>
        <w:fldChar w:fldCharType="separate"/>
      </w:r>
      <w:r>
        <w:rPr>
          <w:rFonts w:hint="eastAsia"/>
          <w:color w:val="auto"/>
          <w:sz w:val="24"/>
          <w:szCs w:val="24"/>
          <w:highlight w:val="none"/>
        </w:rPr>
        <w:t>服务费用和支付</w:t>
      </w:r>
      <w:r>
        <w:rPr>
          <w:rFonts w:hint="eastAsia"/>
          <w:color w:val="auto"/>
          <w:sz w:val="24"/>
          <w:szCs w:val="24"/>
          <w:highlight w:val="none"/>
        </w:rPr>
        <w:fldChar w:fldCharType="end"/>
      </w:r>
      <w:r>
        <w:rPr>
          <w:rFonts w:hint="eastAsia"/>
          <w:color w:val="auto"/>
          <w:sz w:val="24"/>
          <w:szCs w:val="24"/>
          <w:highlight w:val="none"/>
        </w:rPr>
        <w:t>）约定的相同或类似项目的取费标准确定；</w:t>
      </w:r>
    </w:p>
    <w:p w14:paraId="61DC8588">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3.双方约定的其他标准:</w:t>
      </w:r>
    </w:p>
    <w:p w14:paraId="178B2446">
      <w:pPr>
        <w:pageBreakBefore w:val="0"/>
        <w:kinsoku/>
        <w:wordWrap/>
        <w:overflowPunct/>
        <w:topLinePunct w:val="0"/>
        <w:bidi w:val="0"/>
        <w:snapToGrid/>
        <w:spacing w:line="360" w:lineRule="auto"/>
        <w:textAlignment w:val="auto"/>
        <w:rPr>
          <w:rFonts w:hint="eastAsia" w:cs="宋体"/>
          <w:color w:val="auto"/>
          <w:sz w:val="24"/>
          <w:szCs w:val="24"/>
          <w:highlight w:val="none"/>
          <w:u w:val="single"/>
        </w:rPr>
      </w:pPr>
      <w:r>
        <w:rPr>
          <w:rFonts w:hint="eastAsia" w:cs="宋体"/>
          <w:color w:val="auto"/>
          <w:kern w:val="1"/>
          <w:sz w:val="24"/>
          <w:szCs w:val="24"/>
          <w:highlight w:val="none"/>
          <w:u w:val="single"/>
        </w:rPr>
        <w:t>（1）</w:t>
      </w:r>
      <w:bookmarkStart w:id="310" w:name="_Hlk513568573"/>
      <w:r>
        <w:rPr>
          <w:rFonts w:hint="eastAsia" w:cs="宋体"/>
          <w:color w:val="auto"/>
          <w:kern w:val="1"/>
          <w:sz w:val="24"/>
          <w:szCs w:val="24"/>
          <w:highlight w:val="none"/>
          <w:u w:val="single"/>
        </w:rPr>
        <w:t>除不可抗力外，因非受托人原因导致本项目项目管理服务期限延长时，项目管理服务费应分别相应增加，增加的服务费另行协商。期限延长时间是指受托方实际服务时间超出施工合同中施工工期的时间</w:t>
      </w:r>
      <w:r>
        <w:rPr>
          <w:rFonts w:hint="eastAsia" w:cs="宋体"/>
          <w:color w:val="auto"/>
          <w:sz w:val="24"/>
          <w:szCs w:val="24"/>
          <w:highlight w:val="none"/>
          <w:u w:val="single"/>
        </w:rPr>
        <w:t>。</w:t>
      </w:r>
      <w:bookmarkEnd w:id="310"/>
    </w:p>
    <w:p w14:paraId="4F23D17C">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s="宋体"/>
          <w:color w:val="auto"/>
          <w:sz w:val="24"/>
          <w:szCs w:val="24"/>
          <w:highlight w:val="none"/>
          <w:u w:val="single"/>
        </w:rPr>
        <w:t>（2）通用条款7.1条发生变更情形除前款第（1）约定可调整服务费用外，其他不因</w:t>
      </w:r>
      <w:r>
        <w:rPr>
          <w:rFonts w:hint="eastAsia"/>
          <w:color w:val="auto"/>
          <w:sz w:val="24"/>
          <w:szCs w:val="24"/>
          <w:highlight w:val="none"/>
          <w:u w:val="single"/>
        </w:rPr>
        <w:t>项目的内容、规模、功能、条件、投资额发生变化而调整</w:t>
      </w:r>
      <w:r>
        <w:rPr>
          <w:rFonts w:hint="eastAsia" w:cs="宋体"/>
          <w:color w:val="auto"/>
          <w:sz w:val="24"/>
          <w:szCs w:val="24"/>
          <w:highlight w:val="none"/>
          <w:u w:val="single"/>
        </w:rPr>
        <w:t>服务费用。</w:t>
      </w:r>
    </w:p>
    <w:p w14:paraId="58A8BF76">
      <w:pPr>
        <w:pageBreakBefore w:val="0"/>
        <w:kinsoku/>
        <w:wordWrap/>
        <w:overflowPunct/>
        <w:topLinePunct w:val="0"/>
        <w:bidi w:val="0"/>
        <w:snapToGrid/>
        <w:spacing w:line="360" w:lineRule="auto"/>
        <w:textAlignment w:val="auto"/>
        <w:rPr>
          <w:rFonts w:hint="eastAsia"/>
          <w:color w:val="auto"/>
          <w:sz w:val="24"/>
          <w:szCs w:val="24"/>
          <w:highlight w:val="none"/>
        </w:rPr>
      </w:pPr>
      <w:r>
        <w:rPr>
          <w:rFonts w:hint="eastAsia"/>
          <w:color w:val="auto"/>
          <w:sz w:val="24"/>
          <w:szCs w:val="24"/>
          <w:highlight w:val="none"/>
        </w:rPr>
        <w:t>4.对于签约服务费用以外发生的费用，双方约定的计算标准</w:t>
      </w:r>
      <w:r>
        <w:rPr>
          <w:rFonts w:hint="eastAsia"/>
          <w:color w:val="auto"/>
          <w:sz w:val="24"/>
          <w:szCs w:val="24"/>
          <w:highlight w:val="none"/>
          <w:u w:val="single"/>
        </w:rPr>
        <w:t xml:space="preserve">    /    。</w:t>
      </w:r>
    </w:p>
    <w:p w14:paraId="4D960588">
      <w:pPr>
        <w:pStyle w:val="77"/>
        <w:pageBreakBefore w:val="0"/>
        <w:numPr>
          <w:ilvl w:val="0"/>
          <w:numId w:val="0"/>
        </w:numPr>
        <w:kinsoku/>
        <w:wordWrap/>
        <w:overflowPunct/>
        <w:topLinePunct w:val="0"/>
        <w:bidi w:val="0"/>
        <w:snapToGrid/>
        <w:spacing w:beforeLines="0" w:after="0" w:afterLines="0" w:line="360" w:lineRule="auto"/>
        <w:ind w:left="400" w:firstLine="0"/>
        <w:textAlignment w:val="auto"/>
        <w:rPr>
          <w:rFonts w:hint="eastAsia"/>
          <w:color w:val="auto"/>
          <w:sz w:val="24"/>
          <w:szCs w:val="24"/>
          <w:highlight w:val="none"/>
        </w:rPr>
      </w:pPr>
      <w:bookmarkStart w:id="311" w:name="_Toc521267479"/>
      <w:r>
        <w:rPr>
          <w:rFonts w:hint="eastAsia"/>
          <w:color w:val="auto"/>
          <w:sz w:val="24"/>
          <w:szCs w:val="24"/>
          <w:highlight w:val="none"/>
        </w:rPr>
        <w:t>三、服务费用的支付</w:t>
      </w:r>
      <w:bookmarkEnd w:id="311"/>
    </w:p>
    <w:p w14:paraId="6373E2A0">
      <w:pPr>
        <w:pageBreakBefore w:val="0"/>
        <w:kinsoku/>
        <w:wordWrap/>
        <w:overflowPunct/>
        <w:topLinePunct w:val="0"/>
        <w:bidi w:val="0"/>
        <w:snapToGrid/>
        <w:spacing w:line="360" w:lineRule="auto"/>
        <w:ind w:firstLine="477" w:firstLineChars="199"/>
        <w:textAlignment w:val="auto"/>
        <w:rPr>
          <w:rFonts w:hint="eastAsia"/>
          <w:color w:val="auto"/>
          <w:sz w:val="24"/>
          <w:szCs w:val="24"/>
          <w:highlight w:val="none"/>
        </w:rPr>
      </w:pPr>
      <w:r>
        <w:rPr>
          <w:rFonts w:hint="eastAsia"/>
          <w:color w:val="auto"/>
          <w:sz w:val="24"/>
          <w:szCs w:val="24"/>
          <w:highlight w:val="none"/>
        </w:rPr>
        <w:t>双方同意按以下第</w:t>
      </w:r>
      <w:r>
        <w:rPr>
          <w:rFonts w:hint="eastAsia"/>
          <w:color w:val="auto"/>
          <w:sz w:val="24"/>
          <w:szCs w:val="24"/>
          <w:highlight w:val="none"/>
          <w:u w:val="single"/>
        </w:rPr>
        <w:t xml:space="preserve">  2  </w:t>
      </w:r>
      <w:r>
        <w:rPr>
          <w:rFonts w:hint="eastAsia"/>
          <w:color w:val="auto"/>
          <w:sz w:val="24"/>
          <w:szCs w:val="24"/>
          <w:highlight w:val="none"/>
        </w:rPr>
        <w:t>种方式支付服务费用。</w:t>
      </w:r>
    </w:p>
    <w:p w14:paraId="17CC3624">
      <w:pPr>
        <w:pageBreakBefore w:val="0"/>
        <w:kinsoku/>
        <w:wordWrap/>
        <w:overflowPunct/>
        <w:topLinePunct w:val="0"/>
        <w:bidi w:val="0"/>
        <w:snapToGrid/>
        <w:spacing w:line="360" w:lineRule="auto"/>
        <w:ind w:firstLine="477" w:firstLineChars="199"/>
        <w:textAlignment w:val="auto"/>
        <w:rPr>
          <w:rFonts w:hint="eastAsia"/>
          <w:color w:val="auto"/>
          <w:sz w:val="24"/>
          <w:szCs w:val="24"/>
          <w:highlight w:val="none"/>
        </w:rPr>
      </w:pPr>
      <w:r>
        <w:rPr>
          <w:rFonts w:hint="eastAsia"/>
          <w:color w:val="auto"/>
          <w:sz w:val="24"/>
          <w:szCs w:val="24"/>
          <w:highlight w:val="none"/>
        </w:rPr>
        <w:t>1.双方约定按照以下方式支付服务费用：</w:t>
      </w:r>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409"/>
        <w:gridCol w:w="2127"/>
        <w:gridCol w:w="2693"/>
      </w:tblGrid>
      <w:tr w14:paraId="4F4D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ED58D">
            <w:pPr>
              <w:pStyle w:val="15"/>
              <w:pageBreakBefore w:val="0"/>
              <w:kinsoku/>
              <w:wordWrap/>
              <w:overflowPunct/>
              <w:topLinePunct w:val="0"/>
              <w:bidi w:val="0"/>
              <w:snapToGrid/>
              <w:spacing w:line="240" w:lineRule="auto"/>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支付次序</w:t>
            </w: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098DF1">
            <w:pPr>
              <w:pStyle w:val="15"/>
              <w:pageBreakBefore w:val="0"/>
              <w:kinsoku/>
              <w:wordWrap/>
              <w:overflowPunct/>
              <w:topLinePunct w:val="0"/>
              <w:bidi w:val="0"/>
              <w:snapToGrid/>
              <w:spacing w:line="240" w:lineRule="auto"/>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支付时间</w:t>
            </w:r>
          </w:p>
        </w:tc>
        <w:tc>
          <w:tcPr>
            <w:tcW w:w="2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0EFB75">
            <w:pPr>
              <w:pStyle w:val="15"/>
              <w:pageBreakBefore w:val="0"/>
              <w:kinsoku/>
              <w:wordWrap/>
              <w:overflowPunct/>
              <w:topLinePunct w:val="0"/>
              <w:bidi w:val="0"/>
              <w:snapToGrid/>
              <w:spacing w:line="240" w:lineRule="auto"/>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支付额</w:t>
            </w: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63ED0">
            <w:pPr>
              <w:pStyle w:val="15"/>
              <w:pageBreakBefore w:val="0"/>
              <w:kinsoku/>
              <w:wordWrap/>
              <w:overflowPunct/>
              <w:topLinePunct w:val="0"/>
              <w:bidi w:val="0"/>
              <w:snapToGrid/>
              <w:spacing w:line="240" w:lineRule="auto"/>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备注</w:t>
            </w:r>
          </w:p>
        </w:tc>
      </w:tr>
      <w:tr w14:paraId="78C6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BE434">
            <w:pPr>
              <w:pStyle w:val="15"/>
              <w:pageBreakBefore w:val="0"/>
              <w:kinsoku/>
              <w:wordWrap/>
              <w:overflowPunct/>
              <w:topLinePunct w:val="0"/>
              <w:bidi w:val="0"/>
              <w:snapToGrid/>
              <w:spacing w:line="240" w:lineRule="auto"/>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第一次支付</w:t>
            </w: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87340A7">
            <w:pPr>
              <w:pStyle w:val="15"/>
              <w:pageBreakBefore w:val="0"/>
              <w:widowControl w:val="0"/>
              <w:kinsoku/>
              <w:wordWrap/>
              <w:overflowPunct/>
              <w:topLinePunct w:val="0"/>
              <w:bidi w:val="0"/>
              <w:snapToGrid/>
              <w:spacing w:line="240" w:lineRule="auto"/>
              <w:jc w:val="center"/>
              <w:textAlignment w:val="auto"/>
              <w:rPr>
                <w:rFonts w:hint="eastAsia"/>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l2br w:val="nil"/>
              <w:tr2bl w:val="nil"/>
            </w:tcBorders>
            <w:noWrap w:val="0"/>
            <w:vAlign w:val="bottom"/>
          </w:tcPr>
          <w:p w14:paraId="5428D154">
            <w:pPr>
              <w:pStyle w:val="15"/>
              <w:pageBreakBefore w:val="0"/>
              <w:widowControl w:val="0"/>
              <w:kinsoku/>
              <w:wordWrap/>
              <w:overflowPunct/>
              <w:topLinePunct w:val="0"/>
              <w:bidi w:val="0"/>
              <w:snapToGrid/>
              <w:spacing w:line="240" w:lineRule="auto"/>
              <w:jc w:val="center"/>
              <w:textAlignment w:val="auto"/>
              <w:rPr>
                <w:rFonts w:hint="eastAsia"/>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8F7E885">
            <w:pPr>
              <w:pStyle w:val="15"/>
              <w:pageBreakBefore w:val="0"/>
              <w:widowControl w:val="0"/>
              <w:kinsoku/>
              <w:wordWrap/>
              <w:overflowPunct/>
              <w:topLinePunct w:val="0"/>
              <w:bidi w:val="0"/>
              <w:snapToGrid/>
              <w:spacing w:line="240" w:lineRule="auto"/>
              <w:jc w:val="center"/>
              <w:textAlignment w:val="auto"/>
              <w:rPr>
                <w:rFonts w:hint="eastAsia"/>
                <w:color w:val="auto"/>
                <w:sz w:val="24"/>
                <w:szCs w:val="24"/>
                <w:highlight w:val="none"/>
              </w:rPr>
            </w:pPr>
          </w:p>
        </w:tc>
      </w:tr>
      <w:tr w14:paraId="1DB5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E5A8E">
            <w:pPr>
              <w:pStyle w:val="15"/>
              <w:pageBreakBefore w:val="0"/>
              <w:kinsoku/>
              <w:wordWrap/>
              <w:overflowPunct/>
              <w:topLinePunct w:val="0"/>
              <w:bidi w:val="0"/>
              <w:snapToGrid/>
              <w:spacing w:line="240" w:lineRule="auto"/>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第二次支付</w:t>
            </w: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bottom"/>
          </w:tcPr>
          <w:p w14:paraId="18874651">
            <w:pPr>
              <w:pStyle w:val="15"/>
              <w:pageBreakBefore w:val="0"/>
              <w:widowControl w:val="0"/>
              <w:kinsoku/>
              <w:wordWrap/>
              <w:overflowPunct/>
              <w:topLinePunct w:val="0"/>
              <w:bidi w:val="0"/>
              <w:snapToGrid/>
              <w:spacing w:line="240" w:lineRule="auto"/>
              <w:jc w:val="center"/>
              <w:textAlignment w:val="auto"/>
              <w:rPr>
                <w:rFonts w:hint="eastAsia"/>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l2br w:val="nil"/>
              <w:tr2bl w:val="nil"/>
            </w:tcBorders>
            <w:noWrap w:val="0"/>
            <w:vAlign w:val="bottom"/>
          </w:tcPr>
          <w:p w14:paraId="3405A608">
            <w:pPr>
              <w:pStyle w:val="15"/>
              <w:pageBreakBefore w:val="0"/>
              <w:widowControl w:val="0"/>
              <w:kinsoku/>
              <w:wordWrap/>
              <w:overflowPunct/>
              <w:topLinePunct w:val="0"/>
              <w:bidi w:val="0"/>
              <w:snapToGrid/>
              <w:spacing w:line="240" w:lineRule="auto"/>
              <w:jc w:val="center"/>
              <w:textAlignment w:val="auto"/>
              <w:rPr>
                <w:rFonts w:hint="eastAsia"/>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1ABF25D">
            <w:pPr>
              <w:pStyle w:val="15"/>
              <w:pageBreakBefore w:val="0"/>
              <w:widowControl w:val="0"/>
              <w:kinsoku/>
              <w:wordWrap/>
              <w:overflowPunct/>
              <w:topLinePunct w:val="0"/>
              <w:bidi w:val="0"/>
              <w:snapToGrid/>
              <w:spacing w:line="240" w:lineRule="auto"/>
              <w:jc w:val="center"/>
              <w:textAlignment w:val="auto"/>
              <w:rPr>
                <w:rFonts w:hint="eastAsia"/>
                <w:color w:val="auto"/>
                <w:sz w:val="24"/>
                <w:szCs w:val="24"/>
                <w:highlight w:val="none"/>
              </w:rPr>
            </w:pPr>
          </w:p>
        </w:tc>
      </w:tr>
      <w:tr w14:paraId="0503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A4236B">
            <w:pPr>
              <w:pStyle w:val="15"/>
              <w:pageBreakBefore w:val="0"/>
              <w:kinsoku/>
              <w:wordWrap/>
              <w:overflowPunct/>
              <w:topLinePunct w:val="0"/>
              <w:bidi w:val="0"/>
              <w:snapToGrid/>
              <w:spacing w:line="240" w:lineRule="auto"/>
              <w:jc w:val="center"/>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最终支付</w:t>
            </w:r>
          </w:p>
        </w:tc>
        <w:tc>
          <w:tcPr>
            <w:tcW w:w="2409" w:type="dxa"/>
            <w:tcBorders>
              <w:top w:val="single" w:color="auto" w:sz="4" w:space="0"/>
              <w:left w:val="single" w:color="auto" w:sz="4" w:space="0"/>
              <w:bottom w:val="single" w:color="auto" w:sz="4" w:space="0"/>
              <w:right w:val="single" w:color="auto" w:sz="4" w:space="0"/>
              <w:tl2br w:val="nil"/>
              <w:tr2bl w:val="nil"/>
            </w:tcBorders>
            <w:noWrap w:val="0"/>
            <w:vAlign w:val="bottom"/>
          </w:tcPr>
          <w:p w14:paraId="0A8425DE">
            <w:pPr>
              <w:pStyle w:val="15"/>
              <w:pageBreakBefore w:val="0"/>
              <w:widowControl w:val="0"/>
              <w:kinsoku/>
              <w:wordWrap/>
              <w:overflowPunct/>
              <w:topLinePunct w:val="0"/>
              <w:bidi w:val="0"/>
              <w:snapToGrid/>
              <w:spacing w:line="240" w:lineRule="auto"/>
              <w:jc w:val="center"/>
              <w:textAlignment w:val="auto"/>
              <w:rPr>
                <w:rFonts w:hint="eastAsia"/>
                <w:color w:val="auto"/>
                <w:sz w:val="24"/>
                <w:szCs w:val="24"/>
                <w:highlight w:val="none"/>
              </w:rPr>
            </w:pPr>
          </w:p>
        </w:tc>
        <w:tc>
          <w:tcPr>
            <w:tcW w:w="2127" w:type="dxa"/>
            <w:tcBorders>
              <w:top w:val="single" w:color="auto" w:sz="4" w:space="0"/>
              <w:left w:val="single" w:color="auto" w:sz="4" w:space="0"/>
              <w:bottom w:val="single" w:color="auto" w:sz="4" w:space="0"/>
              <w:right w:val="single" w:color="auto" w:sz="4" w:space="0"/>
              <w:tl2br w:val="nil"/>
              <w:tr2bl w:val="nil"/>
            </w:tcBorders>
            <w:noWrap w:val="0"/>
            <w:vAlign w:val="bottom"/>
          </w:tcPr>
          <w:p w14:paraId="2343B9A2">
            <w:pPr>
              <w:pStyle w:val="15"/>
              <w:pageBreakBefore w:val="0"/>
              <w:widowControl w:val="0"/>
              <w:kinsoku/>
              <w:wordWrap/>
              <w:overflowPunct/>
              <w:topLinePunct w:val="0"/>
              <w:bidi w:val="0"/>
              <w:snapToGrid/>
              <w:spacing w:line="240" w:lineRule="auto"/>
              <w:jc w:val="center"/>
              <w:textAlignment w:val="auto"/>
              <w:rPr>
                <w:rFonts w:hint="eastAsia"/>
                <w:color w:val="auto"/>
                <w:sz w:val="24"/>
                <w:szCs w:val="24"/>
                <w:highlight w:val="none"/>
              </w:rPr>
            </w:pPr>
          </w:p>
        </w:tc>
        <w:tc>
          <w:tcPr>
            <w:tcW w:w="2693" w:type="dxa"/>
            <w:tcBorders>
              <w:top w:val="single" w:color="auto" w:sz="4" w:space="0"/>
              <w:left w:val="single" w:color="auto" w:sz="4" w:space="0"/>
              <w:bottom w:val="single" w:color="auto" w:sz="4" w:space="0"/>
              <w:right w:val="single" w:color="auto" w:sz="4" w:space="0"/>
              <w:tl2br w:val="nil"/>
              <w:tr2bl w:val="nil"/>
            </w:tcBorders>
            <w:noWrap w:val="0"/>
            <w:vAlign w:val="bottom"/>
          </w:tcPr>
          <w:p w14:paraId="6F7637A7">
            <w:pPr>
              <w:pStyle w:val="15"/>
              <w:pageBreakBefore w:val="0"/>
              <w:widowControl w:val="0"/>
              <w:kinsoku/>
              <w:wordWrap/>
              <w:overflowPunct/>
              <w:topLinePunct w:val="0"/>
              <w:bidi w:val="0"/>
              <w:snapToGrid/>
              <w:spacing w:line="240" w:lineRule="auto"/>
              <w:jc w:val="left"/>
              <w:textAlignment w:val="auto"/>
              <w:rPr>
                <w:rFonts w:hint="eastAsia"/>
                <w:color w:val="auto"/>
                <w:sz w:val="24"/>
                <w:szCs w:val="24"/>
                <w:highlight w:val="none"/>
              </w:rPr>
            </w:pPr>
          </w:p>
        </w:tc>
      </w:tr>
    </w:tbl>
    <w:p w14:paraId="6DFE0C19">
      <w:pPr>
        <w:pageBreakBefore w:val="0"/>
        <w:widowControl/>
        <w:kinsoku/>
        <w:wordWrap/>
        <w:overflowPunct/>
        <w:topLinePunct w:val="0"/>
        <w:bidi w:val="0"/>
        <w:adjustRightInd/>
        <w:snapToGrid/>
        <w:spacing w:line="360" w:lineRule="auto"/>
        <w:ind w:firstLine="0" w:firstLineChars="0"/>
        <w:jc w:val="left"/>
        <w:textAlignment w:val="auto"/>
        <w:rPr>
          <w:rFonts w:hint="eastAsia"/>
          <w:color w:val="auto"/>
          <w:sz w:val="24"/>
          <w:szCs w:val="24"/>
          <w:highlight w:val="none"/>
        </w:rPr>
      </w:pPr>
      <w:bookmarkStart w:id="312" w:name="_Ref521078406"/>
      <w:r>
        <w:rPr>
          <w:rFonts w:hint="eastAsia"/>
          <w:color w:val="auto"/>
          <w:sz w:val="24"/>
          <w:szCs w:val="24"/>
          <w:highlight w:val="none"/>
        </w:rPr>
        <w:t xml:space="preserve">    2. 双方约定的支付方式:</w:t>
      </w:r>
    </w:p>
    <w:p w14:paraId="4C82EB00">
      <w:pPr>
        <w:pageBreakBefore w:val="0"/>
        <w:kinsoku/>
        <w:wordWrap/>
        <w:overflowPunct/>
        <w:topLinePunct w:val="0"/>
        <w:bidi w:val="0"/>
        <w:snapToGrid/>
        <w:spacing w:line="360" w:lineRule="auto"/>
        <w:textAlignment w:val="auto"/>
        <w:rPr>
          <w:rFonts w:hint="eastAsia" w:cs="宋体"/>
          <w:color w:val="auto"/>
          <w:sz w:val="24"/>
          <w:szCs w:val="24"/>
          <w:highlight w:val="none"/>
        </w:rPr>
      </w:pPr>
      <w:r>
        <w:rPr>
          <w:rFonts w:hint="eastAsia" w:cs="宋体"/>
          <w:color w:val="auto"/>
          <w:sz w:val="24"/>
          <w:szCs w:val="24"/>
          <w:highlight w:val="none"/>
        </w:rPr>
        <w:t>咨询</w:t>
      </w:r>
      <w:r>
        <w:rPr>
          <w:rFonts w:hint="eastAsia" w:cs="宋体"/>
          <w:color w:val="auto"/>
          <w:sz w:val="24"/>
          <w:szCs w:val="24"/>
          <w:highlight w:val="none"/>
          <w:lang w:val="en-US" w:eastAsia="zh-CN"/>
        </w:rPr>
        <w:t>服务费</w:t>
      </w:r>
      <w:r>
        <w:rPr>
          <w:rFonts w:hint="eastAsia" w:cs="宋体"/>
          <w:color w:val="auto"/>
          <w:sz w:val="24"/>
          <w:szCs w:val="24"/>
          <w:highlight w:val="none"/>
        </w:rPr>
        <w:t>支付方式</w:t>
      </w:r>
    </w:p>
    <w:p w14:paraId="11FB1220">
      <w:pPr>
        <w:pageBreakBefore w:val="0"/>
        <w:kinsoku/>
        <w:wordWrap/>
        <w:overflowPunct/>
        <w:topLinePunct w:val="0"/>
        <w:bidi w:val="0"/>
        <w:snapToGrid/>
        <w:spacing w:line="360" w:lineRule="auto"/>
        <w:textAlignment w:val="auto"/>
        <w:rPr>
          <w:rFonts w:hint="eastAsia" w:cs="宋体"/>
          <w:color w:val="auto"/>
          <w:sz w:val="24"/>
          <w:szCs w:val="24"/>
          <w:highlight w:val="none"/>
        </w:rPr>
      </w:pPr>
      <w:r>
        <w:rPr>
          <w:rFonts w:hint="eastAsia" w:cs="宋体"/>
          <w:color w:val="auto"/>
          <w:sz w:val="24"/>
          <w:szCs w:val="24"/>
          <w:highlight w:val="none"/>
        </w:rPr>
        <w:t>本合同签订后</w:t>
      </w:r>
      <w:r>
        <w:rPr>
          <w:rFonts w:hint="eastAsia" w:cs="宋体"/>
          <w:color w:val="auto"/>
          <w:sz w:val="24"/>
          <w:szCs w:val="24"/>
          <w:highlight w:val="none"/>
          <w:lang w:val="en-US" w:eastAsia="zh-CN"/>
        </w:rPr>
        <w:t>7</w:t>
      </w:r>
      <w:r>
        <w:rPr>
          <w:rFonts w:hint="eastAsia" w:cs="宋体"/>
          <w:color w:val="auto"/>
          <w:sz w:val="24"/>
          <w:szCs w:val="24"/>
          <w:highlight w:val="none"/>
        </w:rPr>
        <w:t>个工作日内，委托人向受托人支付本服务合同价的30%做为首付款；</w:t>
      </w:r>
    </w:p>
    <w:p w14:paraId="6AACFF17">
      <w:pPr>
        <w:pageBreakBefore w:val="0"/>
        <w:kinsoku/>
        <w:wordWrap/>
        <w:overflowPunct/>
        <w:topLinePunct w:val="0"/>
        <w:bidi w:val="0"/>
        <w:snapToGrid/>
        <w:spacing w:line="360" w:lineRule="auto"/>
        <w:textAlignment w:val="auto"/>
        <w:rPr>
          <w:rFonts w:hint="eastAsia" w:eastAsia="宋体" w:cs="Times New Roman"/>
          <w:color w:val="auto"/>
          <w:sz w:val="24"/>
          <w:szCs w:val="24"/>
          <w:highlight w:val="none"/>
        </w:rPr>
      </w:pPr>
      <w:r>
        <w:rPr>
          <w:rFonts w:hint="eastAsia" w:eastAsia="宋体" w:cs="Times New Roman"/>
          <w:color w:val="auto"/>
          <w:sz w:val="24"/>
          <w:szCs w:val="24"/>
          <w:highlight w:val="none"/>
        </w:rPr>
        <w:t>完成项目预算审核后，可申请支付本服务合同价的</w:t>
      </w:r>
      <w:r>
        <w:rPr>
          <w:rFonts w:hint="eastAsia" w:cs="Times New Roman"/>
          <w:color w:val="auto"/>
          <w:sz w:val="24"/>
          <w:szCs w:val="24"/>
          <w:highlight w:val="none"/>
          <w:lang w:val="en-US" w:eastAsia="zh-CN"/>
        </w:rPr>
        <w:t>2</w:t>
      </w:r>
      <w:r>
        <w:rPr>
          <w:rFonts w:hint="eastAsia" w:eastAsia="宋体" w:cs="Times New Roman"/>
          <w:color w:val="auto"/>
          <w:sz w:val="24"/>
          <w:szCs w:val="24"/>
          <w:highlight w:val="none"/>
        </w:rPr>
        <w:t>0%（累计</w:t>
      </w:r>
      <w:r>
        <w:rPr>
          <w:rFonts w:hint="eastAsia" w:eastAsia="宋体" w:cs="Times New Roman"/>
          <w:color w:val="auto"/>
          <w:sz w:val="24"/>
          <w:szCs w:val="24"/>
          <w:highlight w:val="none"/>
          <w:lang w:val="en-US" w:eastAsia="zh-CN"/>
        </w:rPr>
        <w:t>50</w:t>
      </w:r>
      <w:r>
        <w:rPr>
          <w:rFonts w:hint="eastAsia" w:eastAsia="宋体" w:cs="Times New Roman"/>
          <w:color w:val="auto"/>
          <w:sz w:val="24"/>
          <w:szCs w:val="24"/>
          <w:highlight w:val="none"/>
        </w:rPr>
        <w:t>%）；</w:t>
      </w:r>
    </w:p>
    <w:p w14:paraId="4828CDE1">
      <w:pPr>
        <w:pageBreakBefore w:val="0"/>
        <w:kinsoku/>
        <w:wordWrap/>
        <w:overflowPunct/>
        <w:topLinePunct w:val="0"/>
        <w:bidi w:val="0"/>
        <w:snapToGrid/>
        <w:spacing w:line="360" w:lineRule="auto"/>
        <w:textAlignment w:val="auto"/>
        <w:rPr>
          <w:rFonts w:hint="eastAsia" w:eastAsia="宋体" w:cs="Times New Roman"/>
          <w:color w:val="auto"/>
          <w:sz w:val="24"/>
          <w:szCs w:val="24"/>
          <w:highlight w:val="none"/>
        </w:rPr>
      </w:pPr>
      <w:r>
        <w:rPr>
          <w:rFonts w:hint="eastAsia" w:eastAsia="宋体" w:cs="Times New Roman"/>
          <w:color w:val="auto"/>
          <w:sz w:val="24"/>
          <w:szCs w:val="24"/>
          <w:highlight w:val="none"/>
        </w:rPr>
        <w:t>施工进度完成50%后，可申请支付本服务合同价的10%（累计</w:t>
      </w:r>
      <w:r>
        <w:rPr>
          <w:rFonts w:hint="eastAsia" w:eastAsia="宋体" w:cs="Times New Roman"/>
          <w:color w:val="auto"/>
          <w:sz w:val="24"/>
          <w:szCs w:val="24"/>
          <w:highlight w:val="none"/>
          <w:lang w:val="en-US" w:eastAsia="zh-CN"/>
        </w:rPr>
        <w:t>6</w:t>
      </w:r>
      <w:r>
        <w:rPr>
          <w:rFonts w:hint="eastAsia" w:eastAsia="宋体" w:cs="Times New Roman"/>
          <w:color w:val="auto"/>
          <w:sz w:val="24"/>
          <w:szCs w:val="24"/>
          <w:highlight w:val="none"/>
        </w:rPr>
        <w:t>0%）；</w:t>
      </w:r>
    </w:p>
    <w:p w14:paraId="6A50EF72">
      <w:pPr>
        <w:pageBreakBefore w:val="0"/>
        <w:kinsoku/>
        <w:wordWrap/>
        <w:overflowPunct/>
        <w:topLinePunct w:val="0"/>
        <w:bidi w:val="0"/>
        <w:snapToGrid/>
        <w:spacing w:line="360" w:lineRule="auto"/>
        <w:textAlignment w:val="auto"/>
        <w:rPr>
          <w:rFonts w:hint="eastAsia" w:eastAsia="宋体" w:cs="Times New Roman"/>
          <w:color w:val="auto"/>
          <w:sz w:val="24"/>
          <w:szCs w:val="24"/>
          <w:highlight w:val="none"/>
        </w:rPr>
      </w:pPr>
      <w:r>
        <w:rPr>
          <w:rFonts w:hint="eastAsia" w:eastAsia="宋体" w:cs="Times New Roman"/>
          <w:color w:val="auto"/>
          <w:sz w:val="24"/>
          <w:szCs w:val="24"/>
          <w:highlight w:val="none"/>
        </w:rPr>
        <w:t>施工进度完成80%后，可申请支付本服务合同价的10%（累计</w:t>
      </w:r>
      <w:r>
        <w:rPr>
          <w:rFonts w:hint="eastAsia" w:eastAsia="宋体" w:cs="Times New Roman"/>
          <w:color w:val="auto"/>
          <w:sz w:val="24"/>
          <w:szCs w:val="24"/>
          <w:highlight w:val="none"/>
          <w:lang w:val="en-US" w:eastAsia="zh-CN"/>
        </w:rPr>
        <w:t>7</w:t>
      </w:r>
      <w:r>
        <w:rPr>
          <w:rFonts w:hint="eastAsia" w:eastAsia="宋体" w:cs="Times New Roman"/>
          <w:color w:val="auto"/>
          <w:sz w:val="24"/>
          <w:szCs w:val="24"/>
          <w:highlight w:val="none"/>
        </w:rPr>
        <w:t>0%）；</w:t>
      </w:r>
    </w:p>
    <w:p w14:paraId="62D5C7A9">
      <w:pPr>
        <w:pageBreakBefore w:val="0"/>
        <w:kinsoku/>
        <w:wordWrap/>
        <w:overflowPunct/>
        <w:topLinePunct w:val="0"/>
        <w:bidi w:val="0"/>
        <w:snapToGrid/>
        <w:spacing w:line="360" w:lineRule="auto"/>
        <w:textAlignment w:val="auto"/>
        <w:rPr>
          <w:rFonts w:hint="eastAsia" w:eastAsia="宋体" w:cs="Times New Roman"/>
          <w:color w:val="auto"/>
          <w:sz w:val="24"/>
          <w:szCs w:val="24"/>
          <w:highlight w:val="none"/>
        </w:rPr>
      </w:pPr>
      <w:r>
        <w:rPr>
          <w:rFonts w:hint="eastAsia" w:eastAsia="宋体" w:cs="Times New Roman"/>
          <w:color w:val="auto"/>
          <w:sz w:val="24"/>
          <w:szCs w:val="24"/>
          <w:highlight w:val="none"/>
        </w:rPr>
        <w:t>施工进度完成100%后，可申请支付本服务合同价的20%（累计</w:t>
      </w:r>
      <w:r>
        <w:rPr>
          <w:rFonts w:hint="eastAsia" w:eastAsia="宋体" w:cs="Times New Roman"/>
          <w:color w:val="auto"/>
          <w:sz w:val="24"/>
          <w:szCs w:val="24"/>
          <w:highlight w:val="none"/>
          <w:lang w:val="en-US" w:eastAsia="zh-CN"/>
        </w:rPr>
        <w:t>9</w:t>
      </w:r>
      <w:r>
        <w:rPr>
          <w:rFonts w:hint="eastAsia" w:eastAsia="宋体" w:cs="Times New Roman"/>
          <w:color w:val="auto"/>
          <w:sz w:val="24"/>
          <w:szCs w:val="24"/>
          <w:highlight w:val="none"/>
        </w:rPr>
        <w:t>0%）；</w:t>
      </w:r>
    </w:p>
    <w:p w14:paraId="670381D4">
      <w:pPr>
        <w:pageBreakBefore w:val="0"/>
        <w:kinsoku/>
        <w:wordWrap/>
        <w:overflowPunct/>
        <w:topLinePunct w:val="0"/>
        <w:bidi w:val="0"/>
        <w:snapToGrid/>
        <w:spacing w:line="360" w:lineRule="auto"/>
        <w:textAlignment w:val="auto"/>
        <w:rPr>
          <w:rFonts w:hint="eastAsia" w:eastAsia="宋体" w:cs="Times New Roman"/>
          <w:color w:val="auto"/>
          <w:sz w:val="24"/>
          <w:szCs w:val="24"/>
          <w:highlight w:val="none"/>
        </w:rPr>
      </w:pPr>
      <w:r>
        <w:rPr>
          <w:rFonts w:hint="eastAsia" w:eastAsia="宋体" w:cs="Times New Roman"/>
          <w:color w:val="auto"/>
          <w:sz w:val="24"/>
          <w:szCs w:val="24"/>
          <w:highlight w:val="none"/>
        </w:rPr>
        <w:t>完成项目结算审核后，受托人可申报本服务结算，经委托人审核后，可申请支付至本服务结算价的100%。</w:t>
      </w:r>
      <w:bookmarkEnd w:id="312"/>
    </w:p>
    <w:p w14:paraId="07F0D954">
      <w:pPr>
        <w:rPr>
          <w:rFonts w:hint="eastAsia" w:ascii="宋体" w:hAnsi="宋体" w:cs="宋体"/>
          <w:color w:val="auto"/>
          <w:highlight w:val="none"/>
        </w:rPr>
      </w:pPr>
    </w:p>
    <w:p w14:paraId="7E0FEF7C">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62848FD6">
      <w:pPr>
        <w:pStyle w:val="5"/>
        <w:rPr>
          <w:rFonts w:hint="eastAsia" w:ascii="宋体" w:hAnsi="宋体" w:cs="宋体"/>
          <w:color w:val="auto"/>
          <w:highlight w:val="none"/>
        </w:rPr>
      </w:pPr>
      <w:bookmarkStart w:id="313" w:name="_Toc186418349"/>
    </w:p>
    <w:p w14:paraId="4C142608">
      <w:pPr>
        <w:pStyle w:val="5"/>
        <w:rPr>
          <w:rFonts w:hint="eastAsia" w:ascii="宋体" w:hAnsi="宋体" w:cs="宋体"/>
          <w:color w:val="auto"/>
          <w:highlight w:val="none"/>
        </w:rPr>
      </w:pPr>
    </w:p>
    <w:p w14:paraId="059F7FF1">
      <w:pPr>
        <w:pStyle w:val="5"/>
        <w:rPr>
          <w:rFonts w:hint="eastAsia" w:ascii="宋体" w:hAnsi="宋体" w:cs="宋体"/>
          <w:color w:val="auto"/>
          <w:highlight w:val="none"/>
        </w:rPr>
      </w:pPr>
    </w:p>
    <w:p w14:paraId="192B3DE5">
      <w:pPr>
        <w:pStyle w:val="5"/>
        <w:rPr>
          <w:rFonts w:hint="eastAsia" w:ascii="宋体" w:hAnsi="宋体" w:cs="宋体"/>
          <w:color w:val="auto"/>
          <w:highlight w:val="none"/>
        </w:rPr>
      </w:pPr>
      <w:bookmarkStart w:id="314" w:name="_Toc3391"/>
      <w:r>
        <w:rPr>
          <w:rFonts w:hint="eastAsia" w:ascii="宋体" w:hAnsi="宋体" w:cs="宋体"/>
          <w:color w:val="auto"/>
          <w:highlight w:val="none"/>
        </w:rPr>
        <w:t>第二卷</w:t>
      </w:r>
      <w:bookmarkEnd w:id="313"/>
      <w:bookmarkEnd w:id="314"/>
    </w:p>
    <w:p w14:paraId="550BA971">
      <w:pPr>
        <w:rPr>
          <w:rFonts w:hint="eastAsia" w:ascii="宋体" w:hAnsi="宋体" w:eastAsia="宋体" w:cs="宋体"/>
          <w:color w:val="auto"/>
          <w:highlight w:val="none"/>
        </w:rPr>
        <w:sectPr>
          <w:footerReference r:id="rId13" w:type="default"/>
          <w:pgSz w:w="12240" w:h="15840"/>
          <w:pgMar w:top="1502" w:right="1718" w:bottom="1123" w:left="1718" w:header="0" w:footer="918" w:gutter="0"/>
          <w:pgNumType w:fmt="decimal"/>
          <w:cols w:space="720" w:num="1"/>
          <w:docGrid w:linePitch="1" w:charSpace="0"/>
        </w:sectPr>
      </w:pPr>
    </w:p>
    <w:p w14:paraId="2D63964E">
      <w:pPr>
        <w:rPr>
          <w:rFonts w:hint="eastAsia" w:ascii="宋体" w:hAnsi="宋体" w:cs="宋体"/>
          <w:color w:val="auto"/>
          <w:highlight w:val="none"/>
        </w:rPr>
      </w:pPr>
    </w:p>
    <w:p w14:paraId="4F3F9803">
      <w:pPr>
        <w:pStyle w:val="5"/>
        <w:numPr>
          <w:ilvl w:val="0"/>
          <w:numId w:val="0"/>
        </w:numPr>
        <w:ind w:left="0"/>
        <w:rPr>
          <w:rFonts w:hint="eastAsia" w:ascii="宋体" w:hAnsi="宋体" w:eastAsia="宋体" w:cs="宋体"/>
          <w:color w:val="auto"/>
          <w:sz w:val="32"/>
          <w:szCs w:val="32"/>
          <w:highlight w:val="none"/>
          <w:lang w:eastAsia="zh-CN"/>
        </w:rPr>
      </w:pPr>
      <w:bookmarkStart w:id="315" w:name="_Toc25701"/>
      <w:r>
        <w:rPr>
          <w:rFonts w:hint="default" w:ascii="宋体" w:hAnsi="宋体" w:cs="宋体"/>
          <w:color w:val="auto"/>
          <w:sz w:val="32"/>
          <w:szCs w:val="32"/>
          <w:highlight w:val="none"/>
          <w:lang w:val="en-US" w:eastAsia="zh-CN"/>
        </w:rPr>
        <w:t>第五章</w:t>
      </w:r>
      <w:bookmarkEnd w:id="315"/>
      <w:r>
        <w:rPr>
          <w:rFonts w:hint="default"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lang w:eastAsia="zh-CN"/>
        </w:rPr>
        <w:t>服务要求</w:t>
      </w:r>
    </w:p>
    <w:p w14:paraId="1680E0EB">
      <w:pPr>
        <w:pStyle w:val="9"/>
        <w:spacing w:after="120" w:afterLines="50"/>
        <w:ind w:firstLine="562"/>
        <w:jc w:val="center"/>
        <w:rPr>
          <w:color w:val="auto"/>
          <w:sz w:val="44"/>
          <w:szCs w:val="24"/>
          <w:highlight w:val="none"/>
        </w:rPr>
      </w:pPr>
      <w:r>
        <w:rPr>
          <w:rFonts w:hint="eastAsia"/>
          <w:b/>
          <w:color w:val="auto"/>
          <w:sz w:val="28"/>
          <w:szCs w:val="28"/>
          <w:highlight w:val="none"/>
        </w:rPr>
        <w:t>项目管理人员配备要求表</w:t>
      </w:r>
    </w:p>
    <w:p w14:paraId="7E50B2C1">
      <w:pPr>
        <w:ind w:firstLine="480"/>
        <w:rPr>
          <w:vanish/>
          <w:color w:val="auto"/>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2192"/>
        <w:gridCol w:w="4657"/>
      </w:tblGrid>
      <w:tr w14:paraId="52A2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02" w:type="dxa"/>
            <w:vAlign w:val="center"/>
          </w:tcPr>
          <w:p w14:paraId="532501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Calibri"/>
                <w:bCs/>
                <w:color w:val="auto"/>
                <w:szCs w:val="24"/>
                <w:highlight w:val="none"/>
                <w:u w:val="single"/>
              </w:rPr>
            </w:pPr>
            <w:r>
              <w:rPr>
                <w:rFonts w:hint="eastAsia" w:hAnsi="Calibri"/>
                <w:bCs/>
                <w:color w:val="auto"/>
                <w:szCs w:val="24"/>
                <w:highlight w:val="none"/>
                <w:u w:val="single"/>
              </w:rPr>
              <w:t>岗位</w:t>
            </w:r>
          </w:p>
        </w:tc>
        <w:tc>
          <w:tcPr>
            <w:tcW w:w="2192" w:type="dxa"/>
            <w:vAlign w:val="center"/>
          </w:tcPr>
          <w:p w14:paraId="4AB32A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Calibri"/>
                <w:bCs/>
                <w:color w:val="auto"/>
                <w:szCs w:val="24"/>
                <w:highlight w:val="none"/>
                <w:u w:val="single"/>
              </w:rPr>
            </w:pPr>
            <w:r>
              <w:rPr>
                <w:rFonts w:hint="eastAsia" w:hAnsi="Calibri"/>
                <w:bCs/>
                <w:color w:val="auto"/>
                <w:szCs w:val="24"/>
                <w:highlight w:val="none"/>
                <w:u w:val="single"/>
              </w:rPr>
              <w:t>人员</w:t>
            </w:r>
            <w:r>
              <w:rPr>
                <w:rFonts w:hint="eastAsia" w:hAnsi="Calibri"/>
                <w:bCs/>
                <w:color w:val="auto"/>
                <w:szCs w:val="24"/>
                <w:highlight w:val="none"/>
                <w:u w:val="single"/>
                <w:lang w:val="en-US" w:eastAsia="zh-CN"/>
              </w:rPr>
              <w:t>最低数量</w:t>
            </w:r>
            <w:r>
              <w:rPr>
                <w:rFonts w:hint="eastAsia" w:hAnsi="Calibri"/>
                <w:bCs/>
                <w:color w:val="auto"/>
                <w:szCs w:val="24"/>
                <w:highlight w:val="none"/>
                <w:u w:val="single"/>
              </w:rPr>
              <w:t>要求</w:t>
            </w:r>
          </w:p>
        </w:tc>
        <w:tc>
          <w:tcPr>
            <w:tcW w:w="4657" w:type="dxa"/>
            <w:vAlign w:val="center"/>
          </w:tcPr>
          <w:p w14:paraId="4B43BB4F">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Ansi="Calibri"/>
                <w:bCs/>
                <w:color w:val="auto"/>
                <w:szCs w:val="24"/>
                <w:highlight w:val="none"/>
                <w:u w:val="single"/>
              </w:rPr>
            </w:pPr>
            <w:r>
              <w:rPr>
                <w:rFonts w:hint="eastAsia" w:hAnsi="Calibri"/>
                <w:bCs/>
                <w:color w:val="auto"/>
                <w:szCs w:val="24"/>
                <w:highlight w:val="none"/>
                <w:u w:val="single"/>
              </w:rPr>
              <w:t>要求</w:t>
            </w:r>
          </w:p>
        </w:tc>
      </w:tr>
      <w:tr w14:paraId="11DC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02" w:type="dxa"/>
            <w:vAlign w:val="center"/>
          </w:tcPr>
          <w:p w14:paraId="6B8F77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Calibri"/>
                <w:bCs/>
                <w:color w:val="auto"/>
                <w:szCs w:val="24"/>
                <w:highlight w:val="none"/>
                <w:u w:val="single"/>
              </w:rPr>
            </w:pPr>
            <w:r>
              <w:rPr>
                <w:rFonts w:hint="eastAsia" w:hAnsi="Calibri"/>
                <w:bCs/>
                <w:color w:val="auto"/>
                <w:szCs w:val="24"/>
                <w:highlight w:val="none"/>
                <w:u w:val="single"/>
              </w:rPr>
              <w:t>项目负责人</w:t>
            </w:r>
          </w:p>
        </w:tc>
        <w:tc>
          <w:tcPr>
            <w:tcW w:w="2192" w:type="dxa"/>
            <w:vAlign w:val="center"/>
          </w:tcPr>
          <w:p w14:paraId="68F680B4">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Ansi="Calibri"/>
                <w:bCs/>
                <w:color w:val="auto"/>
                <w:szCs w:val="24"/>
                <w:highlight w:val="none"/>
                <w:u w:val="single"/>
              </w:rPr>
            </w:pPr>
            <w:r>
              <w:rPr>
                <w:rFonts w:hint="eastAsia" w:hAnsi="Calibri"/>
                <w:bCs/>
                <w:color w:val="auto"/>
                <w:szCs w:val="24"/>
                <w:highlight w:val="none"/>
                <w:u w:val="single"/>
              </w:rPr>
              <w:t>1名</w:t>
            </w:r>
          </w:p>
        </w:tc>
        <w:tc>
          <w:tcPr>
            <w:tcW w:w="4657" w:type="dxa"/>
            <w:vAlign w:val="center"/>
          </w:tcPr>
          <w:p w14:paraId="781D35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Calibri"/>
                <w:bCs/>
                <w:color w:val="auto"/>
                <w:szCs w:val="24"/>
                <w:highlight w:val="none"/>
                <w:u w:val="single"/>
              </w:rPr>
            </w:pPr>
            <w:r>
              <w:rPr>
                <w:rFonts w:hint="eastAsia" w:hAnsi="Calibri"/>
                <w:bCs/>
                <w:color w:val="auto"/>
                <w:szCs w:val="24"/>
                <w:highlight w:val="none"/>
                <w:u w:val="single"/>
              </w:rPr>
              <w:t>按招标公告</w:t>
            </w:r>
          </w:p>
        </w:tc>
      </w:tr>
      <w:tr w14:paraId="4A73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02" w:type="dxa"/>
            <w:vAlign w:val="center"/>
          </w:tcPr>
          <w:p w14:paraId="74DFD6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Calibri"/>
                <w:bCs/>
                <w:color w:val="auto"/>
                <w:szCs w:val="24"/>
                <w:highlight w:val="none"/>
                <w:u w:val="single"/>
              </w:rPr>
            </w:pPr>
            <w:r>
              <w:rPr>
                <w:rFonts w:hint="eastAsia" w:hAnsi="Calibri"/>
                <w:bCs/>
                <w:color w:val="auto"/>
                <w:szCs w:val="24"/>
                <w:highlight w:val="none"/>
                <w:u w:val="single"/>
              </w:rPr>
              <w:t>项目技术负责人</w:t>
            </w:r>
          </w:p>
        </w:tc>
        <w:tc>
          <w:tcPr>
            <w:tcW w:w="2192" w:type="dxa"/>
            <w:vAlign w:val="center"/>
          </w:tcPr>
          <w:p w14:paraId="6B679953">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Ansi="Calibri"/>
                <w:bCs/>
                <w:color w:val="auto"/>
                <w:szCs w:val="24"/>
                <w:highlight w:val="none"/>
                <w:u w:val="single"/>
              </w:rPr>
            </w:pPr>
            <w:r>
              <w:rPr>
                <w:rFonts w:hint="eastAsia" w:hAnsi="Calibri"/>
                <w:bCs/>
                <w:color w:val="auto"/>
                <w:szCs w:val="24"/>
                <w:highlight w:val="none"/>
                <w:u w:val="single"/>
              </w:rPr>
              <w:t>1名</w:t>
            </w:r>
          </w:p>
        </w:tc>
        <w:tc>
          <w:tcPr>
            <w:tcW w:w="4657" w:type="dxa"/>
            <w:vAlign w:val="center"/>
          </w:tcPr>
          <w:p w14:paraId="23946B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Calibri"/>
                <w:bCs/>
                <w:color w:val="auto"/>
                <w:szCs w:val="24"/>
                <w:highlight w:val="none"/>
                <w:u w:val="single"/>
              </w:rPr>
            </w:pPr>
            <w:r>
              <w:rPr>
                <w:rFonts w:hint="eastAsia" w:ascii="宋体" w:hAnsi="宋体" w:cs="宋体"/>
                <w:color w:val="auto"/>
                <w:szCs w:val="21"/>
                <w:highlight w:val="none"/>
                <w:lang w:val="en-US" w:eastAsia="zh-CN"/>
              </w:rPr>
              <w:t>具备</w:t>
            </w:r>
            <w:r>
              <w:rPr>
                <w:rFonts w:hint="eastAsia" w:ascii="宋体" w:hAnsi="宋体" w:eastAsia="宋体" w:cs="宋体"/>
                <w:color w:val="auto"/>
                <w:szCs w:val="21"/>
                <w:highlight w:val="none"/>
              </w:rPr>
              <w:t>高级专业技术职称</w:t>
            </w:r>
          </w:p>
        </w:tc>
      </w:tr>
      <w:tr w14:paraId="47BD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02" w:type="dxa"/>
            <w:vAlign w:val="center"/>
          </w:tcPr>
          <w:p w14:paraId="5F57E6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Calibri"/>
                <w:bCs/>
                <w:color w:val="auto"/>
                <w:szCs w:val="24"/>
                <w:highlight w:val="none"/>
                <w:u w:val="single"/>
              </w:rPr>
            </w:pPr>
            <w:r>
              <w:rPr>
                <w:rFonts w:hint="eastAsia" w:hAnsi="Calibri"/>
                <w:bCs/>
                <w:color w:val="auto"/>
                <w:szCs w:val="24"/>
                <w:highlight w:val="none"/>
                <w:u w:val="single"/>
              </w:rPr>
              <w:t>项目管理人员</w:t>
            </w:r>
          </w:p>
        </w:tc>
        <w:tc>
          <w:tcPr>
            <w:tcW w:w="2192" w:type="dxa"/>
            <w:vAlign w:val="center"/>
          </w:tcPr>
          <w:p w14:paraId="185D019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Ansi="Calibri"/>
                <w:bCs/>
                <w:color w:val="auto"/>
                <w:szCs w:val="24"/>
                <w:highlight w:val="none"/>
                <w:u w:val="single"/>
              </w:rPr>
            </w:pPr>
            <w:r>
              <w:rPr>
                <w:rFonts w:hint="eastAsia" w:hAnsi="Calibri"/>
                <w:bCs/>
                <w:color w:val="auto"/>
                <w:szCs w:val="24"/>
                <w:highlight w:val="none"/>
                <w:u w:val="single"/>
                <w:lang w:val="en-US" w:eastAsia="zh-CN"/>
              </w:rPr>
              <w:t>1</w:t>
            </w:r>
            <w:r>
              <w:rPr>
                <w:rFonts w:hint="eastAsia" w:hAnsi="Calibri"/>
                <w:bCs/>
                <w:color w:val="auto"/>
                <w:szCs w:val="24"/>
                <w:highlight w:val="none"/>
                <w:u w:val="single"/>
              </w:rPr>
              <w:t>名</w:t>
            </w:r>
          </w:p>
        </w:tc>
        <w:tc>
          <w:tcPr>
            <w:tcW w:w="4657" w:type="dxa"/>
            <w:vAlign w:val="center"/>
          </w:tcPr>
          <w:p w14:paraId="191CFC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Calibri"/>
                <w:bCs/>
                <w:color w:val="auto"/>
                <w:szCs w:val="24"/>
                <w:highlight w:val="none"/>
                <w:u w:val="single"/>
              </w:rPr>
            </w:pPr>
            <w:r>
              <w:rPr>
                <w:rFonts w:hint="eastAsia" w:ascii="宋体" w:hAnsi="宋体" w:cs="宋体"/>
                <w:color w:val="auto"/>
                <w:szCs w:val="21"/>
                <w:highlight w:val="none"/>
                <w:lang w:val="en-US" w:eastAsia="zh-CN"/>
              </w:rPr>
              <w:t>具备中</w:t>
            </w:r>
            <w:r>
              <w:rPr>
                <w:rFonts w:hint="eastAsia" w:ascii="宋体" w:hAnsi="宋体" w:eastAsia="宋体" w:cs="宋体"/>
                <w:color w:val="auto"/>
                <w:szCs w:val="21"/>
                <w:highlight w:val="none"/>
              </w:rPr>
              <w:t>级</w:t>
            </w:r>
            <w:r>
              <w:rPr>
                <w:rFonts w:hint="eastAsia" w:ascii="宋体" w:hAnsi="宋体" w:cs="宋体"/>
                <w:color w:val="auto"/>
                <w:szCs w:val="21"/>
                <w:highlight w:val="none"/>
                <w:lang w:val="en-US" w:eastAsia="zh-CN"/>
              </w:rPr>
              <w:t>或以上</w:t>
            </w:r>
            <w:r>
              <w:rPr>
                <w:rFonts w:hint="eastAsia" w:ascii="宋体" w:hAnsi="宋体" w:eastAsia="宋体" w:cs="宋体"/>
                <w:color w:val="auto"/>
                <w:szCs w:val="21"/>
                <w:highlight w:val="none"/>
              </w:rPr>
              <w:t>专业技术职称</w:t>
            </w:r>
          </w:p>
        </w:tc>
      </w:tr>
      <w:tr w14:paraId="7883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02" w:type="dxa"/>
            <w:vAlign w:val="center"/>
          </w:tcPr>
          <w:p w14:paraId="415497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Calibri"/>
                <w:bCs/>
                <w:color w:val="auto"/>
                <w:szCs w:val="24"/>
                <w:highlight w:val="none"/>
                <w:u w:val="single"/>
              </w:rPr>
            </w:pPr>
            <w:r>
              <w:rPr>
                <w:rFonts w:hint="eastAsia" w:hAnsi="Calibri"/>
                <w:bCs/>
                <w:color w:val="auto"/>
                <w:szCs w:val="24"/>
                <w:highlight w:val="none"/>
                <w:u w:val="single"/>
              </w:rPr>
              <w:t>安全管理人员</w:t>
            </w:r>
          </w:p>
        </w:tc>
        <w:tc>
          <w:tcPr>
            <w:tcW w:w="2192" w:type="dxa"/>
            <w:vAlign w:val="center"/>
          </w:tcPr>
          <w:p w14:paraId="4B53684B">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Ansi="Calibri"/>
                <w:bCs/>
                <w:color w:val="auto"/>
                <w:szCs w:val="24"/>
                <w:highlight w:val="none"/>
                <w:u w:val="single"/>
              </w:rPr>
            </w:pPr>
            <w:r>
              <w:rPr>
                <w:rFonts w:hint="eastAsia" w:hAnsi="Calibri"/>
                <w:bCs/>
                <w:color w:val="auto"/>
                <w:szCs w:val="24"/>
                <w:highlight w:val="none"/>
                <w:u w:val="single"/>
              </w:rPr>
              <w:t>1名</w:t>
            </w:r>
          </w:p>
        </w:tc>
        <w:tc>
          <w:tcPr>
            <w:tcW w:w="4657" w:type="dxa"/>
            <w:vAlign w:val="center"/>
          </w:tcPr>
          <w:p w14:paraId="557E52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Ansi="Calibri"/>
                <w:bCs/>
                <w:color w:val="auto"/>
                <w:szCs w:val="24"/>
                <w:highlight w:val="none"/>
                <w:u w:val="single"/>
              </w:rPr>
            </w:pPr>
            <w:r>
              <w:rPr>
                <w:rFonts w:hint="eastAsia" w:ascii="宋体" w:hAnsi="宋体" w:cs="宋体"/>
                <w:color w:val="auto"/>
                <w:szCs w:val="21"/>
                <w:highlight w:val="none"/>
                <w:lang w:val="en-US" w:eastAsia="zh-CN"/>
              </w:rPr>
              <w:t>具备中</w:t>
            </w:r>
            <w:r>
              <w:rPr>
                <w:rFonts w:hint="eastAsia" w:ascii="宋体" w:hAnsi="宋体" w:eastAsia="宋体" w:cs="宋体"/>
                <w:color w:val="auto"/>
                <w:szCs w:val="21"/>
                <w:highlight w:val="none"/>
              </w:rPr>
              <w:t>级</w:t>
            </w:r>
            <w:r>
              <w:rPr>
                <w:rFonts w:hint="eastAsia" w:ascii="宋体" w:hAnsi="宋体" w:cs="宋体"/>
                <w:color w:val="auto"/>
                <w:szCs w:val="21"/>
                <w:highlight w:val="none"/>
                <w:lang w:val="en-US" w:eastAsia="zh-CN"/>
              </w:rPr>
              <w:t>或以上</w:t>
            </w:r>
            <w:r>
              <w:rPr>
                <w:rFonts w:hint="eastAsia" w:ascii="宋体" w:hAnsi="宋体" w:eastAsia="宋体" w:cs="宋体"/>
                <w:color w:val="auto"/>
                <w:szCs w:val="21"/>
                <w:highlight w:val="none"/>
              </w:rPr>
              <w:t>专业技术职称</w:t>
            </w:r>
          </w:p>
        </w:tc>
      </w:tr>
      <w:tr w14:paraId="290B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02" w:type="dxa"/>
            <w:vAlign w:val="center"/>
          </w:tcPr>
          <w:p w14:paraId="4F86409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Ansi="Calibri"/>
                <w:bCs/>
                <w:color w:val="auto"/>
                <w:szCs w:val="24"/>
                <w:highlight w:val="none"/>
                <w:u w:val="single"/>
              </w:rPr>
            </w:pPr>
            <w:r>
              <w:rPr>
                <w:rFonts w:hint="eastAsia" w:hAnsi="Calibri"/>
                <w:bCs/>
                <w:color w:val="auto"/>
                <w:szCs w:val="24"/>
                <w:highlight w:val="none"/>
                <w:u w:val="single"/>
              </w:rPr>
              <w:t>总计</w:t>
            </w:r>
          </w:p>
        </w:tc>
        <w:tc>
          <w:tcPr>
            <w:tcW w:w="2192" w:type="dxa"/>
            <w:vAlign w:val="center"/>
          </w:tcPr>
          <w:p w14:paraId="3923FD3F">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Ansi="Calibri"/>
                <w:bCs/>
                <w:color w:val="auto"/>
                <w:szCs w:val="24"/>
                <w:highlight w:val="none"/>
                <w:u w:val="single"/>
              </w:rPr>
            </w:pPr>
            <w:r>
              <w:rPr>
                <w:rFonts w:hint="eastAsia" w:hAnsi="Calibri"/>
                <w:bCs/>
                <w:color w:val="auto"/>
                <w:szCs w:val="24"/>
                <w:highlight w:val="none"/>
                <w:u w:val="single"/>
                <w:lang w:val="en-US" w:eastAsia="zh-CN"/>
              </w:rPr>
              <w:t>4</w:t>
            </w:r>
            <w:r>
              <w:rPr>
                <w:rFonts w:hint="eastAsia" w:hAnsi="Calibri"/>
                <w:bCs/>
                <w:color w:val="auto"/>
                <w:szCs w:val="24"/>
                <w:highlight w:val="none"/>
                <w:u w:val="single"/>
              </w:rPr>
              <w:t>名</w:t>
            </w:r>
          </w:p>
        </w:tc>
        <w:tc>
          <w:tcPr>
            <w:tcW w:w="4657" w:type="dxa"/>
            <w:vAlign w:val="center"/>
          </w:tcPr>
          <w:p w14:paraId="2DE0AF2F">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Ansi="Calibri"/>
                <w:bCs/>
                <w:color w:val="auto"/>
                <w:szCs w:val="24"/>
                <w:highlight w:val="none"/>
                <w:u w:val="single"/>
              </w:rPr>
            </w:pPr>
          </w:p>
        </w:tc>
      </w:tr>
    </w:tbl>
    <w:p w14:paraId="3D69E943">
      <w:pPr>
        <w:spacing w:line="240" w:lineRule="auto"/>
        <w:ind w:firstLine="0" w:firstLineChars="0"/>
        <w:rPr>
          <w:rFonts w:hint="eastAsia" w:hAnsi="宋体" w:cs="宋体"/>
          <w:color w:val="auto"/>
          <w:sz w:val="21"/>
          <w:szCs w:val="21"/>
          <w:highlight w:val="none"/>
        </w:rPr>
      </w:pPr>
    </w:p>
    <w:p w14:paraId="4428A435">
      <w:pPr>
        <w:spacing w:line="240" w:lineRule="auto"/>
        <w:ind w:firstLine="0" w:firstLineChars="0"/>
        <w:rPr>
          <w:rFonts w:hint="eastAsia" w:hAnsi="宋体" w:cs="宋体"/>
          <w:color w:val="auto"/>
          <w:sz w:val="21"/>
          <w:szCs w:val="21"/>
          <w:highlight w:val="none"/>
        </w:rPr>
      </w:pPr>
      <w:r>
        <w:rPr>
          <w:rFonts w:hint="eastAsia" w:hAnsi="宋体" w:cs="宋体"/>
          <w:color w:val="auto"/>
          <w:sz w:val="21"/>
          <w:szCs w:val="21"/>
          <w:highlight w:val="none"/>
        </w:rPr>
        <w:t>注：</w:t>
      </w:r>
      <w:r>
        <w:rPr>
          <w:rFonts w:hint="eastAsia" w:hAnsi="宋体" w:cs="宋体"/>
          <w:color w:val="auto"/>
          <w:sz w:val="21"/>
          <w:szCs w:val="21"/>
          <w:highlight w:val="none"/>
          <w:lang w:val="en-US" w:eastAsia="zh-CN"/>
        </w:rPr>
        <w:t>1、</w:t>
      </w:r>
      <w:r>
        <w:rPr>
          <w:rFonts w:hint="eastAsia" w:hAnsi="宋体" w:cs="宋体"/>
          <w:color w:val="auto"/>
          <w:sz w:val="21"/>
          <w:szCs w:val="21"/>
          <w:highlight w:val="none"/>
        </w:rPr>
        <w:t>上述人员的注册执业单位必须为投标人</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且各岗位不得兼任</w:t>
      </w:r>
      <w:r>
        <w:rPr>
          <w:rFonts w:hint="eastAsia" w:hAnsi="宋体" w:cs="宋体"/>
          <w:color w:val="auto"/>
          <w:sz w:val="21"/>
          <w:szCs w:val="21"/>
          <w:highlight w:val="none"/>
          <w:lang w:eastAsia="zh-CN"/>
        </w:rPr>
        <w:t>，</w:t>
      </w:r>
      <w:r>
        <w:rPr>
          <w:rFonts w:hint="eastAsia" w:hAnsi="宋体" w:cs="宋体"/>
          <w:color w:val="auto"/>
          <w:sz w:val="21"/>
          <w:szCs w:val="21"/>
          <w:highlight w:val="none"/>
        </w:rPr>
        <w:t>按最高分值只计算一次</w:t>
      </w:r>
      <w:r>
        <w:rPr>
          <w:rFonts w:hint="eastAsia" w:hAnsi="宋体" w:cs="宋体"/>
          <w:color w:val="auto"/>
          <w:sz w:val="21"/>
          <w:szCs w:val="21"/>
          <w:highlight w:val="none"/>
          <w:lang w:eastAsia="zh-CN"/>
        </w:rPr>
        <w:t>，</w:t>
      </w:r>
      <w:r>
        <w:rPr>
          <w:rFonts w:hint="eastAsia" w:hAnsi="宋体" w:cs="宋体"/>
          <w:color w:val="auto"/>
          <w:sz w:val="21"/>
          <w:szCs w:val="21"/>
          <w:highlight w:val="none"/>
        </w:rPr>
        <w:t>不重复计算。拟投入人员必须为投标单位人员，须提供</w:t>
      </w:r>
      <w:r>
        <w:rPr>
          <w:rFonts w:hint="eastAsia" w:hAnsi="宋体" w:cs="宋体"/>
          <w:color w:val="auto"/>
          <w:sz w:val="21"/>
          <w:szCs w:val="21"/>
          <w:highlight w:val="none"/>
          <w:lang w:eastAsia="zh-CN"/>
        </w:rPr>
        <w:t>2025年8月</w:t>
      </w:r>
      <w:r>
        <w:rPr>
          <w:rFonts w:hint="eastAsia" w:hAnsi="宋体" w:cs="宋体"/>
          <w:color w:val="auto"/>
          <w:sz w:val="21"/>
          <w:szCs w:val="21"/>
          <w:highlight w:val="none"/>
        </w:rPr>
        <w:t>社保证明资料及相应证明文件。</w:t>
      </w:r>
    </w:p>
    <w:p w14:paraId="020714C0">
      <w:pPr>
        <w:pStyle w:val="3"/>
        <w:keepNext w:val="0"/>
        <w:keepLines w:val="0"/>
        <w:pageBreakBefore w:val="0"/>
        <w:widowControl w:val="0"/>
        <w:kinsoku/>
        <w:wordWrap/>
        <w:overflowPunct/>
        <w:topLinePunct w:val="0"/>
        <w:autoSpaceDE/>
        <w:autoSpaceDN/>
        <w:bidi w:val="0"/>
        <w:adjustRightInd w:val="0"/>
        <w:snapToGrid w:val="0"/>
        <w:spacing w:before="0" w:line="360" w:lineRule="auto"/>
        <w:ind w:left="0" w:firstLine="210" w:firstLineChars="100"/>
        <w:textAlignment w:val="auto"/>
        <w:rPr>
          <w:rFonts w:hint="eastAsia" w:ascii="宋体" w:hAnsi="宋体" w:eastAsia="宋体" w:cs="宋体"/>
          <w:color w:val="auto"/>
          <w:sz w:val="21"/>
          <w:szCs w:val="21"/>
          <w:highlight w:val="none"/>
          <w:lang w:val="en-US" w:eastAsia="zh-CN"/>
        </w:rPr>
        <w:sectPr>
          <w:footerReference r:id="rId14" w:type="default"/>
          <w:pgSz w:w="12240" w:h="15840"/>
          <w:pgMar w:top="1400" w:right="1720" w:bottom="1120" w:left="1700" w:header="0" w:footer="921" w:gutter="0"/>
          <w:pgBorders>
            <w:top w:val="none" w:sz="0" w:space="0"/>
            <w:left w:val="none" w:sz="0" w:space="0"/>
            <w:bottom w:val="none" w:sz="0" w:space="0"/>
            <w:right w:val="none" w:sz="0" w:space="0"/>
          </w:pgBorders>
          <w:pgNumType w:fmt="decimal"/>
          <w:cols w:space="720" w:num="1"/>
        </w:sectPr>
      </w:pPr>
      <w:r>
        <w:rPr>
          <w:rFonts w:hint="eastAsia" w:hAnsi="宋体" w:cs="宋体"/>
          <w:color w:val="auto"/>
          <w:sz w:val="21"/>
          <w:szCs w:val="21"/>
          <w:highlight w:val="none"/>
          <w:lang w:val="en-US" w:eastAsia="zh-CN"/>
        </w:rPr>
        <w:t>2、除项目负责人外，上述人员要求不作为资格评审的审查依据。</w:t>
      </w:r>
    </w:p>
    <w:p w14:paraId="01DC612F">
      <w:pPr>
        <w:rPr>
          <w:rFonts w:hint="eastAsia" w:ascii="宋体" w:hAnsi="宋体" w:cs="宋体"/>
          <w:color w:val="auto"/>
          <w:highlight w:val="none"/>
        </w:rPr>
      </w:pPr>
    </w:p>
    <w:p w14:paraId="76E7DD0C">
      <w:pPr>
        <w:rPr>
          <w:rFonts w:hint="eastAsia" w:ascii="宋体" w:hAnsi="宋体" w:cs="宋体"/>
          <w:color w:val="auto"/>
          <w:highlight w:val="none"/>
        </w:rPr>
      </w:pPr>
    </w:p>
    <w:p w14:paraId="602C3356">
      <w:pPr>
        <w:rPr>
          <w:rFonts w:hint="eastAsia" w:ascii="宋体" w:hAnsi="宋体" w:cs="宋体"/>
          <w:color w:val="auto"/>
          <w:highlight w:val="none"/>
        </w:rPr>
      </w:pPr>
    </w:p>
    <w:p w14:paraId="0BB32D73">
      <w:pPr>
        <w:pStyle w:val="4"/>
        <w:ind w:left="440"/>
        <w:rPr>
          <w:rFonts w:hint="eastAsia" w:ascii="宋体" w:hAnsi="宋体" w:cs="宋体"/>
          <w:color w:val="auto"/>
          <w:highlight w:val="none"/>
          <w:lang w:eastAsia="zh-CN"/>
        </w:rPr>
      </w:pPr>
    </w:p>
    <w:p w14:paraId="43F3B210">
      <w:pPr>
        <w:pStyle w:val="4"/>
        <w:ind w:left="440"/>
        <w:rPr>
          <w:rFonts w:hint="eastAsia" w:ascii="宋体" w:hAnsi="宋体" w:cs="宋体"/>
          <w:color w:val="auto"/>
          <w:highlight w:val="none"/>
          <w:lang w:eastAsia="zh-CN"/>
        </w:rPr>
      </w:pPr>
    </w:p>
    <w:p w14:paraId="26BF50B6">
      <w:pPr>
        <w:rPr>
          <w:rFonts w:hint="eastAsia" w:ascii="宋体" w:hAnsi="宋体" w:cs="宋体"/>
          <w:color w:val="auto"/>
          <w:highlight w:val="none"/>
        </w:rPr>
      </w:pPr>
    </w:p>
    <w:p w14:paraId="1A9AC088">
      <w:pPr>
        <w:pStyle w:val="5"/>
        <w:rPr>
          <w:rFonts w:hint="eastAsia" w:ascii="宋体" w:hAnsi="宋体" w:cs="宋体"/>
          <w:color w:val="auto"/>
          <w:highlight w:val="none"/>
        </w:rPr>
      </w:pPr>
      <w:bookmarkStart w:id="316" w:name="_Toc186418351"/>
      <w:bookmarkStart w:id="317" w:name="_Toc2159"/>
      <w:r>
        <w:rPr>
          <w:rFonts w:hint="eastAsia" w:ascii="宋体" w:hAnsi="宋体" w:cs="宋体"/>
          <w:color w:val="auto"/>
          <w:highlight w:val="none"/>
        </w:rPr>
        <w:t>第三卷</w:t>
      </w:r>
      <w:bookmarkEnd w:id="316"/>
      <w:bookmarkEnd w:id="317"/>
    </w:p>
    <w:p w14:paraId="2AF2601E">
      <w:pPr>
        <w:rPr>
          <w:rFonts w:hint="eastAsia" w:ascii="宋体" w:hAnsi="宋体" w:eastAsia="宋体" w:cs="宋体"/>
          <w:color w:val="auto"/>
          <w:highlight w:val="none"/>
        </w:rPr>
        <w:sectPr>
          <w:pgSz w:w="12240" w:h="15840"/>
          <w:pgMar w:top="1502" w:right="1718" w:bottom="1123" w:left="1718" w:header="0" w:footer="918" w:gutter="0"/>
          <w:pgNumType w:fmt="decimal"/>
          <w:cols w:space="720" w:num="1"/>
          <w:docGrid w:linePitch="1" w:charSpace="0"/>
        </w:sectPr>
      </w:pPr>
    </w:p>
    <w:p w14:paraId="6A23F3D9">
      <w:pPr>
        <w:pStyle w:val="5"/>
        <w:rPr>
          <w:rFonts w:hint="eastAsia" w:ascii="宋体" w:hAnsi="宋体" w:cs="宋体"/>
          <w:color w:val="auto"/>
          <w:sz w:val="32"/>
          <w:szCs w:val="32"/>
          <w:highlight w:val="none"/>
        </w:rPr>
      </w:pPr>
      <w:bookmarkStart w:id="318" w:name="_Toc186418352"/>
      <w:bookmarkStart w:id="319" w:name="_Toc7974"/>
      <w:r>
        <w:rPr>
          <w:rFonts w:hint="eastAsia" w:ascii="宋体" w:hAnsi="宋体" w:cs="宋体"/>
          <w:color w:val="auto"/>
          <w:sz w:val="32"/>
          <w:szCs w:val="32"/>
          <w:highlight w:val="none"/>
        </w:rPr>
        <w:t>第六章  投标文件格式</w:t>
      </w:r>
      <w:bookmarkEnd w:id="318"/>
      <w:bookmarkEnd w:id="319"/>
    </w:p>
    <w:p w14:paraId="6F82B5A7">
      <w:pPr>
        <w:autoSpaceDE/>
        <w:autoSpaceDN/>
        <w:adjustRightInd w:val="0"/>
        <w:spacing w:line="360" w:lineRule="auto"/>
        <w:ind w:right="-23"/>
        <w:jc w:val="center"/>
        <w:outlineLvl w:val="1"/>
        <w:rPr>
          <w:rFonts w:hint="eastAsia" w:ascii="宋体" w:hAnsi="宋体" w:cs="宋体"/>
          <w:color w:val="auto"/>
          <w:sz w:val="24"/>
          <w:highlight w:val="none"/>
        </w:rPr>
      </w:pPr>
      <w:bookmarkStart w:id="320" w:name="_Toc17843"/>
      <w:bookmarkStart w:id="321" w:name="_Toc186418353"/>
      <w:bookmarkStart w:id="322" w:name="_Toc11783"/>
      <w:r>
        <w:rPr>
          <w:rFonts w:hint="eastAsia" w:ascii="宋体" w:hAnsi="宋体" w:cs="宋体"/>
          <w:bCs/>
          <w:color w:val="auto"/>
          <w:spacing w:val="2"/>
          <w:position w:val="-1"/>
          <w:sz w:val="24"/>
          <w:szCs w:val="24"/>
          <w:highlight w:val="none"/>
        </w:rPr>
        <w:t>投标文件编制要求</w:t>
      </w:r>
      <w:bookmarkEnd w:id="320"/>
      <w:bookmarkEnd w:id="321"/>
      <w:bookmarkEnd w:id="322"/>
    </w:p>
    <w:p w14:paraId="0A745032">
      <w:pPr>
        <w:pStyle w:val="7"/>
        <w:spacing w:before="0" w:after="0" w:line="360" w:lineRule="auto"/>
        <w:ind w:left="0" w:firstLine="211" w:firstLineChars="100"/>
        <w:rPr>
          <w:rFonts w:hint="eastAsia" w:ascii="宋体" w:hAnsi="宋体" w:eastAsia="宋体" w:cs="宋体"/>
          <w:color w:val="auto"/>
          <w:sz w:val="21"/>
          <w:szCs w:val="21"/>
          <w:highlight w:val="none"/>
          <w:lang w:val="en-US" w:eastAsia="zh-CN"/>
        </w:rPr>
      </w:pPr>
      <w:bookmarkStart w:id="323" w:name="_Toc1635"/>
      <w:r>
        <w:rPr>
          <w:rFonts w:hint="eastAsia" w:ascii="宋体" w:hAnsi="宋体" w:eastAsia="宋体" w:cs="宋体"/>
          <w:color w:val="auto"/>
          <w:sz w:val="21"/>
          <w:szCs w:val="21"/>
          <w:highlight w:val="none"/>
          <w:lang w:val="en-US" w:eastAsia="zh-CN"/>
        </w:rPr>
        <w:t>1、投标文件组成</w:t>
      </w:r>
      <w:bookmarkEnd w:id="323"/>
    </w:p>
    <w:p w14:paraId="4801A941">
      <w:pPr>
        <w:spacing w:line="36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  投标文件由商务文件（含资格审查部分、资信业绩部分）、技术文件（含</w:t>
      </w:r>
      <w:r>
        <w:rPr>
          <w:rFonts w:hint="eastAsia" w:ascii="宋体" w:hAnsi="宋体" w:cs="宋体"/>
          <w:color w:val="auto"/>
          <w:sz w:val="21"/>
          <w:szCs w:val="21"/>
          <w:highlight w:val="none"/>
          <w:lang w:eastAsia="zh-CN"/>
        </w:rPr>
        <w:t>服务方案</w:t>
      </w:r>
      <w:r>
        <w:rPr>
          <w:rFonts w:hint="eastAsia" w:ascii="宋体" w:hAnsi="宋体" w:eastAsia="宋体" w:cs="宋体"/>
          <w:color w:val="auto"/>
          <w:sz w:val="21"/>
          <w:szCs w:val="21"/>
          <w:highlight w:val="none"/>
          <w:lang w:eastAsia="zh-CN"/>
        </w:rPr>
        <w:t>部分）两个部分组成。各部分投标文件应分别编制。资信文件（含资格审查文件）和</w:t>
      </w:r>
      <w:r>
        <w:rPr>
          <w:rFonts w:hint="eastAsia" w:ascii="宋体" w:hAnsi="宋体" w:cs="宋体"/>
          <w:color w:val="auto"/>
          <w:sz w:val="21"/>
          <w:szCs w:val="21"/>
          <w:highlight w:val="none"/>
          <w:lang w:eastAsia="zh-CN"/>
        </w:rPr>
        <w:t>服务方案</w:t>
      </w:r>
      <w:r>
        <w:rPr>
          <w:rFonts w:hint="eastAsia" w:ascii="宋体" w:hAnsi="宋体" w:eastAsia="宋体" w:cs="宋体"/>
          <w:color w:val="auto"/>
          <w:sz w:val="21"/>
          <w:szCs w:val="21"/>
          <w:highlight w:val="none"/>
          <w:lang w:eastAsia="zh-CN"/>
        </w:rPr>
        <w:t>文件两部分组成的总页数不限，</w:t>
      </w:r>
      <w:r>
        <w:rPr>
          <w:rFonts w:hint="eastAsia" w:ascii="宋体" w:hAnsi="宋体" w:cs="宋体"/>
          <w:color w:val="auto"/>
          <w:sz w:val="21"/>
          <w:szCs w:val="21"/>
          <w:highlight w:val="none"/>
          <w:lang w:eastAsia="zh-CN"/>
        </w:rPr>
        <w:t>服务方案</w:t>
      </w:r>
      <w:r>
        <w:rPr>
          <w:rFonts w:hint="eastAsia" w:ascii="宋体" w:hAnsi="宋体" w:eastAsia="宋体" w:cs="宋体"/>
          <w:color w:val="auto"/>
          <w:sz w:val="21"/>
          <w:szCs w:val="21"/>
          <w:highlight w:val="none"/>
          <w:lang w:eastAsia="zh-CN"/>
        </w:rPr>
        <w:t>电子文档（上传系统文件）大小不</w:t>
      </w:r>
      <w:r>
        <w:rPr>
          <w:rFonts w:hint="eastAsia" w:ascii="宋体" w:hAnsi="宋体" w:cs="宋体"/>
          <w:color w:val="auto"/>
          <w:sz w:val="21"/>
          <w:szCs w:val="21"/>
          <w:highlight w:val="none"/>
          <w:lang w:val="en-US" w:eastAsia="zh-CN"/>
        </w:rPr>
        <w:t>宜</w:t>
      </w:r>
      <w:r>
        <w:rPr>
          <w:rFonts w:hint="eastAsia" w:ascii="宋体" w:hAnsi="宋体" w:eastAsia="宋体" w:cs="宋体"/>
          <w:color w:val="auto"/>
          <w:sz w:val="21"/>
          <w:szCs w:val="21"/>
          <w:highlight w:val="none"/>
          <w:lang w:eastAsia="zh-CN"/>
        </w:rPr>
        <w:t>超1000M。</w:t>
      </w:r>
    </w:p>
    <w:p w14:paraId="7DE7B2DC">
      <w:pPr>
        <w:spacing w:line="36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2EFAF2D7">
      <w:pPr>
        <w:spacing w:line="36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  每个投标人报送一个投标方案，投标文件应达到招标文件规定的深度，满足评审需要。不响应招标文件要求的投标文件可能被拒绝，责任由投标人自负。</w:t>
      </w:r>
    </w:p>
    <w:p w14:paraId="6801A56A">
      <w:pPr>
        <w:pStyle w:val="7"/>
        <w:spacing w:before="0" w:after="0" w:line="360" w:lineRule="auto"/>
        <w:ind w:left="0" w:firstLine="211" w:firstLineChars="100"/>
        <w:rPr>
          <w:rFonts w:hint="eastAsia" w:ascii="宋体" w:hAnsi="宋体" w:eastAsia="宋体" w:cs="宋体"/>
          <w:color w:val="auto"/>
          <w:sz w:val="21"/>
          <w:szCs w:val="21"/>
          <w:highlight w:val="none"/>
          <w:lang w:eastAsia="zh-CN"/>
        </w:rPr>
      </w:pPr>
      <w:bookmarkStart w:id="324" w:name="_Toc2552"/>
      <w:r>
        <w:rPr>
          <w:rFonts w:hint="eastAsia" w:ascii="宋体" w:hAnsi="宋体" w:eastAsia="宋体" w:cs="宋体"/>
          <w:color w:val="auto"/>
          <w:sz w:val="21"/>
          <w:szCs w:val="21"/>
          <w:highlight w:val="none"/>
          <w:lang w:eastAsia="zh-CN"/>
        </w:rPr>
        <w:t>2、商务文件（含资格审查部分、资信业绩部分）编制要求</w:t>
      </w:r>
      <w:bookmarkEnd w:id="324"/>
    </w:p>
    <w:p w14:paraId="130FDFF6">
      <w:pPr>
        <w:spacing w:line="36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  商务文件（含资格审查部分、资信业绩部分）由下列资料组成：</w:t>
      </w:r>
    </w:p>
    <w:p w14:paraId="4D72CE95">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（1）封面：写明项目名称、商务文件（含资格审查部分、资信业绩部分）、投标人单位及   年   月   日；加盖投标人电子印章。</w:t>
      </w:r>
    </w:p>
    <w:p w14:paraId="199FDB30">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（2）目录</w:t>
      </w:r>
      <w:r>
        <w:rPr>
          <w:rFonts w:hint="eastAsia" w:ascii="宋体" w:hAnsi="宋体" w:cs="宋体"/>
          <w:color w:val="auto"/>
          <w:sz w:val="21"/>
          <w:szCs w:val="21"/>
          <w:highlight w:val="none"/>
          <w:lang w:eastAsia="zh-CN"/>
        </w:rPr>
        <w:t>；</w:t>
      </w:r>
    </w:p>
    <w:p w14:paraId="3B4415FC">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（3）填妥并签字</w:t>
      </w:r>
      <w:r>
        <w:rPr>
          <w:rFonts w:hint="eastAsia" w:ascii="宋体" w:hAnsi="宋体" w:cs="宋体"/>
          <w:color w:val="auto"/>
          <w:sz w:val="21"/>
          <w:szCs w:val="21"/>
          <w:highlight w:val="none"/>
          <w:lang w:eastAsia="zh-CN"/>
        </w:rPr>
        <w:t>及加盖投标人电子印章</w:t>
      </w:r>
      <w:r>
        <w:rPr>
          <w:rFonts w:hint="eastAsia" w:ascii="宋体" w:hAnsi="宋体" w:eastAsia="宋体" w:cs="宋体"/>
          <w:color w:val="auto"/>
          <w:sz w:val="21"/>
          <w:szCs w:val="21"/>
          <w:highlight w:val="none"/>
          <w:lang w:eastAsia="zh-CN"/>
        </w:rPr>
        <w:t>的《投标书》（格式见格式一）</w:t>
      </w:r>
      <w:r>
        <w:rPr>
          <w:rFonts w:hint="eastAsia" w:ascii="宋体" w:hAnsi="宋体" w:cs="宋体"/>
          <w:color w:val="auto"/>
          <w:sz w:val="21"/>
          <w:szCs w:val="21"/>
          <w:highlight w:val="none"/>
          <w:lang w:eastAsia="zh-CN"/>
        </w:rPr>
        <w:t>；</w:t>
      </w:r>
    </w:p>
    <w:p w14:paraId="3C48C17E">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（4）填妥并签字</w:t>
      </w:r>
      <w:r>
        <w:rPr>
          <w:rFonts w:hint="eastAsia" w:ascii="宋体" w:hAnsi="宋体" w:cs="宋体"/>
          <w:color w:val="auto"/>
          <w:sz w:val="21"/>
          <w:szCs w:val="21"/>
          <w:highlight w:val="none"/>
          <w:lang w:eastAsia="zh-CN"/>
        </w:rPr>
        <w:t>及加盖投标人电子印章</w:t>
      </w:r>
      <w:r>
        <w:rPr>
          <w:rFonts w:hint="eastAsia" w:ascii="宋体" w:hAnsi="宋体" w:eastAsia="宋体" w:cs="宋体"/>
          <w:color w:val="auto"/>
          <w:sz w:val="21"/>
          <w:szCs w:val="21"/>
          <w:highlight w:val="none"/>
          <w:lang w:eastAsia="zh-CN"/>
        </w:rPr>
        <w:t>的《法人代表身份证明书》（格式见格式二）</w:t>
      </w:r>
      <w:r>
        <w:rPr>
          <w:rFonts w:hint="eastAsia" w:ascii="宋体" w:hAnsi="宋体" w:cs="宋体"/>
          <w:color w:val="auto"/>
          <w:sz w:val="21"/>
          <w:szCs w:val="21"/>
          <w:highlight w:val="none"/>
          <w:lang w:eastAsia="zh-CN"/>
        </w:rPr>
        <w:t>；</w:t>
      </w:r>
    </w:p>
    <w:p w14:paraId="041F0BEF">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（5）填妥并签字</w:t>
      </w:r>
      <w:r>
        <w:rPr>
          <w:rFonts w:hint="eastAsia" w:ascii="宋体" w:hAnsi="宋体" w:cs="宋体"/>
          <w:color w:val="auto"/>
          <w:sz w:val="21"/>
          <w:szCs w:val="21"/>
          <w:highlight w:val="none"/>
          <w:lang w:eastAsia="zh-CN"/>
        </w:rPr>
        <w:t>及加盖投标人电子印章</w:t>
      </w:r>
      <w:r>
        <w:rPr>
          <w:rFonts w:hint="eastAsia" w:ascii="宋体" w:hAnsi="宋体" w:eastAsia="宋体" w:cs="宋体"/>
          <w:color w:val="auto"/>
          <w:sz w:val="21"/>
          <w:szCs w:val="21"/>
          <w:highlight w:val="none"/>
          <w:lang w:eastAsia="zh-CN"/>
        </w:rPr>
        <w:t>的《法定代表人授权委托书》（</w:t>
      </w:r>
      <w:r>
        <w:rPr>
          <w:rFonts w:hint="eastAsia" w:ascii="宋体" w:hAnsi="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格式见格式三）</w:t>
      </w:r>
      <w:r>
        <w:rPr>
          <w:rFonts w:hint="eastAsia" w:ascii="宋体" w:hAnsi="宋体" w:cs="宋体"/>
          <w:color w:val="auto"/>
          <w:sz w:val="21"/>
          <w:szCs w:val="21"/>
          <w:highlight w:val="none"/>
          <w:lang w:eastAsia="zh-CN"/>
        </w:rPr>
        <w:t>；</w:t>
      </w:r>
    </w:p>
    <w:p w14:paraId="58073138">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（6）填妥并签字</w:t>
      </w:r>
      <w:r>
        <w:rPr>
          <w:rFonts w:hint="eastAsia" w:ascii="宋体" w:hAnsi="宋体" w:cs="宋体"/>
          <w:color w:val="auto"/>
          <w:sz w:val="21"/>
          <w:szCs w:val="21"/>
          <w:highlight w:val="none"/>
          <w:lang w:eastAsia="zh-CN"/>
        </w:rPr>
        <w:t>及加盖投标人电子印章</w:t>
      </w:r>
      <w:r>
        <w:rPr>
          <w:rFonts w:hint="eastAsia" w:ascii="宋体" w:hAnsi="宋体" w:eastAsia="宋体" w:cs="宋体"/>
          <w:color w:val="auto"/>
          <w:sz w:val="21"/>
          <w:szCs w:val="21"/>
          <w:highlight w:val="none"/>
          <w:lang w:eastAsia="zh-CN"/>
        </w:rPr>
        <w:t>的《投标人声明》（格式见格式四）</w:t>
      </w:r>
      <w:r>
        <w:rPr>
          <w:rFonts w:hint="eastAsia" w:ascii="宋体" w:hAnsi="宋体" w:cs="宋体"/>
          <w:color w:val="auto"/>
          <w:sz w:val="21"/>
          <w:szCs w:val="21"/>
          <w:highlight w:val="none"/>
          <w:lang w:eastAsia="zh-CN"/>
        </w:rPr>
        <w:t>；</w:t>
      </w:r>
    </w:p>
    <w:p w14:paraId="60E7B1AC">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u w:val="none"/>
          <w:lang w:eastAsia="zh-CN"/>
        </w:rPr>
        <w:t>（7）</w:t>
      </w:r>
      <w:r>
        <w:rPr>
          <w:rFonts w:hint="eastAsia" w:ascii="宋体" w:hAnsi="宋体" w:eastAsia="宋体" w:cs="宋体"/>
          <w:color w:val="auto"/>
          <w:sz w:val="21"/>
          <w:szCs w:val="21"/>
          <w:highlight w:val="none"/>
          <w:lang w:eastAsia="zh-CN"/>
        </w:rPr>
        <w:t>企业营业执照副本扫描件</w:t>
      </w:r>
      <w:r>
        <w:rPr>
          <w:rFonts w:hint="eastAsia" w:ascii="宋体" w:hAnsi="宋体" w:cs="宋体"/>
          <w:color w:val="auto"/>
          <w:sz w:val="21"/>
          <w:szCs w:val="21"/>
          <w:highlight w:val="none"/>
          <w:lang w:eastAsia="zh-CN"/>
        </w:rPr>
        <w:t>；</w:t>
      </w:r>
    </w:p>
    <w:p w14:paraId="414A18DD">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）拟派项目负责人注册执业资格证书扫描件</w:t>
      </w:r>
      <w:r>
        <w:rPr>
          <w:rFonts w:hint="eastAsia" w:ascii="宋体" w:hAnsi="宋体" w:cs="宋体"/>
          <w:color w:val="auto"/>
          <w:sz w:val="21"/>
          <w:szCs w:val="21"/>
          <w:highlight w:val="none"/>
          <w:lang w:eastAsia="zh-CN"/>
        </w:rPr>
        <w:t>；</w:t>
      </w:r>
    </w:p>
    <w:p w14:paraId="1CF7186D">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）投标人认为有必要提供的其他资格要求证明资料扫描件</w:t>
      </w:r>
      <w:r>
        <w:rPr>
          <w:rFonts w:hint="eastAsia" w:ascii="宋体" w:hAnsi="宋体" w:cs="宋体"/>
          <w:color w:val="auto"/>
          <w:sz w:val="21"/>
          <w:szCs w:val="21"/>
          <w:highlight w:val="none"/>
          <w:lang w:eastAsia="zh-CN"/>
        </w:rPr>
        <w:t>；</w:t>
      </w:r>
    </w:p>
    <w:p w14:paraId="0CF1F30F">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）填妥并</w:t>
      </w:r>
      <w:r>
        <w:rPr>
          <w:rFonts w:hint="eastAsia" w:ascii="宋体" w:hAnsi="宋体" w:cs="宋体"/>
          <w:color w:val="auto"/>
          <w:sz w:val="21"/>
          <w:szCs w:val="21"/>
          <w:highlight w:val="none"/>
          <w:lang w:eastAsia="zh-CN"/>
        </w:rPr>
        <w:t>加盖投标人电子印章</w:t>
      </w:r>
      <w:r>
        <w:rPr>
          <w:rFonts w:hint="eastAsia" w:ascii="宋体" w:hAnsi="宋体" w:eastAsia="宋体" w:cs="宋体"/>
          <w:color w:val="auto"/>
          <w:sz w:val="21"/>
          <w:szCs w:val="21"/>
          <w:highlight w:val="none"/>
          <w:lang w:eastAsia="zh-CN"/>
        </w:rPr>
        <w:t>的</w:t>
      </w:r>
      <w:r>
        <w:rPr>
          <w:rFonts w:hint="eastAsia" w:ascii="宋体" w:hAnsi="宋体" w:cs="宋体"/>
          <w:color w:val="auto"/>
          <w:sz w:val="21"/>
          <w:szCs w:val="21"/>
          <w:highlight w:val="none"/>
          <w:lang w:eastAsia="zh-CN"/>
        </w:rPr>
        <w:t>咨询服务</w:t>
      </w:r>
      <w:r>
        <w:rPr>
          <w:rFonts w:hint="eastAsia" w:ascii="宋体" w:hAnsi="宋体" w:eastAsia="宋体" w:cs="宋体"/>
          <w:color w:val="auto"/>
          <w:sz w:val="21"/>
          <w:szCs w:val="21"/>
          <w:highlight w:val="none"/>
          <w:lang w:eastAsia="zh-CN"/>
        </w:rPr>
        <w:t>费报价汇总表（格式见格式五）</w:t>
      </w:r>
      <w:r>
        <w:rPr>
          <w:rFonts w:hint="eastAsia" w:ascii="宋体" w:hAnsi="宋体" w:cs="宋体"/>
          <w:color w:val="auto"/>
          <w:sz w:val="21"/>
          <w:szCs w:val="21"/>
          <w:highlight w:val="none"/>
          <w:lang w:eastAsia="zh-CN"/>
        </w:rPr>
        <w:t>；</w:t>
      </w:r>
    </w:p>
    <w:p w14:paraId="2EB2FE69">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）企业类似业绩证明资料扫描件（格式见格式七）</w:t>
      </w:r>
      <w:r>
        <w:rPr>
          <w:rFonts w:hint="eastAsia" w:ascii="宋体" w:hAnsi="宋体" w:cs="宋体"/>
          <w:color w:val="auto"/>
          <w:sz w:val="21"/>
          <w:szCs w:val="21"/>
          <w:highlight w:val="none"/>
          <w:lang w:eastAsia="zh-CN"/>
        </w:rPr>
        <w:t>；</w:t>
      </w:r>
    </w:p>
    <w:p w14:paraId="1532276F">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）企业业绩获奖证明资料扫描件（格式见格式八）</w:t>
      </w:r>
      <w:r>
        <w:rPr>
          <w:rFonts w:hint="eastAsia" w:ascii="宋体" w:hAnsi="宋体" w:cs="宋体"/>
          <w:color w:val="auto"/>
          <w:sz w:val="21"/>
          <w:szCs w:val="21"/>
          <w:highlight w:val="none"/>
          <w:lang w:eastAsia="zh-CN"/>
        </w:rPr>
        <w:t>；</w:t>
      </w:r>
    </w:p>
    <w:p w14:paraId="28FABC5E">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）项目负责人</w:t>
      </w:r>
      <w:r>
        <w:rPr>
          <w:rFonts w:hint="eastAsia" w:ascii="宋体" w:hAnsi="宋体" w:cs="宋体"/>
          <w:color w:val="auto"/>
          <w:sz w:val="21"/>
          <w:szCs w:val="21"/>
          <w:highlight w:val="none"/>
          <w:lang w:val="en-US" w:eastAsia="zh-CN"/>
        </w:rPr>
        <w:t>从业</w:t>
      </w:r>
      <w:r>
        <w:rPr>
          <w:rFonts w:hint="eastAsia" w:ascii="宋体" w:hAnsi="宋体" w:eastAsia="宋体" w:cs="宋体"/>
          <w:color w:val="auto"/>
          <w:sz w:val="21"/>
          <w:szCs w:val="21"/>
          <w:highlight w:val="none"/>
          <w:lang w:eastAsia="zh-CN"/>
        </w:rPr>
        <w:t>经历及业务能力证明材料扫描件</w:t>
      </w:r>
      <w:r>
        <w:rPr>
          <w:rFonts w:hint="eastAsia" w:ascii="宋体" w:hAnsi="宋体" w:cs="宋体"/>
          <w:color w:val="auto"/>
          <w:sz w:val="21"/>
          <w:szCs w:val="21"/>
          <w:highlight w:val="none"/>
          <w:lang w:eastAsia="zh-CN"/>
        </w:rPr>
        <w:t>；</w:t>
      </w:r>
    </w:p>
    <w:p w14:paraId="7F6CBFDC">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）为本项目拟投入的技术力量。主要包括各专业负责人的职称、执业资格等证明材料，并能保证材料的真实性（格式见格式六）</w:t>
      </w:r>
      <w:r>
        <w:rPr>
          <w:rFonts w:hint="eastAsia" w:ascii="宋体" w:hAnsi="宋体" w:cs="宋体"/>
          <w:color w:val="auto"/>
          <w:sz w:val="21"/>
          <w:szCs w:val="21"/>
          <w:highlight w:val="none"/>
          <w:lang w:eastAsia="zh-CN"/>
        </w:rPr>
        <w:t>；</w:t>
      </w:r>
    </w:p>
    <w:p w14:paraId="116359A6">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）信誉证明材料扫描件</w:t>
      </w:r>
      <w:r>
        <w:rPr>
          <w:rFonts w:hint="eastAsia" w:ascii="宋体" w:hAnsi="宋体" w:cs="宋体"/>
          <w:color w:val="auto"/>
          <w:sz w:val="21"/>
          <w:szCs w:val="21"/>
          <w:highlight w:val="none"/>
          <w:lang w:eastAsia="zh-CN"/>
        </w:rPr>
        <w:t>；</w:t>
      </w:r>
    </w:p>
    <w:p w14:paraId="61B2EAFB">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）投标人认为有必要提供的其他资料。</w:t>
      </w:r>
    </w:p>
    <w:p w14:paraId="3E1F5EE2">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投标人在评标过程中作出的符合法律法规和招标文件规定的澄清确认，构成投标文件的组成部分。</w:t>
      </w:r>
    </w:p>
    <w:p w14:paraId="47DA24C3">
      <w:pPr>
        <w:spacing w:line="36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  签署要求：按格式要求签字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w:t>
      </w:r>
      <w:r>
        <w:rPr>
          <w:rFonts w:hint="eastAsia" w:ascii="宋体" w:hAnsi="宋体" w:cs="宋体"/>
          <w:color w:val="auto"/>
          <w:sz w:val="21"/>
          <w:szCs w:val="21"/>
          <w:highlight w:val="none"/>
          <w:lang w:eastAsia="zh-CN"/>
        </w:rPr>
        <w:t>加盖投标人电子印章</w:t>
      </w:r>
      <w:r>
        <w:rPr>
          <w:rFonts w:hint="eastAsia" w:ascii="宋体" w:hAnsi="宋体" w:eastAsia="宋体" w:cs="宋体"/>
          <w:color w:val="auto"/>
          <w:sz w:val="21"/>
          <w:szCs w:val="21"/>
          <w:highlight w:val="none"/>
          <w:lang w:eastAsia="zh-CN"/>
        </w:rPr>
        <w:t>。</w:t>
      </w:r>
    </w:p>
    <w:p w14:paraId="06564A6F">
      <w:pPr>
        <w:pStyle w:val="7"/>
        <w:spacing w:line="360" w:lineRule="exact"/>
        <w:ind w:left="0" w:firstLine="211" w:firstLineChars="100"/>
        <w:rPr>
          <w:rFonts w:hint="eastAsia" w:ascii="宋体" w:hAnsi="宋体" w:eastAsia="宋体" w:cs="宋体"/>
          <w:color w:val="auto"/>
          <w:sz w:val="21"/>
          <w:szCs w:val="21"/>
          <w:highlight w:val="none"/>
          <w:lang w:eastAsia="zh-CN"/>
        </w:rPr>
      </w:pPr>
      <w:bookmarkStart w:id="325" w:name="_Toc17979"/>
      <w:r>
        <w:rPr>
          <w:rFonts w:hint="eastAsia" w:ascii="宋体" w:hAnsi="宋体" w:eastAsia="宋体" w:cs="宋体"/>
          <w:color w:val="auto"/>
          <w:sz w:val="21"/>
          <w:szCs w:val="21"/>
          <w:highlight w:val="none"/>
          <w:lang w:eastAsia="zh-CN"/>
        </w:rPr>
        <w:t>3、技术文件（含</w:t>
      </w:r>
      <w:r>
        <w:rPr>
          <w:rFonts w:hint="eastAsia" w:ascii="宋体" w:hAnsi="宋体" w:cs="宋体"/>
          <w:color w:val="auto"/>
          <w:sz w:val="21"/>
          <w:szCs w:val="21"/>
          <w:highlight w:val="none"/>
          <w:lang w:eastAsia="zh-CN"/>
        </w:rPr>
        <w:t>服务方案</w:t>
      </w:r>
      <w:r>
        <w:rPr>
          <w:rFonts w:hint="eastAsia" w:ascii="宋体" w:hAnsi="宋体" w:eastAsia="宋体" w:cs="宋体"/>
          <w:color w:val="auto"/>
          <w:sz w:val="21"/>
          <w:szCs w:val="21"/>
          <w:highlight w:val="none"/>
          <w:lang w:eastAsia="zh-CN"/>
        </w:rPr>
        <w:t>部分）编制要求</w:t>
      </w:r>
      <w:bookmarkEnd w:id="325"/>
    </w:p>
    <w:p w14:paraId="55FC1493">
      <w:pPr>
        <w:spacing w:line="36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  技术文件（含</w:t>
      </w:r>
      <w:r>
        <w:rPr>
          <w:rFonts w:hint="eastAsia" w:ascii="宋体" w:hAnsi="宋体" w:cs="宋体"/>
          <w:color w:val="auto"/>
          <w:sz w:val="21"/>
          <w:szCs w:val="21"/>
          <w:highlight w:val="none"/>
          <w:lang w:eastAsia="zh-CN"/>
        </w:rPr>
        <w:t>服务方案</w:t>
      </w:r>
      <w:r>
        <w:rPr>
          <w:rFonts w:hint="eastAsia" w:ascii="宋体" w:hAnsi="宋体" w:eastAsia="宋体" w:cs="宋体"/>
          <w:color w:val="auto"/>
          <w:sz w:val="21"/>
          <w:szCs w:val="21"/>
          <w:highlight w:val="none"/>
          <w:lang w:eastAsia="zh-CN"/>
        </w:rPr>
        <w:t>部分）由下列资料组成：</w:t>
      </w:r>
    </w:p>
    <w:p w14:paraId="56EAB55D">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（1）封面：写明项目名称、商务文件（含资格审查部分、资信业绩部分）、投标人单位及   年   月   日；加盖投标人电子印章；</w:t>
      </w:r>
    </w:p>
    <w:p w14:paraId="5DF5C37E">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（2）目录；</w:t>
      </w:r>
    </w:p>
    <w:p w14:paraId="41B32283">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（3）相关</w:t>
      </w:r>
      <w:r>
        <w:rPr>
          <w:rFonts w:hint="eastAsia" w:ascii="宋体" w:hAnsi="宋体" w:cs="宋体"/>
          <w:color w:val="auto"/>
          <w:sz w:val="21"/>
          <w:szCs w:val="21"/>
          <w:highlight w:val="none"/>
          <w:lang w:eastAsia="zh-CN"/>
        </w:rPr>
        <w:t>服务方案</w:t>
      </w:r>
      <w:r>
        <w:rPr>
          <w:rFonts w:hint="eastAsia" w:ascii="宋体" w:hAnsi="宋体" w:eastAsia="宋体" w:cs="宋体"/>
          <w:color w:val="auto"/>
          <w:sz w:val="21"/>
          <w:szCs w:val="21"/>
          <w:highlight w:val="none"/>
          <w:lang w:eastAsia="zh-CN"/>
        </w:rPr>
        <w:t>说明；</w:t>
      </w:r>
    </w:p>
    <w:p w14:paraId="7E74749D">
      <w:pPr>
        <w:spacing w:line="36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（4）</w:t>
      </w:r>
      <w:r>
        <w:rPr>
          <w:rFonts w:hint="eastAsia" w:ascii="宋体" w:hAnsi="宋体" w:cs="宋体"/>
          <w:color w:val="auto"/>
          <w:sz w:val="21"/>
          <w:szCs w:val="21"/>
          <w:highlight w:val="none"/>
          <w:lang w:val="en-US" w:eastAsia="zh-CN"/>
        </w:rPr>
        <w:t>项目管理方案总体框架、思路；</w:t>
      </w:r>
    </w:p>
    <w:p w14:paraId="7253E861">
      <w:pPr>
        <w:spacing w:line="36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项目管理的工作程序和工作制度；</w:t>
      </w:r>
    </w:p>
    <w:p w14:paraId="46F7E75A">
      <w:pPr>
        <w:spacing w:line="36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项目管理重点难点分析、合理化建议及应对不定性因素的措施；</w:t>
      </w:r>
    </w:p>
    <w:p w14:paraId="02FA7A9A">
      <w:pPr>
        <w:spacing w:line="36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项目过程中与有关部门的协调能力；</w:t>
      </w:r>
    </w:p>
    <w:p w14:paraId="57ABBE56">
      <w:pPr>
        <w:spacing w:line="36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项目总体计划安排；</w:t>
      </w:r>
    </w:p>
    <w:p w14:paraId="226E544A">
      <w:pPr>
        <w:spacing w:line="36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项目质量管理方案和措施；</w:t>
      </w:r>
    </w:p>
    <w:p w14:paraId="4F1A2DBE">
      <w:pPr>
        <w:spacing w:line="36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项目进度管理方案和措施；</w:t>
      </w:r>
    </w:p>
    <w:p w14:paraId="200CC7DE">
      <w:pPr>
        <w:spacing w:line="36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项目投资管理方案和措施；</w:t>
      </w:r>
    </w:p>
    <w:p w14:paraId="4CAFCCC2">
      <w:pPr>
        <w:spacing w:line="36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项目合同、档案及信息管理方案和措施；</w:t>
      </w:r>
    </w:p>
    <w:p w14:paraId="6FC773A3">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项目安全文明施工管理方案和措施</w:t>
      </w:r>
      <w:r>
        <w:rPr>
          <w:rFonts w:hint="eastAsia" w:ascii="宋体" w:hAnsi="宋体" w:eastAsia="宋体" w:cs="宋体"/>
          <w:color w:val="auto"/>
          <w:sz w:val="21"/>
          <w:szCs w:val="21"/>
          <w:highlight w:val="none"/>
          <w:lang w:eastAsia="zh-CN"/>
        </w:rPr>
        <w:t>；</w:t>
      </w:r>
    </w:p>
    <w:p w14:paraId="62D84554">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）投标人认为有必要提供的其他资料。</w:t>
      </w:r>
    </w:p>
    <w:p w14:paraId="798B37EF">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注：投标人在评标过程中作出的符合法律法规和招标文件规定的澄清确认，构成投标文件的组成部分。</w:t>
      </w:r>
    </w:p>
    <w:p w14:paraId="191BEF9B">
      <w:pPr>
        <w:spacing w:line="36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  签署要求：按格式要求签字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w:t>
      </w:r>
      <w:r>
        <w:rPr>
          <w:rFonts w:hint="eastAsia" w:ascii="宋体" w:hAnsi="宋体" w:cs="宋体"/>
          <w:color w:val="auto"/>
          <w:sz w:val="21"/>
          <w:szCs w:val="21"/>
          <w:highlight w:val="none"/>
          <w:lang w:eastAsia="zh-CN"/>
        </w:rPr>
        <w:t>加盖投标人电子印章</w:t>
      </w:r>
      <w:r>
        <w:rPr>
          <w:rFonts w:hint="eastAsia" w:ascii="宋体" w:hAnsi="宋体" w:eastAsia="宋体" w:cs="宋体"/>
          <w:color w:val="auto"/>
          <w:sz w:val="21"/>
          <w:szCs w:val="21"/>
          <w:highlight w:val="none"/>
          <w:lang w:eastAsia="zh-CN"/>
        </w:rPr>
        <w:t>。</w:t>
      </w:r>
    </w:p>
    <w:p w14:paraId="6989A956">
      <w:pPr>
        <w:pStyle w:val="7"/>
        <w:spacing w:line="360" w:lineRule="exact"/>
        <w:ind w:left="0" w:firstLine="211" w:firstLineChars="100"/>
        <w:rPr>
          <w:rFonts w:hint="default" w:ascii="宋体" w:hAnsi="宋体" w:eastAsia="宋体" w:cs="宋体"/>
          <w:color w:val="auto"/>
          <w:sz w:val="21"/>
          <w:szCs w:val="21"/>
          <w:highlight w:val="none"/>
          <w:lang w:val="en-US" w:eastAsia="zh-CN"/>
        </w:rPr>
      </w:pPr>
      <w:bookmarkStart w:id="326" w:name="_Toc13472"/>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备用</w:t>
      </w:r>
      <w:r>
        <w:rPr>
          <w:rFonts w:hint="eastAsia" w:ascii="宋体" w:hAnsi="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编制要求</w:t>
      </w:r>
    </w:p>
    <w:p w14:paraId="5C78E4CA">
      <w:pPr>
        <w:spacing w:line="36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4.1备用U盘</w:t>
      </w:r>
    </w:p>
    <w:p w14:paraId="1E03F4AE">
      <w:pPr>
        <w:spacing w:line="36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（1）投标人可制作非加密的</w:t>
      </w:r>
      <w:r>
        <w:rPr>
          <w:rFonts w:hint="eastAsia" w:ascii="宋体" w:hAnsi="宋体" w:eastAsia="宋体" w:cs="宋体"/>
          <w:color w:val="auto"/>
          <w:sz w:val="21"/>
          <w:szCs w:val="21"/>
          <w:highlight w:val="none"/>
          <w:u w:val="single"/>
          <w:lang w:val="en-US" w:eastAsia="zh-CN"/>
        </w:rPr>
        <w:t>投标</w:t>
      </w:r>
      <w:r>
        <w:rPr>
          <w:rFonts w:hint="eastAsia" w:ascii="宋体" w:hAnsi="宋体" w:eastAsia="宋体" w:cs="宋体"/>
          <w:color w:val="auto"/>
          <w:sz w:val="21"/>
          <w:szCs w:val="21"/>
          <w:highlight w:val="none"/>
          <w:u w:val="single"/>
          <w:lang w:eastAsia="zh-CN"/>
        </w:rPr>
        <w:t>文件</w:t>
      </w:r>
      <w:r>
        <w:rPr>
          <w:rFonts w:hint="eastAsia" w:ascii="宋体" w:hAnsi="宋体" w:eastAsia="宋体" w:cs="宋体"/>
          <w:color w:val="auto"/>
          <w:sz w:val="21"/>
          <w:szCs w:val="21"/>
          <w:highlight w:val="none"/>
          <w:u w:val="single"/>
          <w:lang w:val="en-US" w:eastAsia="zh-CN"/>
        </w:rPr>
        <w:t>U</w:t>
      </w:r>
      <w:r>
        <w:rPr>
          <w:rFonts w:hint="eastAsia" w:ascii="宋体" w:hAnsi="宋体" w:eastAsia="宋体" w:cs="宋体"/>
          <w:color w:val="auto"/>
          <w:sz w:val="21"/>
          <w:szCs w:val="21"/>
          <w:highlight w:val="none"/>
          <w:u w:val="single"/>
          <w:lang w:eastAsia="zh-CN"/>
        </w:rPr>
        <w:t>盘1个，在招标公告规定的时间、地点提交备用。刻录好的投标文件U盘密封在密封袋中。</w:t>
      </w:r>
      <w:r>
        <w:rPr>
          <w:rFonts w:hint="eastAsia" w:ascii="宋体" w:hAnsi="宋体" w:eastAsia="宋体" w:cs="宋体"/>
          <w:color w:val="auto"/>
          <w:sz w:val="21"/>
          <w:szCs w:val="21"/>
          <w:highlight w:val="none"/>
          <w:lang w:eastAsia="zh-CN"/>
        </w:rPr>
        <w:t>密封及包装要求按《投标人须知前附表》条款号4.1.2“封套上应载明的信息”的要求。</w:t>
      </w:r>
    </w:p>
    <w:p w14:paraId="6D75A261">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u w:val="single"/>
          <w:lang w:eastAsia="zh-CN"/>
        </w:rPr>
        <w:t>备用U盘无法读取或导入的，则视为未提交投标文件备用U盘</w:t>
      </w:r>
      <w:r>
        <w:rPr>
          <w:rFonts w:hint="eastAsia" w:ascii="宋体" w:hAnsi="宋体" w:cs="宋体"/>
          <w:color w:val="auto"/>
          <w:sz w:val="21"/>
          <w:szCs w:val="21"/>
          <w:highlight w:val="none"/>
          <w:u w:val="single"/>
          <w:lang w:eastAsia="zh-CN"/>
        </w:rPr>
        <w:t>；</w:t>
      </w:r>
    </w:p>
    <w:p w14:paraId="139C32F9">
      <w:pPr>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按招标公告要求需要提交投标文件备用U盘，不得加密。如使用投标文件备用U盘时无法读取或导入的，则视为未提交投标文件。</w:t>
      </w:r>
    </w:p>
    <w:p w14:paraId="0C2852C5">
      <w:pPr>
        <w:spacing w:line="36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lang w:eastAsia="zh-CN"/>
        </w:rPr>
        <w:t>接收投标文件备用</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lang w:eastAsia="zh-CN"/>
        </w:rPr>
        <w:t>盘时，如果包封上没有按规定密封</w:t>
      </w:r>
      <w:r>
        <w:rPr>
          <w:rFonts w:hint="eastAsia" w:ascii="宋体" w:hAnsi="宋体" w:eastAsia="宋体" w:cs="宋体"/>
          <w:color w:val="auto"/>
          <w:sz w:val="21"/>
          <w:szCs w:val="21"/>
          <w:highlight w:val="none"/>
          <w:lang w:val="en-US" w:eastAsia="zh-CN"/>
        </w:rPr>
        <w:t>填写</w:t>
      </w:r>
      <w:r>
        <w:rPr>
          <w:rFonts w:hint="eastAsia" w:ascii="宋体" w:hAnsi="宋体" w:eastAsia="宋体" w:cs="宋体"/>
          <w:color w:val="auto"/>
          <w:sz w:val="21"/>
          <w:szCs w:val="21"/>
          <w:highlight w:val="none"/>
          <w:lang w:eastAsia="zh-CN"/>
        </w:rPr>
        <w:t>，招标人将不承担投标文件错放或提前开封的责任，由此造成的提前开封的投标文件，招标人予以拒绝，并退还给投标人。</w:t>
      </w:r>
      <w:bookmarkEnd w:id="326"/>
    </w:p>
    <w:p w14:paraId="64CCD45C">
      <w:pPr>
        <w:spacing w:after="0" w:line="360" w:lineRule="exact"/>
        <w:rPr>
          <w:rFonts w:hint="eastAsia" w:ascii="宋体" w:hAnsi="宋体" w:eastAsia="宋体" w:cs="宋体"/>
          <w:color w:val="auto"/>
          <w:sz w:val="21"/>
          <w:szCs w:val="21"/>
          <w:highlight w:val="none"/>
        </w:rPr>
        <w:sectPr>
          <w:headerReference r:id="rId15" w:type="default"/>
          <w:footerReference r:id="rId16" w:type="default"/>
          <w:pgSz w:w="12240" w:h="15840"/>
          <w:pgMar w:top="1400" w:right="1720" w:bottom="1120" w:left="1700" w:header="0" w:footer="921" w:gutter="0"/>
          <w:pgBorders>
            <w:top w:val="none" w:sz="0" w:space="0"/>
            <w:left w:val="none" w:sz="0" w:space="0"/>
            <w:bottom w:val="none" w:sz="0" w:space="0"/>
            <w:right w:val="none" w:sz="0" w:space="0"/>
          </w:pgBorders>
          <w:pgNumType w:fmt="decimal"/>
          <w:cols w:space="720" w:num="1"/>
        </w:sectPr>
      </w:pPr>
    </w:p>
    <w:p w14:paraId="602704A0">
      <w:pPr>
        <w:autoSpaceDE w:val="0"/>
        <w:autoSpaceDN w:val="0"/>
        <w:adjustRightInd w:val="0"/>
        <w:spacing w:line="340" w:lineRule="exact"/>
        <w:ind w:right="-20"/>
        <w:outlineLvl w:val="0"/>
        <w:rPr>
          <w:rFonts w:ascii="宋体" w:hAnsi="宋体" w:cs="宋体"/>
          <w:color w:val="auto"/>
          <w:sz w:val="21"/>
          <w:szCs w:val="21"/>
          <w:highlight w:val="none"/>
        </w:rPr>
      </w:pPr>
      <w:bookmarkStart w:id="327" w:name="_Toc29099"/>
      <w:bookmarkStart w:id="328" w:name="_Toc22356"/>
      <w:r>
        <w:rPr>
          <w:rFonts w:hint="eastAsia" w:ascii="宋体" w:hAnsi="宋体" w:cs="宋体"/>
          <w:color w:val="auto"/>
          <w:spacing w:val="2"/>
          <w:position w:val="-1"/>
          <w:sz w:val="21"/>
          <w:szCs w:val="21"/>
          <w:highlight w:val="none"/>
        </w:rPr>
        <w:t>格式一：投标书</w:t>
      </w:r>
      <w:bookmarkEnd w:id="327"/>
      <w:bookmarkEnd w:id="328"/>
    </w:p>
    <w:p w14:paraId="4603D7C3">
      <w:pPr>
        <w:spacing w:line="34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投标书</w:t>
      </w:r>
    </w:p>
    <w:p w14:paraId="1D7CE716">
      <w:pPr>
        <w:spacing w:line="340" w:lineRule="exact"/>
        <w:rPr>
          <w:rFonts w:ascii="宋体" w:hAnsi="宋体" w:cs="宋体"/>
          <w:color w:val="auto"/>
          <w:szCs w:val="21"/>
          <w:highlight w:val="none"/>
        </w:rPr>
      </w:pPr>
      <w:r>
        <w:rPr>
          <w:rFonts w:hint="eastAsia" w:ascii="宋体" w:hAnsi="宋体" w:cs="宋体"/>
          <w:color w:val="auto"/>
          <w:highlight w:val="none"/>
        </w:rPr>
        <w:t xml:space="preserve"> </w:t>
      </w:r>
    </w:p>
    <w:p w14:paraId="49918D1C">
      <w:pPr>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w:t>
      </w:r>
    </w:p>
    <w:p w14:paraId="3E220D05">
      <w:pPr>
        <w:pStyle w:val="15"/>
        <w:spacing w:line="360" w:lineRule="exact"/>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致：（招标人名称）</w:t>
      </w:r>
    </w:p>
    <w:p w14:paraId="31CCFBE3">
      <w:pPr>
        <w:spacing w:line="360" w:lineRule="exact"/>
        <w:ind w:firstLine="420" w:firstLineChars="200"/>
        <w:rPr>
          <w:rFonts w:hint="eastAsia" w:ascii="宋体" w:hAnsi="宋体" w:eastAsia="宋体" w:cs="宋体"/>
          <w:color w:val="auto"/>
          <w:sz w:val="21"/>
          <w:szCs w:val="21"/>
          <w:highlight w:val="none"/>
          <w:lang w:eastAsia="zh-CN"/>
        </w:rPr>
      </w:pPr>
    </w:p>
    <w:p w14:paraId="7F77F3F4">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我方</w:t>
      </w:r>
      <w:r>
        <w:rPr>
          <w:rFonts w:hint="eastAsia" w:hAnsi="宋体" w:eastAsia="宋体" w:cs="宋体"/>
          <w:color w:val="auto"/>
          <w:sz w:val="21"/>
          <w:szCs w:val="21"/>
          <w:highlight w:val="none"/>
          <w:u w:val="single"/>
          <w:lang w:eastAsia="zh-CN"/>
        </w:rPr>
        <w:t xml:space="preserve">  （投标人名称）  </w:t>
      </w:r>
      <w:r>
        <w:rPr>
          <w:rFonts w:hint="eastAsia" w:hAnsi="宋体" w:eastAsia="宋体" w:cs="宋体"/>
          <w:color w:val="auto"/>
          <w:sz w:val="21"/>
          <w:szCs w:val="21"/>
          <w:highlight w:val="none"/>
          <w:lang w:eastAsia="zh-CN"/>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w:t>
      </w:r>
      <w:r>
        <w:rPr>
          <w:rFonts w:hint="eastAsia" w:hAnsi="宋体" w:eastAsia="宋体" w:cs="宋体"/>
          <w:color w:val="auto"/>
          <w:sz w:val="21"/>
          <w:szCs w:val="21"/>
          <w:highlight w:val="none"/>
          <w:lang w:val="en-US" w:eastAsia="zh-CN"/>
        </w:rPr>
        <w:t>咨询服务</w:t>
      </w:r>
      <w:r>
        <w:rPr>
          <w:rFonts w:hint="eastAsia" w:hAnsi="宋体" w:eastAsia="宋体" w:cs="宋体"/>
          <w:color w:val="auto"/>
          <w:sz w:val="21"/>
          <w:szCs w:val="21"/>
          <w:highlight w:val="none"/>
          <w:lang w:eastAsia="zh-CN"/>
        </w:rPr>
        <w:t>费报价汇总表》的投标总报价，承包本次招标所包含的工作，并承担质量缺陷责任。我方项目负责人是</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。如我司成为本项目中标候选人，我司同意并授权招标人将我司投标文件资信业绩部分的人员、业绩、奖项等资料进行公开。</w:t>
      </w:r>
    </w:p>
    <w:p w14:paraId="18BF9F44">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6A776905">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我方认同招标文件规定的评审规则，遵守评标委员会的裁决结果，并且不会采取妨碍项目进展的行为。我方理解你方没有必须接受你方可能收到的最低标或任何投标的义务。</w:t>
      </w:r>
    </w:p>
    <w:p w14:paraId="37E2C735">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如果我方中标，我方将提供规定的履约担保，将在合同规定的日期开工，并在竣工时间内，按照上述文件完成项目。</w:t>
      </w:r>
    </w:p>
    <w:p w14:paraId="4B459F53">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除非制订正式合同协议书并生效，本投标书以及你方中标通知书，应构成你我双方间具有约束力的合同。</w:t>
      </w:r>
    </w:p>
    <w:p w14:paraId="41CABADA">
      <w:pPr>
        <w:spacing w:line="360" w:lineRule="exact"/>
        <w:ind w:firstLine="420" w:firstLineChars="200"/>
        <w:rPr>
          <w:rFonts w:hint="eastAsia" w:ascii="宋体" w:hAnsi="宋体" w:eastAsia="宋体" w:cs="宋体"/>
          <w:color w:val="auto"/>
          <w:sz w:val="21"/>
          <w:szCs w:val="21"/>
          <w:highlight w:val="none"/>
          <w:lang w:eastAsia="zh-CN"/>
        </w:rPr>
      </w:pPr>
    </w:p>
    <w:p w14:paraId="3FB89DED">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投标人：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（盖章）</w:t>
      </w:r>
    </w:p>
    <w:p w14:paraId="156D4B9B">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法定代表人：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（签字或</w:t>
      </w:r>
      <w:r>
        <w:rPr>
          <w:rFonts w:hint="eastAsia" w:hAnsi="宋体" w:eastAsia="宋体" w:cs="宋体"/>
          <w:color w:val="auto"/>
          <w:sz w:val="21"/>
          <w:szCs w:val="21"/>
          <w:highlight w:val="none"/>
          <w:lang w:val="en-US" w:eastAsia="zh-CN"/>
        </w:rPr>
        <w:t>签章</w:t>
      </w:r>
      <w:r>
        <w:rPr>
          <w:rFonts w:hint="eastAsia" w:hAnsi="宋体" w:eastAsia="宋体" w:cs="宋体"/>
          <w:color w:val="auto"/>
          <w:sz w:val="21"/>
          <w:szCs w:val="21"/>
          <w:highlight w:val="none"/>
          <w:lang w:eastAsia="zh-CN"/>
        </w:rPr>
        <w:t>）</w:t>
      </w:r>
    </w:p>
    <w:p w14:paraId="7C86DAC8">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委托代理人：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（签字或</w:t>
      </w:r>
      <w:r>
        <w:rPr>
          <w:rFonts w:hint="eastAsia" w:hAnsi="宋体" w:eastAsia="宋体" w:cs="宋体"/>
          <w:color w:val="auto"/>
          <w:sz w:val="21"/>
          <w:szCs w:val="21"/>
          <w:highlight w:val="none"/>
          <w:lang w:val="en-US" w:eastAsia="zh-CN"/>
        </w:rPr>
        <w:t>签章</w:t>
      </w:r>
      <w:r>
        <w:rPr>
          <w:rFonts w:hint="eastAsia" w:hAnsi="宋体" w:eastAsia="宋体" w:cs="宋体"/>
          <w:color w:val="auto"/>
          <w:sz w:val="21"/>
          <w:szCs w:val="21"/>
          <w:highlight w:val="none"/>
          <w:lang w:eastAsia="zh-CN"/>
        </w:rPr>
        <w:t>）</w:t>
      </w:r>
    </w:p>
    <w:p w14:paraId="48DF336D">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地址：</w:t>
      </w:r>
    </w:p>
    <w:p w14:paraId="6A36F50A">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邮政编码：</w:t>
      </w:r>
    </w:p>
    <w:p w14:paraId="63ED064F">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电话/传真：</w:t>
      </w:r>
      <w:r>
        <w:rPr>
          <w:rFonts w:hint="eastAsia" w:hAnsi="宋体" w:eastAsia="宋体" w:cs="宋体"/>
          <w:color w:val="auto"/>
          <w:sz w:val="21"/>
          <w:szCs w:val="21"/>
          <w:highlight w:val="none"/>
          <w:u w:val="single"/>
          <w:lang w:eastAsia="zh-CN"/>
        </w:rPr>
        <w:t xml:space="preserve">                    /FAX              </w:t>
      </w:r>
    </w:p>
    <w:p w14:paraId="319B3F87">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电子邮箱：</w:t>
      </w:r>
    </w:p>
    <w:p w14:paraId="0A5D0E33">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开户银行名称、帐号：</w:t>
      </w:r>
    </w:p>
    <w:p w14:paraId="2602D04B">
      <w:pPr>
        <w:pStyle w:val="15"/>
        <w:spacing w:line="360" w:lineRule="exact"/>
        <w:ind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开户行地址/电话：</w:t>
      </w:r>
    </w:p>
    <w:p w14:paraId="256DDB39">
      <w:pPr>
        <w:pStyle w:val="15"/>
        <w:spacing w:line="360" w:lineRule="exact"/>
        <w:ind w:firstLine="420" w:firstLineChars="200"/>
        <w:rPr>
          <w:rFonts w:hint="eastAsia" w:hAnsi="宋体" w:eastAsia="宋体" w:cs="宋体"/>
          <w:color w:val="auto"/>
          <w:sz w:val="21"/>
          <w:szCs w:val="21"/>
          <w:highlight w:val="none"/>
          <w:lang w:eastAsia="zh-CN"/>
        </w:rPr>
      </w:pPr>
    </w:p>
    <w:p w14:paraId="176A33AD">
      <w:pPr>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日期：       年    月    日</w:t>
      </w:r>
    </w:p>
    <w:p w14:paraId="2B952677">
      <w:pPr>
        <w:spacing w:line="360" w:lineRule="exact"/>
        <w:rPr>
          <w:rFonts w:hint="eastAsia" w:ascii="宋体" w:hAnsi="宋体" w:cs="宋体"/>
          <w:color w:val="auto"/>
          <w:sz w:val="21"/>
          <w:szCs w:val="21"/>
          <w:highlight w:val="none"/>
          <w:u w:val="single"/>
        </w:rPr>
      </w:pPr>
    </w:p>
    <w:p w14:paraId="4F70847B">
      <w:pPr>
        <w:spacing w:line="360" w:lineRule="exact"/>
        <w:rPr>
          <w:rFonts w:hint="eastAsia" w:ascii="宋体" w:hAnsi="宋体" w:cs="宋体"/>
          <w:color w:val="auto"/>
          <w:sz w:val="21"/>
          <w:szCs w:val="21"/>
          <w:highlight w:val="none"/>
          <w:u w:val="single"/>
        </w:rPr>
      </w:pPr>
    </w:p>
    <w:p w14:paraId="394D985D">
      <w:pPr>
        <w:rPr>
          <w:rFonts w:hint="eastAsia" w:ascii="宋体" w:hAnsi="宋体"/>
          <w:color w:val="auto"/>
          <w:highlight w:val="none"/>
        </w:rPr>
      </w:pPr>
      <w:r>
        <w:rPr>
          <w:rFonts w:hint="eastAsia" w:ascii="宋体" w:hAnsi="宋体"/>
          <w:color w:val="auto"/>
          <w:highlight w:val="none"/>
        </w:rPr>
        <w:br w:type="page"/>
      </w:r>
    </w:p>
    <w:p w14:paraId="01C54410">
      <w:pPr>
        <w:jc w:val="center"/>
        <w:rPr>
          <w:rFonts w:hint="eastAsia" w:ascii="宋体" w:hAnsi="宋体"/>
          <w:bCs/>
          <w:color w:val="auto"/>
          <w:sz w:val="24"/>
          <w:szCs w:val="24"/>
          <w:highlight w:val="none"/>
        </w:rPr>
      </w:pPr>
    </w:p>
    <w:p w14:paraId="60867BBE">
      <w:pPr>
        <w:jc w:val="center"/>
        <w:rPr>
          <w:rFonts w:hint="eastAsia" w:ascii="宋体" w:hAnsi="宋体"/>
          <w:bCs/>
          <w:color w:val="auto"/>
          <w:sz w:val="24"/>
          <w:szCs w:val="24"/>
          <w:highlight w:val="none"/>
        </w:rPr>
      </w:pPr>
    </w:p>
    <w:p w14:paraId="05063FB0">
      <w:pPr>
        <w:jc w:val="center"/>
        <w:rPr>
          <w:rFonts w:ascii="宋体" w:hAnsi="宋体"/>
          <w:color w:val="auto"/>
          <w:sz w:val="23"/>
          <w:szCs w:val="23"/>
          <w:highlight w:val="none"/>
        </w:rPr>
      </w:pPr>
      <w:r>
        <w:rPr>
          <w:rFonts w:hint="eastAsia" w:ascii="宋体" w:hAnsi="宋体"/>
          <w:bCs/>
          <w:color w:val="auto"/>
          <w:sz w:val="24"/>
          <w:szCs w:val="24"/>
          <w:highlight w:val="none"/>
        </w:rPr>
        <w:t>投标书附录</w:t>
      </w:r>
    </w:p>
    <w:tbl>
      <w:tblPr>
        <w:tblStyle w:val="26"/>
        <w:tblW w:w="4998" w:type="pct"/>
        <w:jc w:val="center"/>
        <w:tblLayout w:type="autofit"/>
        <w:tblCellMar>
          <w:top w:w="0" w:type="dxa"/>
          <w:left w:w="0" w:type="dxa"/>
          <w:bottom w:w="0" w:type="dxa"/>
          <w:right w:w="0" w:type="dxa"/>
        </w:tblCellMar>
      </w:tblPr>
      <w:tblGrid>
        <w:gridCol w:w="1391"/>
        <w:gridCol w:w="3156"/>
        <w:gridCol w:w="3058"/>
        <w:gridCol w:w="2039"/>
      </w:tblGrid>
      <w:tr w14:paraId="46071569">
        <w:tblPrEx>
          <w:tblCellMar>
            <w:top w:w="0" w:type="dxa"/>
            <w:left w:w="0" w:type="dxa"/>
            <w:bottom w:w="0" w:type="dxa"/>
            <w:right w:w="0" w:type="dxa"/>
          </w:tblCellMar>
        </w:tblPrEx>
        <w:trPr>
          <w:trHeight w:val="514" w:hRule="atLeast"/>
          <w:jc w:val="center"/>
        </w:trPr>
        <w:tc>
          <w:tcPr>
            <w:tcW w:w="721" w:type="pct"/>
            <w:tcBorders>
              <w:top w:val="single" w:color="000000" w:sz="4" w:space="0"/>
              <w:left w:val="single" w:color="000000" w:sz="4" w:space="0"/>
              <w:bottom w:val="single" w:color="000000" w:sz="4" w:space="0"/>
              <w:right w:val="single" w:color="000000" w:sz="4" w:space="0"/>
            </w:tcBorders>
            <w:vAlign w:val="center"/>
          </w:tcPr>
          <w:p w14:paraId="5AC4CFDD">
            <w:pPr>
              <w:pStyle w:val="37"/>
              <w:kinsoku w:val="0"/>
              <w:overflowPunct w:val="0"/>
              <w:spacing w:before="92"/>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636" w:type="pct"/>
            <w:tcBorders>
              <w:top w:val="single" w:color="000000" w:sz="4" w:space="0"/>
              <w:left w:val="nil"/>
              <w:bottom w:val="single" w:color="000000" w:sz="4" w:space="0"/>
              <w:right w:val="single" w:color="000000" w:sz="4" w:space="0"/>
            </w:tcBorders>
            <w:vAlign w:val="center"/>
          </w:tcPr>
          <w:p w14:paraId="020DFD81">
            <w:pPr>
              <w:pStyle w:val="37"/>
              <w:kinsoku w:val="0"/>
              <w:overflowPunct w:val="0"/>
              <w:spacing w:before="92"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条款名称</w:t>
            </w:r>
          </w:p>
        </w:tc>
        <w:tc>
          <w:tcPr>
            <w:tcW w:w="1585" w:type="pct"/>
            <w:tcBorders>
              <w:top w:val="single" w:color="000000" w:sz="4" w:space="0"/>
              <w:left w:val="nil"/>
              <w:bottom w:val="single" w:color="000000" w:sz="4" w:space="0"/>
              <w:right w:val="single" w:color="000000" w:sz="4" w:space="0"/>
            </w:tcBorders>
            <w:vAlign w:val="center"/>
          </w:tcPr>
          <w:p w14:paraId="3B32B007">
            <w:pPr>
              <w:pStyle w:val="37"/>
              <w:kinsoku w:val="0"/>
              <w:overflowPunct w:val="0"/>
              <w:spacing w:before="92"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约定内容</w:t>
            </w:r>
          </w:p>
        </w:tc>
        <w:tc>
          <w:tcPr>
            <w:tcW w:w="1057" w:type="pct"/>
            <w:tcBorders>
              <w:top w:val="single" w:color="000000" w:sz="4" w:space="0"/>
              <w:left w:val="nil"/>
              <w:bottom w:val="single" w:color="000000" w:sz="4" w:space="0"/>
              <w:right w:val="single" w:color="000000" w:sz="4" w:space="0"/>
            </w:tcBorders>
            <w:vAlign w:val="center"/>
          </w:tcPr>
          <w:p w14:paraId="6F009703">
            <w:pPr>
              <w:pStyle w:val="37"/>
              <w:kinsoku w:val="0"/>
              <w:overflowPunct w:val="0"/>
              <w:spacing w:before="92" w:line="240" w:lineRule="auto"/>
              <w:ind w:right="3"/>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14:paraId="29AB5F49">
        <w:tblPrEx>
          <w:tblCellMar>
            <w:top w:w="0" w:type="dxa"/>
            <w:left w:w="0" w:type="dxa"/>
            <w:bottom w:w="0" w:type="dxa"/>
            <w:right w:w="0" w:type="dxa"/>
          </w:tblCellMar>
        </w:tblPrEx>
        <w:trPr>
          <w:trHeight w:val="514" w:hRule="atLeast"/>
          <w:jc w:val="center"/>
        </w:trPr>
        <w:tc>
          <w:tcPr>
            <w:tcW w:w="721" w:type="pct"/>
            <w:tcBorders>
              <w:top w:val="single" w:color="000000" w:sz="4" w:space="0"/>
              <w:left w:val="single" w:color="000000" w:sz="4" w:space="0"/>
              <w:bottom w:val="single" w:color="000000" w:sz="4" w:space="0"/>
              <w:right w:val="single" w:color="000000" w:sz="4" w:space="0"/>
            </w:tcBorders>
            <w:vAlign w:val="center"/>
          </w:tcPr>
          <w:p w14:paraId="719B3074">
            <w:pPr>
              <w:pStyle w:val="37"/>
              <w:kinsoku w:val="0"/>
              <w:overflowPunct w:val="0"/>
              <w:spacing w:before="93"/>
              <w:jc w:val="center"/>
              <w:rPr>
                <w:rFonts w:ascii="宋体" w:hAnsi="宋体" w:eastAsia="宋体"/>
                <w:color w:val="auto"/>
                <w:sz w:val="21"/>
                <w:szCs w:val="21"/>
                <w:highlight w:val="none"/>
              </w:rPr>
            </w:pPr>
            <w:r>
              <w:rPr>
                <w:rFonts w:ascii="宋体" w:hAnsi="宋体" w:eastAsia="宋体"/>
                <w:color w:val="auto"/>
                <w:sz w:val="21"/>
                <w:szCs w:val="21"/>
                <w:highlight w:val="none"/>
              </w:rPr>
              <w:t>1</w:t>
            </w:r>
          </w:p>
        </w:tc>
        <w:tc>
          <w:tcPr>
            <w:tcW w:w="1636" w:type="pct"/>
            <w:tcBorders>
              <w:top w:val="single" w:color="000000" w:sz="4" w:space="0"/>
              <w:left w:val="nil"/>
              <w:bottom w:val="single" w:color="000000" w:sz="4" w:space="0"/>
              <w:right w:val="single" w:color="000000" w:sz="4" w:space="0"/>
            </w:tcBorders>
            <w:vAlign w:val="center"/>
          </w:tcPr>
          <w:p w14:paraId="6153FBE1">
            <w:pPr>
              <w:pStyle w:val="37"/>
              <w:kinsoku w:val="0"/>
              <w:overflowPunct w:val="0"/>
              <w:spacing w:before="106"/>
              <w:jc w:val="center"/>
              <w:rPr>
                <w:rFonts w:ascii="宋体" w:hAnsi="宋体" w:eastAsia="宋体"/>
                <w:color w:val="auto"/>
                <w:sz w:val="21"/>
                <w:szCs w:val="21"/>
                <w:highlight w:val="none"/>
              </w:rPr>
            </w:pPr>
            <w:r>
              <w:rPr>
                <w:rFonts w:hint="eastAsia" w:ascii="宋体" w:hAnsi="宋体" w:eastAsia="宋体"/>
                <w:color w:val="auto"/>
                <w:spacing w:val="-1"/>
                <w:sz w:val="21"/>
                <w:szCs w:val="21"/>
                <w:highlight w:val="none"/>
              </w:rPr>
              <w:t>项目负责人</w:t>
            </w:r>
          </w:p>
        </w:tc>
        <w:tc>
          <w:tcPr>
            <w:tcW w:w="1585" w:type="pct"/>
            <w:tcBorders>
              <w:top w:val="single" w:color="000000" w:sz="4" w:space="0"/>
              <w:left w:val="nil"/>
              <w:bottom w:val="single" w:color="000000" w:sz="4" w:space="0"/>
              <w:right w:val="single" w:color="000000" w:sz="4" w:space="0"/>
            </w:tcBorders>
            <w:vAlign w:val="center"/>
          </w:tcPr>
          <w:p w14:paraId="3D785DF9">
            <w:pPr>
              <w:pStyle w:val="37"/>
              <w:kinsoku w:val="0"/>
              <w:overflowPunct w:val="0"/>
              <w:spacing w:before="94"/>
              <w:ind w:left="0" w:firstLine="210" w:firstLineChars="1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057" w:type="pct"/>
            <w:tcBorders>
              <w:top w:val="single" w:color="000000" w:sz="4" w:space="0"/>
              <w:left w:val="nil"/>
              <w:bottom w:val="single" w:color="000000" w:sz="4" w:space="0"/>
              <w:right w:val="single" w:color="000000" w:sz="4" w:space="0"/>
            </w:tcBorders>
            <w:vAlign w:val="center"/>
          </w:tcPr>
          <w:p w14:paraId="35E05FFB">
            <w:pPr>
              <w:jc w:val="center"/>
              <w:rPr>
                <w:rFonts w:ascii="宋体" w:hAnsi="宋体" w:cs="Calibri"/>
                <w:color w:val="auto"/>
                <w:sz w:val="21"/>
                <w:szCs w:val="21"/>
                <w:highlight w:val="none"/>
              </w:rPr>
            </w:pPr>
          </w:p>
        </w:tc>
      </w:tr>
      <w:tr w14:paraId="4BE208BD">
        <w:tblPrEx>
          <w:tblCellMar>
            <w:top w:w="0" w:type="dxa"/>
            <w:left w:w="0" w:type="dxa"/>
            <w:bottom w:w="0" w:type="dxa"/>
            <w:right w:w="0" w:type="dxa"/>
          </w:tblCellMar>
        </w:tblPrEx>
        <w:trPr>
          <w:trHeight w:val="514" w:hRule="atLeast"/>
          <w:jc w:val="center"/>
        </w:trPr>
        <w:tc>
          <w:tcPr>
            <w:tcW w:w="721" w:type="pct"/>
            <w:tcBorders>
              <w:top w:val="single" w:color="000000" w:sz="4" w:space="0"/>
              <w:left w:val="single" w:color="000000" w:sz="4" w:space="0"/>
              <w:bottom w:val="single" w:color="000000" w:sz="4" w:space="0"/>
              <w:right w:val="single" w:color="000000" w:sz="4" w:space="0"/>
            </w:tcBorders>
            <w:vAlign w:val="center"/>
          </w:tcPr>
          <w:p w14:paraId="221AC5E2">
            <w:pPr>
              <w:pStyle w:val="37"/>
              <w:kinsoku w:val="0"/>
              <w:overflowPunct w:val="0"/>
              <w:spacing w:before="91"/>
              <w:jc w:val="center"/>
              <w:rPr>
                <w:rFonts w:ascii="宋体" w:hAnsi="宋体" w:eastAsia="宋体"/>
                <w:color w:val="auto"/>
                <w:sz w:val="21"/>
                <w:szCs w:val="21"/>
                <w:highlight w:val="none"/>
              </w:rPr>
            </w:pPr>
            <w:r>
              <w:rPr>
                <w:rFonts w:ascii="宋体" w:hAnsi="宋体" w:eastAsia="宋体"/>
                <w:color w:val="auto"/>
                <w:sz w:val="21"/>
                <w:szCs w:val="21"/>
                <w:highlight w:val="none"/>
              </w:rPr>
              <w:t>2</w:t>
            </w:r>
          </w:p>
        </w:tc>
        <w:tc>
          <w:tcPr>
            <w:tcW w:w="1636" w:type="pct"/>
            <w:tcBorders>
              <w:top w:val="single" w:color="000000" w:sz="4" w:space="0"/>
              <w:left w:val="nil"/>
              <w:bottom w:val="single" w:color="000000" w:sz="4" w:space="0"/>
              <w:right w:val="single" w:color="000000" w:sz="4" w:space="0"/>
            </w:tcBorders>
            <w:vAlign w:val="center"/>
          </w:tcPr>
          <w:p w14:paraId="3D35A6F7">
            <w:pPr>
              <w:pStyle w:val="37"/>
              <w:kinsoku w:val="0"/>
              <w:overflowPunct w:val="0"/>
              <w:spacing w:before="106"/>
              <w:jc w:val="center"/>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投标内容</w:t>
            </w:r>
          </w:p>
        </w:tc>
        <w:tc>
          <w:tcPr>
            <w:tcW w:w="1585" w:type="pct"/>
            <w:tcBorders>
              <w:top w:val="single" w:color="000000" w:sz="4" w:space="0"/>
              <w:left w:val="nil"/>
              <w:bottom w:val="single" w:color="000000" w:sz="4" w:space="0"/>
              <w:right w:val="single" w:color="000000" w:sz="4" w:space="0"/>
            </w:tcBorders>
            <w:vAlign w:val="center"/>
          </w:tcPr>
          <w:p w14:paraId="19E34D78">
            <w:pPr>
              <w:ind w:left="-7" w:leftChars="-3" w:firstLine="160" w:firstLineChars="77"/>
              <w:jc w:val="center"/>
              <w:rPr>
                <w:rFonts w:hint="eastAsia" w:ascii="宋体" w:hAnsi="宋体" w:eastAsia="宋体"/>
                <w:color w:val="auto"/>
                <w:spacing w:val="-1"/>
                <w:sz w:val="21"/>
                <w:szCs w:val="21"/>
                <w:highlight w:val="none"/>
                <w:lang w:eastAsia="zh-CN"/>
              </w:rPr>
            </w:pPr>
            <w:r>
              <w:rPr>
                <w:rFonts w:hint="eastAsia" w:ascii="宋体" w:hAnsi="宋体"/>
                <w:color w:val="auto"/>
                <w:spacing w:val="-1"/>
                <w:sz w:val="21"/>
                <w:szCs w:val="21"/>
                <w:highlight w:val="none"/>
              </w:rPr>
              <w:t>按招标文件要求</w:t>
            </w:r>
            <w:r>
              <w:rPr>
                <w:rFonts w:hint="eastAsia" w:ascii="宋体" w:hAnsi="宋体"/>
                <w:color w:val="auto"/>
                <w:spacing w:val="-1"/>
                <w:sz w:val="21"/>
                <w:szCs w:val="21"/>
                <w:highlight w:val="none"/>
                <w:lang w:eastAsia="zh-CN"/>
              </w:rPr>
              <w:t>。</w:t>
            </w:r>
          </w:p>
        </w:tc>
        <w:tc>
          <w:tcPr>
            <w:tcW w:w="1057" w:type="pct"/>
            <w:tcBorders>
              <w:top w:val="single" w:color="000000" w:sz="4" w:space="0"/>
              <w:left w:val="nil"/>
              <w:bottom w:val="single" w:color="000000" w:sz="4" w:space="0"/>
              <w:right w:val="single" w:color="000000" w:sz="4" w:space="0"/>
            </w:tcBorders>
            <w:vAlign w:val="center"/>
          </w:tcPr>
          <w:p w14:paraId="75132F6E">
            <w:pPr>
              <w:jc w:val="center"/>
              <w:rPr>
                <w:rFonts w:ascii="宋体" w:hAnsi="宋体" w:cs="Calibri"/>
                <w:color w:val="auto"/>
                <w:sz w:val="21"/>
                <w:szCs w:val="21"/>
                <w:highlight w:val="none"/>
              </w:rPr>
            </w:pPr>
          </w:p>
        </w:tc>
      </w:tr>
      <w:tr w14:paraId="6C803E7C">
        <w:tblPrEx>
          <w:tblCellMar>
            <w:top w:w="0" w:type="dxa"/>
            <w:left w:w="0" w:type="dxa"/>
            <w:bottom w:w="0" w:type="dxa"/>
            <w:right w:w="0" w:type="dxa"/>
          </w:tblCellMar>
        </w:tblPrEx>
        <w:trPr>
          <w:trHeight w:val="514" w:hRule="atLeast"/>
          <w:jc w:val="center"/>
        </w:trPr>
        <w:tc>
          <w:tcPr>
            <w:tcW w:w="721" w:type="pct"/>
            <w:tcBorders>
              <w:top w:val="single" w:color="000000" w:sz="4" w:space="0"/>
              <w:left w:val="single" w:color="000000" w:sz="4" w:space="0"/>
              <w:bottom w:val="single" w:color="000000" w:sz="4" w:space="0"/>
              <w:right w:val="single" w:color="000000" w:sz="4" w:space="0"/>
            </w:tcBorders>
            <w:vAlign w:val="center"/>
          </w:tcPr>
          <w:p w14:paraId="7AD3EE6F">
            <w:pPr>
              <w:pStyle w:val="37"/>
              <w:kinsoku w:val="0"/>
              <w:overflowPunct w:val="0"/>
              <w:spacing w:before="93"/>
              <w:jc w:val="center"/>
              <w:rPr>
                <w:rFonts w:ascii="宋体" w:hAnsi="宋体" w:eastAsia="宋体"/>
                <w:color w:val="auto"/>
                <w:sz w:val="21"/>
                <w:szCs w:val="21"/>
                <w:highlight w:val="none"/>
              </w:rPr>
            </w:pPr>
            <w:r>
              <w:rPr>
                <w:rFonts w:ascii="宋体" w:hAnsi="宋体" w:eastAsia="宋体"/>
                <w:color w:val="auto"/>
                <w:sz w:val="21"/>
                <w:szCs w:val="21"/>
                <w:highlight w:val="none"/>
              </w:rPr>
              <w:t>3</w:t>
            </w:r>
          </w:p>
        </w:tc>
        <w:tc>
          <w:tcPr>
            <w:tcW w:w="1636" w:type="pct"/>
            <w:tcBorders>
              <w:top w:val="single" w:color="000000" w:sz="4" w:space="0"/>
              <w:left w:val="nil"/>
              <w:bottom w:val="single" w:color="000000" w:sz="4" w:space="0"/>
              <w:right w:val="single" w:color="000000" w:sz="4" w:space="0"/>
            </w:tcBorders>
            <w:vAlign w:val="center"/>
          </w:tcPr>
          <w:p w14:paraId="08F743DA">
            <w:pPr>
              <w:pStyle w:val="37"/>
              <w:kinsoku w:val="0"/>
              <w:overflowPunct w:val="0"/>
              <w:spacing w:before="106"/>
              <w:jc w:val="center"/>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服务期限</w:t>
            </w:r>
          </w:p>
        </w:tc>
        <w:tc>
          <w:tcPr>
            <w:tcW w:w="1585" w:type="pct"/>
            <w:tcBorders>
              <w:top w:val="single" w:color="000000" w:sz="4" w:space="0"/>
              <w:left w:val="nil"/>
              <w:bottom w:val="single" w:color="000000" w:sz="4" w:space="0"/>
              <w:right w:val="single" w:color="000000" w:sz="4" w:space="0"/>
            </w:tcBorders>
            <w:vAlign w:val="center"/>
          </w:tcPr>
          <w:p w14:paraId="330A14D9">
            <w:pPr>
              <w:ind w:left="-7" w:leftChars="-3" w:firstLine="160" w:firstLineChars="77"/>
              <w:jc w:val="center"/>
              <w:rPr>
                <w:rFonts w:ascii="宋体" w:hAnsi="宋体" w:cs="Calibri"/>
                <w:color w:val="auto"/>
                <w:spacing w:val="-1"/>
                <w:sz w:val="21"/>
                <w:szCs w:val="21"/>
                <w:highlight w:val="none"/>
              </w:rPr>
            </w:pPr>
            <w:r>
              <w:rPr>
                <w:rFonts w:hint="eastAsia" w:ascii="宋体" w:hAnsi="宋体"/>
                <w:color w:val="auto"/>
                <w:spacing w:val="-1"/>
                <w:sz w:val="21"/>
                <w:szCs w:val="21"/>
                <w:highlight w:val="none"/>
              </w:rPr>
              <w:t>自咨询合同生效之日起至本项目工程联合竣工验收合格且装修质量缺陷责任保证期期满之日止。</w:t>
            </w:r>
          </w:p>
        </w:tc>
        <w:tc>
          <w:tcPr>
            <w:tcW w:w="1057" w:type="pct"/>
            <w:tcBorders>
              <w:top w:val="single" w:color="000000" w:sz="4" w:space="0"/>
              <w:left w:val="nil"/>
              <w:bottom w:val="single" w:color="000000" w:sz="4" w:space="0"/>
              <w:right w:val="single" w:color="000000" w:sz="4" w:space="0"/>
            </w:tcBorders>
            <w:vAlign w:val="center"/>
          </w:tcPr>
          <w:p w14:paraId="4EB3B08F">
            <w:pPr>
              <w:jc w:val="center"/>
              <w:rPr>
                <w:rFonts w:ascii="宋体" w:hAnsi="宋体" w:cs="Calibri"/>
                <w:color w:val="auto"/>
                <w:sz w:val="21"/>
                <w:szCs w:val="21"/>
                <w:highlight w:val="none"/>
              </w:rPr>
            </w:pPr>
          </w:p>
        </w:tc>
      </w:tr>
      <w:tr w14:paraId="0B2D1F51">
        <w:tblPrEx>
          <w:tblCellMar>
            <w:top w:w="0" w:type="dxa"/>
            <w:left w:w="0" w:type="dxa"/>
            <w:bottom w:w="0" w:type="dxa"/>
            <w:right w:w="0" w:type="dxa"/>
          </w:tblCellMar>
        </w:tblPrEx>
        <w:trPr>
          <w:trHeight w:val="514" w:hRule="atLeast"/>
          <w:jc w:val="center"/>
        </w:trPr>
        <w:tc>
          <w:tcPr>
            <w:tcW w:w="721" w:type="pct"/>
            <w:tcBorders>
              <w:top w:val="single" w:color="000000" w:sz="4" w:space="0"/>
              <w:left w:val="single" w:color="000000" w:sz="4" w:space="0"/>
              <w:bottom w:val="single" w:color="000000" w:sz="4" w:space="0"/>
              <w:right w:val="single" w:color="000000" w:sz="4" w:space="0"/>
            </w:tcBorders>
            <w:vAlign w:val="center"/>
          </w:tcPr>
          <w:p w14:paraId="293143D0">
            <w:pPr>
              <w:pStyle w:val="37"/>
              <w:kinsoku w:val="0"/>
              <w:overflowPunct w:val="0"/>
              <w:spacing w:line="234"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4</w:t>
            </w:r>
          </w:p>
        </w:tc>
        <w:tc>
          <w:tcPr>
            <w:tcW w:w="1636" w:type="pct"/>
            <w:tcBorders>
              <w:top w:val="single" w:color="000000" w:sz="4" w:space="0"/>
              <w:left w:val="nil"/>
              <w:bottom w:val="single" w:color="000000" w:sz="4" w:space="0"/>
              <w:right w:val="single" w:color="000000" w:sz="4" w:space="0"/>
            </w:tcBorders>
            <w:vAlign w:val="center"/>
          </w:tcPr>
          <w:p w14:paraId="5C5C69A2">
            <w:pPr>
              <w:pStyle w:val="37"/>
              <w:kinsoku w:val="0"/>
              <w:overflowPunct w:val="0"/>
              <w:spacing w:line="240" w:lineRule="auto"/>
              <w:jc w:val="center"/>
              <w:rPr>
                <w:rFonts w:ascii="宋体" w:hAnsi="宋体" w:eastAsia="宋体"/>
                <w:color w:val="auto"/>
                <w:spacing w:val="-1"/>
                <w:sz w:val="21"/>
                <w:szCs w:val="21"/>
                <w:highlight w:val="none"/>
              </w:rPr>
            </w:pPr>
            <w:r>
              <w:rPr>
                <w:rFonts w:hint="eastAsia" w:ascii="宋体" w:hAnsi="宋体" w:eastAsia="宋体"/>
                <w:color w:val="auto"/>
                <w:spacing w:val="-1"/>
                <w:sz w:val="21"/>
                <w:szCs w:val="21"/>
                <w:highlight w:val="none"/>
                <w:lang w:eastAsia="zh-CN"/>
              </w:rPr>
              <w:t>质量标准</w:t>
            </w:r>
          </w:p>
        </w:tc>
        <w:tc>
          <w:tcPr>
            <w:tcW w:w="1585" w:type="pct"/>
            <w:tcBorders>
              <w:top w:val="single" w:color="000000" w:sz="4" w:space="0"/>
              <w:left w:val="nil"/>
              <w:bottom w:val="single" w:color="000000" w:sz="4" w:space="0"/>
              <w:right w:val="single" w:color="000000" w:sz="4" w:space="0"/>
            </w:tcBorders>
            <w:vAlign w:val="center"/>
          </w:tcPr>
          <w:p w14:paraId="28B22382">
            <w:pPr>
              <w:ind w:left="-7" w:leftChars="-3" w:firstLine="160" w:firstLineChars="77"/>
              <w:jc w:val="center"/>
              <w:rPr>
                <w:rFonts w:ascii="宋体" w:hAnsi="宋体" w:cs="Calibri"/>
                <w:color w:val="auto"/>
                <w:spacing w:val="-1"/>
                <w:sz w:val="21"/>
                <w:szCs w:val="21"/>
                <w:highlight w:val="none"/>
              </w:rPr>
            </w:pPr>
            <w:r>
              <w:rPr>
                <w:rFonts w:hint="eastAsia" w:ascii="宋体" w:hAnsi="宋体" w:cs="Calibri"/>
                <w:color w:val="auto"/>
                <w:spacing w:val="-1"/>
                <w:sz w:val="21"/>
                <w:szCs w:val="21"/>
                <w:highlight w:val="none"/>
              </w:rPr>
              <w:t>本项目工程质量目标须符合《建设工程质量管理条例》、《建设工程勘察设计管理条例》、《建筑工程设计文件编制深度规定（2016年版）》等国家及地方有关法规和规章，达到行业相关规范技术标准等要求。工程造价咨询成果文件应符合《广东省建设工程造价管理规定》、《建筑工程施工发包与承包计价管理办法》（建设部第107号部令）等国家及地方有关工程造价咨询法规和规章，达到行业相关规范技术标准等要求。</w:t>
            </w:r>
          </w:p>
        </w:tc>
        <w:tc>
          <w:tcPr>
            <w:tcW w:w="1057" w:type="pct"/>
            <w:tcBorders>
              <w:top w:val="single" w:color="000000" w:sz="4" w:space="0"/>
              <w:left w:val="nil"/>
              <w:bottom w:val="single" w:color="000000" w:sz="4" w:space="0"/>
              <w:right w:val="single" w:color="000000" w:sz="4" w:space="0"/>
            </w:tcBorders>
            <w:vAlign w:val="center"/>
          </w:tcPr>
          <w:p w14:paraId="6136F171">
            <w:pPr>
              <w:spacing w:before="106"/>
              <w:ind w:left="548"/>
              <w:jc w:val="center"/>
              <w:rPr>
                <w:rFonts w:ascii="宋体" w:hAnsi="宋体" w:cs="Calibri"/>
                <w:color w:val="auto"/>
                <w:sz w:val="21"/>
                <w:szCs w:val="21"/>
                <w:highlight w:val="none"/>
              </w:rPr>
            </w:pPr>
          </w:p>
        </w:tc>
      </w:tr>
      <w:tr w14:paraId="74F41B93">
        <w:tblPrEx>
          <w:tblCellMar>
            <w:top w:w="0" w:type="dxa"/>
            <w:left w:w="0" w:type="dxa"/>
            <w:bottom w:w="0" w:type="dxa"/>
            <w:right w:w="0" w:type="dxa"/>
          </w:tblCellMar>
        </w:tblPrEx>
        <w:trPr>
          <w:trHeight w:val="514" w:hRule="atLeast"/>
          <w:jc w:val="center"/>
        </w:trPr>
        <w:tc>
          <w:tcPr>
            <w:tcW w:w="721" w:type="pct"/>
            <w:tcBorders>
              <w:top w:val="single" w:color="000000" w:sz="4" w:space="0"/>
              <w:left w:val="single" w:color="000000" w:sz="4" w:space="0"/>
              <w:bottom w:val="single" w:color="000000" w:sz="4" w:space="0"/>
              <w:right w:val="single" w:color="000000" w:sz="4" w:space="0"/>
            </w:tcBorders>
            <w:vAlign w:val="center"/>
          </w:tcPr>
          <w:p w14:paraId="7518F062">
            <w:pPr>
              <w:pStyle w:val="37"/>
              <w:kinsoku w:val="0"/>
              <w:overflowPunct w:val="0"/>
              <w:spacing w:line="234" w:lineRule="exact"/>
              <w:jc w:val="center"/>
              <w:rPr>
                <w:rFonts w:ascii="宋体" w:hAnsi="宋体" w:eastAsia="宋体"/>
                <w:color w:val="auto"/>
                <w:sz w:val="21"/>
                <w:szCs w:val="21"/>
                <w:highlight w:val="none"/>
                <w:u w:val="none"/>
              </w:rPr>
            </w:pPr>
            <w:r>
              <w:rPr>
                <w:rFonts w:hint="eastAsia" w:ascii="宋体" w:hAnsi="宋体" w:eastAsia="宋体"/>
                <w:color w:val="auto"/>
                <w:sz w:val="21"/>
                <w:szCs w:val="21"/>
                <w:highlight w:val="none"/>
                <w:u w:val="none"/>
              </w:rPr>
              <w:t>5</w:t>
            </w:r>
          </w:p>
        </w:tc>
        <w:tc>
          <w:tcPr>
            <w:tcW w:w="1636" w:type="pct"/>
            <w:tcBorders>
              <w:top w:val="single" w:color="000000" w:sz="4" w:space="0"/>
              <w:left w:val="single" w:color="000000" w:sz="4" w:space="0"/>
              <w:bottom w:val="single" w:color="000000" w:sz="4" w:space="0"/>
              <w:right w:val="single" w:color="000000" w:sz="4" w:space="0"/>
            </w:tcBorders>
            <w:vAlign w:val="center"/>
          </w:tcPr>
          <w:p w14:paraId="1B599585">
            <w:pPr>
              <w:pStyle w:val="37"/>
              <w:kinsoku w:val="0"/>
              <w:overflowPunct w:val="0"/>
              <w:spacing w:before="106"/>
              <w:jc w:val="center"/>
              <w:rPr>
                <w:rFonts w:ascii="宋体" w:hAnsi="宋体" w:eastAsia="宋体"/>
                <w:color w:val="auto"/>
                <w:spacing w:val="-1"/>
                <w:sz w:val="21"/>
                <w:szCs w:val="21"/>
                <w:highlight w:val="none"/>
                <w:u w:val="none"/>
              </w:rPr>
            </w:pPr>
            <w:r>
              <w:rPr>
                <w:rFonts w:hint="eastAsia" w:ascii="宋体" w:hAnsi="宋体" w:eastAsia="宋体"/>
                <w:color w:val="auto"/>
                <w:spacing w:val="-1"/>
                <w:sz w:val="21"/>
                <w:szCs w:val="21"/>
                <w:highlight w:val="none"/>
                <w:u w:val="none"/>
              </w:rPr>
              <w:t>投标有效期</w:t>
            </w:r>
          </w:p>
        </w:tc>
        <w:tc>
          <w:tcPr>
            <w:tcW w:w="1585" w:type="pct"/>
            <w:tcBorders>
              <w:top w:val="single" w:color="000000" w:sz="4" w:space="0"/>
              <w:left w:val="single" w:color="000000" w:sz="4" w:space="0"/>
              <w:bottom w:val="single" w:color="000000" w:sz="4" w:space="0"/>
              <w:right w:val="single" w:color="000000" w:sz="4" w:space="0"/>
            </w:tcBorders>
            <w:vAlign w:val="center"/>
          </w:tcPr>
          <w:p w14:paraId="3CA29697">
            <w:pPr>
              <w:ind w:left="-7" w:leftChars="-3" w:firstLine="160" w:firstLineChars="77"/>
              <w:jc w:val="center"/>
              <w:rPr>
                <w:rFonts w:hint="default" w:ascii="宋体" w:hAnsi="宋体" w:eastAsia="宋体" w:cs="Calibri"/>
                <w:color w:val="auto"/>
                <w:spacing w:val="-1"/>
                <w:sz w:val="21"/>
                <w:szCs w:val="21"/>
                <w:highlight w:val="none"/>
                <w:u w:val="none"/>
                <w:lang w:val="en-US" w:eastAsia="zh-CN"/>
              </w:rPr>
            </w:pPr>
            <w:r>
              <w:rPr>
                <w:rFonts w:hint="eastAsia" w:ascii="宋体" w:hAnsi="宋体"/>
                <w:color w:val="auto"/>
                <w:spacing w:val="-1"/>
                <w:sz w:val="21"/>
                <w:szCs w:val="21"/>
                <w:highlight w:val="none"/>
                <w:u w:val="none"/>
                <w:lang w:val="en-US" w:eastAsia="zh-CN"/>
              </w:rPr>
              <w:t>90天。</w:t>
            </w:r>
          </w:p>
        </w:tc>
        <w:tc>
          <w:tcPr>
            <w:tcW w:w="1057" w:type="pct"/>
            <w:tcBorders>
              <w:top w:val="single" w:color="000000" w:sz="4" w:space="0"/>
              <w:left w:val="single" w:color="000000" w:sz="4" w:space="0"/>
              <w:bottom w:val="single" w:color="000000" w:sz="4" w:space="0"/>
              <w:right w:val="single" w:color="000000" w:sz="4" w:space="0"/>
            </w:tcBorders>
            <w:vAlign w:val="center"/>
          </w:tcPr>
          <w:p w14:paraId="352C88F7">
            <w:pPr>
              <w:jc w:val="center"/>
              <w:rPr>
                <w:rFonts w:ascii="宋体" w:hAnsi="宋体" w:cs="Calibri"/>
                <w:color w:val="auto"/>
                <w:sz w:val="21"/>
                <w:szCs w:val="21"/>
                <w:highlight w:val="none"/>
                <w:u w:val="none"/>
              </w:rPr>
            </w:pPr>
          </w:p>
        </w:tc>
      </w:tr>
    </w:tbl>
    <w:p w14:paraId="7FE898DA">
      <w:pPr>
        <w:rPr>
          <w:rFonts w:hint="eastAsia" w:ascii="宋体" w:hAnsi="宋体"/>
          <w:color w:val="auto"/>
          <w:spacing w:val="2"/>
          <w:position w:val="-1"/>
          <w:sz w:val="21"/>
          <w:szCs w:val="21"/>
          <w:highlight w:val="none"/>
          <w:lang w:val="en-US" w:eastAsia="zh-CN"/>
        </w:rPr>
      </w:pPr>
      <w:bookmarkStart w:id="329" w:name="_Toc24795"/>
      <w:bookmarkStart w:id="330" w:name="_Toc24384"/>
    </w:p>
    <w:p w14:paraId="74E96A88">
      <w:pPr>
        <w:rPr>
          <w:rFonts w:hint="default" w:ascii="宋体" w:hAnsi="宋体" w:eastAsia="宋体"/>
          <w:color w:val="auto"/>
          <w:spacing w:val="2"/>
          <w:position w:val="-1"/>
          <w:sz w:val="21"/>
          <w:szCs w:val="21"/>
          <w:highlight w:val="none"/>
          <w:u w:val="single"/>
          <w:lang w:val="en-US" w:eastAsia="zh-CN"/>
        </w:rPr>
      </w:pPr>
      <w:r>
        <w:rPr>
          <w:rFonts w:hint="eastAsia" w:ascii="宋体" w:hAnsi="宋体"/>
          <w:color w:val="auto"/>
          <w:spacing w:val="2"/>
          <w:position w:val="-1"/>
          <w:sz w:val="21"/>
          <w:szCs w:val="21"/>
          <w:highlight w:val="none"/>
          <w:lang w:val="en-US" w:eastAsia="zh-CN"/>
        </w:rPr>
        <w:t>投标人：</w:t>
      </w:r>
      <w:r>
        <w:rPr>
          <w:rFonts w:hint="eastAsia" w:ascii="宋体" w:hAnsi="宋体"/>
          <w:color w:val="auto"/>
          <w:spacing w:val="2"/>
          <w:position w:val="-1"/>
          <w:sz w:val="21"/>
          <w:szCs w:val="21"/>
          <w:highlight w:val="none"/>
          <w:u w:val="single"/>
          <w:lang w:val="en-US" w:eastAsia="zh-CN"/>
        </w:rPr>
        <w:t xml:space="preserve">             </w:t>
      </w:r>
    </w:p>
    <w:p w14:paraId="3F2CB3FA">
      <w:pPr>
        <w:rPr>
          <w:rFonts w:hint="eastAsia" w:ascii="宋体" w:hAnsi="宋体"/>
          <w:color w:val="auto"/>
          <w:spacing w:val="2"/>
          <w:position w:val="-1"/>
          <w:sz w:val="21"/>
          <w:szCs w:val="21"/>
          <w:highlight w:val="none"/>
        </w:rPr>
      </w:pPr>
      <w:r>
        <w:rPr>
          <w:rFonts w:hint="eastAsia" w:ascii="宋体" w:hAnsi="宋体"/>
          <w:color w:val="auto"/>
          <w:spacing w:val="2"/>
          <w:position w:val="-1"/>
          <w:sz w:val="21"/>
          <w:szCs w:val="21"/>
          <w:highlight w:val="none"/>
        </w:rPr>
        <w:br w:type="page"/>
      </w:r>
    </w:p>
    <w:p w14:paraId="4959BEC2">
      <w:pPr>
        <w:autoSpaceDE w:val="0"/>
        <w:autoSpaceDN w:val="0"/>
        <w:adjustRightInd w:val="0"/>
        <w:spacing w:line="466" w:lineRule="exact"/>
        <w:ind w:right="-20"/>
        <w:outlineLvl w:val="0"/>
        <w:rPr>
          <w:rFonts w:ascii="宋体" w:hAnsi="宋体"/>
          <w:color w:val="auto"/>
          <w:position w:val="-1"/>
          <w:sz w:val="21"/>
          <w:szCs w:val="21"/>
          <w:highlight w:val="none"/>
        </w:rPr>
      </w:pPr>
      <w:r>
        <w:rPr>
          <w:rFonts w:hint="eastAsia" w:ascii="宋体" w:hAnsi="宋体"/>
          <w:color w:val="auto"/>
          <w:spacing w:val="2"/>
          <w:position w:val="-1"/>
          <w:sz w:val="21"/>
          <w:szCs w:val="21"/>
          <w:highlight w:val="none"/>
          <w:lang w:eastAsia="zh-CN"/>
        </w:rPr>
        <w:t>格式</w:t>
      </w:r>
      <w:r>
        <w:rPr>
          <w:rFonts w:hint="eastAsia" w:ascii="宋体" w:hAnsi="宋体"/>
          <w:color w:val="auto"/>
          <w:spacing w:val="2"/>
          <w:position w:val="-1"/>
          <w:sz w:val="21"/>
          <w:szCs w:val="21"/>
          <w:highlight w:val="none"/>
          <w:lang w:val="en-US" w:eastAsia="zh-CN"/>
        </w:rPr>
        <w:t>二</w:t>
      </w:r>
      <w:r>
        <w:rPr>
          <w:rFonts w:hint="eastAsia" w:ascii="宋体" w:hAnsi="宋体"/>
          <w:color w:val="auto"/>
          <w:spacing w:val="2"/>
          <w:position w:val="-1"/>
          <w:sz w:val="21"/>
          <w:szCs w:val="21"/>
          <w:highlight w:val="none"/>
        </w:rPr>
        <w:t>：法定代表人身份证明书</w:t>
      </w:r>
      <w:bookmarkEnd w:id="329"/>
      <w:bookmarkEnd w:id="330"/>
    </w:p>
    <w:p w14:paraId="3AC3D102">
      <w:pPr>
        <w:spacing w:line="360" w:lineRule="auto"/>
        <w:jc w:val="center"/>
        <w:rPr>
          <w:rFonts w:ascii="宋体" w:hAnsi="宋体" w:cs="宋体"/>
          <w:color w:val="auto"/>
          <w:kern w:val="1"/>
          <w:sz w:val="24"/>
          <w:highlight w:val="none"/>
        </w:rPr>
      </w:pPr>
      <w:r>
        <w:rPr>
          <w:rFonts w:hint="eastAsia" w:ascii="宋体" w:hAnsi="宋体" w:cs="宋体"/>
          <w:color w:val="auto"/>
          <w:kern w:val="1"/>
          <w:sz w:val="24"/>
          <w:highlight w:val="none"/>
        </w:rPr>
        <w:t>法定代表人身份证明书</w:t>
      </w:r>
    </w:p>
    <w:p w14:paraId="49E7C94A">
      <w:pP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26"/>
        <w:tblW w:w="9455" w:type="dxa"/>
        <w:tblInd w:w="0" w:type="dxa"/>
        <w:tblLayout w:type="fixed"/>
        <w:tblCellMar>
          <w:top w:w="0" w:type="dxa"/>
          <w:left w:w="108" w:type="dxa"/>
          <w:bottom w:w="0" w:type="dxa"/>
          <w:right w:w="108" w:type="dxa"/>
        </w:tblCellMar>
      </w:tblPr>
      <w:tblGrid>
        <w:gridCol w:w="9455"/>
      </w:tblGrid>
      <w:tr w14:paraId="662A881B">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01F3AE05">
            <w:pPr>
              <w:spacing w:line="360" w:lineRule="auto"/>
              <w:rPr>
                <w:rFonts w:ascii="宋体" w:hAnsi="宋体" w:cs="宋体"/>
                <w:color w:val="auto"/>
                <w:kern w:val="1"/>
                <w:sz w:val="24"/>
                <w:szCs w:val="24"/>
                <w:highlight w:val="none"/>
                <w:u w:val="single"/>
              </w:rPr>
            </w:pPr>
          </w:p>
          <w:p w14:paraId="3F3249F3">
            <w:pPr>
              <w:spacing w:line="360" w:lineRule="auto"/>
              <w:rPr>
                <w:rFonts w:ascii="宋体" w:hAnsi="宋体" w:cs="宋体"/>
                <w:color w:val="auto"/>
                <w:kern w:val="1"/>
                <w:sz w:val="24"/>
                <w:szCs w:val="24"/>
                <w:highlight w:val="none"/>
              </w:rPr>
            </w:pPr>
            <w:r>
              <w:rPr>
                <w:rFonts w:hint="eastAsia" w:ascii="宋体" w:hAnsi="宋体" w:cs="宋体"/>
                <w:color w:val="auto"/>
                <w:kern w:val="1"/>
                <w:sz w:val="24"/>
                <w:szCs w:val="24"/>
                <w:highlight w:val="none"/>
              </w:rPr>
              <w:t xml:space="preserve"> 　　</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现任我单位</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职务，为法定代表人（负责人），特此证明。</w:t>
            </w:r>
          </w:p>
          <w:p w14:paraId="0D81EB4E">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 xml:space="preserve">有效期限： </w:t>
            </w:r>
            <w:r>
              <w:rPr>
                <w:rFonts w:hint="eastAsia" w:ascii="宋体" w:hAnsi="宋体" w:cs="宋体"/>
                <w:color w:val="auto"/>
                <w:kern w:val="1"/>
                <w:sz w:val="24"/>
                <w:szCs w:val="24"/>
                <w:highlight w:val="none"/>
                <w:u w:val="single"/>
              </w:rPr>
              <w:t>　　　　　　　　　　</w:t>
            </w:r>
          </w:p>
          <w:p w14:paraId="0BAF1F5E">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附：法定代表人（负责人）性别：</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年龄：</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身份证号码：</w:t>
            </w:r>
            <w:r>
              <w:rPr>
                <w:rFonts w:hint="eastAsia" w:ascii="宋体" w:hAnsi="宋体" w:cs="宋体"/>
                <w:color w:val="auto"/>
                <w:kern w:val="1"/>
                <w:sz w:val="24"/>
                <w:szCs w:val="24"/>
                <w:highlight w:val="none"/>
                <w:u w:val="single"/>
              </w:rPr>
              <w:t>　　　　　　　　　　</w:t>
            </w:r>
          </w:p>
          <w:p w14:paraId="656E8599">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lang w:val="en-US" w:eastAsia="zh-CN"/>
              </w:rPr>
              <w:t>统一社会信用代</w:t>
            </w:r>
            <w:r>
              <w:rPr>
                <w:rFonts w:hint="eastAsia" w:ascii="宋体" w:hAnsi="宋体" w:cs="宋体"/>
                <w:color w:val="auto"/>
                <w:kern w:val="1"/>
                <w:sz w:val="24"/>
                <w:szCs w:val="24"/>
                <w:highlight w:val="none"/>
              </w:rPr>
              <w:t>码：</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企业类型：</w:t>
            </w:r>
            <w:r>
              <w:rPr>
                <w:rFonts w:hint="eastAsia" w:ascii="宋体" w:hAnsi="宋体" w:cs="宋体"/>
                <w:color w:val="auto"/>
                <w:kern w:val="1"/>
                <w:sz w:val="24"/>
                <w:szCs w:val="24"/>
                <w:highlight w:val="none"/>
                <w:u w:val="single"/>
              </w:rPr>
              <w:t>　　　　　　　　　　</w:t>
            </w:r>
          </w:p>
          <w:p w14:paraId="76FA7719">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经营范围：</w:t>
            </w:r>
            <w:r>
              <w:rPr>
                <w:rFonts w:hint="eastAsia" w:ascii="宋体" w:hAnsi="宋体" w:cs="宋体"/>
                <w:color w:val="auto"/>
                <w:kern w:val="1"/>
                <w:sz w:val="24"/>
                <w:szCs w:val="24"/>
                <w:highlight w:val="none"/>
                <w:u w:val="single"/>
              </w:rPr>
              <w:t xml:space="preserve">　　　　　　　　　　                                                 </w:t>
            </w:r>
          </w:p>
          <w:p w14:paraId="2A1D2880">
            <w:pPr>
              <w:spacing w:line="360" w:lineRule="auto"/>
              <w:rPr>
                <w:rFonts w:ascii="宋体" w:hAnsi="宋体" w:cs="宋体"/>
                <w:color w:val="auto"/>
                <w:kern w:val="1"/>
                <w:sz w:val="24"/>
                <w:szCs w:val="24"/>
                <w:highlight w:val="none"/>
              </w:rPr>
            </w:pP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单位：</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（盖章）</w:t>
            </w:r>
          </w:p>
          <w:p w14:paraId="04E099E6">
            <w:pPr>
              <w:spacing w:line="360" w:lineRule="auto"/>
              <w:rPr>
                <w:rFonts w:ascii="宋体" w:hAnsi="宋体" w:cs="宋体"/>
                <w:color w:val="auto"/>
                <w:kern w:val="1"/>
                <w:szCs w:val="21"/>
                <w:highlight w:val="none"/>
                <w:u w:val="single"/>
              </w:rPr>
            </w:pP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　　　　　    年　月　　日</w:t>
            </w:r>
          </w:p>
        </w:tc>
      </w:tr>
    </w:tbl>
    <w:p w14:paraId="5AFE624D">
      <w:pPr>
        <w:spacing w:line="360" w:lineRule="auto"/>
        <w:rPr>
          <w:rFonts w:ascii="宋体" w:hAnsi="宋体" w:cs="宋体"/>
          <w:color w:val="auto"/>
          <w:kern w:val="1"/>
          <w:szCs w:val="21"/>
          <w:highlight w:val="none"/>
        </w:rPr>
      </w:pPr>
      <w:r>
        <w:rPr>
          <w:rFonts w:hint="eastAsia" w:cs="宋体"/>
          <w:color w:val="auto"/>
          <w:kern w:val="1"/>
          <w:szCs w:val="21"/>
          <w:highlight w:val="none"/>
          <w:lang w:val="en-US" w:eastAsia="zh-CN"/>
        </w:rPr>
        <w:t>注：1、法定代表</w:t>
      </w:r>
      <w:r>
        <w:rPr>
          <w:rFonts w:hint="eastAsia" w:ascii="宋体" w:hAnsi="宋体" w:cs="宋体"/>
          <w:color w:val="auto"/>
          <w:kern w:val="1"/>
          <w:szCs w:val="21"/>
          <w:highlight w:val="none"/>
        </w:rPr>
        <w:t>人证明书也可以采用工商行政管理局统一印制的格式。</w:t>
      </w:r>
    </w:p>
    <w:p w14:paraId="03BC3093">
      <w:pPr>
        <w:spacing w:line="360" w:lineRule="auto"/>
        <w:rPr>
          <w:rFonts w:ascii="宋体" w:hAnsi="宋体" w:cs="宋体"/>
          <w:color w:val="auto"/>
          <w:kern w:val="1"/>
          <w:szCs w:val="21"/>
          <w:highlight w:val="none"/>
        </w:rPr>
      </w:pPr>
      <w:r>
        <w:rPr>
          <w:rFonts w:hint="eastAsia" w:cs="宋体"/>
          <w:color w:val="auto"/>
          <w:kern w:val="1"/>
          <w:szCs w:val="21"/>
          <w:highlight w:val="none"/>
          <w:lang w:val="en-US" w:eastAsia="zh-CN"/>
        </w:rPr>
        <w:t>2、</w:t>
      </w:r>
      <w:r>
        <w:rPr>
          <w:rFonts w:hint="eastAsia" w:ascii="宋体" w:hAnsi="宋体" w:cs="宋体"/>
          <w:color w:val="auto"/>
          <w:kern w:val="1"/>
          <w:szCs w:val="21"/>
          <w:highlight w:val="none"/>
        </w:rPr>
        <w:t>附法定代表人身份证扫描件（加盖电子印章）。</w:t>
      </w:r>
    </w:p>
    <w:p w14:paraId="6BD6456B">
      <w:pPr>
        <w:pStyle w:val="9"/>
        <w:ind w:firstLine="0" w:firstLineChars="0"/>
        <w:rPr>
          <w:rFonts w:eastAsia="宋体"/>
          <w:color w:val="auto"/>
          <w:highlight w:val="none"/>
          <w:lang w:eastAsia="zh-CN"/>
        </w:rPr>
      </w:pPr>
    </w:p>
    <w:p w14:paraId="04997B6B">
      <w:pPr>
        <w:rPr>
          <w:rFonts w:hint="eastAsia" w:ascii="宋体" w:hAnsi="宋体"/>
          <w:color w:val="auto"/>
          <w:spacing w:val="2"/>
          <w:position w:val="-1"/>
          <w:sz w:val="21"/>
          <w:szCs w:val="21"/>
          <w:highlight w:val="none"/>
        </w:rPr>
      </w:pPr>
      <w:r>
        <w:rPr>
          <w:rFonts w:hint="eastAsia" w:ascii="宋体" w:hAnsi="宋体"/>
          <w:color w:val="auto"/>
          <w:spacing w:val="2"/>
          <w:position w:val="-1"/>
          <w:sz w:val="21"/>
          <w:szCs w:val="21"/>
          <w:highlight w:val="none"/>
        </w:rPr>
        <w:br w:type="page"/>
      </w:r>
    </w:p>
    <w:p w14:paraId="50640075">
      <w:pPr>
        <w:pStyle w:val="9"/>
        <w:jc w:val="both"/>
        <w:rPr>
          <w:rFonts w:hint="eastAsia" w:eastAsiaTheme="minorEastAsia"/>
          <w:color w:val="auto"/>
          <w:highlight w:val="none"/>
          <w:lang w:eastAsia="zh-CN"/>
        </w:rPr>
      </w:pPr>
      <w:r>
        <w:rPr>
          <w:rFonts w:hint="eastAsia" w:ascii="宋体" w:hAnsi="宋体"/>
          <w:color w:val="auto"/>
          <w:spacing w:val="2"/>
          <w:position w:val="-1"/>
          <w:sz w:val="21"/>
          <w:szCs w:val="21"/>
          <w:highlight w:val="none"/>
        </w:rPr>
        <w:t>格式三：法定代表人授权委托书</w:t>
      </w:r>
      <w:r>
        <w:rPr>
          <w:rFonts w:hint="eastAsia" w:ascii="宋体" w:hAnsi="宋体"/>
          <w:color w:val="auto"/>
          <w:spacing w:val="2"/>
          <w:position w:val="-1"/>
          <w:sz w:val="21"/>
          <w:szCs w:val="21"/>
          <w:highlight w:val="none"/>
          <w:lang w:eastAsia="zh-CN"/>
        </w:rPr>
        <w:t>（</w:t>
      </w:r>
      <w:r>
        <w:rPr>
          <w:rFonts w:hint="eastAsia" w:ascii="宋体" w:hAnsi="宋体"/>
          <w:color w:val="auto"/>
          <w:spacing w:val="2"/>
          <w:position w:val="-1"/>
          <w:sz w:val="21"/>
          <w:szCs w:val="21"/>
          <w:highlight w:val="none"/>
          <w:lang w:val="en-US" w:eastAsia="zh-CN"/>
        </w:rPr>
        <w:t>如有</w:t>
      </w:r>
      <w:r>
        <w:rPr>
          <w:rFonts w:hint="eastAsia" w:ascii="宋体" w:hAnsi="宋体"/>
          <w:color w:val="auto"/>
          <w:spacing w:val="2"/>
          <w:position w:val="-1"/>
          <w:sz w:val="21"/>
          <w:szCs w:val="21"/>
          <w:highlight w:val="none"/>
          <w:lang w:eastAsia="zh-CN"/>
        </w:rPr>
        <w:t>）</w:t>
      </w:r>
    </w:p>
    <w:p w14:paraId="254B7425">
      <w:pPr>
        <w:spacing w:line="360" w:lineRule="auto"/>
        <w:jc w:val="center"/>
        <w:rPr>
          <w:rFonts w:ascii="宋体" w:hAnsi="宋体" w:cs="宋体"/>
          <w:color w:val="auto"/>
          <w:kern w:val="1"/>
          <w:sz w:val="24"/>
          <w:highlight w:val="none"/>
        </w:rPr>
      </w:pPr>
      <w:r>
        <w:rPr>
          <w:rFonts w:hint="eastAsia" w:ascii="宋体" w:hAnsi="宋体" w:cs="宋体"/>
          <w:color w:val="auto"/>
          <w:kern w:val="1"/>
          <w:sz w:val="24"/>
          <w:highlight w:val="none"/>
        </w:rPr>
        <w:t>法定代表人授权委托书</w:t>
      </w:r>
    </w:p>
    <w:p w14:paraId="04BEB1F7">
      <w:pPr>
        <w:spacing w:line="360" w:lineRule="auto"/>
        <w:jc w:val="right"/>
        <w:rPr>
          <w:rFonts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26"/>
        <w:tblW w:w="9243" w:type="dxa"/>
        <w:tblInd w:w="0" w:type="dxa"/>
        <w:tblLayout w:type="fixed"/>
        <w:tblCellMar>
          <w:top w:w="0" w:type="dxa"/>
          <w:left w:w="108" w:type="dxa"/>
          <w:bottom w:w="0" w:type="dxa"/>
          <w:right w:w="108" w:type="dxa"/>
        </w:tblCellMar>
      </w:tblPr>
      <w:tblGrid>
        <w:gridCol w:w="9243"/>
      </w:tblGrid>
      <w:tr w14:paraId="76BFCF9F">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2CF2C0F7">
            <w:pPr>
              <w:spacing w:line="360" w:lineRule="auto"/>
              <w:ind w:firstLine="480"/>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兹授权</w:t>
            </w:r>
            <w:r>
              <w:rPr>
                <w:rFonts w:hint="eastAsia" w:ascii="宋体" w:hAnsi="宋体" w:cs="宋体"/>
                <w:color w:val="auto"/>
                <w:kern w:val="1"/>
                <w:sz w:val="24"/>
                <w:szCs w:val="24"/>
                <w:highlight w:val="none"/>
                <w:u w:val="single"/>
              </w:rPr>
              <w:t xml:space="preserve">        </w:t>
            </w:r>
            <w:r>
              <w:rPr>
                <w:rFonts w:hint="eastAsia" w:ascii="宋体" w:hAnsi="宋体" w:cs="宋体"/>
                <w:color w:val="auto"/>
                <w:kern w:val="1"/>
                <w:sz w:val="24"/>
                <w:szCs w:val="24"/>
                <w:highlight w:val="none"/>
              </w:rPr>
              <w:t>为我方委托代理人，其权限是：</w:t>
            </w:r>
            <w:r>
              <w:rPr>
                <w:rFonts w:hint="eastAsia" w:ascii="宋体" w:hAnsi="宋体" w:cs="宋体"/>
                <w:color w:val="auto"/>
                <w:kern w:val="1"/>
                <w:sz w:val="24"/>
                <w:szCs w:val="24"/>
                <w:highlight w:val="none"/>
                <w:u w:val="single"/>
              </w:rPr>
              <w:t>　　　　                        　　　　　　</w:t>
            </w:r>
          </w:p>
          <w:p w14:paraId="07037D0A">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u w:val="single"/>
              </w:rPr>
              <w:t>　　　　　　　                                                               　　　</w:t>
            </w:r>
          </w:p>
          <w:p w14:paraId="2E406182">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有效期限：</w:t>
            </w:r>
            <w:r>
              <w:rPr>
                <w:rFonts w:hint="eastAsia" w:ascii="宋体" w:hAnsi="宋体" w:cs="宋体"/>
                <w:color w:val="auto"/>
                <w:kern w:val="1"/>
                <w:sz w:val="24"/>
                <w:szCs w:val="24"/>
                <w:highlight w:val="none"/>
                <w:u w:val="single"/>
              </w:rPr>
              <w:t>　　　　　　　　　　</w:t>
            </w:r>
          </w:p>
          <w:p w14:paraId="47DC956B">
            <w:pPr>
              <w:spacing w:line="360" w:lineRule="auto"/>
              <w:rPr>
                <w:rFonts w:ascii="宋体" w:hAnsi="宋体" w:cs="宋体"/>
                <w:color w:val="auto"/>
                <w:kern w:val="1"/>
                <w:sz w:val="24"/>
                <w:szCs w:val="24"/>
                <w:highlight w:val="none"/>
              </w:rPr>
            </w:pPr>
            <w:r>
              <w:rPr>
                <w:rFonts w:hint="eastAsia" w:ascii="宋体" w:hAnsi="宋体" w:cs="宋体"/>
                <w:color w:val="auto"/>
                <w:kern w:val="1"/>
                <w:sz w:val="24"/>
                <w:szCs w:val="24"/>
                <w:highlight w:val="none"/>
              </w:rPr>
              <w:t>附：代理人性别：</w:t>
            </w:r>
            <w:r>
              <w:rPr>
                <w:rFonts w:hint="eastAsia" w:ascii="宋体" w:hAnsi="宋体" w:cs="宋体"/>
                <w:color w:val="auto"/>
                <w:kern w:val="1"/>
                <w:sz w:val="24"/>
                <w:szCs w:val="24"/>
                <w:highlight w:val="none"/>
                <w:u w:val="single"/>
              </w:rPr>
              <w:t xml:space="preserve">           </w:t>
            </w:r>
            <w:r>
              <w:rPr>
                <w:rFonts w:hint="eastAsia" w:ascii="宋体" w:hAnsi="宋体" w:cs="宋体"/>
                <w:color w:val="auto"/>
                <w:kern w:val="1"/>
                <w:sz w:val="24"/>
                <w:szCs w:val="24"/>
                <w:highlight w:val="none"/>
              </w:rPr>
              <w:t>年龄：</w:t>
            </w:r>
            <w:r>
              <w:rPr>
                <w:rFonts w:hint="eastAsia" w:ascii="宋体" w:hAnsi="宋体" w:cs="宋体"/>
                <w:color w:val="auto"/>
                <w:kern w:val="1"/>
                <w:sz w:val="24"/>
                <w:szCs w:val="24"/>
                <w:highlight w:val="none"/>
                <w:u w:val="single"/>
              </w:rPr>
              <w:t xml:space="preserve">          </w:t>
            </w:r>
            <w:r>
              <w:rPr>
                <w:rFonts w:hint="eastAsia" w:ascii="宋体" w:hAnsi="宋体" w:cs="宋体"/>
                <w:color w:val="auto"/>
                <w:kern w:val="1"/>
                <w:sz w:val="24"/>
                <w:szCs w:val="24"/>
                <w:highlight w:val="none"/>
              </w:rPr>
              <w:t xml:space="preserve"> 身份证号码：</w:t>
            </w:r>
            <w:r>
              <w:rPr>
                <w:rFonts w:hint="eastAsia" w:ascii="宋体" w:hAnsi="宋体" w:cs="宋体"/>
                <w:color w:val="auto"/>
                <w:kern w:val="1"/>
                <w:sz w:val="24"/>
                <w:szCs w:val="24"/>
                <w:highlight w:val="none"/>
                <w:u w:val="single"/>
              </w:rPr>
              <w:t>　　　　　　　　　　</w:t>
            </w:r>
          </w:p>
          <w:p w14:paraId="14E1E764">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lang w:val="en-US" w:eastAsia="zh-CN"/>
              </w:rPr>
              <w:t>统一社会信用代</w:t>
            </w:r>
            <w:r>
              <w:rPr>
                <w:rFonts w:hint="eastAsia" w:ascii="宋体" w:hAnsi="宋体" w:cs="宋体"/>
                <w:color w:val="auto"/>
                <w:kern w:val="1"/>
                <w:sz w:val="24"/>
                <w:szCs w:val="24"/>
                <w:highlight w:val="none"/>
              </w:rPr>
              <w:t xml:space="preserve">码： </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 xml:space="preserve">  企业类型：</w:t>
            </w:r>
            <w:r>
              <w:rPr>
                <w:rFonts w:hint="eastAsia" w:ascii="宋体" w:hAnsi="宋体" w:cs="宋体"/>
                <w:color w:val="auto"/>
                <w:kern w:val="1"/>
                <w:sz w:val="24"/>
                <w:szCs w:val="24"/>
                <w:highlight w:val="none"/>
                <w:u w:val="single"/>
              </w:rPr>
              <w:t>　　　　　　　　　　</w:t>
            </w:r>
          </w:p>
          <w:p w14:paraId="3B0716E0">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经营范围：</w:t>
            </w:r>
            <w:r>
              <w:rPr>
                <w:rFonts w:hint="eastAsia" w:ascii="宋体" w:hAnsi="宋体" w:cs="宋体"/>
                <w:color w:val="auto"/>
                <w:kern w:val="1"/>
                <w:sz w:val="24"/>
                <w:szCs w:val="24"/>
                <w:highlight w:val="none"/>
                <w:u w:val="single"/>
              </w:rPr>
              <w:t>　　　　　　　　                                        　　</w:t>
            </w:r>
          </w:p>
          <w:p w14:paraId="463F504B">
            <w:pPr>
              <w:spacing w:line="360" w:lineRule="auto"/>
              <w:rPr>
                <w:rFonts w:ascii="宋体" w:hAnsi="宋体" w:cs="宋体"/>
                <w:color w:val="auto"/>
                <w:kern w:val="1"/>
                <w:sz w:val="24"/>
                <w:szCs w:val="24"/>
                <w:highlight w:val="none"/>
              </w:rPr>
            </w:pPr>
            <w:r>
              <w:rPr>
                <w:rFonts w:hint="eastAsia" w:ascii="宋体" w:hAnsi="宋体" w:cs="宋体"/>
                <w:color w:val="auto"/>
                <w:kern w:val="1"/>
                <w:sz w:val="24"/>
                <w:szCs w:val="24"/>
                <w:highlight w:val="none"/>
              </w:rPr>
              <w:t>法定代表人（负责人）：</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（签名或</w:t>
            </w:r>
            <w:r>
              <w:rPr>
                <w:rFonts w:hint="eastAsia" w:hAnsi="宋体"/>
                <w:color w:val="auto"/>
                <w:sz w:val="24"/>
                <w:szCs w:val="24"/>
                <w:highlight w:val="none"/>
                <w:lang w:val="en-US" w:eastAsia="zh-CN"/>
              </w:rPr>
              <w:t>签章</w:t>
            </w:r>
            <w:r>
              <w:rPr>
                <w:rFonts w:hint="eastAsia" w:ascii="宋体" w:hAnsi="宋体" w:cs="宋体"/>
                <w:color w:val="auto"/>
                <w:kern w:val="1"/>
                <w:sz w:val="24"/>
                <w:szCs w:val="24"/>
                <w:highlight w:val="none"/>
              </w:rPr>
              <w:t>）</w:t>
            </w:r>
          </w:p>
          <w:p w14:paraId="61EFC04A">
            <w:pPr>
              <w:spacing w:line="360" w:lineRule="auto"/>
              <w:rPr>
                <w:rFonts w:ascii="宋体" w:hAnsi="宋体" w:cs="宋体"/>
                <w:color w:val="auto"/>
                <w:kern w:val="1"/>
                <w:sz w:val="24"/>
                <w:szCs w:val="24"/>
                <w:highlight w:val="none"/>
              </w:rPr>
            </w:pPr>
            <w:r>
              <w:rPr>
                <w:rFonts w:hint="eastAsia" w:ascii="宋体" w:hAnsi="宋体" w:cs="宋体"/>
                <w:color w:val="auto"/>
                <w:kern w:val="1"/>
                <w:sz w:val="24"/>
                <w:szCs w:val="24"/>
                <w:highlight w:val="none"/>
              </w:rPr>
              <w:t>授权单位：</w:t>
            </w:r>
            <w:r>
              <w:rPr>
                <w:rFonts w:hint="eastAsia" w:ascii="宋体" w:hAnsi="宋体" w:cs="宋体"/>
                <w:color w:val="auto"/>
                <w:kern w:val="1"/>
                <w:sz w:val="24"/>
                <w:szCs w:val="24"/>
                <w:highlight w:val="none"/>
                <w:u w:val="single"/>
              </w:rPr>
              <w:t>　　　　　　　　　　</w:t>
            </w:r>
            <w:r>
              <w:rPr>
                <w:rFonts w:hint="eastAsia" w:ascii="宋体" w:hAnsi="宋体" w:cs="宋体"/>
                <w:color w:val="auto"/>
                <w:kern w:val="1"/>
                <w:sz w:val="24"/>
                <w:szCs w:val="24"/>
                <w:highlight w:val="none"/>
              </w:rPr>
              <w:t>（盖章）</w:t>
            </w:r>
          </w:p>
          <w:p w14:paraId="574A1572">
            <w:pPr>
              <w:spacing w:line="360" w:lineRule="auto"/>
              <w:rPr>
                <w:rFonts w:ascii="宋体" w:hAnsi="宋体" w:cs="宋体"/>
                <w:color w:val="auto"/>
                <w:kern w:val="1"/>
                <w:szCs w:val="21"/>
                <w:highlight w:val="none"/>
              </w:rPr>
            </w:pPr>
            <w:r>
              <w:rPr>
                <w:rFonts w:hint="eastAsia" w:ascii="宋体" w:hAnsi="宋体" w:cs="宋体"/>
                <w:color w:val="auto"/>
                <w:kern w:val="1"/>
                <w:sz w:val="24"/>
                <w:szCs w:val="24"/>
                <w:highlight w:val="none"/>
              </w:rPr>
              <w:t xml:space="preserve">         年  月   日</w:t>
            </w:r>
          </w:p>
        </w:tc>
      </w:tr>
    </w:tbl>
    <w:p w14:paraId="76C215F5">
      <w:pPr>
        <w:spacing w:line="360" w:lineRule="auto"/>
        <w:rPr>
          <w:rFonts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14:paraId="263FED88">
      <w:pPr>
        <w:numPr>
          <w:ilvl w:val="0"/>
          <w:numId w:val="12"/>
        </w:numPr>
        <w:spacing w:line="360" w:lineRule="auto"/>
        <w:ind w:firstLine="480"/>
        <w:rPr>
          <w:rFonts w:ascii="宋体" w:hAnsi="宋体" w:cs="宋体"/>
          <w:color w:val="auto"/>
          <w:kern w:val="1"/>
          <w:szCs w:val="21"/>
          <w:highlight w:val="none"/>
        </w:rPr>
      </w:pPr>
      <w:r>
        <w:rPr>
          <w:rFonts w:hint="eastAsia" w:ascii="宋体" w:hAnsi="宋体" w:cs="宋体"/>
          <w:color w:val="auto"/>
          <w:kern w:val="1"/>
          <w:szCs w:val="21"/>
          <w:highlight w:val="none"/>
        </w:rPr>
        <w:t>附委托代理人身份证扫描件（加盖电子印章）。</w:t>
      </w:r>
    </w:p>
    <w:p w14:paraId="67CE507B">
      <w:pPr>
        <w:rPr>
          <w:rFonts w:hint="eastAsia" w:ascii="宋体" w:hAnsi="宋体"/>
          <w:color w:val="auto"/>
          <w:spacing w:val="2"/>
          <w:position w:val="-1"/>
          <w:sz w:val="21"/>
          <w:szCs w:val="21"/>
          <w:highlight w:val="none"/>
        </w:rPr>
      </w:pPr>
      <w:bookmarkStart w:id="331" w:name="_Toc18367"/>
      <w:bookmarkStart w:id="332" w:name="_Toc16181"/>
      <w:r>
        <w:rPr>
          <w:rFonts w:hint="eastAsia" w:ascii="宋体" w:hAnsi="宋体"/>
          <w:color w:val="auto"/>
          <w:spacing w:val="2"/>
          <w:position w:val="-1"/>
          <w:sz w:val="21"/>
          <w:szCs w:val="21"/>
          <w:highlight w:val="none"/>
        </w:rPr>
        <w:br w:type="page"/>
      </w:r>
    </w:p>
    <w:p w14:paraId="58D9B8B6">
      <w:pPr>
        <w:autoSpaceDE w:val="0"/>
        <w:autoSpaceDN w:val="0"/>
        <w:adjustRightInd w:val="0"/>
        <w:spacing w:line="466" w:lineRule="exact"/>
        <w:ind w:right="-20"/>
        <w:outlineLvl w:val="0"/>
        <w:rPr>
          <w:rFonts w:ascii="宋体" w:hAnsi="宋体"/>
          <w:color w:val="auto"/>
          <w:spacing w:val="2"/>
          <w:position w:val="-1"/>
          <w:sz w:val="21"/>
          <w:szCs w:val="21"/>
          <w:highlight w:val="none"/>
        </w:rPr>
      </w:pPr>
      <w:r>
        <w:rPr>
          <w:rFonts w:hint="eastAsia" w:ascii="宋体" w:hAnsi="宋体"/>
          <w:color w:val="auto"/>
          <w:spacing w:val="2"/>
          <w:position w:val="-1"/>
          <w:sz w:val="21"/>
          <w:szCs w:val="21"/>
          <w:highlight w:val="none"/>
        </w:rPr>
        <w:t>格式四：</w:t>
      </w:r>
      <w:r>
        <w:rPr>
          <w:rFonts w:hint="eastAsia" w:ascii="宋体" w:hAnsi="宋体" w:eastAsia="宋体" w:cs="Times New Roman"/>
          <w:color w:val="auto"/>
          <w:spacing w:val="2"/>
          <w:position w:val="-1"/>
          <w:sz w:val="21"/>
          <w:szCs w:val="21"/>
          <w:highlight w:val="none"/>
        </w:rPr>
        <w:t>投标</w:t>
      </w:r>
      <w:r>
        <w:rPr>
          <w:rFonts w:hint="eastAsia" w:ascii="宋体" w:hAnsi="宋体"/>
          <w:color w:val="auto"/>
          <w:spacing w:val="2"/>
          <w:position w:val="-1"/>
          <w:sz w:val="21"/>
          <w:szCs w:val="21"/>
          <w:highlight w:val="none"/>
        </w:rPr>
        <w:t>人声明</w:t>
      </w:r>
      <w:bookmarkEnd w:id="331"/>
      <w:bookmarkEnd w:id="332"/>
    </w:p>
    <w:p w14:paraId="663FCF94">
      <w:pPr>
        <w:autoSpaceDE w:val="0"/>
        <w:autoSpaceDN w:val="0"/>
        <w:adjustRightInd w:val="0"/>
        <w:spacing w:line="200" w:lineRule="exact"/>
        <w:rPr>
          <w:rFonts w:ascii="宋体" w:hAnsi="宋体"/>
          <w:color w:val="auto"/>
          <w:sz w:val="20"/>
          <w:szCs w:val="20"/>
          <w:highlight w:val="none"/>
        </w:rPr>
      </w:pPr>
      <w:r>
        <w:rPr>
          <w:rFonts w:hint="eastAsia" w:ascii="宋体" w:hAnsi="宋体"/>
          <w:color w:val="auto"/>
          <w:sz w:val="20"/>
          <w:szCs w:val="20"/>
          <w:highlight w:val="none"/>
        </w:rPr>
        <w:t xml:space="preserve"> </w:t>
      </w:r>
    </w:p>
    <w:p w14:paraId="2EBF918F">
      <w:pPr>
        <w:autoSpaceDE w:val="0"/>
        <w:autoSpaceDN w:val="0"/>
        <w:adjustRightInd w:val="0"/>
        <w:spacing w:line="200" w:lineRule="exact"/>
        <w:rPr>
          <w:rFonts w:ascii="宋体" w:hAnsi="宋体"/>
          <w:color w:val="auto"/>
          <w:sz w:val="20"/>
          <w:szCs w:val="20"/>
          <w:highlight w:val="none"/>
        </w:rPr>
      </w:pPr>
      <w:r>
        <w:rPr>
          <w:rFonts w:hint="eastAsia" w:ascii="宋体" w:hAnsi="宋体"/>
          <w:color w:val="auto"/>
          <w:sz w:val="20"/>
          <w:szCs w:val="20"/>
          <w:highlight w:val="none"/>
        </w:rPr>
        <w:t xml:space="preserve"> </w:t>
      </w:r>
    </w:p>
    <w:p w14:paraId="55D9D0E8">
      <w:pPr>
        <w:jc w:val="center"/>
        <w:rPr>
          <w:rFonts w:ascii="宋体" w:hAnsi="宋体"/>
          <w:bCs/>
          <w:color w:val="auto"/>
          <w:sz w:val="24"/>
          <w:szCs w:val="24"/>
          <w:highlight w:val="none"/>
        </w:rPr>
      </w:pPr>
      <w:r>
        <w:rPr>
          <w:rFonts w:hint="eastAsia" w:ascii="宋体" w:hAnsi="宋体"/>
          <w:bCs/>
          <w:color w:val="auto"/>
          <w:sz w:val="24"/>
          <w:szCs w:val="24"/>
          <w:highlight w:val="none"/>
        </w:rPr>
        <w:t>投标人声明</w:t>
      </w:r>
    </w:p>
    <w:p w14:paraId="45370264">
      <w:pPr>
        <w:pStyle w:val="39"/>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14:paraId="6C94ED10">
      <w:pPr>
        <w:pStyle w:val="39"/>
        <w:spacing w:line="360" w:lineRule="exact"/>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14:paraId="26F20399">
      <w:pPr>
        <w:pStyle w:val="39"/>
        <w:spacing w:line="3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rPr>
        <w:t xml:space="preserve">      （项目名称）        </w:t>
      </w:r>
      <w:r>
        <w:rPr>
          <w:rFonts w:hint="eastAsia" w:ascii="宋体" w:hAnsi="宋体" w:eastAsia="宋体"/>
          <w:color w:val="auto"/>
          <w:sz w:val="21"/>
          <w:szCs w:val="21"/>
          <w:highlight w:val="none"/>
        </w:rPr>
        <w:t>投标工作，作出郑重声明：</w:t>
      </w:r>
    </w:p>
    <w:p w14:paraId="5E2DE40A">
      <w:pPr>
        <w:pStyle w:val="39"/>
        <w:spacing w:line="3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14:paraId="534E90BD">
      <w:pPr>
        <w:pStyle w:val="39"/>
        <w:spacing w:line="3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二、本公司保证不与其他单位围标、串标，不出让投标资格，不向招标人或评标委员会成员行贿。</w:t>
      </w:r>
    </w:p>
    <w:p w14:paraId="02FE0D84">
      <w:pPr>
        <w:pStyle w:val="39"/>
        <w:spacing w:line="3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三、本公司不存在招标文件第二章投标人须知第</w:t>
      </w:r>
      <w:r>
        <w:rPr>
          <w:rFonts w:ascii="宋体" w:hAnsi="宋体" w:eastAsia="宋体"/>
          <w:color w:val="auto"/>
          <w:sz w:val="21"/>
          <w:szCs w:val="21"/>
          <w:highlight w:val="none"/>
        </w:rPr>
        <w:t>1.4.3</w:t>
      </w:r>
      <w:r>
        <w:rPr>
          <w:rFonts w:hint="eastAsia" w:ascii="宋体" w:hAnsi="宋体" w:eastAsia="宋体"/>
          <w:color w:val="auto"/>
          <w:sz w:val="21"/>
          <w:szCs w:val="21"/>
          <w:highlight w:val="none"/>
        </w:rPr>
        <w:t>项所规定的任何一种情形。没有处于被本地建设行政主管部门取消投标资格的处罚期内。与招标人过去</w:t>
      </w:r>
      <w:r>
        <w:rPr>
          <w:rFonts w:ascii="宋体" w:hAnsi="宋体" w:eastAsia="宋体"/>
          <w:color w:val="auto"/>
          <w:sz w:val="21"/>
          <w:szCs w:val="21"/>
          <w:highlight w:val="none"/>
        </w:rPr>
        <w:t>3</w:t>
      </w:r>
      <w:r>
        <w:rPr>
          <w:rFonts w:hint="eastAsia" w:ascii="宋体" w:hAnsi="宋体" w:eastAsia="宋体"/>
          <w:color w:val="auto"/>
          <w:sz w:val="21"/>
          <w:szCs w:val="21"/>
          <w:highlight w:val="none"/>
        </w:rPr>
        <w:t>年内无合同履约纠纷。</w:t>
      </w:r>
    </w:p>
    <w:p w14:paraId="79735820">
      <w:pPr>
        <w:pStyle w:val="39"/>
        <w:spacing w:line="3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四、本公司及其有隶属关系的机构，没有参加本项目招标文件的编写工作；本公司与本次招标的招标代理机构没有隶属关系或其他利害关系；</w:t>
      </w:r>
    </w:p>
    <w:p w14:paraId="0471550C">
      <w:pPr>
        <w:pStyle w:val="39"/>
        <w:spacing w:line="3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本公司承诺，中标后严格执行安全生产相关管理规定。我单位已充分了解本项目的投资规模、建设内容、建设标准及相关风险，如中标，我单位保证按照招标文件规定的投资控制要求、质量要求、工期要求完成</w:t>
      </w:r>
      <w:r>
        <w:rPr>
          <w:rFonts w:hint="eastAsia" w:ascii="宋体" w:hAnsi="宋体" w:eastAsia="宋体"/>
          <w:color w:val="auto"/>
          <w:sz w:val="21"/>
          <w:szCs w:val="21"/>
          <w:highlight w:val="none"/>
          <w:lang w:val="en-US" w:eastAsia="zh-CN"/>
        </w:rPr>
        <w:t>咨询工作</w:t>
      </w:r>
      <w:r>
        <w:rPr>
          <w:rFonts w:hint="eastAsia" w:ascii="宋体" w:hAnsi="宋体" w:eastAsia="宋体"/>
          <w:color w:val="auto"/>
          <w:sz w:val="21"/>
          <w:szCs w:val="21"/>
          <w:highlight w:val="none"/>
        </w:rPr>
        <w:t>。</w:t>
      </w:r>
    </w:p>
    <w:p w14:paraId="4AE853A4">
      <w:pPr>
        <w:pStyle w:val="39"/>
        <w:spacing w:line="360" w:lineRule="exact"/>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六、与本公司单位负责人为同一人或者与本公司存在控股、管理关系的其他单位包括：</w:t>
      </w:r>
      <w:r>
        <w:rPr>
          <w:rFonts w:hint="eastAsia" w:ascii="宋体" w:hAnsi="宋体" w:eastAsia="宋体"/>
          <w:b/>
          <w:color w:val="auto"/>
          <w:sz w:val="21"/>
          <w:szCs w:val="21"/>
          <w:highlight w:val="none"/>
          <w:u w:val="single"/>
          <w:lang w:val="en-US" w:eastAsia="zh-CN"/>
        </w:rPr>
        <w:t xml:space="preserve">       </w:t>
      </w:r>
      <w:r>
        <w:rPr>
          <w:rFonts w:hint="eastAsia" w:ascii="宋体" w:hAnsi="宋体" w:eastAsia="宋体"/>
          <w:b/>
          <w:color w:val="auto"/>
          <w:sz w:val="21"/>
          <w:szCs w:val="21"/>
          <w:highlight w:val="none"/>
        </w:rPr>
        <w:t>。（注：本条由投标人如实填写，如有，应列出全部满足招标公告资质要求的相关单位的名称；如无，则填写</w:t>
      </w:r>
      <w:r>
        <w:rPr>
          <w:rFonts w:ascii="宋体" w:hAnsi="宋体" w:eastAsia="宋体"/>
          <w:b/>
          <w:color w:val="auto"/>
          <w:sz w:val="21"/>
          <w:szCs w:val="21"/>
          <w:highlight w:val="none"/>
        </w:rPr>
        <w:t>“</w:t>
      </w:r>
      <w:r>
        <w:rPr>
          <w:rFonts w:hint="eastAsia" w:ascii="宋体" w:hAnsi="宋体" w:eastAsia="宋体"/>
          <w:b/>
          <w:color w:val="auto"/>
          <w:sz w:val="21"/>
          <w:szCs w:val="21"/>
          <w:highlight w:val="none"/>
        </w:rPr>
        <w:t>无</w:t>
      </w:r>
      <w:r>
        <w:rPr>
          <w:rFonts w:ascii="宋体" w:hAnsi="宋体" w:eastAsia="宋体"/>
          <w:b/>
          <w:color w:val="auto"/>
          <w:sz w:val="21"/>
          <w:szCs w:val="21"/>
          <w:highlight w:val="none"/>
        </w:rPr>
        <w:t>”</w:t>
      </w:r>
      <w:r>
        <w:rPr>
          <w:rFonts w:hint="eastAsia" w:ascii="宋体" w:hAnsi="宋体" w:eastAsia="宋体"/>
          <w:b/>
          <w:color w:val="auto"/>
          <w:sz w:val="21"/>
          <w:szCs w:val="21"/>
          <w:highlight w:val="none"/>
        </w:rPr>
        <w:t>。）</w:t>
      </w:r>
    </w:p>
    <w:p w14:paraId="1BE2DFA6">
      <w:pPr>
        <w:pStyle w:val="39"/>
        <w:spacing w:line="3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w:t>
      </w:r>
      <w:r>
        <w:rPr>
          <w:rFonts w:ascii="宋体" w:hAnsi="宋体" w:eastAsia="宋体"/>
          <w:color w:val="auto"/>
          <w:sz w:val="21"/>
          <w:szCs w:val="21"/>
          <w:highlight w:val="none"/>
        </w:rPr>
        <w:t>“</w:t>
      </w:r>
      <w:r>
        <w:rPr>
          <w:rFonts w:hint="eastAsia" w:ascii="宋体" w:hAnsi="宋体" w:eastAsia="宋体"/>
          <w:color w:val="auto"/>
          <w:sz w:val="21"/>
          <w:szCs w:val="21"/>
          <w:highlight w:val="none"/>
        </w:rPr>
        <w:t>挂证</w:t>
      </w:r>
      <w:r>
        <w:rPr>
          <w:rFonts w:ascii="宋体" w:hAnsi="宋体" w:eastAsia="宋体"/>
          <w:color w:val="auto"/>
          <w:sz w:val="21"/>
          <w:szCs w:val="21"/>
          <w:highlight w:val="none"/>
        </w:rPr>
        <w:t>”</w:t>
      </w:r>
      <w:r>
        <w:rPr>
          <w:rFonts w:hint="eastAsia" w:ascii="宋体" w:hAnsi="宋体" w:eastAsia="宋体"/>
          <w:color w:val="auto"/>
          <w:sz w:val="21"/>
          <w:szCs w:val="21"/>
          <w:highlight w:val="none"/>
        </w:rPr>
        <w:t>违法违规行为。</w:t>
      </w:r>
    </w:p>
    <w:p w14:paraId="0974FE20">
      <w:pPr>
        <w:pStyle w:val="39"/>
        <w:spacing w:line="3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八、本公司违反上述保证，或本声明陈述与事实不符，经查实，本公司愿意接受公开通报，记录不良行为，承担由此带来的法律后果。其中，本声明陈述与事实不符的，属于弄虚作假骗取中标，将依法接受监管部门的处罚。</w:t>
      </w:r>
    </w:p>
    <w:p w14:paraId="7CD679BB">
      <w:pPr>
        <w:spacing w:line="360" w:lineRule="exact"/>
        <w:rPr>
          <w:rFonts w:ascii="宋体" w:hAnsi="宋体" w:eastAsia="宋体"/>
          <w:color w:val="auto"/>
          <w:sz w:val="21"/>
          <w:szCs w:val="21"/>
          <w:highlight w:val="none"/>
          <w:lang w:eastAsia="zh-CN"/>
        </w:rPr>
      </w:pPr>
    </w:p>
    <w:p w14:paraId="1CD1B98E">
      <w:pPr>
        <w:pStyle w:val="39"/>
        <w:spacing w:line="360" w:lineRule="exact"/>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14:paraId="37D03B83">
      <w:pPr>
        <w:pStyle w:val="39"/>
        <w:spacing w:line="360" w:lineRule="exact"/>
        <w:ind w:firstLine="0"/>
        <w:rPr>
          <w:rFonts w:ascii="宋体" w:hAnsi="宋体" w:eastAsia="宋体"/>
          <w:color w:val="auto"/>
          <w:sz w:val="21"/>
          <w:szCs w:val="21"/>
          <w:highlight w:val="none"/>
        </w:rPr>
      </w:pPr>
    </w:p>
    <w:p w14:paraId="6984BD12">
      <w:pPr>
        <w:pStyle w:val="3"/>
        <w:kinsoku w:val="0"/>
        <w:overflowPunct w:val="0"/>
        <w:spacing w:line="360" w:lineRule="exact"/>
        <w:ind w:left="0" w:firstLine="2530" w:firstLineChars="1200"/>
        <w:rPr>
          <w:b/>
          <w:color w:val="auto"/>
          <w:sz w:val="21"/>
          <w:szCs w:val="21"/>
          <w:highlight w:val="none"/>
          <w:lang w:eastAsia="zh-CN"/>
        </w:rPr>
      </w:pPr>
      <w:r>
        <w:rPr>
          <w:rFonts w:hint="eastAsia"/>
          <w:b/>
          <w:color w:val="auto"/>
          <w:sz w:val="21"/>
          <w:szCs w:val="21"/>
          <w:highlight w:val="none"/>
          <w:lang w:eastAsia="zh-CN"/>
        </w:rPr>
        <w:t>投标</w:t>
      </w:r>
      <w:r>
        <w:rPr>
          <w:rFonts w:hint="eastAsia"/>
          <w:b/>
          <w:color w:val="auto"/>
          <w:spacing w:val="-2"/>
          <w:sz w:val="21"/>
          <w:szCs w:val="21"/>
          <w:highlight w:val="none"/>
          <w:lang w:eastAsia="zh-CN"/>
        </w:rPr>
        <w:t>人：</w:t>
      </w:r>
      <w:r>
        <w:rPr>
          <w:rFonts w:hint="eastAsia"/>
          <w:b/>
          <w:color w:val="auto"/>
          <w:spacing w:val="-1"/>
          <w:sz w:val="21"/>
          <w:szCs w:val="21"/>
          <w:highlight w:val="none"/>
          <w:lang w:eastAsia="zh-CN"/>
        </w:rPr>
        <w:t>（盖章）</w:t>
      </w:r>
    </w:p>
    <w:p w14:paraId="3FECFEA5">
      <w:pPr>
        <w:spacing w:line="360" w:lineRule="exact"/>
        <w:ind w:firstLine="2530" w:firstLineChars="1200"/>
        <w:rPr>
          <w:rFonts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法定代表人或其委托代理人：（签字或签章）</w:t>
      </w:r>
    </w:p>
    <w:p w14:paraId="0D447B39">
      <w:pPr>
        <w:pStyle w:val="39"/>
        <w:spacing w:line="360" w:lineRule="exact"/>
        <w:ind w:firstLine="5271" w:firstLineChars="2500"/>
        <w:jc w:val="left"/>
        <w:rPr>
          <w:rFonts w:ascii="宋体" w:hAnsi="宋体" w:eastAsia="宋体"/>
          <w:color w:val="auto"/>
          <w:sz w:val="21"/>
          <w:szCs w:val="21"/>
          <w:highlight w:val="none"/>
        </w:rPr>
      </w:pPr>
      <w:r>
        <w:rPr>
          <w:rFonts w:hint="eastAsia" w:ascii="宋体" w:hAnsi="宋体" w:eastAsia="宋体"/>
          <w:b/>
          <w:color w:val="auto"/>
          <w:sz w:val="21"/>
          <w:szCs w:val="21"/>
          <w:highlight w:val="none"/>
        </w:rPr>
        <w:t>年</w:t>
      </w:r>
      <w:r>
        <w:rPr>
          <w:rFonts w:ascii="宋体" w:hAnsi="宋体" w:eastAsia="宋体"/>
          <w:b/>
          <w:color w:val="auto"/>
          <w:sz w:val="21"/>
          <w:szCs w:val="21"/>
          <w:highlight w:val="none"/>
          <w:u w:val="single"/>
        </w:rPr>
        <w:tab/>
      </w:r>
      <w:r>
        <w:rPr>
          <w:rFonts w:hint="eastAsia" w:ascii="宋体" w:hAnsi="宋体" w:eastAsia="宋体"/>
          <w:b/>
          <w:color w:val="auto"/>
          <w:sz w:val="21"/>
          <w:szCs w:val="21"/>
          <w:highlight w:val="none"/>
        </w:rPr>
        <w:t>月</w:t>
      </w:r>
      <w:r>
        <w:rPr>
          <w:rFonts w:ascii="宋体" w:hAnsi="宋体" w:eastAsia="宋体"/>
          <w:b/>
          <w:color w:val="auto"/>
          <w:sz w:val="21"/>
          <w:szCs w:val="21"/>
          <w:highlight w:val="none"/>
          <w:u w:val="single"/>
        </w:rPr>
        <w:tab/>
      </w:r>
      <w:r>
        <w:rPr>
          <w:rFonts w:hint="eastAsia" w:ascii="宋体" w:hAnsi="宋体" w:eastAsia="宋体"/>
          <w:b/>
          <w:color w:val="auto"/>
          <w:sz w:val="21"/>
          <w:szCs w:val="21"/>
          <w:highlight w:val="none"/>
        </w:rPr>
        <w:t>日</w:t>
      </w:r>
    </w:p>
    <w:p w14:paraId="5E6CD65F">
      <w:pPr>
        <w:spacing w:line="360" w:lineRule="auto"/>
        <w:rPr>
          <w:rFonts w:ascii="宋体" w:hAnsi="宋体"/>
          <w:b/>
          <w:color w:val="auto"/>
          <w:sz w:val="24"/>
          <w:highlight w:val="none"/>
          <w:u w:val="single"/>
          <w:lang w:eastAsia="zh-CN"/>
        </w:rPr>
      </w:pPr>
    </w:p>
    <w:p w14:paraId="17C71E1B">
      <w:pPr>
        <w:spacing w:line="360" w:lineRule="auto"/>
        <w:rPr>
          <w:rFonts w:ascii="宋体" w:hAnsi="宋体"/>
          <w:b/>
          <w:color w:val="auto"/>
          <w:sz w:val="24"/>
          <w:highlight w:val="none"/>
          <w:u w:val="single"/>
          <w:lang w:eastAsia="zh-CN"/>
        </w:rPr>
      </w:pPr>
    </w:p>
    <w:p w14:paraId="56B6BDCC">
      <w:pPr>
        <w:autoSpaceDE w:val="0"/>
        <w:autoSpaceDN w:val="0"/>
        <w:adjustRightInd w:val="0"/>
        <w:spacing w:line="466" w:lineRule="exact"/>
        <w:ind w:right="-20"/>
        <w:outlineLvl w:val="0"/>
        <w:rPr>
          <w:rFonts w:hint="eastAsia" w:ascii="宋体" w:hAnsi="宋体" w:eastAsia="宋体" w:cs="Times New Roman"/>
          <w:color w:val="auto"/>
          <w:spacing w:val="2"/>
          <w:position w:val="-1"/>
          <w:sz w:val="21"/>
          <w:szCs w:val="21"/>
          <w:highlight w:val="none"/>
        </w:rPr>
      </w:pPr>
      <w:r>
        <w:rPr>
          <w:rFonts w:hint="eastAsia" w:ascii="宋体" w:hAnsi="宋体"/>
          <w:color w:val="auto"/>
          <w:highlight w:val="none"/>
        </w:rPr>
        <w:br w:type="page"/>
      </w:r>
      <w:bookmarkStart w:id="333" w:name="_Toc23894"/>
      <w:bookmarkStart w:id="334" w:name="_Toc32248"/>
      <w:r>
        <w:rPr>
          <w:rFonts w:hint="eastAsia" w:ascii="宋体" w:hAnsi="宋体" w:eastAsia="宋体" w:cs="Times New Roman"/>
          <w:color w:val="auto"/>
          <w:spacing w:val="2"/>
          <w:position w:val="-1"/>
          <w:sz w:val="21"/>
          <w:szCs w:val="21"/>
          <w:highlight w:val="none"/>
        </w:rPr>
        <w:t>格式五：</w:t>
      </w:r>
      <w:r>
        <w:rPr>
          <w:rFonts w:hint="eastAsia" w:ascii="宋体" w:hAnsi="宋体" w:cs="Times New Roman"/>
          <w:color w:val="auto"/>
          <w:spacing w:val="2"/>
          <w:position w:val="-1"/>
          <w:sz w:val="21"/>
          <w:szCs w:val="21"/>
          <w:highlight w:val="none"/>
          <w:lang w:eastAsia="zh-CN"/>
        </w:rPr>
        <w:t>咨询服务费</w:t>
      </w:r>
      <w:r>
        <w:rPr>
          <w:rFonts w:hint="eastAsia" w:ascii="宋体" w:hAnsi="宋体" w:eastAsia="宋体" w:cs="Times New Roman"/>
          <w:color w:val="auto"/>
          <w:spacing w:val="2"/>
          <w:position w:val="-1"/>
          <w:sz w:val="21"/>
          <w:szCs w:val="21"/>
          <w:highlight w:val="none"/>
        </w:rPr>
        <w:t>计算表</w:t>
      </w:r>
      <w:bookmarkEnd w:id="333"/>
      <w:bookmarkEnd w:id="334"/>
    </w:p>
    <w:p w14:paraId="27F5BE1E">
      <w:pPr>
        <w:autoSpaceDE w:val="0"/>
        <w:autoSpaceDN w:val="0"/>
        <w:adjustRightInd w:val="0"/>
        <w:spacing w:before="7" w:line="110" w:lineRule="exact"/>
        <w:rPr>
          <w:rFonts w:ascii="宋体" w:hAnsi="宋体"/>
          <w:color w:val="auto"/>
          <w:sz w:val="11"/>
          <w:szCs w:val="11"/>
          <w:highlight w:val="none"/>
        </w:rPr>
      </w:pPr>
    </w:p>
    <w:p w14:paraId="0CA68CB7">
      <w:pPr>
        <w:autoSpaceDE w:val="0"/>
        <w:autoSpaceDN w:val="0"/>
        <w:adjustRightInd w:val="0"/>
        <w:spacing w:line="200" w:lineRule="exact"/>
        <w:rPr>
          <w:rFonts w:ascii="宋体" w:hAnsi="宋体"/>
          <w:color w:val="auto"/>
          <w:sz w:val="20"/>
          <w:szCs w:val="20"/>
          <w:highlight w:val="none"/>
        </w:rPr>
      </w:pPr>
      <w:r>
        <w:rPr>
          <w:rFonts w:hint="eastAsia" w:ascii="宋体" w:hAnsi="宋体"/>
          <w:color w:val="auto"/>
          <w:sz w:val="20"/>
          <w:szCs w:val="20"/>
          <w:highlight w:val="none"/>
        </w:rPr>
        <w:t xml:space="preserve"> </w:t>
      </w:r>
    </w:p>
    <w:p w14:paraId="1E278D1F">
      <w:pPr>
        <w:jc w:val="center"/>
        <w:rPr>
          <w:rFonts w:ascii="宋体" w:hAnsi="宋体"/>
          <w:bCs/>
          <w:color w:val="auto"/>
          <w:sz w:val="24"/>
          <w:szCs w:val="24"/>
          <w:highlight w:val="none"/>
        </w:rPr>
      </w:pPr>
      <w:r>
        <w:rPr>
          <w:rFonts w:hint="eastAsia" w:ascii="宋体" w:hAnsi="宋体"/>
          <w:color w:val="auto"/>
          <w:spacing w:val="2"/>
          <w:position w:val="-1"/>
          <w:sz w:val="24"/>
          <w:szCs w:val="24"/>
          <w:highlight w:val="none"/>
        </w:rPr>
        <w:t xml:space="preserve">  </w:t>
      </w:r>
      <w:r>
        <w:rPr>
          <w:rFonts w:hint="eastAsia" w:ascii="宋体" w:hAnsi="宋体"/>
          <w:bCs/>
          <w:color w:val="auto"/>
          <w:sz w:val="24"/>
          <w:szCs w:val="24"/>
          <w:highlight w:val="none"/>
          <w:lang w:eastAsia="zh-CN"/>
        </w:rPr>
        <w:t>咨询服务</w:t>
      </w:r>
      <w:r>
        <w:rPr>
          <w:rFonts w:hint="eastAsia" w:ascii="宋体" w:hAnsi="宋体"/>
          <w:bCs/>
          <w:color w:val="auto"/>
          <w:sz w:val="24"/>
          <w:szCs w:val="24"/>
          <w:highlight w:val="none"/>
        </w:rPr>
        <w:t>费报价汇总表</w:t>
      </w:r>
    </w:p>
    <w:p w14:paraId="043C91FF">
      <w:pPr>
        <w:rPr>
          <w:color w:val="auto"/>
          <w:highlight w:val="none"/>
        </w:rPr>
      </w:pPr>
    </w:p>
    <w:tbl>
      <w:tblPr>
        <w:tblStyle w:val="2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468"/>
        <w:gridCol w:w="1902"/>
        <w:gridCol w:w="3567"/>
      </w:tblGrid>
      <w:tr w14:paraId="13A5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88" w:type="dxa"/>
            <w:vAlign w:val="center"/>
          </w:tcPr>
          <w:p w14:paraId="08428860">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2468" w:type="dxa"/>
            <w:vAlign w:val="center"/>
          </w:tcPr>
          <w:p w14:paraId="3E391AF6">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计费项目</w:t>
            </w:r>
          </w:p>
        </w:tc>
        <w:tc>
          <w:tcPr>
            <w:tcW w:w="1902" w:type="dxa"/>
            <w:vAlign w:val="center"/>
          </w:tcPr>
          <w:p w14:paraId="717AEA6A">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金额（元）</w:t>
            </w:r>
          </w:p>
        </w:tc>
        <w:tc>
          <w:tcPr>
            <w:tcW w:w="3567" w:type="dxa"/>
            <w:vAlign w:val="center"/>
          </w:tcPr>
          <w:p w14:paraId="6B27EBCD">
            <w:pPr>
              <w:spacing w:line="288" w:lineRule="auto"/>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5920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88" w:type="dxa"/>
            <w:vAlign w:val="center"/>
          </w:tcPr>
          <w:p w14:paraId="6591B71B">
            <w:pPr>
              <w:spacing w:line="288"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468" w:type="dxa"/>
            <w:vAlign w:val="center"/>
          </w:tcPr>
          <w:p w14:paraId="4D7E296C">
            <w:pPr>
              <w:spacing w:line="288"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咨询服务</w:t>
            </w:r>
            <w:r>
              <w:rPr>
                <w:rFonts w:hint="eastAsia" w:ascii="宋体" w:hAnsi="宋体"/>
                <w:color w:val="auto"/>
                <w:sz w:val="21"/>
                <w:szCs w:val="21"/>
                <w:highlight w:val="none"/>
              </w:rPr>
              <w:t>费投标总报价</w:t>
            </w:r>
          </w:p>
        </w:tc>
        <w:tc>
          <w:tcPr>
            <w:tcW w:w="1902" w:type="dxa"/>
            <w:vAlign w:val="center"/>
          </w:tcPr>
          <w:p w14:paraId="3EAE627D">
            <w:pPr>
              <w:spacing w:line="288" w:lineRule="auto"/>
              <w:rPr>
                <w:rFonts w:ascii="宋体" w:hAnsi="宋体"/>
                <w:color w:val="auto"/>
                <w:sz w:val="21"/>
                <w:szCs w:val="21"/>
                <w:highlight w:val="none"/>
              </w:rPr>
            </w:pPr>
          </w:p>
        </w:tc>
        <w:tc>
          <w:tcPr>
            <w:tcW w:w="3567" w:type="dxa"/>
            <w:vAlign w:val="center"/>
          </w:tcPr>
          <w:p w14:paraId="065EC8BB">
            <w:pPr>
              <w:spacing w:line="288" w:lineRule="auto"/>
              <w:ind w:firstLine="37" w:firstLineChars="18"/>
              <w:rPr>
                <w:rFonts w:ascii="宋体" w:hAnsi="宋体" w:cs="宋体"/>
                <w:color w:val="auto"/>
                <w:sz w:val="21"/>
                <w:szCs w:val="21"/>
                <w:highlight w:val="none"/>
              </w:rPr>
            </w:pPr>
            <w:r>
              <w:rPr>
                <w:rFonts w:hint="eastAsia" w:ascii="宋体" w:hAnsi="宋体" w:cs="宋体"/>
                <w:bCs/>
                <w:color w:val="auto"/>
                <w:sz w:val="21"/>
                <w:szCs w:val="21"/>
                <w:highlight w:val="none"/>
              </w:rPr>
              <w:t>报价金额不得超过</w:t>
            </w:r>
            <w:r>
              <w:rPr>
                <w:rFonts w:hint="eastAsia" w:ascii="宋体" w:hAnsi="宋体" w:cs="宋体"/>
                <w:color w:val="auto"/>
                <w:sz w:val="21"/>
                <w:szCs w:val="21"/>
                <w:highlight w:val="none"/>
                <w:lang w:eastAsia="zh-CN"/>
              </w:rPr>
              <w:t>咨询服务</w:t>
            </w:r>
            <w:r>
              <w:rPr>
                <w:rFonts w:hint="eastAsia" w:ascii="宋体" w:hAnsi="宋体" w:cs="宋体"/>
                <w:color w:val="auto"/>
                <w:sz w:val="21"/>
                <w:szCs w:val="21"/>
                <w:highlight w:val="none"/>
              </w:rPr>
              <w:t>费</w:t>
            </w:r>
            <w:r>
              <w:rPr>
                <w:rFonts w:hint="eastAsia" w:ascii="宋体" w:hAnsi="宋体" w:cs="宋体"/>
                <w:bCs/>
                <w:color w:val="auto"/>
                <w:sz w:val="21"/>
                <w:szCs w:val="21"/>
                <w:highlight w:val="none"/>
              </w:rPr>
              <w:t>最高投标限价</w:t>
            </w:r>
            <w:r>
              <w:rPr>
                <w:rFonts w:hint="eastAsia" w:ascii="宋体" w:hAnsi="宋体" w:cs="宋体"/>
                <w:color w:val="auto"/>
                <w:sz w:val="21"/>
                <w:szCs w:val="21"/>
                <w:highlight w:val="none"/>
                <w:u w:val="single"/>
                <w:lang w:val="en-US" w:eastAsia="zh-CN" w:bidi="ar"/>
              </w:rPr>
              <w:t>69</w:t>
            </w:r>
            <w:r>
              <w:rPr>
                <w:rFonts w:hint="eastAsia" w:ascii="宋体" w:hAnsi="宋体" w:cs="宋体"/>
                <w:bCs/>
                <w:color w:val="auto"/>
                <w:sz w:val="21"/>
                <w:szCs w:val="21"/>
                <w:highlight w:val="none"/>
                <w:lang w:bidi="ar"/>
              </w:rPr>
              <w:t>万元</w:t>
            </w:r>
            <w:r>
              <w:rPr>
                <w:rFonts w:hint="eastAsia" w:ascii="宋体" w:hAnsi="宋体" w:cs="宋体"/>
                <w:bCs/>
                <w:color w:val="auto"/>
                <w:sz w:val="21"/>
                <w:szCs w:val="21"/>
                <w:highlight w:val="none"/>
              </w:rPr>
              <w:t>。</w:t>
            </w:r>
          </w:p>
        </w:tc>
      </w:tr>
    </w:tbl>
    <w:p w14:paraId="117A038C">
      <w:pPr>
        <w:spacing w:line="360" w:lineRule="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注：报价中必须包括项目所发生的人工费、材料费、机械费、管理费、利润、项目措施费、规费、税金以及合同包含的所有风险、责任等各项应有费用。所有价格均应予人民币报价，金额单位为元</w:t>
      </w:r>
      <w:r>
        <w:rPr>
          <w:rFonts w:hint="eastAsia" w:ascii="宋体" w:hAnsi="宋体" w:cs="宋体"/>
          <w:color w:val="auto"/>
          <w:sz w:val="21"/>
          <w:szCs w:val="21"/>
          <w:highlight w:val="none"/>
          <w:lang w:val="en-US" w:eastAsia="zh-CN"/>
        </w:rPr>
        <w:t>。投标人可自行提供报价构成明细，格式自拟。</w:t>
      </w:r>
      <w:r>
        <w:rPr>
          <w:color w:val="auto"/>
          <w:highlight w:val="none"/>
        </w:rPr>
        <w:br w:type="page"/>
      </w:r>
    </w:p>
    <w:p w14:paraId="4126D999">
      <w:pPr>
        <w:rPr>
          <w:rFonts w:ascii="宋体" w:hAnsi="宋体"/>
          <w:bCs/>
          <w:color w:val="auto"/>
          <w:highlight w:val="none"/>
        </w:rPr>
      </w:pPr>
    </w:p>
    <w:p w14:paraId="54EB204A">
      <w:pPr>
        <w:autoSpaceDE w:val="0"/>
        <w:autoSpaceDN w:val="0"/>
        <w:adjustRightInd w:val="0"/>
        <w:spacing w:line="466" w:lineRule="exact"/>
        <w:ind w:right="-20"/>
        <w:outlineLvl w:val="0"/>
        <w:rPr>
          <w:rFonts w:hint="eastAsia" w:ascii="宋体" w:hAnsi="宋体" w:eastAsia="宋体" w:cs="Times New Roman"/>
          <w:color w:val="auto"/>
          <w:spacing w:val="2"/>
          <w:position w:val="-1"/>
          <w:sz w:val="21"/>
          <w:szCs w:val="21"/>
          <w:highlight w:val="none"/>
        </w:rPr>
      </w:pPr>
      <w:bookmarkStart w:id="335" w:name="_Toc20628"/>
      <w:bookmarkStart w:id="336" w:name="_Toc6827"/>
      <w:r>
        <w:rPr>
          <w:rFonts w:hint="eastAsia" w:ascii="宋体" w:hAnsi="宋体" w:eastAsia="宋体" w:cs="Times New Roman"/>
          <w:color w:val="auto"/>
          <w:spacing w:val="2"/>
          <w:position w:val="-1"/>
          <w:sz w:val="21"/>
          <w:szCs w:val="21"/>
          <w:highlight w:val="none"/>
        </w:rPr>
        <w:t>格式六：拟委任的主要人员汇总表及主要人员简历表</w:t>
      </w:r>
      <w:bookmarkEnd w:id="335"/>
      <w:bookmarkEnd w:id="336"/>
    </w:p>
    <w:p w14:paraId="5600FC52">
      <w:pPr>
        <w:jc w:val="center"/>
        <w:rPr>
          <w:rFonts w:ascii="宋体" w:hAnsi="宋体"/>
          <w:color w:val="auto"/>
          <w:spacing w:val="2"/>
          <w:position w:val="-1"/>
          <w:sz w:val="32"/>
          <w:szCs w:val="32"/>
          <w:highlight w:val="none"/>
        </w:rPr>
      </w:pPr>
    </w:p>
    <w:p w14:paraId="3E0F4386">
      <w:pPr>
        <w:jc w:val="center"/>
        <w:rPr>
          <w:rFonts w:ascii="宋体" w:hAnsi="宋体"/>
          <w:color w:val="auto"/>
          <w:spacing w:val="2"/>
          <w:position w:val="-1"/>
          <w:sz w:val="24"/>
          <w:szCs w:val="24"/>
          <w:highlight w:val="none"/>
        </w:rPr>
      </w:pPr>
      <w:r>
        <w:rPr>
          <w:rFonts w:hint="eastAsia" w:ascii="宋体" w:hAnsi="宋体"/>
          <w:bCs/>
          <w:color w:val="auto"/>
          <w:spacing w:val="2"/>
          <w:position w:val="-1"/>
          <w:sz w:val="24"/>
          <w:szCs w:val="24"/>
          <w:highlight w:val="none"/>
        </w:rPr>
        <w:t>拟委任的主要人员汇总表</w:t>
      </w:r>
    </w:p>
    <w:tbl>
      <w:tblPr>
        <w:tblStyle w:val="26"/>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646"/>
        <w:gridCol w:w="847"/>
        <w:gridCol w:w="726"/>
        <w:gridCol w:w="754"/>
        <w:gridCol w:w="4131"/>
      </w:tblGrid>
      <w:tr w14:paraId="0F87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4" w:type="pct"/>
            <w:tcBorders>
              <w:top w:val="single" w:color="auto" w:sz="4" w:space="0"/>
              <w:left w:val="single" w:color="auto" w:sz="4" w:space="0"/>
              <w:right w:val="single" w:color="auto" w:sz="4" w:space="0"/>
            </w:tcBorders>
            <w:vAlign w:val="center"/>
          </w:tcPr>
          <w:p w14:paraId="3A06BB21">
            <w:pPr>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344" w:type="pct"/>
            <w:tcBorders>
              <w:top w:val="single" w:color="auto" w:sz="4" w:space="0"/>
              <w:left w:val="single" w:color="auto" w:sz="4" w:space="0"/>
              <w:bottom w:val="single" w:color="auto" w:sz="4" w:space="0"/>
              <w:right w:val="single" w:color="auto" w:sz="4" w:space="0"/>
            </w:tcBorders>
            <w:vAlign w:val="center"/>
          </w:tcPr>
          <w:p w14:paraId="5B266AA2">
            <w:pPr>
              <w:jc w:val="center"/>
              <w:rPr>
                <w:rFonts w:ascii="宋体" w:hAnsi="宋体" w:cs="Calibri"/>
                <w:color w:val="auto"/>
                <w:sz w:val="21"/>
                <w:szCs w:val="21"/>
                <w:highlight w:val="none"/>
              </w:rPr>
            </w:pPr>
            <w:r>
              <w:rPr>
                <w:rFonts w:hint="eastAsia" w:ascii="宋体" w:hAnsi="宋体"/>
                <w:color w:val="auto"/>
                <w:sz w:val="21"/>
                <w:szCs w:val="21"/>
                <w:highlight w:val="none"/>
              </w:rPr>
              <w:t>人员安排分工</w:t>
            </w:r>
          </w:p>
        </w:tc>
        <w:tc>
          <w:tcPr>
            <w:tcW w:w="430" w:type="pct"/>
            <w:tcBorders>
              <w:top w:val="single" w:color="auto" w:sz="4" w:space="0"/>
              <w:left w:val="nil"/>
              <w:bottom w:val="single" w:color="auto" w:sz="4" w:space="0"/>
              <w:right w:val="single" w:color="auto" w:sz="4" w:space="0"/>
            </w:tcBorders>
            <w:vAlign w:val="center"/>
          </w:tcPr>
          <w:p w14:paraId="5C704882">
            <w:pPr>
              <w:jc w:val="center"/>
              <w:rPr>
                <w:rFonts w:ascii="宋体" w:hAnsi="宋体" w:cs="Calibri"/>
                <w:color w:val="auto"/>
                <w:sz w:val="21"/>
                <w:szCs w:val="21"/>
                <w:highlight w:val="none"/>
              </w:rPr>
            </w:pPr>
            <w:r>
              <w:rPr>
                <w:rFonts w:hint="eastAsia" w:ascii="宋体" w:hAnsi="宋体"/>
                <w:color w:val="auto"/>
                <w:sz w:val="21"/>
                <w:szCs w:val="21"/>
                <w:highlight w:val="none"/>
              </w:rPr>
              <w:t>姓 名</w:t>
            </w:r>
          </w:p>
        </w:tc>
        <w:tc>
          <w:tcPr>
            <w:tcW w:w="369" w:type="pct"/>
            <w:tcBorders>
              <w:top w:val="single" w:color="auto" w:sz="4" w:space="0"/>
              <w:left w:val="nil"/>
              <w:bottom w:val="single" w:color="auto" w:sz="4" w:space="0"/>
              <w:right w:val="single" w:color="auto" w:sz="4" w:space="0"/>
            </w:tcBorders>
            <w:vAlign w:val="center"/>
          </w:tcPr>
          <w:p w14:paraId="575C2A49">
            <w:pPr>
              <w:jc w:val="center"/>
              <w:rPr>
                <w:rFonts w:ascii="宋体" w:hAnsi="宋体" w:cs="Calibri"/>
                <w:color w:val="auto"/>
                <w:sz w:val="21"/>
                <w:szCs w:val="21"/>
                <w:highlight w:val="none"/>
              </w:rPr>
            </w:pPr>
            <w:r>
              <w:rPr>
                <w:rFonts w:hint="eastAsia" w:ascii="宋体" w:hAnsi="宋体"/>
                <w:color w:val="auto"/>
                <w:sz w:val="21"/>
                <w:szCs w:val="21"/>
                <w:highlight w:val="none"/>
              </w:rPr>
              <w:t>年龄</w:t>
            </w:r>
          </w:p>
        </w:tc>
        <w:tc>
          <w:tcPr>
            <w:tcW w:w="383" w:type="pct"/>
            <w:tcBorders>
              <w:top w:val="single" w:color="auto" w:sz="4" w:space="0"/>
              <w:left w:val="nil"/>
              <w:bottom w:val="single" w:color="auto" w:sz="4" w:space="0"/>
              <w:right w:val="single" w:color="auto" w:sz="4" w:space="0"/>
            </w:tcBorders>
            <w:shd w:val="clear" w:color="auto" w:fill="auto"/>
            <w:vAlign w:val="center"/>
          </w:tcPr>
          <w:p w14:paraId="60B44B4B">
            <w:pPr>
              <w:jc w:val="center"/>
              <w:rPr>
                <w:rFonts w:ascii="宋体" w:hAnsi="宋体" w:eastAsia="宋体" w:cs="Calibri"/>
                <w:color w:val="auto"/>
                <w:kern w:val="2"/>
                <w:sz w:val="21"/>
                <w:szCs w:val="21"/>
                <w:highlight w:val="none"/>
                <w:lang w:val="en-US" w:eastAsia="zh-CN" w:bidi="ar-SA"/>
              </w:rPr>
            </w:pPr>
            <w:r>
              <w:rPr>
                <w:rFonts w:hint="eastAsia" w:ascii="宋体" w:hAnsi="宋体"/>
                <w:color w:val="auto"/>
                <w:sz w:val="21"/>
                <w:szCs w:val="21"/>
                <w:highlight w:val="none"/>
              </w:rPr>
              <w:t>人数</w:t>
            </w:r>
          </w:p>
        </w:tc>
        <w:tc>
          <w:tcPr>
            <w:tcW w:w="2098" w:type="pct"/>
            <w:tcBorders>
              <w:top w:val="single" w:color="auto" w:sz="4" w:space="0"/>
              <w:left w:val="nil"/>
              <w:bottom w:val="single" w:color="auto" w:sz="4" w:space="0"/>
              <w:right w:val="single" w:color="auto" w:sz="4" w:space="0"/>
            </w:tcBorders>
            <w:shd w:val="clear" w:color="auto" w:fill="auto"/>
            <w:vAlign w:val="center"/>
          </w:tcPr>
          <w:p w14:paraId="087FFE7D">
            <w:pPr>
              <w:jc w:val="center"/>
              <w:rPr>
                <w:rFonts w:hint="eastAsia" w:ascii="宋体" w:hAnsi="宋体" w:eastAsia="宋体" w:cs="Calibri"/>
                <w:color w:val="auto"/>
                <w:kern w:val="2"/>
                <w:sz w:val="21"/>
                <w:szCs w:val="21"/>
                <w:highlight w:val="none"/>
                <w:lang w:val="en-US" w:eastAsia="zh-CN" w:bidi="ar-SA"/>
              </w:rPr>
            </w:pPr>
            <w:r>
              <w:rPr>
                <w:rFonts w:hint="eastAsia" w:ascii="宋体" w:hAnsi="宋体"/>
                <w:color w:val="auto"/>
                <w:sz w:val="21"/>
                <w:szCs w:val="21"/>
                <w:highlight w:val="none"/>
              </w:rPr>
              <w:t>职务、执业资格、专业职称</w:t>
            </w:r>
          </w:p>
        </w:tc>
      </w:tr>
      <w:tr w14:paraId="2BD7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2A74E6AB">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344" w:type="pct"/>
            <w:tcBorders>
              <w:top w:val="single" w:color="auto" w:sz="4" w:space="0"/>
              <w:left w:val="single" w:color="auto" w:sz="4" w:space="0"/>
              <w:bottom w:val="single" w:color="auto" w:sz="4" w:space="0"/>
              <w:right w:val="single" w:color="auto" w:sz="4" w:space="0"/>
            </w:tcBorders>
            <w:vAlign w:val="center"/>
          </w:tcPr>
          <w:p w14:paraId="3F524451">
            <w:pPr>
              <w:jc w:val="center"/>
              <w:rPr>
                <w:rFonts w:hint="eastAsia" w:ascii="宋体" w:hAnsi="宋体"/>
                <w:color w:val="auto"/>
                <w:sz w:val="21"/>
                <w:szCs w:val="21"/>
                <w:highlight w:val="none"/>
              </w:rPr>
            </w:pPr>
            <w:r>
              <w:rPr>
                <w:rFonts w:hint="eastAsia" w:ascii="宋体" w:hAnsi="宋体"/>
                <w:color w:val="auto"/>
                <w:sz w:val="21"/>
                <w:szCs w:val="21"/>
                <w:highlight w:val="none"/>
              </w:rPr>
              <w:t>项目负责人</w:t>
            </w:r>
          </w:p>
        </w:tc>
        <w:tc>
          <w:tcPr>
            <w:tcW w:w="430" w:type="pct"/>
            <w:tcBorders>
              <w:top w:val="single" w:color="auto" w:sz="4" w:space="0"/>
              <w:left w:val="nil"/>
              <w:bottom w:val="single" w:color="auto" w:sz="4" w:space="0"/>
              <w:right w:val="single" w:color="auto" w:sz="4" w:space="0"/>
            </w:tcBorders>
            <w:vAlign w:val="center"/>
          </w:tcPr>
          <w:p w14:paraId="7065A292">
            <w:pPr>
              <w:jc w:val="center"/>
              <w:rPr>
                <w:rFonts w:ascii="宋体" w:hAnsi="宋体" w:cs="Calibri"/>
                <w:color w:val="auto"/>
                <w:sz w:val="21"/>
                <w:szCs w:val="21"/>
                <w:highlight w:val="none"/>
              </w:rPr>
            </w:pPr>
          </w:p>
        </w:tc>
        <w:tc>
          <w:tcPr>
            <w:tcW w:w="369" w:type="pct"/>
            <w:tcBorders>
              <w:top w:val="single" w:color="auto" w:sz="4" w:space="0"/>
              <w:left w:val="nil"/>
              <w:bottom w:val="single" w:color="auto" w:sz="4" w:space="0"/>
              <w:right w:val="single" w:color="auto" w:sz="4" w:space="0"/>
            </w:tcBorders>
            <w:vAlign w:val="center"/>
          </w:tcPr>
          <w:p w14:paraId="607D8C2D">
            <w:pPr>
              <w:jc w:val="center"/>
              <w:rPr>
                <w:rFonts w:ascii="宋体" w:hAnsi="宋体" w:cs="Calibri"/>
                <w:color w:val="auto"/>
                <w:sz w:val="21"/>
                <w:szCs w:val="21"/>
                <w:highlight w:val="none"/>
              </w:rPr>
            </w:pPr>
          </w:p>
        </w:tc>
        <w:tc>
          <w:tcPr>
            <w:tcW w:w="383" w:type="pct"/>
            <w:tcBorders>
              <w:top w:val="single" w:color="auto" w:sz="4" w:space="0"/>
              <w:left w:val="nil"/>
              <w:bottom w:val="single" w:color="auto" w:sz="4" w:space="0"/>
              <w:right w:val="single" w:color="auto" w:sz="4" w:space="0"/>
            </w:tcBorders>
            <w:vAlign w:val="center"/>
          </w:tcPr>
          <w:p w14:paraId="337826EB">
            <w:pPr>
              <w:jc w:val="center"/>
              <w:rPr>
                <w:rFonts w:ascii="宋体" w:hAnsi="宋体" w:cs="Courier New"/>
                <w:color w:val="auto"/>
                <w:sz w:val="21"/>
                <w:szCs w:val="21"/>
                <w:highlight w:val="none"/>
              </w:rPr>
            </w:pPr>
            <w:r>
              <w:rPr>
                <w:rFonts w:hint="eastAsia" w:ascii="宋体" w:hAnsi="宋体" w:cs="宋体"/>
                <w:color w:val="auto"/>
                <w:sz w:val="21"/>
                <w:szCs w:val="21"/>
                <w:highlight w:val="none"/>
              </w:rPr>
              <w:t>1</w:t>
            </w:r>
          </w:p>
        </w:tc>
        <w:tc>
          <w:tcPr>
            <w:tcW w:w="2098" w:type="pct"/>
            <w:tcBorders>
              <w:top w:val="single" w:color="auto" w:sz="4" w:space="0"/>
              <w:left w:val="nil"/>
              <w:bottom w:val="single" w:color="auto" w:sz="4" w:space="0"/>
              <w:right w:val="single" w:color="auto" w:sz="4" w:space="0"/>
            </w:tcBorders>
            <w:vAlign w:val="center"/>
          </w:tcPr>
          <w:p w14:paraId="2F99991E">
            <w:pPr>
              <w:jc w:val="center"/>
              <w:rPr>
                <w:rFonts w:ascii="宋体" w:hAnsi="宋体" w:cs="宋体"/>
                <w:color w:val="auto"/>
                <w:sz w:val="21"/>
                <w:szCs w:val="21"/>
                <w:highlight w:val="none"/>
              </w:rPr>
            </w:pPr>
          </w:p>
        </w:tc>
      </w:tr>
      <w:tr w14:paraId="2D5E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340786BA">
            <w:pPr>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344" w:type="pct"/>
            <w:tcBorders>
              <w:top w:val="single" w:color="auto" w:sz="4" w:space="0"/>
              <w:left w:val="single" w:color="auto" w:sz="4" w:space="0"/>
              <w:bottom w:val="single" w:color="auto" w:sz="4" w:space="0"/>
              <w:right w:val="single" w:color="auto" w:sz="4" w:space="0"/>
            </w:tcBorders>
            <w:vAlign w:val="center"/>
          </w:tcPr>
          <w:p w14:paraId="22F179D1">
            <w:pPr>
              <w:jc w:val="center"/>
              <w:rPr>
                <w:rFonts w:hint="eastAsia" w:ascii="宋体" w:hAnsi="宋体"/>
                <w:color w:val="auto"/>
                <w:sz w:val="21"/>
                <w:szCs w:val="21"/>
                <w:highlight w:val="none"/>
              </w:rPr>
            </w:pPr>
            <w:r>
              <w:rPr>
                <w:rFonts w:hint="eastAsia" w:ascii="宋体" w:hAnsi="宋体"/>
                <w:color w:val="auto"/>
                <w:sz w:val="21"/>
                <w:szCs w:val="21"/>
                <w:highlight w:val="none"/>
              </w:rPr>
              <w:t>项目技术负责人</w:t>
            </w:r>
          </w:p>
        </w:tc>
        <w:tc>
          <w:tcPr>
            <w:tcW w:w="430" w:type="pct"/>
            <w:tcBorders>
              <w:top w:val="single" w:color="auto" w:sz="4" w:space="0"/>
              <w:left w:val="nil"/>
              <w:bottom w:val="single" w:color="auto" w:sz="4" w:space="0"/>
              <w:right w:val="single" w:color="auto" w:sz="4" w:space="0"/>
            </w:tcBorders>
            <w:vAlign w:val="center"/>
          </w:tcPr>
          <w:p w14:paraId="0D1E90B7">
            <w:pPr>
              <w:jc w:val="center"/>
              <w:rPr>
                <w:rFonts w:ascii="宋体" w:hAnsi="宋体" w:cs="Calibri"/>
                <w:color w:val="auto"/>
                <w:sz w:val="21"/>
                <w:szCs w:val="21"/>
                <w:highlight w:val="none"/>
              </w:rPr>
            </w:pPr>
          </w:p>
        </w:tc>
        <w:tc>
          <w:tcPr>
            <w:tcW w:w="369" w:type="pct"/>
            <w:tcBorders>
              <w:top w:val="single" w:color="auto" w:sz="4" w:space="0"/>
              <w:left w:val="nil"/>
              <w:bottom w:val="single" w:color="auto" w:sz="4" w:space="0"/>
              <w:right w:val="single" w:color="auto" w:sz="4" w:space="0"/>
            </w:tcBorders>
            <w:vAlign w:val="center"/>
          </w:tcPr>
          <w:p w14:paraId="40E42771">
            <w:pPr>
              <w:jc w:val="center"/>
              <w:rPr>
                <w:rFonts w:ascii="宋体" w:hAnsi="宋体" w:cs="Calibri"/>
                <w:color w:val="auto"/>
                <w:sz w:val="21"/>
                <w:szCs w:val="21"/>
                <w:highlight w:val="none"/>
              </w:rPr>
            </w:pPr>
          </w:p>
        </w:tc>
        <w:tc>
          <w:tcPr>
            <w:tcW w:w="383" w:type="pct"/>
            <w:tcBorders>
              <w:top w:val="single" w:color="auto" w:sz="4" w:space="0"/>
              <w:left w:val="nil"/>
              <w:bottom w:val="single" w:color="auto" w:sz="4" w:space="0"/>
              <w:right w:val="single" w:color="auto" w:sz="4" w:space="0"/>
            </w:tcBorders>
            <w:vAlign w:val="center"/>
          </w:tcPr>
          <w:p w14:paraId="09AD58DC">
            <w:pPr>
              <w:jc w:val="center"/>
              <w:rPr>
                <w:rFonts w:ascii="宋体" w:hAnsi="宋体" w:cs="Courier New"/>
                <w:color w:val="auto"/>
                <w:sz w:val="21"/>
                <w:szCs w:val="21"/>
                <w:highlight w:val="none"/>
              </w:rPr>
            </w:pPr>
            <w:r>
              <w:rPr>
                <w:rFonts w:hint="eastAsia" w:ascii="宋体" w:hAnsi="宋体" w:cs="宋体"/>
                <w:color w:val="auto"/>
                <w:sz w:val="21"/>
                <w:szCs w:val="21"/>
                <w:highlight w:val="none"/>
              </w:rPr>
              <w:t>1</w:t>
            </w:r>
          </w:p>
        </w:tc>
        <w:tc>
          <w:tcPr>
            <w:tcW w:w="2098" w:type="pct"/>
            <w:tcBorders>
              <w:top w:val="single" w:color="auto" w:sz="4" w:space="0"/>
              <w:left w:val="nil"/>
              <w:bottom w:val="single" w:color="auto" w:sz="4" w:space="0"/>
              <w:right w:val="single" w:color="auto" w:sz="4" w:space="0"/>
            </w:tcBorders>
            <w:vAlign w:val="center"/>
          </w:tcPr>
          <w:p w14:paraId="31432E5B">
            <w:pPr>
              <w:jc w:val="left"/>
              <w:rPr>
                <w:rFonts w:ascii="宋体" w:hAnsi="宋体" w:cs="宋体"/>
                <w:color w:val="auto"/>
                <w:sz w:val="21"/>
                <w:szCs w:val="21"/>
                <w:highlight w:val="none"/>
              </w:rPr>
            </w:pPr>
          </w:p>
        </w:tc>
      </w:tr>
      <w:tr w14:paraId="3A09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71C5EC44">
            <w:pPr>
              <w:widowControl/>
              <w:spacing w:line="240" w:lineRule="exact"/>
              <w:ind w:left="410" w:leftChars="35" w:hanging="333" w:hangingChars="159"/>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rPr>
              <w:t>3</w:t>
            </w:r>
          </w:p>
        </w:tc>
        <w:tc>
          <w:tcPr>
            <w:tcW w:w="1344" w:type="pct"/>
            <w:tcBorders>
              <w:top w:val="single" w:color="auto" w:sz="4" w:space="0"/>
              <w:left w:val="single" w:color="auto" w:sz="4" w:space="0"/>
              <w:bottom w:val="single" w:color="auto" w:sz="4" w:space="0"/>
              <w:right w:val="single" w:color="auto" w:sz="4" w:space="0"/>
            </w:tcBorders>
            <w:vAlign w:val="center"/>
          </w:tcPr>
          <w:p w14:paraId="357224FE">
            <w:pPr>
              <w:jc w:val="center"/>
              <w:rPr>
                <w:rFonts w:hint="eastAsia" w:ascii="宋体" w:hAnsi="宋体"/>
                <w:color w:val="auto"/>
                <w:sz w:val="21"/>
                <w:szCs w:val="21"/>
                <w:highlight w:val="none"/>
              </w:rPr>
            </w:pPr>
            <w:r>
              <w:rPr>
                <w:rFonts w:hint="eastAsia" w:ascii="宋体" w:hAnsi="宋体"/>
                <w:color w:val="auto"/>
                <w:sz w:val="21"/>
                <w:szCs w:val="21"/>
                <w:highlight w:val="none"/>
              </w:rPr>
              <w:t>项目管理人员</w:t>
            </w:r>
          </w:p>
        </w:tc>
        <w:tc>
          <w:tcPr>
            <w:tcW w:w="430" w:type="pct"/>
            <w:tcBorders>
              <w:top w:val="single" w:color="auto" w:sz="4" w:space="0"/>
              <w:left w:val="nil"/>
              <w:bottom w:val="single" w:color="auto" w:sz="4" w:space="0"/>
              <w:right w:val="single" w:color="auto" w:sz="4" w:space="0"/>
            </w:tcBorders>
            <w:vAlign w:val="center"/>
          </w:tcPr>
          <w:p w14:paraId="2FB7440B">
            <w:pPr>
              <w:jc w:val="center"/>
              <w:rPr>
                <w:rFonts w:ascii="宋体" w:hAnsi="宋体" w:cs="Calibri"/>
                <w:color w:val="auto"/>
                <w:sz w:val="21"/>
                <w:szCs w:val="21"/>
                <w:highlight w:val="none"/>
              </w:rPr>
            </w:pPr>
          </w:p>
        </w:tc>
        <w:tc>
          <w:tcPr>
            <w:tcW w:w="369" w:type="pct"/>
            <w:tcBorders>
              <w:top w:val="single" w:color="auto" w:sz="4" w:space="0"/>
              <w:left w:val="nil"/>
              <w:bottom w:val="single" w:color="auto" w:sz="4" w:space="0"/>
              <w:right w:val="single" w:color="auto" w:sz="4" w:space="0"/>
            </w:tcBorders>
            <w:vAlign w:val="center"/>
          </w:tcPr>
          <w:p w14:paraId="5E7389D7">
            <w:pPr>
              <w:jc w:val="center"/>
              <w:rPr>
                <w:rFonts w:ascii="宋体" w:hAnsi="宋体" w:cs="Calibri"/>
                <w:color w:val="auto"/>
                <w:sz w:val="21"/>
                <w:szCs w:val="21"/>
                <w:highlight w:val="none"/>
              </w:rPr>
            </w:pPr>
          </w:p>
        </w:tc>
        <w:tc>
          <w:tcPr>
            <w:tcW w:w="383" w:type="pct"/>
            <w:tcBorders>
              <w:top w:val="single" w:color="auto" w:sz="4" w:space="0"/>
              <w:left w:val="nil"/>
              <w:bottom w:val="single" w:color="auto" w:sz="4" w:space="0"/>
              <w:right w:val="single" w:color="auto" w:sz="4" w:space="0"/>
            </w:tcBorders>
            <w:vAlign w:val="center"/>
          </w:tcPr>
          <w:p w14:paraId="01F83BF6">
            <w:pPr>
              <w:jc w:val="center"/>
              <w:rPr>
                <w:rFonts w:ascii="宋体" w:hAnsi="宋体" w:cs="Courier New"/>
                <w:color w:val="auto"/>
                <w:sz w:val="21"/>
                <w:szCs w:val="21"/>
                <w:highlight w:val="none"/>
              </w:rPr>
            </w:pPr>
            <w:r>
              <w:rPr>
                <w:rFonts w:hint="eastAsia" w:ascii="宋体" w:hAnsi="宋体" w:cs="宋体"/>
                <w:color w:val="auto"/>
                <w:sz w:val="21"/>
                <w:szCs w:val="21"/>
                <w:highlight w:val="none"/>
              </w:rPr>
              <w:t>1</w:t>
            </w:r>
          </w:p>
        </w:tc>
        <w:tc>
          <w:tcPr>
            <w:tcW w:w="2098" w:type="pct"/>
            <w:tcBorders>
              <w:top w:val="single" w:color="auto" w:sz="4" w:space="0"/>
              <w:left w:val="nil"/>
              <w:bottom w:val="single" w:color="auto" w:sz="4" w:space="0"/>
              <w:right w:val="single" w:color="auto" w:sz="4" w:space="0"/>
            </w:tcBorders>
            <w:vAlign w:val="center"/>
          </w:tcPr>
          <w:p w14:paraId="2FD6DD33">
            <w:pPr>
              <w:jc w:val="left"/>
              <w:rPr>
                <w:rFonts w:ascii="宋体" w:hAnsi="宋体" w:cs="宋体"/>
                <w:color w:val="auto"/>
                <w:sz w:val="21"/>
                <w:szCs w:val="21"/>
                <w:highlight w:val="none"/>
              </w:rPr>
            </w:pPr>
          </w:p>
        </w:tc>
      </w:tr>
      <w:tr w14:paraId="628B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3C86B39C">
            <w:pPr>
              <w:widowControl/>
              <w:spacing w:line="240" w:lineRule="exact"/>
              <w:ind w:left="410" w:leftChars="35" w:hanging="333" w:hangingChars="159"/>
              <w:jc w:val="center"/>
              <w:rPr>
                <w:rFonts w:ascii="宋体" w:hAnsi="宋体" w:cs="宋体"/>
                <w:color w:val="auto"/>
                <w:kern w:val="1"/>
                <w:sz w:val="21"/>
                <w:szCs w:val="21"/>
                <w:highlight w:val="none"/>
              </w:rPr>
            </w:pPr>
            <w:r>
              <w:rPr>
                <w:rFonts w:hint="eastAsia" w:ascii="宋体" w:hAnsi="宋体" w:cs="宋体"/>
                <w:color w:val="auto"/>
                <w:kern w:val="1"/>
                <w:sz w:val="21"/>
                <w:szCs w:val="21"/>
                <w:highlight w:val="none"/>
              </w:rPr>
              <w:t>4</w:t>
            </w:r>
          </w:p>
        </w:tc>
        <w:tc>
          <w:tcPr>
            <w:tcW w:w="1344" w:type="pct"/>
            <w:tcBorders>
              <w:top w:val="single" w:color="auto" w:sz="4" w:space="0"/>
              <w:left w:val="single" w:color="auto" w:sz="4" w:space="0"/>
              <w:bottom w:val="single" w:color="auto" w:sz="4" w:space="0"/>
              <w:right w:val="single" w:color="auto" w:sz="4" w:space="0"/>
            </w:tcBorders>
            <w:vAlign w:val="center"/>
          </w:tcPr>
          <w:p w14:paraId="46AD72E6">
            <w:pPr>
              <w:jc w:val="center"/>
              <w:rPr>
                <w:rFonts w:hint="eastAsia" w:ascii="宋体" w:hAnsi="宋体"/>
                <w:color w:val="auto"/>
                <w:sz w:val="21"/>
                <w:szCs w:val="21"/>
                <w:highlight w:val="none"/>
              </w:rPr>
            </w:pPr>
            <w:r>
              <w:rPr>
                <w:rFonts w:hint="eastAsia" w:ascii="宋体" w:hAnsi="宋体"/>
                <w:color w:val="auto"/>
                <w:sz w:val="21"/>
                <w:szCs w:val="21"/>
                <w:highlight w:val="none"/>
              </w:rPr>
              <w:t>安全管理人员</w:t>
            </w:r>
          </w:p>
        </w:tc>
        <w:tc>
          <w:tcPr>
            <w:tcW w:w="430" w:type="pct"/>
            <w:tcBorders>
              <w:top w:val="single" w:color="auto" w:sz="4" w:space="0"/>
              <w:left w:val="nil"/>
              <w:bottom w:val="single" w:color="auto" w:sz="4" w:space="0"/>
              <w:right w:val="single" w:color="auto" w:sz="4" w:space="0"/>
            </w:tcBorders>
            <w:vAlign w:val="center"/>
          </w:tcPr>
          <w:p w14:paraId="5208C9ED">
            <w:pPr>
              <w:jc w:val="center"/>
              <w:rPr>
                <w:rFonts w:ascii="宋体" w:hAnsi="宋体" w:cs="Calibri"/>
                <w:color w:val="auto"/>
                <w:sz w:val="21"/>
                <w:szCs w:val="21"/>
                <w:highlight w:val="none"/>
              </w:rPr>
            </w:pPr>
          </w:p>
        </w:tc>
        <w:tc>
          <w:tcPr>
            <w:tcW w:w="369" w:type="pct"/>
            <w:tcBorders>
              <w:top w:val="single" w:color="auto" w:sz="4" w:space="0"/>
              <w:left w:val="nil"/>
              <w:bottom w:val="single" w:color="auto" w:sz="4" w:space="0"/>
              <w:right w:val="single" w:color="auto" w:sz="4" w:space="0"/>
            </w:tcBorders>
            <w:vAlign w:val="center"/>
          </w:tcPr>
          <w:p w14:paraId="012FF267">
            <w:pPr>
              <w:jc w:val="center"/>
              <w:rPr>
                <w:rFonts w:ascii="宋体" w:hAnsi="宋体" w:cs="Calibri"/>
                <w:color w:val="auto"/>
                <w:sz w:val="21"/>
                <w:szCs w:val="21"/>
                <w:highlight w:val="none"/>
              </w:rPr>
            </w:pPr>
          </w:p>
        </w:tc>
        <w:tc>
          <w:tcPr>
            <w:tcW w:w="383" w:type="pct"/>
            <w:tcBorders>
              <w:top w:val="single" w:color="auto" w:sz="4" w:space="0"/>
              <w:left w:val="nil"/>
              <w:bottom w:val="single" w:color="auto" w:sz="4" w:space="0"/>
              <w:right w:val="single" w:color="auto" w:sz="4" w:space="0"/>
            </w:tcBorders>
            <w:vAlign w:val="center"/>
          </w:tcPr>
          <w:p w14:paraId="2FA5FC88">
            <w:pPr>
              <w:jc w:val="center"/>
              <w:rPr>
                <w:rFonts w:ascii="宋体" w:hAnsi="宋体" w:cs="Courier New"/>
                <w:color w:val="auto"/>
                <w:sz w:val="21"/>
                <w:szCs w:val="21"/>
                <w:highlight w:val="none"/>
              </w:rPr>
            </w:pPr>
            <w:r>
              <w:rPr>
                <w:rFonts w:hint="eastAsia" w:ascii="宋体" w:hAnsi="宋体" w:cs="宋体"/>
                <w:color w:val="auto"/>
                <w:sz w:val="21"/>
                <w:szCs w:val="21"/>
                <w:highlight w:val="none"/>
              </w:rPr>
              <w:t>1</w:t>
            </w:r>
          </w:p>
        </w:tc>
        <w:tc>
          <w:tcPr>
            <w:tcW w:w="2098" w:type="pct"/>
            <w:tcBorders>
              <w:top w:val="single" w:color="auto" w:sz="4" w:space="0"/>
              <w:left w:val="nil"/>
              <w:bottom w:val="single" w:color="auto" w:sz="4" w:space="0"/>
              <w:right w:val="single" w:color="auto" w:sz="4" w:space="0"/>
            </w:tcBorders>
            <w:vAlign w:val="center"/>
          </w:tcPr>
          <w:p w14:paraId="57C79F63">
            <w:pPr>
              <w:jc w:val="left"/>
              <w:rPr>
                <w:rFonts w:ascii="宋体" w:hAnsi="宋体" w:cs="宋体"/>
                <w:color w:val="auto"/>
                <w:sz w:val="21"/>
                <w:szCs w:val="21"/>
                <w:highlight w:val="none"/>
              </w:rPr>
            </w:pPr>
          </w:p>
        </w:tc>
      </w:tr>
      <w:tr w14:paraId="604D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412CDB7D">
            <w:pPr>
              <w:widowControl/>
              <w:spacing w:line="2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5</w:t>
            </w:r>
          </w:p>
        </w:tc>
        <w:tc>
          <w:tcPr>
            <w:tcW w:w="1344" w:type="pct"/>
            <w:tcBorders>
              <w:top w:val="single" w:color="auto" w:sz="4" w:space="0"/>
              <w:left w:val="single" w:color="auto" w:sz="4" w:space="0"/>
              <w:bottom w:val="single" w:color="auto" w:sz="4" w:space="0"/>
              <w:right w:val="single" w:color="auto" w:sz="4" w:space="0"/>
            </w:tcBorders>
            <w:shd w:val="clear" w:color="auto" w:fill="auto"/>
            <w:vAlign w:val="center"/>
          </w:tcPr>
          <w:p w14:paraId="71DF8C04">
            <w:pPr>
              <w:jc w:val="center"/>
              <w:rPr>
                <w:rFonts w:hint="eastAsia" w:ascii="宋体" w:hAnsi="宋体"/>
                <w:color w:val="auto"/>
                <w:sz w:val="21"/>
                <w:szCs w:val="21"/>
                <w:highlight w:val="none"/>
                <w:lang w:val="zh-TW" w:eastAsia="zh-TW"/>
              </w:rPr>
            </w:pPr>
          </w:p>
        </w:tc>
        <w:tc>
          <w:tcPr>
            <w:tcW w:w="430" w:type="pct"/>
            <w:tcBorders>
              <w:top w:val="single" w:color="auto" w:sz="4" w:space="0"/>
              <w:left w:val="nil"/>
              <w:bottom w:val="single" w:color="auto" w:sz="4" w:space="0"/>
              <w:right w:val="single" w:color="auto" w:sz="4" w:space="0"/>
            </w:tcBorders>
            <w:vAlign w:val="center"/>
          </w:tcPr>
          <w:p w14:paraId="006946EA">
            <w:pPr>
              <w:jc w:val="center"/>
              <w:rPr>
                <w:rFonts w:ascii="宋体" w:hAnsi="宋体" w:cs="Calibri"/>
                <w:color w:val="auto"/>
                <w:sz w:val="21"/>
                <w:szCs w:val="21"/>
                <w:highlight w:val="none"/>
              </w:rPr>
            </w:pPr>
          </w:p>
        </w:tc>
        <w:tc>
          <w:tcPr>
            <w:tcW w:w="369" w:type="pct"/>
            <w:tcBorders>
              <w:top w:val="single" w:color="auto" w:sz="4" w:space="0"/>
              <w:left w:val="nil"/>
              <w:bottom w:val="single" w:color="auto" w:sz="4" w:space="0"/>
              <w:right w:val="single" w:color="auto" w:sz="4" w:space="0"/>
            </w:tcBorders>
            <w:vAlign w:val="center"/>
          </w:tcPr>
          <w:p w14:paraId="47D5144F">
            <w:pPr>
              <w:jc w:val="center"/>
              <w:rPr>
                <w:rFonts w:ascii="宋体" w:hAnsi="宋体" w:cs="Calibri"/>
                <w:color w:val="auto"/>
                <w:sz w:val="21"/>
                <w:szCs w:val="21"/>
                <w:highlight w:val="none"/>
              </w:rPr>
            </w:pPr>
          </w:p>
        </w:tc>
        <w:tc>
          <w:tcPr>
            <w:tcW w:w="383" w:type="pct"/>
            <w:tcBorders>
              <w:top w:val="single" w:color="auto" w:sz="4" w:space="0"/>
              <w:left w:val="nil"/>
              <w:bottom w:val="single" w:color="auto" w:sz="4" w:space="0"/>
              <w:right w:val="single" w:color="auto" w:sz="4" w:space="0"/>
            </w:tcBorders>
            <w:vAlign w:val="center"/>
          </w:tcPr>
          <w:p w14:paraId="14D22824">
            <w:pPr>
              <w:jc w:val="center"/>
              <w:rPr>
                <w:rFonts w:hint="eastAsia" w:ascii="宋体" w:hAnsi="宋体" w:eastAsia="宋体" w:cs="宋体"/>
                <w:color w:val="auto"/>
                <w:sz w:val="21"/>
                <w:szCs w:val="21"/>
                <w:highlight w:val="none"/>
                <w:lang w:val="en-US" w:eastAsia="zh-CN"/>
              </w:rPr>
            </w:pPr>
          </w:p>
        </w:tc>
        <w:tc>
          <w:tcPr>
            <w:tcW w:w="2098" w:type="pct"/>
            <w:tcBorders>
              <w:top w:val="single" w:color="auto" w:sz="4" w:space="0"/>
              <w:left w:val="nil"/>
              <w:bottom w:val="single" w:color="auto" w:sz="4" w:space="0"/>
              <w:right w:val="single" w:color="auto" w:sz="4" w:space="0"/>
            </w:tcBorders>
            <w:vAlign w:val="center"/>
          </w:tcPr>
          <w:p w14:paraId="4146882E">
            <w:pPr>
              <w:jc w:val="left"/>
              <w:rPr>
                <w:rFonts w:hint="eastAsia" w:ascii="宋体" w:hAnsi="宋体" w:cs="宋体"/>
                <w:color w:val="auto"/>
                <w:sz w:val="21"/>
                <w:szCs w:val="21"/>
                <w:highlight w:val="none"/>
              </w:rPr>
            </w:pPr>
          </w:p>
        </w:tc>
      </w:tr>
      <w:tr w14:paraId="2284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0878D227">
            <w:pPr>
              <w:widowControl/>
              <w:spacing w:line="2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6</w:t>
            </w:r>
          </w:p>
        </w:tc>
        <w:tc>
          <w:tcPr>
            <w:tcW w:w="1344" w:type="pct"/>
            <w:tcBorders>
              <w:top w:val="single" w:color="auto" w:sz="4" w:space="0"/>
              <w:left w:val="single" w:color="auto" w:sz="4" w:space="0"/>
              <w:bottom w:val="single" w:color="auto" w:sz="4" w:space="0"/>
              <w:right w:val="single" w:color="auto" w:sz="4" w:space="0"/>
            </w:tcBorders>
            <w:shd w:val="clear" w:color="auto" w:fill="auto"/>
            <w:vAlign w:val="center"/>
          </w:tcPr>
          <w:p w14:paraId="1918C866">
            <w:pPr>
              <w:jc w:val="center"/>
              <w:rPr>
                <w:rFonts w:hint="eastAsia" w:ascii="宋体" w:hAnsi="宋体"/>
                <w:color w:val="auto"/>
                <w:sz w:val="21"/>
                <w:szCs w:val="21"/>
                <w:highlight w:val="none"/>
                <w:lang w:val="zh-TW" w:eastAsia="zh-TW"/>
              </w:rPr>
            </w:pPr>
          </w:p>
        </w:tc>
        <w:tc>
          <w:tcPr>
            <w:tcW w:w="430" w:type="pct"/>
            <w:tcBorders>
              <w:top w:val="single" w:color="auto" w:sz="4" w:space="0"/>
              <w:left w:val="nil"/>
              <w:bottom w:val="single" w:color="auto" w:sz="4" w:space="0"/>
              <w:right w:val="single" w:color="auto" w:sz="4" w:space="0"/>
            </w:tcBorders>
            <w:vAlign w:val="center"/>
          </w:tcPr>
          <w:p w14:paraId="00005FBE">
            <w:pPr>
              <w:jc w:val="center"/>
              <w:rPr>
                <w:rFonts w:ascii="宋体" w:hAnsi="宋体" w:cs="Calibri"/>
                <w:color w:val="auto"/>
                <w:sz w:val="21"/>
                <w:szCs w:val="21"/>
                <w:highlight w:val="none"/>
              </w:rPr>
            </w:pPr>
          </w:p>
        </w:tc>
        <w:tc>
          <w:tcPr>
            <w:tcW w:w="369" w:type="pct"/>
            <w:tcBorders>
              <w:top w:val="single" w:color="auto" w:sz="4" w:space="0"/>
              <w:left w:val="nil"/>
              <w:bottom w:val="single" w:color="auto" w:sz="4" w:space="0"/>
              <w:right w:val="single" w:color="auto" w:sz="4" w:space="0"/>
            </w:tcBorders>
            <w:vAlign w:val="center"/>
          </w:tcPr>
          <w:p w14:paraId="25ED6724">
            <w:pPr>
              <w:jc w:val="center"/>
              <w:rPr>
                <w:rFonts w:ascii="宋体" w:hAnsi="宋体" w:cs="Calibri"/>
                <w:color w:val="auto"/>
                <w:sz w:val="21"/>
                <w:szCs w:val="21"/>
                <w:highlight w:val="none"/>
              </w:rPr>
            </w:pPr>
          </w:p>
        </w:tc>
        <w:tc>
          <w:tcPr>
            <w:tcW w:w="383" w:type="pct"/>
            <w:tcBorders>
              <w:top w:val="single" w:color="auto" w:sz="4" w:space="0"/>
              <w:left w:val="nil"/>
              <w:bottom w:val="single" w:color="auto" w:sz="4" w:space="0"/>
              <w:right w:val="single" w:color="auto" w:sz="4" w:space="0"/>
            </w:tcBorders>
            <w:vAlign w:val="center"/>
          </w:tcPr>
          <w:p w14:paraId="141D4309">
            <w:pPr>
              <w:jc w:val="center"/>
              <w:rPr>
                <w:rFonts w:hint="eastAsia" w:ascii="宋体" w:hAnsi="宋体" w:eastAsia="宋体" w:cs="宋体"/>
                <w:color w:val="auto"/>
                <w:sz w:val="21"/>
                <w:szCs w:val="21"/>
                <w:highlight w:val="none"/>
                <w:lang w:val="en-US" w:eastAsia="zh-CN"/>
              </w:rPr>
            </w:pPr>
          </w:p>
        </w:tc>
        <w:tc>
          <w:tcPr>
            <w:tcW w:w="2098" w:type="pct"/>
            <w:tcBorders>
              <w:top w:val="single" w:color="auto" w:sz="4" w:space="0"/>
              <w:left w:val="nil"/>
              <w:bottom w:val="single" w:color="auto" w:sz="4" w:space="0"/>
              <w:right w:val="single" w:color="auto" w:sz="4" w:space="0"/>
            </w:tcBorders>
            <w:vAlign w:val="center"/>
          </w:tcPr>
          <w:p w14:paraId="6602155D">
            <w:pPr>
              <w:jc w:val="left"/>
              <w:rPr>
                <w:rFonts w:hint="eastAsia" w:ascii="宋体" w:hAnsi="宋体" w:cs="宋体"/>
                <w:color w:val="auto"/>
                <w:sz w:val="21"/>
                <w:szCs w:val="21"/>
                <w:highlight w:val="none"/>
              </w:rPr>
            </w:pPr>
          </w:p>
        </w:tc>
      </w:tr>
      <w:tr w14:paraId="7F27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502CD283">
            <w:pPr>
              <w:widowControl/>
              <w:spacing w:line="240" w:lineRule="exact"/>
              <w:jc w:val="center"/>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7</w:t>
            </w:r>
          </w:p>
        </w:tc>
        <w:tc>
          <w:tcPr>
            <w:tcW w:w="1344" w:type="pct"/>
            <w:tcBorders>
              <w:top w:val="single" w:color="auto" w:sz="4" w:space="0"/>
              <w:left w:val="single" w:color="auto" w:sz="4" w:space="0"/>
              <w:bottom w:val="single" w:color="auto" w:sz="4" w:space="0"/>
              <w:right w:val="single" w:color="auto" w:sz="4" w:space="0"/>
            </w:tcBorders>
            <w:shd w:val="clear" w:color="auto" w:fill="auto"/>
            <w:vAlign w:val="center"/>
          </w:tcPr>
          <w:p w14:paraId="7BC12431">
            <w:pPr>
              <w:jc w:val="center"/>
              <w:rPr>
                <w:rFonts w:hint="eastAsia" w:ascii="宋体" w:hAnsi="宋体"/>
                <w:color w:val="auto"/>
                <w:sz w:val="21"/>
                <w:szCs w:val="21"/>
                <w:highlight w:val="none"/>
                <w:lang w:val="zh-TW" w:eastAsia="zh-TW"/>
              </w:rPr>
            </w:pPr>
          </w:p>
        </w:tc>
        <w:tc>
          <w:tcPr>
            <w:tcW w:w="430" w:type="pct"/>
            <w:tcBorders>
              <w:top w:val="single" w:color="auto" w:sz="4" w:space="0"/>
              <w:left w:val="nil"/>
              <w:bottom w:val="single" w:color="auto" w:sz="4" w:space="0"/>
              <w:right w:val="single" w:color="auto" w:sz="4" w:space="0"/>
            </w:tcBorders>
            <w:vAlign w:val="center"/>
          </w:tcPr>
          <w:p w14:paraId="5F0CFBA2">
            <w:pPr>
              <w:jc w:val="center"/>
              <w:rPr>
                <w:rFonts w:ascii="宋体" w:hAnsi="宋体" w:cs="Calibri"/>
                <w:color w:val="auto"/>
                <w:sz w:val="21"/>
                <w:szCs w:val="21"/>
                <w:highlight w:val="none"/>
              </w:rPr>
            </w:pPr>
          </w:p>
        </w:tc>
        <w:tc>
          <w:tcPr>
            <w:tcW w:w="369" w:type="pct"/>
            <w:tcBorders>
              <w:top w:val="single" w:color="auto" w:sz="4" w:space="0"/>
              <w:left w:val="nil"/>
              <w:bottom w:val="single" w:color="auto" w:sz="4" w:space="0"/>
              <w:right w:val="single" w:color="auto" w:sz="4" w:space="0"/>
            </w:tcBorders>
            <w:vAlign w:val="center"/>
          </w:tcPr>
          <w:p w14:paraId="1073A452">
            <w:pPr>
              <w:jc w:val="center"/>
              <w:rPr>
                <w:rFonts w:ascii="宋体" w:hAnsi="宋体" w:cs="Calibri"/>
                <w:color w:val="auto"/>
                <w:sz w:val="21"/>
                <w:szCs w:val="21"/>
                <w:highlight w:val="none"/>
              </w:rPr>
            </w:pPr>
          </w:p>
        </w:tc>
        <w:tc>
          <w:tcPr>
            <w:tcW w:w="383" w:type="pct"/>
            <w:tcBorders>
              <w:top w:val="single" w:color="auto" w:sz="4" w:space="0"/>
              <w:left w:val="nil"/>
              <w:bottom w:val="single" w:color="auto" w:sz="4" w:space="0"/>
              <w:right w:val="single" w:color="auto" w:sz="4" w:space="0"/>
            </w:tcBorders>
            <w:vAlign w:val="center"/>
          </w:tcPr>
          <w:p w14:paraId="457CBC6D">
            <w:pPr>
              <w:jc w:val="center"/>
              <w:rPr>
                <w:rFonts w:hint="eastAsia" w:ascii="宋体" w:hAnsi="宋体" w:eastAsia="宋体" w:cs="宋体"/>
                <w:color w:val="auto"/>
                <w:sz w:val="21"/>
                <w:szCs w:val="21"/>
                <w:highlight w:val="none"/>
                <w:lang w:val="en-US" w:eastAsia="zh-CN"/>
              </w:rPr>
            </w:pPr>
          </w:p>
        </w:tc>
        <w:tc>
          <w:tcPr>
            <w:tcW w:w="2098" w:type="pct"/>
            <w:tcBorders>
              <w:top w:val="single" w:color="auto" w:sz="4" w:space="0"/>
              <w:left w:val="nil"/>
              <w:bottom w:val="single" w:color="auto" w:sz="4" w:space="0"/>
              <w:right w:val="single" w:color="auto" w:sz="4" w:space="0"/>
            </w:tcBorders>
            <w:vAlign w:val="center"/>
          </w:tcPr>
          <w:p w14:paraId="2EC83DD7">
            <w:pPr>
              <w:jc w:val="left"/>
              <w:rPr>
                <w:rFonts w:hint="eastAsia" w:ascii="宋体" w:hAnsi="宋体" w:cs="宋体"/>
                <w:color w:val="auto"/>
                <w:sz w:val="21"/>
                <w:szCs w:val="21"/>
                <w:highlight w:val="none"/>
              </w:rPr>
            </w:pPr>
          </w:p>
        </w:tc>
      </w:tr>
      <w:tr w14:paraId="530D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18EF4D6D">
            <w:pPr>
              <w:widowControl/>
              <w:spacing w:line="240" w:lineRule="exact"/>
              <w:jc w:val="center"/>
              <w:rPr>
                <w:rFonts w:hint="eastAsia" w:ascii="宋体" w:hAnsi="宋体" w:eastAsia="宋体" w:cs="宋体"/>
                <w:color w:val="auto"/>
                <w:kern w:val="1"/>
                <w:sz w:val="21"/>
                <w:szCs w:val="21"/>
                <w:highlight w:val="none"/>
                <w:lang w:eastAsia="zh-CN"/>
              </w:rPr>
            </w:pPr>
            <w:r>
              <w:rPr>
                <w:rFonts w:hint="eastAsia" w:ascii="宋体" w:hAnsi="宋体" w:cs="宋体"/>
                <w:color w:val="auto"/>
                <w:kern w:val="1"/>
                <w:sz w:val="21"/>
                <w:szCs w:val="21"/>
                <w:highlight w:val="none"/>
                <w:lang w:val="en-US" w:eastAsia="zh-CN"/>
              </w:rPr>
              <w:t>8</w:t>
            </w:r>
          </w:p>
        </w:tc>
        <w:tc>
          <w:tcPr>
            <w:tcW w:w="1344" w:type="pct"/>
            <w:tcBorders>
              <w:top w:val="single" w:color="auto" w:sz="4" w:space="0"/>
              <w:left w:val="single" w:color="auto" w:sz="4" w:space="0"/>
              <w:bottom w:val="single" w:color="auto" w:sz="4" w:space="0"/>
              <w:right w:val="single" w:color="auto" w:sz="4" w:space="0"/>
            </w:tcBorders>
            <w:vAlign w:val="center"/>
          </w:tcPr>
          <w:p w14:paraId="085FC62C">
            <w:pPr>
              <w:jc w:val="center"/>
              <w:rPr>
                <w:rFonts w:hint="eastAsia" w:ascii="宋体" w:hAnsi="宋体"/>
                <w:color w:val="auto"/>
                <w:sz w:val="21"/>
                <w:szCs w:val="21"/>
                <w:highlight w:val="none"/>
              </w:rPr>
            </w:pPr>
          </w:p>
        </w:tc>
        <w:tc>
          <w:tcPr>
            <w:tcW w:w="430" w:type="pct"/>
            <w:tcBorders>
              <w:top w:val="single" w:color="auto" w:sz="4" w:space="0"/>
              <w:left w:val="nil"/>
              <w:bottom w:val="single" w:color="auto" w:sz="4" w:space="0"/>
              <w:right w:val="single" w:color="auto" w:sz="4" w:space="0"/>
            </w:tcBorders>
            <w:vAlign w:val="center"/>
          </w:tcPr>
          <w:p w14:paraId="1B9B437C">
            <w:pPr>
              <w:jc w:val="center"/>
              <w:rPr>
                <w:rFonts w:ascii="宋体" w:hAnsi="宋体" w:cs="Calibri"/>
                <w:color w:val="auto"/>
                <w:sz w:val="21"/>
                <w:szCs w:val="21"/>
                <w:highlight w:val="none"/>
              </w:rPr>
            </w:pPr>
          </w:p>
        </w:tc>
        <w:tc>
          <w:tcPr>
            <w:tcW w:w="369" w:type="pct"/>
            <w:tcBorders>
              <w:top w:val="single" w:color="auto" w:sz="4" w:space="0"/>
              <w:left w:val="nil"/>
              <w:bottom w:val="single" w:color="auto" w:sz="4" w:space="0"/>
              <w:right w:val="single" w:color="auto" w:sz="4" w:space="0"/>
            </w:tcBorders>
            <w:vAlign w:val="center"/>
          </w:tcPr>
          <w:p w14:paraId="2860B40F">
            <w:pPr>
              <w:jc w:val="center"/>
              <w:rPr>
                <w:rFonts w:ascii="宋体" w:hAnsi="宋体" w:cs="Calibri"/>
                <w:color w:val="auto"/>
                <w:sz w:val="21"/>
                <w:szCs w:val="21"/>
                <w:highlight w:val="none"/>
              </w:rPr>
            </w:pPr>
          </w:p>
        </w:tc>
        <w:tc>
          <w:tcPr>
            <w:tcW w:w="383" w:type="pct"/>
            <w:tcBorders>
              <w:top w:val="single" w:color="auto" w:sz="4" w:space="0"/>
              <w:left w:val="nil"/>
              <w:bottom w:val="single" w:color="auto" w:sz="4" w:space="0"/>
              <w:right w:val="single" w:color="auto" w:sz="4" w:space="0"/>
            </w:tcBorders>
            <w:vAlign w:val="center"/>
          </w:tcPr>
          <w:p w14:paraId="5EF882AF">
            <w:pPr>
              <w:jc w:val="center"/>
              <w:rPr>
                <w:rFonts w:ascii="宋体" w:hAnsi="宋体" w:cs="Courier New"/>
                <w:color w:val="auto"/>
                <w:sz w:val="21"/>
                <w:szCs w:val="21"/>
                <w:highlight w:val="none"/>
              </w:rPr>
            </w:pPr>
          </w:p>
        </w:tc>
        <w:tc>
          <w:tcPr>
            <w:tcW w:w="2098" w:type="pct"/>
            <w:tcBorders>
              <w:top w:val="single" w:color="auto" w:sz="4" w:space="0"/>
              <w:left w:val="nil"/>
              <w:bottom w:val="single" w:color="auto" w:sz="4" w:space="0"/>
              <w:right w:val="single" w:color="auto" w:sz="4" w:space="0"/>
            </w:tcBorders>
            <w:vAlign w:val="center"/>
          </w:tcPr>
          <w:p w14:paraId="0012012A">
            <w:pPr>
              <w:jc w:val="left"/>
              <w:rPr>
                <w:rFonts w:ascii="宋体" w:hAnsi="宋体" w:cs="Courier New"/>
                <w:color w:val="auto"/>
                <w:sz w:val="21"/>
                <w:szCs w:val="21"/>
                <w:highlight w:val="none"/>
              </w:rPr>
            </w:pPr>
          </w:p>
        </w:tc>
      </w:tr>
    </w:tbl>
    <w:p w14:paraId="421BC1FB">
      <w:pP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注：本表除项目负责人外，其他人员均不作为资格审查的条件。拟投入人员必须为投标单位人员，须提供2025年8月社保证明资料</w:t>
      </w:r>
      <w:r>
        <w:rPr>
          <w:rFonts w:hint="eastAsia" w:ascii="宋体" w:hAnsi="宋体" w:cs="宋体"/>
          <w:color w:val="auto"/>
          <w:sz w:val="21"/>
          <w:szCs w:val="21"/>
          <w:highlight w:val="none"/>
          <w:lang w:eastAsia="zh-CN"/>
        </w:rPr>
        <w:t>。</w:t>
      </w:r>
    </w:p>
    <w:p w14:paraId="2E9F7892">
      <w:pPr>
        <w:jc w:val="center"/>
        <w:rPr>
          <w:rFonts w:ascii="宋体" w:hAnsi="宋体"/>
          <w:color w:val="auto"/>
          <w:sz w:val="24"/>
          <w:szCs w:val="24"/>
          <w:highlight w:val="none"/>
        </w:rPr>
      </w:pPr>
      <w:r>
        <w:rPr>
          <w:rFonts w:hint="eastAsia" w:ascii="宋体" w:hAnsi="宋体"/>
          <w:color w:val="auto"/>
          <w:highlight w:val="none"/>
        </w:rPr>
        <w:br w:type="page"/>
      </w:r>
      <w:r>
        <w:rPr>
          <w:rFonts w:hint="eastAsia" w:ascii="宋体" w:hAnsi="宋体"/>
          <w:color w:val="auto"/>
          <w:spacing w:val="-3"/>
          <w:sz w:val="24"/>
          <w:szCs w:val="24"/>
          <w:highlight w:val="none"/>
        </w:rPr>
        <w:t>主</w:t>
      </w:r>
      <w:r>
        <w:rPr>
          <w:rFonts w:hint="eastAsia" w:ascii="宋体" w:hAnsi="宋体"/>
          <w:color w:val="auto"/>
          <w:sz w:val="24"/>
          <w:szCs w:val="24"/>
          <w:highlight w:val="none"/>
        </w:rPr>
        <w:t>要人</w:t>
      </w:r>
      <w:r>
        <w:rPr>
          <w:rFonts w:hint="eastAsia" w:ascii="宋体" w:hAnsi="宋体"/>
          <w:color w:val="auto"/>
          <w:spacing w:val="-3"/>
          <w:sz w:val="24"/>
          <w:szCs w:val="24"/>
          <w:highlight w:val="none"/>
        </w:rPr>
        <w:t>员简</w:t>
      </w:r>
      <w:r>
        <w:rPr>
          <w:rFonts w:hint="eastAsia" w:ascii="宋体" w:hAnsi="宋体"/>
          <w:color w:val="auto"/>
          <w:sz w:val="24"/>
          <w:szCs w:val="24"/>
          <w:highlight w:val="none"/>
        </w:rPr>
        <w:t>历表</w:t>
      </w:r>
    </w:p>
    <w:p w14:paraId="2AC1D63D">
      <w:pPr>
        <w:autoSpaceDE w:val="0"/>
        <w:autoSpaceDN w:val="0"/>
        <w:adjustRightInd w:val="0"/>
        <w:spacing w:before="9" w:line="190" w:lineRule="exact"/>
        <w:rPr>
          <w:rFonts w:ascii="宋体" w:hAnsi="宋体"/>
          <w:color w:val="auto"/>
          <w:sz w:val="20"/>
          <w:szCs w:val="20"/>
          <w:highlight w:val="none"/>
        </w:rPr>
      </w:pPr>
      <w:r>
        <w:rPr>
          <w:rFonts w:hint="eastAsia" w:ascii="宋体" w:hAnsi="宋体"/>
          <w:color w:val="auto"/>
          <w:sz w:val="19"/>
          <w:szCs w:val="19"/>
          <w:highlight w:val="none"/>
        </w:rPr>
        <w:t xml:space="preserve"> </w:t>
      </w:r>
      <w:r>
        <w:rPr>
          <w:rFonts w:hint="eastAsia" w:ascii="宋体" w:hAnsi="宋体"/>
          <w:color w:val="auto"/>
          <w:sz w:val="20"/>
          <w:szCs w:val="20"/>
          <w:highlight w:val="none"/>
        </w:rPr>
        <w:t xml:space="preserve"> </w:t>
      </w:r>
    </w:p>
    <w:tbl>
      <w:tblPr>
        <w:tblStyle w:val="26"/>
        <w:tblW w:w="8313" w:type="dxa"/>
        <w:jc w:val="center"/>
        <w:tblLayout w:type="fixed"/>
        <w:tblCellMar>
          <w:top w:w="0" w:type="dxa"/>
          <w:left w:w="0" w:type="dxa"/>
          <w:bottom w:w="0" w:type="dxa"/>
          <w:right w:w="0" w:type="dxa"/>
        </w:tblCellMar>
      </w:tblPr>
      <w:tblGrid>
        <w:gridCol w:w="1155"/>
        <w:gridCol w:w="349"/>
        <w:gridCol w:w="673"/>
        <w:gridCol w:w="933"/>
        <w:gridCol w:w="1041"/>
        <w:gridCol w:w="690"/>
        <w:gridCol w:w="1229"/>
        <w:gridCol w:w="391"/>
        <w:gridCol w:w="1852"/>
      </w:tblGrid>
      <w:tr w14:paraId="35BFBBC0">
        <w:tblPrEx>
          <w:tblCellMar>
            <w:top w:w="0" w:type="dxa"/>
            <w:left w:w="0" w:type="dxa"/>
            <w:bottom w:w="0" w:type="dxa"/>
            <w:right w:w="0" w:type="dxa"/>
          </w:tblCellMar>
        </w:tblPrEx>
        <w:trPr>
          <w:trHeight w:val="890"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14:paraId="0DC3D669">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姓</w:t>
            </w:r>
            <w:r>
              <w:rPr>
                <w:rFonts w:hint="eastAsia" w:ascii="宋体" w:hAnsi="宋体"/>
                <w:color w:val="auto"/>
                <w:sz w:val="21"/>
                <w:szCs w:val="21"/>
                <w:highlight w:val="none"/>
              </w:rPr>
              <w:tab/>
            </w:r>
            <w:r>
              <w:rPr>
                <w:rFonts w:hint="eastAsia" w:ascii="宋体" w:hAnsi="宋体"/>
                <w:color w:val="auto"/>
                <w:sz w:val="21"/>
                <w:szCs w:val="21"/>
                <w:highlight w:val="none"/>
              </w:rPr>
              <w:t>名</w:t>
            </w:r>
          </w:p>
        </w:tc>
        <w:tc>
          <w:tcPr>
            <w:tcW w:w="1022" w:type="dxa"/>
            <w:gridSpan w:val="2"/>
            <w:tcBorders>
              <w:top w:val="single" w:color="000000" w:sz="4" w:space="0"/>
              <w:left w:val="nil"/>
              <w:bottom w:val="single" w:color="000000" w:sz="4" w:space="0"/>
              <w:right w:val="single" w:color="000000" w:sz="4" w:space="0"/>
            </w:tcBorders>
            <w:vAlign w:val="center"/>
          </w:tcPr>
          <w:p w14:paraId="0EE517D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933" w:type="dxa"/>
            <w:tcBorders>
              <w:top w:val="single" w:color="000000" w:sz="4" w:space="0"/>
              <w:left w:val="nil"/>
              <w:bottom w:val="single" w:color="000000" w:sz="4" w:space="0"/>
              <w:right w:val="single" w:color="000000" w:sz="4" w:space="0"/>
            </w:tcBorders>
            <w:vAlign w:val="center"/>
          </w:tcPr>
          <w:p w14:paraId="679BA832">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年龄</w:t>
            </w:r>
          </w:p>
        </w:tc>
        <w:tc>
          <w:tcPr>
            <w:tcW w:w="1041" w:type="dxa"/>
            <w:tcBorders>
              <w:top w:val="single" w:color="000000" w:sz="4" w:space="0"/>
              <w:left w:val="nil"/>
              <w:bottom w:val="single" w:color="000000" w:sz="4" w:space="0"/>
              <w:right w:val="single" w:color="000000" w:sz="4" w:space="0"/>
            </w:tcBorders>
            <w:vAlign w:val="center"/>
          </w:tcPr>
          <w:p w14:paraId="2177147A">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2310" w:type="dxa"/>
            <w:gridSpan w:val="3"/>
            <w:tcBorders>
              <w:top w:val="single" w:color="000000" w:sz="4" w:space="0"/>
              <w:left w:val="nil"/>
              <w:bottom w:val="single" w:color="000000" w:sz="4" w:space="0"/>
              <w:right w:val="single" w:color="000000" w:sz="4" w:space="0"/>
            </w:tcBorders>
            <w:vAlign w:val="center"/>
          </w:tcPr>
          <w:p w14:paraId="15ABA862">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执业</w:t>
            </w:r>
            <w:r>
              <w:rPr>
                <w:rFonts w:hint="eastAsia" w:ascii="宋体" w:hAnsi="宋体"/>
                <w:color w:val="auto"/>
                <w:spacing w:val="-2"/>
                <w:sz w:val="21"/>
                <w:szCs w:val="21"/>
                <w:highlight w:val="none"/>
              </w:rPr>
              <w:t>资</w:t>
            </w:r>
            <w:r>
              <w:rPr>
                <w:rFonts w:hint="eastAsia" w:ascii="宋体" w:hAnsi="宋体"/>
                <w:color w:val="auto"/>
                <w:sz w:val="21"/>
                <w:szCs w:val="21"/>
                <w:highlight w:val="none"/>
              </w:rPr>
              <w:t>格</w:t>
            </w:r>
            <w:r>
              <w:rPr>
                <w:rFonts w:hint="eastAsia" w:ascii="宋体" w:hAnsi="宋体"/>
                <w:color w:val="auto"/>
                <w:spacing w:val="-2"/>
                <w:sz w:val="21"/>
                <w:szCs w:val="21"/>
                <w:highlight w:val="none"/>
              </w:rPr>
              <w:t>证</w:t>
            </w:r>
            <w:r>
              <w:rPr>
                <w:rFonts w:hint="eastAsia" w:ascii="宋体" w:hAnsi="宋体"/>
                <w:color w:val="auto"/>
                <w:sz w:val="21"/>
                <w:szCs w:val="21"/>
                <w:highlight w:val="none"/>
              </w:rPr>
              <w:t>书</w:t>
            </w:r>
          </w:p>
          <w:p w14:paraId="276B6DBD">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pacing w:val="-2"/>
                <w:sz w:val="21"/>
                <w:szCs w:val="21"/>
                <w:highlight w:val="none"/>
              </w:rPr>
              <w:t>（</w:t>
            </w:r>
            <w:r>
              <w:rPr>
                <w:rFonts w:hint="eastAsia" w:ascii="宋体" w:hAnsi="宋体"/>
                <w:color w:val="auto"/>
                <w:sz w:val="21"/>
                <w:szCs w:val="21"/>
                <w:highlight w:val="none"/>
              </w:rPr>
              <w:t>或</w:t>
            </w:r>
            <w:r>
              <w:rPr>
                <w:rFonts w:hint="eastAsia" w:ascii="宋体" w:hAnsi="宋体"/>
                <w:color w:val="auto"/>
                <w:spacing w:val="-2"/>
                <w:sz w:val="21"/>
                <w:szCs w:val="21"/>
                <w:highlight w:val="none"/>
              </w:rPr>
              <w:t>上</w:t>
            </w:r>
            <w:r>
              <w:rPr>
                <w:rFonts w:hint="eastAsia" w:ascii="宋体" w:hAnsi="宋体"/>
                <w:color w:val="auto"/>
                <w:sz w:val="21"/>
                <w:szCs w:val="21"/>
                <w:highlight w:val="none"/>
              </w:rPr>
              <w:t>岗证书</w:t>
            </w:r>
            <w:r>
              <w:rPr>
                <w:rFonts w:hint="eastAsia" w:ascii="宋体" w:hAnsi="宋体"/>
                <w:color w:val="auto"/>
                <w:spacing w:val="-2"/>
                <w:sz w:val="21"/>
                <w:szCs w:val="21"/>
                <w:highlight w:val="none"/>
              </w:rPr>
              <w:t>）</w:t>
            </w:r>
            <w:r>
              <w:rPr>
                <w:rFonts w:hint="eastAsia" w:ascii="宋体" w:hAnsi="宋体"/>
                <w:color w:val="auto"/>
                <w:sz w:val="21"/>
                <w:szCs w:val="21"/>
                <w:highlight w:val="none"/>
              </w:rPr>
              <w:t>名称</w:t>
            </w:r>
          </w:p>
        </w:tc>
        <w:tc>
          <w:tcPr>
            <w:tcW w:w="1852" w:type="dxa"/>
            <w:tcBorders>
              <w:top w:val="single" w:color="000000" w:sz="4" w:space="0"/>
              <w:left w:val="nil"/>
              <w:bottom w:val="single" w:color="000000" w:sz="4" w:space="0"/>
              <w:right w:val="single" w:color="000000" w:sz="4" w:space="0"/>
            </w:tcBorders>
            <w:vAlign w:val="center"/>
          </w:tcPr>
          <w:p w14:paraId="326FECAF">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r>
      <w:tr w14:paraId="79EBE875">
        <w:tblPrEx>
          <w:tblCellMar>
            <w:top w:w="0" w:type="dxa"/>
            <w:left w:w="0" w:type="dxa"/>
            <w:bottom w:w="0" w:type="dxa"/>
            <w:right w:w="0" w:type="dxa"/>
          </w:tblCellMar>
        </w:tblPrEx>
        <w:trPr>
          <w:trHeight w:val="698"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14:paraId="5E2C9F49">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职</w:t>
            </w:r>
            <w:r>
              <w:rPr>
                <w:rFonts w:hint="eastAsia" w:ascii="宋体" w:hAnsi="宋体"/>
                <w:color w:val="auto"/>
                <w:sz w:val="21"/>
                <w:szCs w:val="21"/>
                <w:highlight w:val="none"/>
              </w:rPr>
              <w:tab/>
            </w:r>
            <w:r>
              <w:rPr>
                <w:rFonts w:hint="eastAsia" w:ascii="宋体" w:hAnsi="宋体"/>
                <w:color w:val="auto"/>
                <w:sz w:val="21"/>
                <w:szCs w:val="21"/>
                <w:highlight w:val="none"/>
              </w:rPr>
              <w:t>称</w:t>
            </w:r>
          </w:p>
        </w:tc>
        <w:tc>
          <w:tcPr>
            <w:tcW w:w="1022" w:type="dxa"/>
            <w:gridSpan w:val="2"/>
            <w:tcBorders>
              <w:top w:val="single" w:color="000000" w:sz="4" w:space="0"/>
              <w:left w:val="nil"/>
              <w:bottom w:val="single" w:color="000000" w:sz="4" w:space="0"/>
              <w:right w:val="single" w:color="000000" w:sz="4" w:space="0"/>
            </w:tcBorders>
            <w:vAlign w:val="center"/>
          </w:tcPr>
          <w:p w14:paraId="669C5669">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933" w:type="dxa"/>
            <w:tcBorders>
              <w:top w:val="single" w:color="000000" w:sz="4" w:space="0"/>
              <w:left w:val="nil"/>
              <w:bottom w:val="single" w:color="000000" w:sz="4" w:space="0"/>
              <w:right w:val="single" w:color="000000" w:sz="4" w:space="0"/>
            </w:tcBorders>
            <w:vAlign w:val="center"/>
          </w:tcPr>
          <w:p w14:paraId="471BD31D">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学历</w:t>
            </w:r>
          </w:p>
        </w:tc>
        <w:tc>
          <w:tcPr>
            <w:tcW w:w="1041" w:type="dxa"/>
            <w:tcBorders>
              <w:top w:val="single" w:color="000000" w:sz="4" w:space="0"/>
              <w:left w:val="nil"/>
              <w:bottom w:val="single" w:color="000000" w:sz="4" w:space="0"/>
              <w:right w:val="single" w:color="000000" w:sz="4" w:space="0"/>
            </w:tcBorders>
            <w:vAlign w:val="center"/>
          </w:tcPr>
          <w:p w14:paraId="4E714E47">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2310" w:type="dxa"/>
            <w:gridSpan w:val="3"/>
            <w:tcBorders>
              <w:top w:val="single" w:color="000000" w:sz="4" w:space="0"/>
              <w:left w:val="nil"/>
              <w:bottom w:val="single" w:color="000000" w:sz="4" w:space="0"/>
              <w:right w:val="single" w:color="000000" w:sz="4" w:space="0"/>
            </w:tcBorders>
            <w:vAlign w:val="center"/>
          </w:tcPr>
          <w:p w14:paraId="5C150379">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拟在</w:t>
            </w:r>
            <w:r>
              <w:rPr>
                <w:rFonts w:hint="eastAsia" w:ascii="宋体" w:hAnsi="宋体"/>
                <w:color w:val="auto"/>
                <w:spacing w:val="-2"/>
                <w:sz w:val="21"/>
                <w:szCs w:val="21"/>
                <w:highlight w:val="none"/>
              </w:rPr>
              <w:t>本</w:t>
            </w:r>
            <w:r>
              <w:rPr>
                <w:rFonts w:hint="eastAsia" w:ascii="宋体" w:hAnsi="宋体"/>
                <w:color w:val="auto"/>
                <w:sz w:val="21"/>
                <w:szCs w:val="21"/>
                <w:highlight w:val="none"/>
              </w:rPr>
              <w:t>项</w:t>
            </w:r>
            <w:r>
              <w:rPr>
                <w:rFonts w:hint="eastAsia" w:ascii="宋体" w:hAnsi="宋体"/>
                <w:color w:val="auto"/>
                <w:spacing w:val="-2"/>
                <w:sz w:val="21"/>
                <w:szCs w:val="21"/>
                <w:highlight w:val="none"/>
              </w:rPr>
              <w:t>目</w:t>
            </w:r>
            <w:r>
              <w:rPr>
                <w:rFonts w:hint="eastAsia" w:ascii="宋体" w:hAnsi="宋体"/>
                <w:color w:val="auto"/>
                <w:sz w:val="21"/>
                <w:szCs w:val="21"/>
                <w:highlight w:val="none"/>
              </w:rPr>
              <w:t>任职</w:t>
            </w:r>
          </w:p>
        </w:tc>
        <w:tc>
          <w:tcPr>
            <w:tcW w:w="1852" w:type="dxa"/>
            <w:tcBorders>
              <w:top w:val="single" w:color="000000" w:sz="4" w:space="0"/>
              <w:left w:val="nil"/>
              <w:bottom w:val="single" w:color="000000" w:sz="4" w:space="0"/>
              <w:right w:val="single" w:color="000000" w:sz="4" w:space="0"/>
            </w:tcBorders>
            <w:vAlign w:val="center"/>
          </w:tcPr>
          <w:p w14:paraId="35B3FE5F">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r>
      <w:tr w14:paraId="7FD1B455">
        <w:tblPrEx>
          <w:tblCellMar>
            <w:top w:w="0" w:type="dxa"/>
            <w:left w:w="0" w:type="dxa"/>
            <w:bottom w:w="0" w:type="dxa"/>
            <w:right w:w="0" w:type="dxa"/>
          </w:tblCellMar>
        </w:tblPrEx>
        <w:trPr>
          <w:trHeight w:val="701"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14:paraId="68A8EFB2">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工作</w:t>
            </w:r>
            <w:r>
              <w:rPr>
                <w:rFonts w:hint="eastAsia" w:ascii="宋体" w:hAnsi="宋体"/>
                <w:color w:val="auto"/>
                <w:spacing w:val="-2"/>
                <w:sz w:val="21"/>
                <w:szCs w:val="21"/>
                <w:highlight w:val="none"/>
              </w:rPr>
              <w:t>年</w:t>
            </w:r>
            <w:r>
              <w:rPr>
                <w:rFonts w:hint="eastAsia" w:ascii="宋体" w:hAnsi="宋体"/>
                <w:color w:val="auto"/>
                <w:sz w:val="21"/>
                <w:szCs w:val="21"/>
                <w:highlight w:val="none"/>
              </w:rPr>
              <w:t>限</w:t>
            </w:r>
          </w:p>
        </w:tc>
        <w:tc>
          <w:tcPr>
            <w:tcW w:w="2996" w:type="dxa"/>
            <w:gridSpan w:val="4"/>
            <w:tcBorders>
              <w:top w:val="single" w:color="000000" w:sz="4" w:space="0"/>
              <w:left w:val="nil"/>
              <w:bottom w:val="single" w:color="000000" w:sz="4" w:space="0"/>
              <w:right w:val="single" w:color="000000" w:sz="4" w:space="0"/>
            </w:tcBorders>
            <w:vAlign w:val="center"/>
          </w:tcPr>
          <w:p w14:paraId="5DE26F57">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2310" w:type="dxa"/>
            <w:gridSpan w:val="3"/>
            <w:tcBorders>
              <w:top w:val="single" w:color="000000" w:sz="4" w:space="0"/>
              <w:left w:val="nil"/>
              <w:bottom w:val="single" w:color="000000" w:sz="4" w:space="0"/>
              <w:right w:val="single" w:color="000000" w:sz="4" w:space="0"/>
            </w:tcBorders>
            <w:vAlign w:val="center"/>
          </w:tcPr>
          <w:p w14:paraId="5B4172C4">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从事</w:t>
            </w:r>
            <w:r>
              <w:rPr>
                <w:rFonts w:hint="eastAsia" w:ascii="宋体" w:hAnsi="宋体"/>
                <w:color w:val="auto"/>
                <w:spacing w:val="-2"/>
                <w:sz w:val="21"/>
                <w:szCs w:val="21"/>
                <w:highlight w:val="none"/>
              </w:rPr>
              <w:t>工</w:t>
            </w:r>
            <w:r>
              <w:rPr>
                <w:rFonts w:hint="eastAsia" w:ascii="宋体" w:hAnsi="宋体"/>
                <w:color w:val="auto"/>
                <w:sz w:val="21"/>
                <w:szCs w:val="21"/>
                <w:highlight w:val="none"/>
              </w:rPr>
              <w:t>作</w:t>
            </w:r>
            <w:r>
              <w:rPr>
                <w:rFonts w:hint="eastAsia" w:ascii="宋体" w:hAnsi="宋体"/>
                <w:color w:val="auto"/>
                <w:spacing w:val="-2"/>
                <w:sz w:val="21"/>
                <w:szCs w:val="21"/>
                <w:highlight w:val="none"/>
              </w:rPr>
              <w:t>年</w:t>
            </w:r>
            <w:r>
              <w:rPr>
                <w:rFonts w:hint="eastAsia" w:ascii="宋体" w:hAnsi="宋体"/>
                <w:color w:val="auto"/>
                <w:sz w:val="21"/>
                <w:szCs w:val="21"/>
                <w:highlight w:val="none"/>
              </w:rPr>
              <w:t>限</w:t>
            </w:r>
          </w:p>
        </w:tc>
        <w:tc>
          <w:tcPr>
            <w:tcW w:w="1852" w:type="dxa"/>
            <w:tcBorders>
              <w:top w:val="single" w:color="000000" w:sz="4" w:space="0"/>
              <w:left w:val="nil"/>
              <w:bottom w:val="single" w:color="000000" w:sz="4" w:space="0"/>
              <w:right w:val="single" w:color="000000" w:sz="4" w:space="0"/>
            </w:tcBorders>
            <w:vAlign w:val="center"/>
          </w:tcPr>
          <w:p w14:paraId="3E40756C">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r>
      <w:tr w14:paraId="106AB0E2">
        <w:tblPrEx>
          <w:tblCellMar>
            <w:top w:w="0" w:type="dxa"/>
            <w:left w:w="0" w:type="dxa"/>
            <w:bottom w:w="0" w:type="dxa"/>
            <w:right w:w="0" w:type="dxa"/>
          </w:tblCellMar>
        </w:tblPrEx>
        <w:trPr>
          <w:trHeight w:val="710"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14:paraId="24064FA8">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毕业</w:t>
            </w:r>
            <w:r>
              <w:rPr>
                <w:rFonts w:hint="eastAsia" w:ascii="宋体" w:hAnsi="宋体"/>
                <w:color w:val="auto"/>
                <w:spacing w:val="-2"/>
                <w:sz w:val="21"/>
                <w:szCs w:val="21"/>
                <w:highlight w:val="none"/>
              </w:rPr>
              <w:t>学</w:t>
            </w:r>
            <w:r>
              <w:rPr>
                <w:rFonts w:hint="eastAsia" w:ascii="宋体" w:hAnsi="宋体"/>
                <w:color w:val="auto"/>
                <w:sz w:val="21"/>
                <w:szCs w:val="21"/>
                <w:highlight w:val="none"/>
              </w:rPr>
              <w:t>校</w:t>
            </w:r>
          </w:p>
        </w:tc>
        <w:tc>
          <w:tcPr>
            <w:tcW w:w="7158" w:type="dxa"/>
            <w:gridSpan w:val="8"/>
            <w:tcBorders>
              <w:top w:val="single" w:color="000000" w:sz="4" w:space="0"/>
              <w:left w:val="nil"/>
              <w:bottom w:val="single" w:color="000000" w:sz="4" w:space="0"/>
              <w:right w:val="single" w:color="000000" w:sz="4" w:space="0"/>
            </w:tcBorders>
            <w:vAlign w:val="center"/>
          </w:tcPr>
          <w:p w14:paraId="05FC889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年毕</w:t>
            </w:r>
            <w:r>
              <w:rPr>
                <w:rFonts w:hint="eastAsia" w:ascii="宋体" w:hAnsi="宋体"/>
                <w:color w:val="auto"/>
                <w:spacing w:val="-2"/>
                <w:sz w:val="21"/>
                <w:szCs w:val="21"/>
                <w:highlight w:val="none"/>
              </w:rPr>
              <w:t>业</w:t>
            </w:r>
            <w:r>
              <w:rPr>
                <w:rFonts w:hint="eastAsia" w:ascii="宋体" w:hAnsi="宋体"/>
                <w:color w:val="auto"/>
                <w:sz w:val="21"/>
                <w:szCs w:val="21"/>
                <w:highlight w:val="none"/>
              </w:rPr>
              <w:t>于</w:t>
            </w:r>
            <w:r>
              <w:rPr>
                <w:rFonts w:hint="eastAsia" w:ascii="宋体" w:hAnsi="宋体"/>
                <w:color w:val="auto"/>
                <w:sz w:val="21"/>
                <w:szCs w:val="21"/>
                <w:highlight w:val="none"/>
              </w:rPr>
              <w:tab/>
            </w:r>
            <w:r>
              <w:rPr>
                <w:rFonts w:hint="eastAsia" w:ascii="宋体" w:hAnsi="宋体"/>
                <w:color w:val="auto"/>
                <w:spacing w:val="-2"/>
                <w:sz w:val="21"/>
                <w:szCs w:val="21"/>
                <w:highlight w:val="none"/>
              </w:rPr>
              <w:t>学</w:t>
            </w:r>
            <w:r>
              <w:rPr>
                <w:rFonts w:hint="eastAsia" w:ascii="宋体" w:hAnsi="宋体"/>
                <w:color w:val="auto"/>
                <w:sz w:val="21"/>
                <w:szCs w:val="21"/>
                <w:highlight w:val="none"/>
              </w:rPr>
              <w:t>校</w:t>
            </w:r>
            <w:r>
              <w:rPr>
                <w:rFonts w:hint="eastAsia" w:ascii="宋体" w:hAnsi="宋体"/>
                <w:color w:val="auto"/>
                <w:sz w:val="21"/>
                <w:szCs w:val="21"/>
                <w:highlight w:val="none"/>
              </w:rPr>
              <w:tab/>
            </w:r>
            <w:r>
              <w:rPr>
                <w:rFonts w:hint="eastAsia" w:ascii="宋体" w:hAnsi="宋体"/>
                <w:color w:val="auto"/>
                <w:sz w:val="21"/>
                <w:szCs w:val="21"/>
                <w:highlight w:val="none"/>
              </w:rPr>
              <w:t>专业</w:t>
            </w:r>
          </w:p>
        </w:tc>
      </w:tr>
      <w:tr w14:paraId="49F83336">
        <w:tblPrEx>
          <w:tblCellMar>
            <w:top w:w="0" w:type="dxa"/>
            <w:left w:w="0" w:type="dxa"/>
            <w:bottom w:w="0" w:type="dxa"/>
            <w:right w:w="0" w:type="dxa"/>
          </w:tblCellMar>
        </w:tblPrEx>
        <w:trPr>
          <w:trHeight w:val="694" w:hRule="atLeast"/>
          <w:jc w:val="center"/>
        </w:trPr>
        <w:tc>
          <w:tcPr>
            <w:tcW w:w="8313" w:type="dxa"/>
            <w:gridSpan w:val="9"/>
            <w:tcBorders>
              <w:top w:val="single" w:color="000000" w:sz="4" w:space="0"/>
              <w:left w:val="single" w:color="000000" w:sz="4" w:space="0"/>
              <w:bottom w:val="single" w:color="000000" w:sz="4" w:space="0"/>
              <w:right w:val="single" w:color="000000" w:sz="4" w:space="0"/>
            </w:tcBorders>
            <w:vAlign w:val="center"/>
          </w:tcPr>
          <w:p w14:paraId="33F38097">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主要</w:t>
            </w:r>
            <w:r>
              <w:rPr>
                <w:rFonts w:hint="eastAsia" w:ascii="宋体" w:hAnsi="宋体"/>
                <w:color w:val="auto"/>
                <w:spacing w:val="-2"/>
                <w:sz w:val="21"/>
                <w:szCs w:val="21"/>
                <w:highlight w:val="none"/>
              </w:rPr>
              <w:t>工</w:t>
            </w:r>
            <w:r>
              <w:rPr>
                <w:rFonts w:hint="eastAsia" w:ascii="宋体" w:hAnsi="宋体"/>
                <w:color w:val="auto"/>
                <w:sz w:val="21"/>
                <w:szCs w:val="21"/>
                <w:highlight w:val="none"/>
              </w:rPr>
              <w:t>作</w:t>
            </w:r>
            <w:r>
              <w:rPr>
                <w:rFonts w:hint="eastAsia" w:ascii="宋体" w:hAnsi="宋体"/>
                <w:color w:val="auto"/>
                <w:spacing w:val="-2"/>
                <w:sz w:val="21"/>
                <w:szCs w:val="21"/>
                <w:highlight w:val="none"/>
              </w:rPr>
              <w:t>经</w:t>
            </w:r>
            <w:r>
              <w:rPr>
                <w:rFonts w:hint="eastAsia" w:ascii="宋体" w:hAnsi="宋体"/>
                <w:color w:val="auto"/>
                <w:sz w:val="21"/>
                <w:szCs w:val="21"/>
                <w:highlight w:val="none"/>
              </w:rPr>
              <w:t>历</w:t>
            </w:r>
          </w:p>
        </w:tc>
      </w:tr>
      <w:tr w14:paraId="04628B4D">
        <w:tblPrEx>
          <w:tblCellMar>
            <w:top w:w="0" w:type="dxa"/>
            <w:left w:w="0" w:type="dxa"/>
            <w:bottom w:w="0" w:type="dxa"/>
            <w:right w:w="0" w:type="dxa"/>
          </w:tblCellMar>
        </w:tblPrEx>
        <w:trPr>
          <w:trHeight w:val="718"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vAlign w:val="center"/>
          </w:tcPr>
          <w:p w14:paraId="741AEF5A">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时</w:t>
            </w:r>
            <w:r>
              <w:rPr>
                <w:rFonts w:hint="eastAsia" w:ascii="宋体" w:hAnsi="宋体"/>
                <w:color w:val="auto"/>
                <w:sz w:val="21"/>
                <w:szCs w:val="21"/>
                <w:highlight w:val="none"/>
              </w:rPr>
              <w:tab/>
            </w:r>
            <w:r>
              <w:rPr>
                <w:rFonts w:hint="eastAsia" w:ascii="宋体" w:hAnsi="宋体"/>
                <w:color w:val="auto"/>
                <w:sz w:val="21"/>
                <w:szCs w:val="21"/>
                <w:highlight w:val="none"/>
              </w:rPr>
              <w:t>间</w:t>
            </w:r>
          </w:p>
        </w:tc>
        <w:tc>
          <w:tcPr>
            <w:tcW w:w="3337" w:type="dxa"/>
            <w:gridSpan w:val="4"/>
            <w:tcBorders>
              <w:top w:val="single" w:color="000000" w:sz="4" w:space="0"/>
              <w:left w:val="nil"/>
              <w:bottom w:val="single" w:color="000000" w:sz="4" w:space="0"/>
              <w:right w:val="single" w:color="000000" w:sz="4" w:space="0"/>
            </w:tcBorders>
            <w:vAlign w:val="center"/>
          </w:tcPr>
          <w:p w14:paraId="099B9FCB">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参加</w:t>
            </w:r>
            <w:r>
              <w:rPr>
                <w:rFonts w:hint="eastAsia" w:ascii="宋体" w:hAnsi="宋体"/>
                <w:color w:val="auto"/>
                <w:spacing w:val="-2"/>
                <w:sz w:val="21"/>
                <w:szCs w:val="21"/>
                <w:highlight w:val="none"/>
              </w:rPr>
              <w:t>过</w:t>
            </w:r>
            <w:r>
              <w:rPr>
                <w:rFonts w:hint="eastAsia" w:ascii="宋体" w:hAnsi="宋体"/>
                <w:color w:val="auto"/>
                <w:sz w:val="21"/>
                <w:szCs w:val="21"/>
                <w:highlight w:val="none"/>
              </w:rPr>
              <w:t>的</w:t>
            </w:r>
            <w:r>
              <w:rPr>
                <w:rFonts w:hint="eastAsia" w:ascii="宋体" w:hAnsi="宋体"/>
                <w:color w:val="auto"/>
                <w:spacing w:val="-2"/>
                <w:sz w:val="21"/>
                <w:szCs w:val="21"/>
                <w:highlight w:val="none"/>
              </w:rPr>
              <w:t>类</w:t>
            </w:r>
            <w:r>
              <w:rPr>
                <w:rFonts w:hint="eastAsia" w:ascii="宋体" w:hAnsi="宋体"/>
                <w:color w:val="auto"/>
                <w:sz w:val="21"/>
                <w:szCs w:val="21"/>
                <w:highlight w:val="none"/>
              </w:rPr>
              <w:t>似</w:t>
            </w:r>
            <w:r>
              <w:rPr>
                <w:rFonts w:hint="eastAsia" w:ascii="宋体" w:hAnsi="宋体"/>
                <w:color w:val="auto"/>
                <w:spacing w:val="-2"/>
                <w:sz w:val="21"/>
                <w:szCs w:val="21"/>
                <w:highlight w:val="none"/>
              </w:rPr>
              <w:t>项</w:t>
            </w:r>
            <w:r>
              <w:rPr>
                <w:rFonts w:hint="eastAsia" w:ascii="宋体" w:hAnsi="宋体"/>
                <w:color w:val="auto"/>
                <w:sz w:val="21"/>
                <w:szCs w:val="21"/>
                <w:highlight w:val="none"/>
              </w:rPr>
              <w:t>目</w:t>
            </w:r>
          </w:p>
        </w:tc>
        <w:tc>
          <w:tcPr>
            <w:tcW w:w="1229" w:type="dxa"/>
            <w:tcBorders>
              <w:top w:val="single" w:color="000000" w:sz="4" w:space="0"/>
              <w:left w:val="nil"/>
              <w:bottom w:val="single" w:color="000000" w:sz="4" w:space="0"/>
              <w:right w:val="single" w:color="000000" w:sz="4" w:space="0"/>
            </w:tcBorders>
            <w:vAlign w:val="center"/>
          </w:tcPr>
          <w:p w14:paraId="4870AC15">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担任</w:t>
            </w:r>
            <w:r>
              <w:rPr>
                <w:rFonts w:hint="eastAsia" w:ascii="宋体" w:hAnsi="宋体"/>
                <w:color w:val="auto"/>
                <w:spacing w:val="-2"/>
                <w:sz w:val="21"/>
                <w:szCs w:val="21"/>
                <w:highlight w:val="none"/>
              </w:rPr>
              <w:t>职</w:t>
            </w:r>
            <w:r>
              <w:rPr>
                <w:rFonts w:hint="eastAsia" w:ascii="宋体" w:hAnsi="宋体"/>
                <w:color w:val="auto"/>
                <w:sz w:val="21"/>
                <w:szCs w:val="21"/>
                <w:highlight w:val="none"/>
              </w:rPr>
              <w:t>务</w:t>
            </w:r>
          </w:p>
        </w:tc>
        <w:tc>
          <w:tcPr>
            <w:tcW w:w="2243" w:type="dxa"/>
            <w:gridSpan w:val="2"/>
            <w:tcBorders>
              <w:top w:val="single" w:color="000000" w:sz="4" w:space="0"/>
              <w:left w:val="nil"/>
              <w:bottom w:val="single" w:color="000000" w:sz="4" w:space="0"/>
              <w:right w:val="single" w:color="000000" w:sz="4" w:space="0"/>
            </w:tcBorders>
            <w:vAlign w:val="center"/>
          </w:tcPr>
          <w:p w14:paraId="34F54112">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r>
              <w:rPr>
                <w:rFonts w:hint="eastAsia" w:ascii="宋体" w:hAnsi="宋体"/>
                <w:color w:val="auto"/>
                <w:sz w:val="21"/>
                <w:szCs w:val="21"/>
                <w:highlight w:val="none"/>
              </w:rPr>
              <w:t>发包</w:t>
            </w:r>
            <w:r>
              <w:rPr>
                <w:rFonts w:hint="eastAsia" w:ascii="宋体" w:hAnsi="宋体"/>
                <w:color w:val="auto"/>
                <w:spacing w:val="-2"/>
                <w:sz w:val="21"/>
                <w:szCs w:val="21"/>
                <w:highlight w:val="none"/>
              </w:rPr>
              <w:t>人</w:t>
            </w:r>
            <w:r>
              <w:rPr>
                <w:rFonts w:hint="eastAsia" w:ascii="宋体" w:hAnsi="宋体"/>
                <w:color w:val="auto"/>
                <w:sz w:val="21"/>
                <w:szCs w:val="21"/>
                <w:highlight w:val="none"/>
              </w:rPr>
              <w:t>及</w:t>
            </w:r>
            <w:r>
              <w:rPr>
                <w:rFonts w:hint="eastAsia" w:ascii="宋体" w:hAnsi="宋体"/>
                <w:color w:val="auto"/>
                <w:spacing w:val="-2"/>
                <w:sz w:val="21"/>
                <w:szCs w:val="21"/>
                <w:highlight w:val="none"/>
              </w:rPr>
              <w:t>联</w:t>
            </w:r>
            <w:r>
              <w:rPr>
                <w:rFonts w:hint="eastAsia" w:ascii="宋体" w:hAnsi="宋体"/>
                <w:color w:val="auto"/>
                <w:sz w:val="21"/>
                <w:szCs w:val="21"/>
                <w:highlight w:val="none"/>
              </w:rPr>
              <w:t>系</w:t>
            </w:r>
            <w:r>
              <w:rPr>
                <w:rFonts w:hint="eastAsia" w:ascii="宋体" w:hAnsi="宋体"/>
                <w:color w:val="auto"/>
                <w:spacing w:val="-2"/>
                <w:sz w:val="21"/>
                <w:szCs w:val="21"/>
                <w:highlight w:val="none"/>
              </w:rPr>
              <w:t>电</w:t>
            </w:r>
            <w:r>
              <w:rPr>
                <w:rFonts w:hint="eastAsia" w:ascii="宋体" w:hAnsi="宋体"/>
                <w:color w:val="auto"/>
                <w:sz w:val="21"/>
                <w:szCs w:val="21"/>
                <w:highlight w:val="none"/>
              </w:rPr>
              <w:t>话</w:t>
            </w:r>
          </w:p>
        </w:tc>
      </w:tr>
      <w:tr w14:paraId="79D093BC">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vAlign w:val="center"/>
          </w:tcPr>
          <w:p w14:paraId="581665F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3337" w:type="dxa"/>
            <w:gridSpan w:val="4"/>
            <w:tcBorders>
              <w:top w:val="single" w:color="000000" w:sz="4" w:space="0"/>
              <w:left w:val="nil"/>
              <w:bottom w:val="single" w:color="000000" w:sz="4" w:space="0"/>
              <w:right w:val="single" w:color="000000" w:sz="4" w:space="0"/>
            </w:tcBorders>
            <w:vAlign w:val="center"/>
          </w:tcPr>
          <w:p w14:paraId="4834DD43">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1229" w:type="dxa"/>
            <w:tcBorders>
              <w:top w:val="single" w:color="000000" w:sz="4" w:space="0"/>
              <w:left w:val="nil"/>
              <w:bottom w:val="single" w:color="000000" w:sz="4" w:space="0"/>
              <w:right w:val="single" w:color="000000" w:sz="4" w:space="0"/>
            </w:tcBorders>
            <w:vAlign w:val="center"/>
          </w:tcPr>
          <w:p w14:paraId="0609DAD5">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2243" w:type="dxa"/>
            <w:gridSpan w:val="2"/>
            <w:tcBorders>
              <w:top w:val="single" w:color="000000" w:sz="4" w:space="0"/>
              <w:left w:val="nil"/>
              <w:bottom w:val="single" w:color="000000" w:sz="4" w:space="0"/>
              <w:right w:val="single" w:color="000000" w:sz="4" w:space="0"/>
            </w:tcBorders>
            <w:vAlign w:val="center"/>
          </w:tcPr>
          <w:p w14:paraId="0598B3EC">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r>
      <w:tr w14:paraId="1FFEE3CF">
        <w:tblPrEx>
          <w:tblCellMar>
            <w:top w:w="0" w:type="dxa"/>
            <w:left w:w="0" w:type="dxa"/>
            <w:bottom w:w="0" w:type="dxa"/>
            <w:right w:w="0" w:type="dxa"/>
          </w:tblCellMar>
        </w:tblPrEx>
        <w:trPr>
          <w:trHeight w:val="698"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vAlign w:val="center"/>
          </w:tcPr>
          <w:p w14:paraId="2F9B818D">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3337" w:type="dxa"/>
            <w:gridSpan w:val="4"/>
            <w:tcBorders>
              <w:top w:val="single" w:color="000000" w:sz="4" w:space="0"/>
              <w:left w:val="nil"/>
              <w:bottom w:val="single" w:color="000000" w:sz="4" w:space="0"/>
              <w:right w:val="single" w:color="000000" w:sz="4" w:space="0"/>
            </w:tcBorders>
            <w:vAlign w:val="center"/>
          </w:tcPr>
          <w:p w14:paraId="5ACFFAAB">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1229" w:type="dxa"/>
            <w:tcBorders>
              <w:top w:val="single" w:color="000000" w:sz="4" w:space="0"/>
              <w:left w:val="nil"/>
              <w:bottom w:val="single" w:color="000000" w:sz="4" w:space="0"/>
              <w:right w:val="single" w:color="000000" w:sz="4" w:space="0"/>
            </w:tcBorders>
            <w:vAlign w:val="center"/>
          </w:tcPr>
          <w:p w14:paraId="060370F3">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2243" w:type="dxa"/>
            <w:gridSpan w:val="2"/>
            <w:tcBorders>
              <w:top w:val="single" w:color="000000" w:sz="4" w:space="0"/>
              <w:left w:val="nil"/>
              <w:bottom w:val="single" w:color="000000" w:sz="4" w:space="0"/>
              <w:right w:val="single" w:color="000000" w:sz="4" w:space="0"/>
            </w:tcBorders>
            <w:vAlign w:val="center"/>
          </w:tcPr>
          <w:p w14:paraId="5E3DCA5F">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r>
      <w:tr w14:paraId="023B9D14">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vAlign w:val="center"/>
          </w:tcPr>
          <w:p w14:paraId="0DCB2D8A">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3337" w:type="dxa"/>
            <w:gridSpan w:val="4"/>
            <w:tcBorders>
              <w:top w:val="single" w:color="000000" w:sz="4" w:space="0"/>
              <w:left w:val="nil"/>
              <w:bottom w:val="single" w:color="000000" w:sz="4" w:space="0"/>
              <w:right w:val="single" w:color="000000" w:sz="4" w:space="0"/>
            </w:tcBorders>
            <w:vAlign w:val="center"/>
          </w:tcPr>
          <w:p w14:paraId="2D9E254E">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1229" w:type="dxa"/>
            <w:tcBorders>
              <w:top w:val="single" w:color="000000" w:sz="4" w:space="0"/>
              <w:left w:val="nil"/>
              <w:bottom w:val="single" w:color="000000" w:sz="4" w:space="0"/>
              <w:right w:val="single" w:color="000000" w:sz="4" w:space="0"/>
            </w:tcBorders>
            <w:vAlign w:val="center"/>
          </w:tcPr>
          <w:p w14:paraId="1303B5D2">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2243" w:type="dxa"/>
            <w:gridSpan w:val="2"/>
            <w:tcBorders>
              <w:top w:val="single" w:color="000000" w:sz="4" w:space="0"/>
              <w:left w:val="nil"/>
              <w:bottom w:val="single" w:color="000000" w:sz="4" w:space="0"/>
              <w:right w:val="single" w:color="000000" w:sz="4" w:space="0"/>
            </w:tcBorders>
            <w:vAlign w:val="center"/>
          </w:tcPr>
          <w:p w14:paraId="421B21EB">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r>
      <w:tr w14:paraId="27362BD8">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vAlign w:val="center"/>
          </w:tcPr>
          <w:p w14:paraId="004CAEFE">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3337" w:type="dxa"/>
            <w:gridSpan w:val="4"/>
            <w:tcBorders>
              <w:top w:val="single" w:color="000000" w:sz="4" w:space="0"/>
              <w:left w:val="nil"/>
              <w:bottom w:val="single" w:color="000000" w:sz="4" w:space="0"/>
              <w:right w:val="single" w:color="000000" w:sz="4" w:space="0"/>
            </w:tcBorders>
            <w:vAlign w:val="center"/>
          </w:tcPr>
          <w:p w14:paraId="5AA23563">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1229" w:type="dxa"/>
            <w:tcBorders>
              <w:top w:val="single" w:color="000000" w:sz="4" w:space="0"/>
              <w:left w:val="nil"/>
              <w:bottom w:val="single" w:color="000000" w:sz="4" w:space="0"/>
              <w:right w:val="single" w:color="000000" w:sz="4" w:space="0"/>
            </w:tcBorders>
            <w:vAlign w:val="center"/>
          </w:tcPr>
          <w:p w14:paraId="49EF47B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2243" w:type="dxa"/>
            <w:gridSpan w:val="2"/>
            <w:tcBorders>
              <w:top w:val="single" w:color="000000" w:sz="4" w:space="0"/>
              <w:left w:val="nil"/>
              <w:bottom w:val="single" w:color="000000" w:sz="4" w:space="0"/>
              <w:right w:val="single" w:color="000000" w:sz="4" w:space="0"/>
            </w:tcBorders>
            <w:vAlign w:val="center"/>
          </w:tcPr>
          <w:p w14:paraId="445EEC95">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r>
      <w:tr w14:paraId="1C28B203">
        <w:tblPrEx>
          <w:tblCellMar>
            <w:top w:w="0" w:type="dxa"/>
            <w:left w:w="0" w:type="dxa"/>
            <w:bottom w:w="0" w:type="dxa"/>
            <w:right w:w="0" w:type="dxa"/>
          </w:tblCellMar>
        </w:tblPrEx>
        <w:trPr>
          <w:trHeight w:val="699"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vAlign w:val="center"/>
          </w:tcPr>
          <w:p w14:paraId="4EBF0EB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3337" w:type="dxa"/>
            <w:gridSpan w:val="4"/>
            <w:tcBorders>
              <w:top w:val="single" w:color="000000" w:sz="4" w:space="0"/>
              <w:left w:val="nil"/>
              <w:bottom w:val="single" w:color="000000" w:sz="4" w:space="0"/>
              <w:right w:val="single" w:color="000000" w:sz="4" w:space="0"/>
            </w:tcBorders>
            <w:vAlign w:val="center"/>
          </w:tcPr>
          <w:p w14:paraId="64B755A1">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1229" w:type="dxa"/>
            <w:tcBorders>
              <w:top w:val="single" w:color="000000" w:sz="4" w:space="0"/>
              <w:left w:val="nil"/>
              <w:bottom w:val="single" w:color="000000" w:sz="4" w:space="0"/>
              <w:right w:val="single" w:color="000000" w:sz="4" w:space="0"/>
            </w:tcBorders>
            <w:vAlign w:val="center"/>
          </w:tcPr>
          <w:p w14:paraId="0B4B8007">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2243" w:type="dxa"/>
            <w:gridSpan w:val="2"/>
            <w:tcBorders>
              <w:top w:val="single" w:color="000000" w:sz="4" w:space="0"/>
              <w:left w:val="nil"/>
              <w:bottom w:val="single" w:color="000000" w:sz="4" w:space="0"/>
              <w:right w:val="single" w:color="000000" w:sz="4" w:space="0"/>
            </w:tcBorders>
            <w:vAlign w:val="center"/>
          </w:tcPr>
          <w:p w14:paraId="5E5BE9CE">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r>
      <w:tr w14:paraId="396A2099">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vAlign w:val="center"/>
          </w:tcPr>
          <w:p w14:paraId="4B049D6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3337" w:type="dxa"/>
            <w:gridSpan w:val="4"/>
            <w:tcBorders>
              <w:top w:val="single" w:color="000000" w:sz="4" w:space="0"/>
              <w:left w:val="nil"/>
              <w:bottom w:val="single" w:color="000000" w:sz="4" w:space="0"/>
              <w:right w:val="single" w:color="000000" w:sz="4" w:space="0"/>
            </w:tcBorders>
            <w:vAlign w:val="center"/>
          </w:tcPr>
          <w:p w14:paraId="35AC75A4">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1229" w:type="dxa"/>
            <w:tcBorders>
              <w:top w:val="single" w:color="000000" w:sz="4" w:space="0"/>
              <w:left w:val="nil"/>
              <w:bottom w:val="single" w:color="000000" w:sz="4" w:space="0"/>
              <w:right w:val="single" w:color="000000" w:sz="4" w:space="0"/>
            </w:tcBorders>
            <w:vAlign w:val="center"/>
          </w:tcPr>
          <w:p w14:paraId="33FF777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2243" w:type="dxa"/>
            <w:gridSpan w:val="2"/>
            <w:tcBorders>
              <w:top w:val="single" w:color="000000" w:sz="4" w:space="0"/>
              <w:left w:val="nil"/>
              <w:bottom w:val="single" w:color="000000" w:sz="4" w:space="0"/>
              <w:right w:val="single" w:color="000000" w:sz="4" w:space="0"/>
            </w:tcBorders>
            <w:vAlign w:val="center"/>
          </w:tcPr>
          <w:p w14:paraId="6A973B52">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r>
      <w:tr w14:paraId="732EBBE2">
        <w:tblPrEx>
          <w:tblCellMar>
            <w:top w:w="0" w:type="dxa"/>
            <w:left w:w="0" w:type="dxa"/>
            <w:bottom w:w="0" w:type="dxa"/>
            <w:right w:w="0" w:type="dxa"/>
          </w:tblCellMar>
        </w:tblPrEx>
        <w:trPr>
          <w:trHeight w:val="701" w:hRule="atLeast"/>
          <w:jc w:val="center"/>
        </w:trPr>
        <w:tc>
          <w:tcPr>
            <w:tcW w:w="1504" w:type="dxa"/>
            <w:gridSpan w:val="2"/>
            <w:tcBorders>
              <w:top w:val="single" w:color="000000" w:sz="4" w:space="0"/>
              <w:left w:val="single" w:color="000000" w:sz="4" w:space="0"/>
              <w:bottom w:val="single" w:color="000000" w:sz="4" w:space="0"/>
              <w:right w:val="single" w:color="000000" w:sz="4" w:space="0"/>
            </w:tcBorders>
            <w:vAlign w:val="center"/>
          </w:tcPr>
          <w:p w14:paraId="31212264">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3337" w:type="dxa"/>
            <w:gridSpan w:val="4"/>
            <w:tcBorders>
              <w:top w:val="single" w:color="000000" w:sz="4" w:space="0"/>
              <w:left w:val="nil"/>
              <w:bottom w:val="single" w:color="000000" w:sz="4" w:space="0"/>
              <w:right w:val="single" w:color="000000" w:sz="4" w:space="0"/>
            </w:tcBorders>
            <w:vAlign w:val="center"/>
          </w:tcPr>
          <w:p w14:paraId="207482D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1229" w:type="dxa"/>
            <w:tcBorders>
              <w:top w:val="single" w:color="000000" w:sz="4" w:space="0"/>
              <w:left w:val="nil"/>
              <w:bottom w:val="single" w:color="000000" w:sz="4" w:space="0"/>
              <w:right w:val="single" w:color="000000" w:sz="4" w:space="0"/>
            </w:tcBorders>
            <w:vAlign w:val="center"/>
          </w:tcPr>
          <w:p w14:paraId="078AF7D2">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c>
          <w:tcPr>
            <w:tcW w:w="2243" w:type="dxa"/>
            <w:gridSpan w:val="2"/>
            <w:tcBorders>
              <w:top w:val="single" w:color="000000" w:sz="4" w:space="0"/>
              <w:left w:val="nil"/>
              <w:bottom w:val="single" w:color="000000" w:sz="4" w:space="0"/>
              <w:right w:val="single" w:color="000000" w:sz="4" w:space="0"/>
            </w:tcBorders>
            <w:vAlign w:val="center"/>
          </w:tcPr>
          <w:p w14:paraId="0A8CA888">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center"/>
              <w:textAlignment w:val="auto"/>
              <w:rPr>
                <w:rFonts w:ascii="宋体" w:hAnsi="宋体" w:cs="Calibri"/>
                <w:color w:val="auto"/>
                <w:sz w:val="21"/>
                <w:szCs w:val="21"/>
                <w:highlight w:val="none"/>
              </w:rPr>
            </w:pPr>
          </w:p>
        </w:tc>
      </w:tr>
    </w:tbl>
    <w:p w14:paraId="009240B6">
      <w:pPr>
        <w:autoSpaceDE w:val="0"/>
        <w:autoSpaceDN w:val="0"/>
        <w:adjustRightInd w:val="0"/>
        <w:spacing w:line="110" w:lineRule="exact"/>
        <w:rPr>
          <w:rFonts w:ascii="宋体" w:hAnsi="宋体" w:cs="Calibri"/>
          <w:color w:val="auto"/>
          <w:sz w:val="11"/>
          <w:szCs w:val="11"/>
          <w:highlight w:val="none"/>
        </w:rPr>
      </w:pPr>
      <w:r>
        <w:rPr>
          <w:rFonts w:hint="eastAsia" w:ascii="宋体" w:hAnsi="宋体"/>
          <w:color w:val="auto"/>
          <w:sz w:val="21"/>
          <w:szCs w:val="21"/>
          <w:highlight w:val="none"/>
        </w:rPr>
        <w:t xml:space="preserve"> </w:t>
      </w:r>
    </w:p>
    <w:p w14:paraId="3766AF9D">
      <w:pPr>
        <w:autoSpaceDE w:val="0"/>
        <w:autoSpaceDN w:val="0"/>
        <w:adjustRightInd w:val="0"/>
        <w:spacing w:line="296" w:lineRule="exact"/>
        <w:ind w:left="100" w:right="-20"/>
        <w:rPr>
          <w:rFonts w:ascii="宋体" w:hAnsi="宋体"/>
          <w:color w:val="auto"/>
          <w:sz w:val="21"/>
          <w:szCs w:val="21"/>
          <w:highlight w:val="none"/>
        </w:rPr>
      </w:pPr>
      <w:r>
        <w:rPr>
          <w:rFonts w:hint="eastAsia" w:ascii="宋体" w:hAnsi="宋体"/>
          <w:color w:val="auto"/>
          <w:sz w:val="21"/>
          <w:szCs w:val="21"/>
          <w:highlight w:val="none"/>
        </w:rPr>
        <w:t>注：</w:t>
      </w:r>
      <w:r>
        <w:rPr>
          <w:rFonts w:hint="eastAsia" w:ascii="宋体" w:hAnsi="宋体"/>
          <w:color w:val="auto"/>
          <w:spacing w:val="-2"/>
          <w:sz w:val="21"/>
          <w:szCs w:val="21"/>
          <w:highlight w:val="none"/>
        </w:rPr>
        <w:t>投</w:t>
      </w:r>
      <w:r>
        <w:rPr>
          <w:rFonts w:hint="eastAsia" w:ascii="宋体" w:hAnsi="宋体"/>
          <w:color w:val="auto"/>
          <w:sz w:val="21"/>
          <w:szCs w:val="21"/>
          <w:highlight w:val="none"/>
        </w:rPr>
        <w:t>标</w:t>
      </w:r>
      <w:r>
        <w:rPr>
          <w:rFonts w:hint="eastAsia" w:ascii="宋体" w:hAnsi="宋体"/>
          <w:color w:val="auto"/>
          <w:spacing w:val="-2"/>
          <w:sz w:val="21"/>
          <w:szCs w:val="21"/>
          <w:highlight w:val="none"/>
        </w:rPr>
        <w:t>人</w:t>
      </w:r>
      <w:r>
        <w:rPr>
          <w:rFonts w:hint="eastAsia" w:ascii="宋体" w:hAnsi="宋体"/>
          <w:color w:val="auto"/>
          <w:sz w:val="21"/>
          <w:szCs w:val="21"/>
          <w:highlight w:val="none"/>
        </w:rPr>
        <w:t>应</w:t>
      </w:r>
      <w:r>
        <w:rPr>
          <w:rFonts w:hint="eastAsia" w:ascii="宋体" w:hAnsi="宋体"/>
          <w:color w:val="auto"/>
          <w:spacing w:val="-2"/>
          <w:sz w:val="21"/>
          <w:szCs w:val="21"/>
          <w:highlight w:val="none"/>
        </w:rPr>
        <w:t>根</w:t>
      </w:r>
      <w:r>
        <w:rPr>
          <w:rFonts w:hint="eastAsia" w:ascii="宋体" w:hAnsi="宋体"/>
          <w:color w:val="auto"/>
          <w:sz w:val="21"/>
          <w:szCs w:val="21"/>
          <w:highlight w:val="none"/>
        </w:rPr>
        <w:t>据</w:t>
      </w:r>
      <w:r>
        <w:rPr>
          <w:rFonts w:hint="eastAsia" w:ascii="宋体" w:hAnsi="宋体"/>
          <w:color w:val="auto"/>
          <w:spacing w:val="-2"/>
          <w:sz w:val="21"/>
          <w:szCs w:val="21"/>
          <w:highlight w:val="none"/>
          <w:lang w:val="en-US" w:eastAsia="zh-CN"/>
        </w:rPr>
        <w:t>评审</w:t>
      </w:r>
      <w:r>
        <w:rPr>
          <w:rFonts w:hint="eastAsia" w:ascii="宋体" w:hAnsi="宋体"/>
          <w:color w:val="auto"/>
          <w:spacing w:val="-2"/>
          <w:sz w:val="21"/>
          <w:szCs w:val="21"/>
          <w:highlight w:val="none"/>
        </w:rPr>
        <w:t>要</w:t>
      </w:r>
      <w:r>
        <w:rPr>
          <w:rFonts w:hint="eastAsia" w:ascii="宋体" w:hAnsi="宋体"/>
          <w:color w:val="auto"/>
          <w:sz w:val="21"/>
          <w:szCs w:val="21"/>
          <w:highlight w:val="none"/>
        </w:rPr>
        <w:t>求</w:t>
      </w:r>
      <w:r>
        <w:rPr>
          <w:rFonts w:hint="eastAsia" w:ascii="宋体" w:hAnsi="宋体"/>
          <w:color w:val="auto"/>
          <w:spacing w:val="-2"/>
          <w:sz w:val="21"/>
          <w:szCs w:val="21"/>
          <w:highlight w:val="none"/>
        </w:rPr>
        <w:t>在本</w:t>
      </w:r>
      <w:r>
        <w:rPr>
          <w:rFonts w:hint="eastAsia" w:ascii="宋体" w:hAnsi="宋体"/>
          <w:color w:val="auto"/>
          <w:sz w:val="21"/>
          <w:szCs w:val="21"/>
          <w:highlight w:val="none"/>
        </w:rPr>
        <w:t>表后</w:t>
      </w:r>
      <w:r>
        <w:rPr>
          <w:rFonts w:hint="eastAsia" w:ascii="宋体" w:hAnsi="宋体"/>
          <w:color w:val="auto"/>
          <w:spacing w:val="-2"/>
          <w:sz w:val="21"/>
          <w:szCs w:val="21"/>
          <w:highlight w:val="none"/>
        </w:rPr>
        <w:t>附</w:t>
      </w:r>
      <w:r>
        <w:rPr>
          <w:rFonts w:hint="eastAsia" w:ascii="宋体" w:hAnsi="宋体"/>
          <w:color w:val="auto"/>
          <w:sz w:val="21"/>
          <w:szCs w:val="21"/>
          <w:highlight w:val="none"/>
        </w:rPr>
        <w:t>相</w:t>
      </w:r>
      <w:r>
        <w:rPr>
          <w:rFonts w:hint="eastAsia" w:ascii="宋体" w:hAnsi="宋体"/>
          <w:color w:val="auto"/>
          <w:spacing w:val="-2"/>
          <w:sz w:val="21"/>
          <w:szCs w:val="21"/>
          <w:highlight w:val="none"/>
        </w:rPr>
        <w:t>关</w:t>
      </w:r>
      <w:r>
        <w:rPr>
          <w:rFonts w:hint="eastAsia" w:ascii="宋体" w:hAnsi="宋体"/>
          <w:color w:val="auto"/>
          <w:sz w:val="21"/>
          <w:szCs w:val="21"/>
          <w:highlight w:val="none"/>
        </w:rPr>
        <w:t>证</w:t>
      </w:r>
      <w:r>
        <w:rPr>
          <w:rFonts w:hint="eastAsia" w:ascii="宋体" w:hAnsi="宋体"/>
          <w:color w:val="auto"/>
          <w:spacing w:val="-2"/>
          <w:sz w:val="21"/>
          <w:szCs w:val="21"/>
          <w:highlight w:val="none"/>
        </w:rPr>
        <w:t>明</w:t>
      </w:r>
      <w:r>
        <w:rPr>
          <w:rFonts w:hint="eastAsia" w:ascii="宋体" w:hAnsi="宋体"/>
          <w:color w:val="auto"/>
          <w:sz w:val="21"/>
          <w:szCs w:val="21"/>
          <w:highlight w:val="none"/>
        </w:rPr>
        <w:t>材</w:t>
      </w:r>
      <w:r>
        <w:rPr>
          <w:rFonts w:hint="eastAsia" w:ascii="宋体" w:hAnsi="宋体"/>
          <w:color w:val="auto"/>
          <w:spacing w:val="-2"/>
          <w:sz w:val="21"/>
          <w:szCs w:val="21"/>
          <w:highlight w:val="none"/>
        </w:rPr>
        <w:t>料扫描件</w:t>
      </w:r>
      <w:r>
        <w:rPr>
          <w:rFonts w:hint="eastAsia" w:ascii="宋体" w:hAnsi="宋体"/>
          <w:color w:val="auto"/>
          <w:sz w:val="21"/>
          <w:szCs w:val="21"/>
          <w:highlight w:val="none"/>
        </w:rPr>
        <w:t>。</w:t>
      </w:r>
    </w:p>
    <w:p w14:paraId="5A30118D">
      <w:pPr>
        <w:autoSpaceDE w:val="0"/>
        <w:autoSpaceDN w:val="0"/>
        <w:adjustRightInd w:val="0"/>
        <w:spacing w:line="466" w:lineRule="exact"/>
        <w:ind w:right="-20"/>
        <w:outlineLvl w:val="0"/>
        <w:rPr>
          <w:rFonts w:hint="eastAsia" w:ascii="宋体" w:hAnsi="宋体" w:eastAsia="宋体"/>
          <w:color w:val="auto"/>
          <w:spacing w:val="2"/>
          <w:position w:val="-1"/>
          <w:sz w:val="21"/>
          <w:szCs w:val="21"/>
          <w:highlight w:val="none"/>
          <w:lang w:eastAsia="zh-CN"/>
        </w:rPr>
      </w:pPr>
      <w:r>
        <w:rPr>
          <w:rFonts w:hint="eastAsia" w:ascii="宋体" w:hAnsi="宋体"/>
          <w:color w:val="auto"/>
          <w:highlight w:val="none"/>
        </w:rPr>
        <w:br w:type="page"/>
      </w:r>
      <w:bookmarkStart w:id="337" w:name="_Toc29619"/>
      <w:bookmarkStart w:id="338" w:name="_Toc30427"/>
      <w:r>
        <w:rPr>
          <w:rFonts w:hint="eastAsia" w:ascii="宋体" w:hAnsi="宋体"/>
          <w:color w:val="auto"/>
          <w:spacing w:val="2"/>
          <w:position w:val="-1"/>
          <w:sz w:val="21"/>
          <w:szCs w:val="21"/>
          <w:highlight w:val="none"/>
        </w:rPr>
        <w:t>格式七：</w:t>
      </w:r>
      <w:r>
        <w:rPr>
          <w:rFonts w:hint="eastAsia" w:ascii="宋体" w:hAnsi="宋体"/>
          <w:color w:val="auto"/>
          <w:spacing w:val="2"/>
          <w:position w:val="-1"/>
          <w:sz w:val="21"/>
          <w:szCs w:val="21"/>
          <w:highlight w:val="none"/>
          <w:lang w:eastAsia="zh-CN"/>
        </w:rPr>
        <w:t>类似业绩</w:t>
      </w:r>
      <w:bookmarkEnd w:id="337"/>
      <w:bookmarkEnd w:id="338"/>
    </w:p>
    <w:p w14:paraId="66B9D7BF">
      <w:pPr>
        <w:jc w:val="center"/>
        <w:rPr>
          <w:rFonts w:ascii="宋体" w:hAnsi="宋体"/>
          <w:color w:val="auto"/>
          <w:spacing w:val="2"/>
          <w:position w:val="-1"/>
          <w:sz w:val="32"/>
          <w:szCs w:val="32"/>
          <w:highlight w:val="none"/>
        </w:rPr>
      </w:pPr>
    </w:p>
    <w:p w14:paraId="453BC408">
      <w:pPr>
        <w:jc w:val="center"/>
        <w:rPr>
          <w:rFonts w:hint="eastAsia" w:ascii="宋体" w:hAnsi="宋体" w:eastAsia="宋体"/>
          <w:color w:val="auto"/>
          <w:spacing w:val="2"/>
          <w:position w:val="-1"/>
          <w:sz w:val="24"/>
          <w:szCs w:val="24"/>
          <w:highlight w:val="none"/>
          <w:lang w:eastAsia="zh-CN"/>
        </w:rPr>
      </w:pPr>
      <w:r>
        <w:rPr>
          <w:rFonts w:hint="eastAsia" w:ascii="宋体" w:hAnsi="宋体"/>
          <w:color w:val="auto"/>
          <w:spacing w:val="2"/>
          <w:position w:val="-1"/>
          <w:sz w:val="24"/>
          <w:szCs w:val="24"/>
          <w:highlight w:val="none"/>
          <w:lang w:eastAsia="zh-CN"/>
        </w:rPr>
        <w:t>类似业绩</w:t>
      </w:r>
    </w:p>
    <w:p w14:paraId="4E5BA206">
      <w:pPr>
        <w:jc w:val="center"/>
        <w:rPr>
          <w:rFonts w:ascii="宋体" w:hAnsi="宋体"/>
          <w:color w:val="auto"/>
          <w:spacing w:val="2"/>
          <w:position w:val="-1"/>
          <w:sz w:val="32"/>
          <w:szCs w:val="32"/>
          <w:highlight w:val="none"/>
        </w:rPr>
      </w:pPr>
      <w:r>
        <w:rPr>
          <w:rFonts w:hint="eastAsia" w:ascii="宋体" w:hAnsi="宋体"/>
          <w:color w:val="auto"/>
          <w:spacing w:val="2"/>
          <w:position w:val="-1"/>
          <w:sz w:val="32"/>
          <w:szCs w:val="32"/>
          <w:highlight w:val="none"/>
        </w:rPr>
        <w:t xml:space="preserve"> </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1971"/>
        <w:gridCol w:w="1971"/>
        <w:gridCol w:w="1971"/>
        <w:gridCol w:w="1971"/>
      </w:tblGrid>
      <w:tr w14:paraId="22F8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99" w:type="pct"/>
            <w:tcBorders>
              <w:top w:val="single" w:color="auto" w:sz="4" w:space="0"/>
              <w:left w:val="single" w:color="auto" w:sz="4" w:space="0"/>
              <w:bottom w:val="single" w:color="auto" w:sz="4" w:space="0"/>
              <w:right w:val="single" w:color="auto" w:sz="4" w:space="0"/>
            </w:tcBorders>
            <w:vAlign w:val="center"/>
          </w:tcPr>
          <w:p w14:paraId="1F1DE2DD">
            <w:pPr>
              <w:jc w:val="center"/>
              <w:rPr>
                <w:rFonts w:ascii="宋体" w:hAnsi="宋体" w:cs="Calibri"/>
                <w:color w:val="auto"/>
                <w:sz w:val="21"/>
                <w:szCs w:val="21"/>
                <w:highlight w:val="none"/>
              </w:rPr>
            </w:pPr>
            <w:r>
              <w:rPr>
                <w:rFonts w:hint="eastAsia" w:ascii="宋体" w:hAnsi="宋体"/>
                <w:color w:val="auto"/>
                <w:sz w:val="21"/>
                <w:szCs w:val="21"/>
                <w:highlight w:val="none"/>
              </w:rPr>
              <w:t>合同签订时间</w:t>
            </w:r>
          </w:p>
        </w:tc>
        <w:tc>
          <w:tcPr>
            <w:tcW w:w="1000" w:type="pct"/>
            <w:tcBorders>
              <w:top w:val="single" w:color="auto" w:sz="4" w:space="0"/>
              <w:left w:val="nil"/>
              <w:bottom w:val="single" w:color="auto" w:sz="4" w:space="0"/>
              <w:right w:val="single" w:color="auto" w:sz="4" w:space="0"/>
            </w:tcBorders>
            <w:vAlign w:val="center"/>
          </w:tcPr>
          <w:p w14:paraId="1E828C27">
            <w:pPr>
              <w:jc w:val="center"/>
              <w:rPr>
                <w:rFonts w:ascii="宋体" w:hAnsi="宋体" w:cs="Calibri"/>
                <w:color w:val="auto"/>
                <w:sz w:val="21"/>
                <w:szCs w:val="21"/>
                <w:highlight w:val="none"/>
              </w:rPr>
            </w:pPr>
            <w:r>
              <w:rPr>
                <w:rFonts w:hint="eastAsia" w:ascii="宋体" w:hAnsi="宋体"/>
                <w:color w:val="auto"/>
                <w:sz w:val="21"/>
                <w:szCs w:val="21"/>
                <w:highlight w:val="none"/>
              </w:rPr>
              <w:t>项目概况</w:t>
            </w:r>
          </w:p>
        </w:tc>
        <w:tc>
          <w:tcPr>
            <w:tcW w:w="1000" w:type="pct"/>
            <w:tcBorders>
              <w:top w:val="single" w:color="auto" w:sz="4" w:space="0"/>
              <w:left w:val="nil"/>
              <w:bottom w:val="single" w:color="auto" w:sz="4" w:space="0"/>
              <w:right w:val="single" w:color="auto" w:sz="4" w:space="0"/>
            </w:tcBorders>
            <w:vAlign w:val="center"/>
          </w:tcPr>
          <w:p w14:paraId="10EE25BE">
            <w:pPr>
              <w:jc w:val="center"/>
              <w:rPr>
                <w:rFonts w:ascii="宋体" w:hAnsi="宋体" w:cs="Calibri"/>
                <w:color w:val="auto"/>
                <w:sz w:val="21"/>
                <w:szCs w:val="21"/>
                <w:highlight w:val="none"/>
              </w:rPr>
            </w:pPr>
            <w:r>
              <w:rPr>
                <w:rFonts w:hint="eastAsia" w:ascii="宋体" w:hAnsi="宋体"/>
                <w:color w:val="auto"/>
                <w:sz w:val="21"/>
                <w:szCs w:val="21"/>
                <w:highlight w:val="none"/>
              </w:rPr>
              <w:t>业主单位</w:t>
            </w:r>
          </w:p>
        </w:tc>
        <w:tc>
          <w:tcPr>
            <w:tcW w:w="1000" w:type="pct"/>
            <w:tcBorders>
              <w:top w:val="single" w:color="auto" w:sz="4" w:space="0"/>
              <w:left w:val="nil"/>
              <w:bottom w:val="single" w:color="auto" w:sz="4" w:space="0"/>
              <w:right w:val="single" w:color="auto" w:sz="4" w:space="0"/>
            </w:tcBorders>
            <w:vAlign w:val="center"/>
          </w:tcPr>
          <w:p w14:paraId="65EB8BB3">
            <w:pPr>
              <w:jc w:val="center"/>
              <w:rPr>
                <w:rFonts w:ascii="宋体" w:hAnsi="宋体" w:cs="Calibri"/>
                <w:color w:val="auto"/>
                <w:sz w:val="21"/>
                <w:szCs w:val="21"/>
                <w:highlight w:val="none"/>
              </w:rPr>
            </w:pPr>
            <w:r>
              <w:rPr>
                <w:rFonts w:hint="eastAsia" w:ascii="宋体" w:hAnsi="宋体"/>
                <w:color w:val="auto"/>
                <w:sz w:val="21"/>
                <w:szCs w:val="21"/>
                <w:highlight w:val="none"/>
              </w:rPr>
              <w:t>完成情况</w:t>
            </w:r>
          </w:p>
        </w:tc>
        <w:tc>
          <w:tcPr>
            <w:tcW w:w="1000" w:type="pct"/>
            <w:tcBorders>
              <w:top w:val="single" w:color="auto" w:sz="4" w:space="0"/>
              <w:left w:val="nil"/>
              <w:bottom w:val="single" w:color="auto" w:sz="4" w:space="0"/>
              <w:right w:val="single" w:color="auto" w:sz="4" w:space="0"/>
            </w:tcBorders>
            <w:vAlign w:val="center"/>
          </w:tcPr>
          <w:p w14:paraId="3914B767">
            <w:pPr>
              <w:jc w:val="center"/>
              <w:rPr>
                <w:rFonts w:ascii="宋体" w:hAnsi="宋体" w:cs="Calibri"/>
                <w:color w:val="auto"/>
                <w:sz w:val="21"/>
                <w:szCs w:val="21"/>
                <w:highlight w:val="none"/>
              </w:rPr>
            </w:pPr>
            <w:r>
              <w:rPr>
                <w:rFonts w:hint="eastAsia" w:ascii="宋体" w:hAnsi="宋体"/>
                <w:color w:val="auto"/>
                <w:sz w:val="21"/>
                <w:szCs w:val="21"/>
                <w:highlight w:val="none"/>
              </w:rPr>
              <w:t>备注</w:t>
            </w:r>
          </w:p>
        </w:tc>
      </w:tr>
      <w:tr w14:paraId="4191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99" w:type="pct"/>
            <w:tcBorders>
              <w:top w:val="single" w:color="auto" w:sz="4" w:space="0"/>
              <w:left w:val="single" w:color="auto" w:sz="4" w:space="0"/>
              <w:bottom w:val="single" w:color="auto" w:sz="4" w:space="0"/>
              <w:right w:val="single" w:color="auto" w:sz="4" w:space="0"/>
            </w:tcBorders>
            <w:vAlign w:val="center"/>
          </w:tcPr>
          <w:p w14:paraId="59565C01">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7E58CFE7">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51690CC7">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1362E6D7">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0BCAA518">
            <w:pPr>
              <w:jc w:val="center"/>
              <w:rPr>
                <w:rFonts w:ascii="宋体" w:hAnsi="宋体" w:cs="Calibri"/>
                <w:color w:val="auto"/>
                <w:sz w:val="21"/>
                <w:szCs w:val="21"/>
                <w:highlight w:val="none"/>
              </w:rPr>
            </w:pPr>
          </w:p>
        </w:tc>
      </w:tr>
      <w:tr w14:paraId="1272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99" w:type="pct"/>
            <w:tcBorders>
              <w:top w:val="single" w:color="auto" w:sz="4" w:space="0"/>
              <w:left w:val="single" w:color="auto" w:sz="4" w:space="0"/>
              <w:bottom w:val="single" w:color="auto" w:sz="4" w:space="0"/>
              <w:right w:val="single" w:color="auto" w:sz="4" w:space="0"/>
            </w:tcBorders>
            <w:vAlign w:val="center"/>
          </w:tcPr>
          <w:p w14:paraId="6F211F2A">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4C04FF38">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57540495">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316908E5">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698CD0CC">
            <w:pPr>
              <w:jc w:val="center"/>
              <w:rPr>
                <w:rFonts w:ascii="宋体" w:hAnsi="宋体" w:cs="Calibri"/>
                <w:color w:val="auto"/>
                <w:sz w:val="21"/>
                <w:szCs w:val="21"/>
                <w:highlight w:val="none"/>
              </w:rPr>
            </w:pPr>
          </w:p>
        </w:tc>
      </w:tr>
      <w:tr w14:paraId="3156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99" w:type="pct"/>
            <w:tcBorders>
              <w:top w:val="single" w:color="auto" w:sz="4" w:space="0"/>
              <w:left w:val="single" w:color="auto" w:sz="4" w:space="0"/>
              <w:bottom w:val="single" w:color="auto" w:sz="4" w:space="0"/>
              <w:right w:val="single" w:color="auto" w:sz="4" w:space="0"/>
            </w:tcBorders>
            <w:vAlign w:val="center"/>
          </w:tcPr>
          <w:p w14:paraId="5080098C">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79A5C364">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5EB05105">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503ACBA2">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66FDC0C6">
            <w:pPr>
              <w:jc w:val="center"/>
              <w:rPr>
                <w:rFonts w:ascii="宋体" w:hAnsi="宋体" w:cs="Calibri"/>
                <w:color w:val="auto"/>
                <w:sz w:val="21"/>
                <w:szCs w:val="21"/>
                <w:highlight w:val="none"/>
              </w:rPr>
            </w:pPr>
          </w:p>
        </w:tc>
      </w:tr>
      <w:tr w14:paraId="029B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999" w:type="pct"/>
            <w:tcBorders>
              <w:top w:val="single" w:color="auto" w:sz="4" w:space="0"/>
              <w:left w:val="single" w:color="auto" w:sz="4" w:space="0"/>
              <w:bottom w:val="single" w:color="auto" w:sz="4" w:space="0"/>
              <w:right w:val="single" w:color="auto" w:sz="4" w:space="0"/>
            </w:tcBorders>
            <w:vAlign w:val="center"/>
          </w:tcPr>
          <w:p w14:paraId="4BA5A45D">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30486ADA">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6188246C">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4D83FB74">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3379779D">
            <w:pPr>
              <w:jc w:val="center"/>
              <w:rPr>
                <w:rFonts w:ascii="宋体" w:hAnsi="宋体" w:cs="Calibri"/>
                <w:color w:val="auto"/>
                <w:sz w:val="21"/>
                <w:szCs w:val="21"/>
                <w:highlight w:val="none"/>
              </w:rPr>
            </w:pPr>
          </w:p>
        </w:tc>
      </w:tr>
      <w:tr w14:paraId="5A87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999" w:type="pct"/>
            <w:tcBorders>
              <w:top w:val="single" w:color="auto" w:sz="4" w:space="0"/>
              <w:left w:val="single" w:color="auto" w:sz="4" w:space="0"/>
              <w:bottom w:val="single" w:color="auto" w:sz="4" w:space="0"/>
              <w:right w:val="single" w:color="auto" w:sz="4" w:space="0"/>
            </w:tcBorders>
            <w:vAlign w:val="center"/>
          </w:tcPr>
          <w:p w14:paraId="1A596371">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6A798CB4">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15348966">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47404AD1">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74109F8A">
            <w:pPr>
              <w:jc w:val="center"/>
              <w:rPr>
                <w:rFonts w:ascii="宋体" w:hAnsi="宋体" w:cs="Calibri"/>
                <w:color w:val="auto"/>
                <w:sz w:val="21"/>
                <w:szCs w:val="21"/>
                <w:highlight w:val="none"/>
              </w:rPr>
            </w:pPr>
          </w:p>
        </w:tc>
      </w:tr>
      <w:tr w14:paraId="0AB7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99" w:type="pct"/>
            <w:tcBorders>
              <w:top w:val="single" w:color="auto" w:sz="4" w:space="0"/>
              <w:left w:val="single" w:color="auto" w:sz="4" w:space="0"/>
              <w:bottom w:val="single" w:color="auto" w:sz="4" w:space="0"/>
              <w:right w:val="single" w:color="auto" w:sz="4" w:space="0"/>
            </w:tcBorders>
            <w:vAlign w:val="center"/>
          </w:tcPr>
          <w:p w14:paraId="656E431C">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168166D6">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44DC0141">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0B70417A">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424F626E">
            <w:pPr>
              <w:jc w:val="center"/>
              <w:rPr>
                <w:rFonts w:ascii="宋体" w:hAnsi="宋体" w:cs="Calibri"/>
                <w:color w:val="auto"/>
                <w:sz w:val="21"/>
                <w:szCs w:val="21"/>
                <w:highlight w:val="none"/>
              </w:rPr>
            </w:pPr>
          </w:p>
        </w:tc>
      </w:tr>
      <w:tr w14:paraId="4947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99" w:type="pct"/>
            <w:tcBorders>
              <w:top w:val="single" w:color="auto" w:sz="4" w:space="0"/>
              <w:left w:val="single" w:color="auto" w:sz="4" w:space="0"/>
              <w:bottom w:val="single" w:color="auto" w:sz="4" w:space="0"/>
              <w:right w:val="single" w:color="auto" w:sz="4" w:space="0"/>
            </w:tcBorders>
            <w:vAlign w:val="center"/>
          </w:tcPr>
          <w:p w14:paraId="6C927D1C">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13C875F9">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57D41DE3">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6897CC77">
            <w:pPr>
              <w:jc w:val="center"/>
              <w:rPr>
                <w:rFonts w:ascii="宋体" w:hAnsi="宋体" w:cs="Calibri"/>
                <w:color w:val="auto"/>
                <w:sz w:val="21"/>
                <w:szCs w:val="21"/>
                <w:highlight w:val="none"/>
              </w:rPr>
            </w:pPr>
          </w:p>
        </w:tc>
        <w:tc>
          <w:tcPr>
            <w:tcW w:w="1000" w:type="pct"/>
            <w:tcBorders>
              <w:top w:val="single" w:color="auto" w:sz="4" w:space="0"/>
              <w:left w:val="nil"/>
              <w:bottom w:val="single" w:color="auto" w:sz="4" w:space="0"/>
              <w:right w:val="single" w:color="auto" w:sz="4" w:space="0"/>
            </w:tcBorders>
            <w:vAlign w:val="center"/>
          </w:tcPr>
          <w:p w14:paraId="43D29816">
            <w:pPr>
              <w:jc w:val="center"/>
              <w:rPr>
                <w:rFonts w:ascii="宋体" w:hAnsi="宋体" w:cs="Calibri"/>
                <w:color w:val="auto"/>
                <w:sz w:val="21"/>
                <w:szCs w:val="21"/>
                <w:highlight w:val="none"/>
              </w:rPr>
            </w:pPr>
          </w:p>
        </w:tc>
      </w:tr>
    </w:tbl>
    <w:p w14:paraId="2104B4EB">
      <w:pPr>
        <w:rPr>
          <w:rFonts w:hint="eastAsia"/>
          <w:color w:val="auto"/>
          <w:highlight w:val="none"/>
        </w:rPr>
      </w:pPr>
      <w:r>
        <w:rPr>
          <w:rFonts w:hint="eastAsia"/>
          <w:b w:val="0"/>
          <w:bCs/>
          <w:color w:val="auto"/>
          <w:highlight w:val="none"/>
          <w:lang w:val="en-US" w:eastAsia="zh-CN"/>
        </w:rPr>
        <w:t>注：投标人应</w:t>
      </w:r>
      <w:r>
        <w:rPr>
          <w:rFonts w:hint="eastAsia"/>
          <w:b w:val="0"/>
          <w:bCs/>
          <w:color w:val="auto"/>
          <w:highlight w:val="none"/>
          <w:lang w:eastAsia="zh-CN"/>
        </w:rPr>
        <w:t>根据</w:t>
      </w:r>
      <w:r>
        <w:rPr>
          <w:rFonts w:hint="eastAsia"/>
          <w:b w:val="0"/>
          <w:bCs/>
          <w:color w:val="auto"/>
          <w:highlight w:val="none"/>
          <w:lang w:val="en-US" w:eastAsia="zh-CN"/>
        </w:rPr>
        <w:t>评审</w:t>
      </w:r>
      <w:r>
        <w:rPr>
          <w:rFonts w:hint="eastAsia"/>
          <w:b w:val="0"/>
          <w:bCs/>
          <w:color w:val="auto"/>
          <w:highlight w:val="none"/>
          <w:lang w:eastAsia="zh-CN"/>
        </w:rPr>
        <w:t>要求提供相应证明材料。</w:t>
      </w:r>
      <w:r>
        <w:rPr>
          <w:rFonts w:hint="eastAsia"/>
          <w:color w:val="auto"/>
          <w:highlight w:val="none"/>
        </w:rPr>
        <w:br w:type="page"/>
      </w:r>
    </w:p>
    <w:p w14:paraId="07F8D8C6">
      <w:pPr>
        <w:autoSpaceDE w:val="0"/>
        <w:autoSpaceDN w:val="0"/>
        <w:adjustRightInd w:val="0"/>
        <w:spacing w:line="466" w:lineRule="exact"/>
        <w:ind w:right="-20"/>
        <w:outlineLvl w:val="0"/>
        <w:rPr>
          <w:rFonts w:hint="eastAsia" w:ascii="宋体" w:hAnsi="宋体" w:eastAsia="宋体" w:cs="Times New Roman"/>
          <w:color w:val="auto"/>
          <w:spacing w:val="2"/>
          <w:position w:val="-1"/>
          <w:sz w:val="21"/>
          <w:szCs w:val="21"/>
          <w:highlight w:val="none"/>
          <w:lang w:eastAsia="zh-CN"/>
        </w:rPr>
      </w:pPr>
      <w:bookmarkStart w:id="339" w:name="_Toc28643"/>
      <w:bookmarkStart w:id="340" w:name="_Toc27893"/>
      <w:r>
        <w:rPr>
          <w:rFonts w:hint="eastAsia" w:ascii="宋体" w:hAnsi="宋体" w:eastAsia="宋体" w:cs="Times New Roman"/>
          <w:color w:val="auto"/>
          <w:spacing w:val="2"/>
          <w:position w:val="-1"/>
          <w:sz w:val="21"/>
          <w:szCs w:val="21"/>
          <w:highlight w:val="none"/>
          <w:lang w:eastAsia="zh-CN"/>
        </w:rPr>
        <w:t>格式八  企业获奖情况</w:t>
      </w:r>
      <w:bookmarkEnd w:id="339"/>
      <w:bookmarkEnd w:id="340"/>
    </w:p>
    <w:p w14:paraId="2F7D1BED">
      <w:pPr>
        <w:rPr>
          <w:rFonts w:eastAsia="等线"/>
          <w:color w:val="auto"/>
          <w:highlight w:val="none"/>
          <w:lang w:eastAsia="zh-CN"/>
        </w:rPr>
      </w:pPr>
    </w:p>
    <w:p w14:paraId="3DF19376">
      <w:pPr>
        <w:jc w:val="center"/>
        <w:rPr>
          <w:rFonts w:ascii="宋体" w:hAnsi="宋体" w:eastAsia="宋体"/>
          <w:b w:val="0"/>
          <w:bCs/>
          <w:color w:val="auto"/>
          <w:spacing w:val="2"/>
          <w:position w:val="-1"/>
          <w:sz w:val="24"/>
          <w:szCs w:val="24"/>
          <w:highlight w:val="none"/>
          <w:lang w:eastAsia="zh-CN"/>
        </w:rPr>
      </w:pPr>
      <w:r>
        <w:rPr>
          <w:rFonts w:hint="eastAsia" w:ascii="宋体" w:hAnsi="宋体" w:eastAsia="宋体"/>
          <w:b w:val="0"/>
          <w:bCs/>
          <w:color w:val="auto"/>
          <w:spacing w:val="2"/>
          <w:position w:val="-1"/>
          <w:sz w:val="24"/>
          <w:szCs w:val="24"/>
          <w:highlight w:val="none"/>
          <w:lang w:eastAsia="zh-CN"/>
        </w:rPr>
        <w:t>企业获奖一览表</w:t>
      </w:r>
    </w:p>
    <w:p w14:paraId="59AD2440">
      <w:pPr>
        <w:rPr>
          <w:rFonts w:ascii="宋体" w:hAnsi="宋体" w:eastAsia="宋体"/>
          <w:b w:val="0"/>
          <w:bCs/>
          <w:color w:val="auto"/>
          <w:spacing w:val="2"/>
          <w:position w:val="-1"/>
          <w:sz w:val="32"/>
          <w:szCs w:val="32"/>
          <w:highlight w:val="none"/>
          <w:lang w:eastAsia="zh-CN"/>
        </w:rPr>
      </w:pPr>
    </w:p>
    <w:tbl>
      <w:tblPr>
        <w:tblStyle w:val="26"/>
        <w:tblW w:w="918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410"/>
        <w:gridCol w:w="1276"/>
        <w:gridCol w:w="1842"/>
        <w:gridCol w:w="1418"/>
        <w:gridCol w:w="1530"/>
      </w:tblGrid>
      <w:tr w14:paraId="2CCC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19ED403D">
            <w:pPr>
              <w:pStyle w:val="69"/>
              <w:rPr>
                <w:rFonts w:ascii="宋体" w:hAnsi="宋体"/>
                <w:b w:val="0"/>
                <w:bCs/>
                <w:color w:val="auto"/>
                <w:sz w:val="21"/>
                <w:szCs w:val="21"/>
                <w:highlight w:val="none"/>
              </w:rPr>
            </w:pPr>
            <w:r>
              <w:rPr>
                <w:rFonts w:hint="eastAsia" w:ascii="宋体" w:hAnsi="宋体"/>
                <w:b w:val="0"/>
                <w:bCs/>
                <w:color w:val="auto"/>
                <w:sz w:val="21"/>
                <w:szCs w:val="21"/>
                <w:highlight w:val="none"/>
              </w:rPr>
              <w:t>序号</w:t>
            </w:r>
          </w:p>
        </w:tc>
        <w:tc>
          <w:tcPr>
            <w:tcW w:w="2410" w:type="dxa"/>
            <w:vAlign w:val="center"/>
          </w:tcPr>
          <w:p w14:paraId="1D3E2209">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奖项级别</w:t>
            </w:r>
          </w:p>
        </w:tc>
        <w:tc>
          <w:tcPr>
            <w:tcW w:w="1276" w:type="dxa"/>
            <w:vAlign w:val="center"/>
          </w:tcPr>
          <w:p w14:paraId="1541E222">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奖项名称</w:t>
            </w:r>
          </w:p>
        </w:tc>
        <w:tc>
          <w:tcPr>
            <w:tcW w:w="1842" w:type="dxa"/>
            <w:vAlign w:val="center"/>
          </w:tcPr>
          <w:p w14:paraId="3640F6A9">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获奖项目名称</w:t>
            </w:r>
          </w:p>
        </w:tc>
        <w:tc>
          <w:tcPr>
            <w:tcW w:w="1418" w:type="dxa"/>
            <w:vAlign w:val="center"/>
          </w:tcPr>
          <w:p w14:paraId="17B8F91E">
            <w:pPr>
              <w:pStyle w:val="69"/>
              <w:ind w:firstLine="102" w:firstLineChars="49"/>
              <w:jc w:val="center"/>
              <w:rPr>
                <w:rFonts w:ascii="宋体" w:hAnsi="宋体"/>
                <w:b w:val="0"/>
                <w:bCs/>
                <w:color w:val="auto"/>
                <w:sz w:val="21"/>
                <w:szCs w:val="21"/>
                <w:highlight w:val="none"/>
              </w:rPr>
            </w:pPr>
            <w:r>
              <w:rPr>
                <w:rFonts w:hint="eastAsia" w:ascii="宋体" w:hAnsi="宋体"/>
                <w:b w:val="0"/>
                <w:bCs/>
                <w:color w:val="auto"/>
                <w:sz w:val="21"/>
                <w:szCs w:val="21"/>
                <w:highlight w:val="none"/>
              </w:rPr>
              <w:t>获奖时间</w:t>
            </w:r>
          </w:p>
        </w:tc>
        <w:tc>
          <w:tcPr>
            <w:tcW w:w="1530" w:type="dxa"/>
            <w:vAlign w:val="center"/>
          </w:tcPr>
          <w:p w14:paraId="443F535D">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授奖机构</w:t>
            </w:r>
          </w:p>
        </w:tc>
      </w:tr>
      <w:tr w14:paraId="230B6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24841331">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1</w:t>
            </w:r>
          </w:p>
        </w:tc>
        <w:tc>
          <w:tcPr>
            <w:tcW w:w="2410" w:type="dxa"/>
            <w:vAlign w:val="center"/>
          </w:tcPr>
          <w:p w14:paraId="759238C5">
            <w:pPr>
              <w:pStyle w:val="69"/>
              <w:jc w:val="center"/>
              <w:rPr>
                <w:rFonts w:ascii="宋体" w:hAnsi="宋体"/>
                <w:b w:val="0"/>
                <w:bCs/>
                <w:color w:val="auto"/>
                <w:sz w:val="21"/>
                <w:szCs w:val="21"/>
                <w:highlight w:val="none"/>
              </w:rPr>
            </w:pPr>
          </w:p>
        </w:tc>
        <w:tc>
          <w:tcPr>
            <w:tcW w:w="1276" w:type="dxa"/>
            <w:vAlign w:val="center"/>
          </w:tcPr>
          <w:p w14:paraId="35D5CC91">
            <w:pPr>
              <w:pStyle w:val="69"/>
              <w:jc w:val="center"/>
              <w:rPr>
                <w:rFonts w:ascii="宋体" w:hAnsi="宋体"/>
                <w:b w:val="0"/>
                <w:bCs/>
                <w:color w:val="auto"/>
                <w:sz w:val="21"/>
                <w:szCs w:val="21"/>
                <w:highlight w:val="none"/>
              </w:rPr>
            </w:pPr>
          </w:p>
        </w:tc>
        <w:tc>
          <w:tcPr>
            <w:tcW w:w="1842" w:type="dxa"/>
            <w:vAlign w:val="center"/>
          </w:tcPr>
          <w:p w14:paraId="46C4A399">
            <w:pPr>
              <w:pStyle w:val="69"/>
              <w:jc w:val="center"/>
              <w:rPr>
                <w:rFonts w:ascii="宋体" w:hAnsi="宋体"/>
                <w:b w:val="0"/>
                <w:bCs/>
                <w:color w:val="auto"/>
                <w:sz w:val="21"/>
                <w:szCs w:val="21"/>
                <w:highlight w:val="none"/>
              </w:rPr>
            </w:pPr>
          </w:p>
        </w:tc>
        <w:tc>
          <w:tcPr>
            <w:tcW w:w="1418" w:type="dxa"/>
            <w:vAlign w:val="center"/>
          </w:tcPr>
          <w:p w14:paraId="27807781">
            <w:pPr>
              <w:pStyle w:val="69"/>
              <w:ind w:firstLine="102" w:firstLineChars="49"/>
              <w:jc w:val="center"/>
              <w:rPr>
                <w:rFonts w:ascii="宋体" w:hAnsi="宋体"/>
                <w:b w:val="0"/>
                <w:bCs/>
                <w:color w:val="auto"/>
                <w:sz w:val="21"/>
                <w:szCs w:val="21"/>
                <w:highlight w:val="none"/>
              </w:rPr>
            </w:pPr>
          </w:p>
        </w:tc>
        <w:tc>
          <w:tcPr>
            <w:tcW w:w="1530" w:type="dxa"/>
            <w:vAlign w:val="center"/>
          </w:tcPr>
          <w:p w14:paraId="6F70EAFE">
            <w:pPr>
              <w:pStyle w:val="69"/>
              <w:ind w:firstLine="482"/>
              <w:jc w:val="center"/>
              <w:rPr>
                <w:rFonts w:ascii="宋体" w:hAnsi="宋体"/>
                <w:b w:val="0"/>
                <w:bCs/>
                <w:color w:val="auto"/>
                <w:sz w:val="21"/>
                <w:szCs w:val="21"/>
                <w:highlight w:val="none"/>
              </w:rPr>
            </w:pPr>
          </w:p>
        </w:tc>
      </w:tr>
      <w:tr w14:paraId="0E1C2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2E7F196C">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2</w:t>
            </w:r>
          </w:p>
        </w:tc>
        <w:tc>
          <w:tcPr>
            <w:tcW w:w="2410" w:type="dxa"/>
            <w:vAlign w:val="center"/>
          </w:tcPr>
          <w:p w14:paraId="7840AEBE">
            <w:pPr>
              <w:pStyle w:val="69"/>
              <w:jc w:val="center"/>
              <w:rPr>
                <w:rFonts w:ascii="宋体" w:hAnsi="宋体"/>
                <w:b w:val="0"/>
                <w:bCs/>
                <w:color w:val="auto"/>
                <w:sz w:val="21"/>
                <w:szCs w:val="21"/>
                <w:highlight w:val="none"/>
              </w:rPr>
            </w:pPr>
          </w:p>
        </w:tc>
        <w:tc>
          <w:tcPr>
            <w:tcW w:w="1276" w:type="dxa"/>
            <w:vAlign w:val="center"/>
          </w:tcPr>
          <w:p w14:paraId="729E8760">
            <w:pPr>
              <w:pStyle w:val="69"/>
              <w:jc w:val="center"/>
              <w:rPr>
                <w:rFonts w:ascii="宋体" w:hAnsi="宋体"/>
                <w:b w:val="0"/>
                <w:bCs/>
                <w:color w:val="auto"/>
                <w:sz w:val="21"/>
                <w:szCs w:val="21"/>
                <w:highlight w:val="none"/>
              </w:rPr>
            </w:pPr>
          </w:p>
        </w:tc>
        <w:tc>
          <w:tcPr>
            <w:tcW w:w="1842" w:type="dxa"/>
            <w:vAlign w:val="center"/>
          </w:tcPr>
          <w:p w14:paraId="04F5FBD3">
            <w:pPr>
              <w:pStyle w:val="69"/>
              <w:jc w:val="center"/>
              <w:rPr>
                <w:rFonts w:ascii="宋体" w:hAnsi="宋体"/>
                <w:b w:val="0"/>
                <w:bCs/>
                <w:color w:val="auto"/>
                <w:sz w:val="21"/>
                <w:szCs w:val="21"/>
                <w:highlight w:val="none"/>
              </w:rPr>
            </w:pPr>
          </w:p>
        </w:tc>
        <w:tc>
          <w:tcPr>
            <w:tcW w:w="1418" w:type="dxa"/>
            <w:vAlign w:val="center"/>
          </w:tcPr>
          <w:p w14:paraId="4E4320D7">
            <w:pPr>
              <w:pStyle w:val="69"/>
              <w:ind w:firstLine="102" w:firstLineChars="49"/>
              <w:jc w:val="center"/>
              <w:rPr>
                <w:rFonts w:ascii="宋体" w:hAnsi="宋体"/>
                <w:b w:val="0"/>
                <w:bCs/>
                <w:color w:val="auto"/>
                <w:sz w:val="21"/>
                <w:szCs w:val="21"/>
                <w:highlight w:val="none"/>
              </w:rPr>
            </w:pPr>
          </w:p>
        </w:tc>
        <w:tc>
          <w:tcPr>
            <w:tcW w:w="1530" w:type="dxa"/>
            <w:vAlign w:val="center"/>
          </w:tcPr>
          <w:p w14:paraId="769DF973">
            <w:pPr>
              <w:pStyle w:val="69"/>
              <w:ind w:firstLine="482"/>
              <w:jc w:val="center"/>
              <w:rPr>
                <w:rFonts w:ascii="宋体" w:hAnsi="宋体"/>
                <w:b w:val="0"/>
                <w:bCs/>
                <w:color w:val="auto"/>
                <w:sz w:val="21"/>
                <w:szCs w:val="21"/>
                <w:highlight w:val="none"/>
              </w:rPr>
            </w:pPr>
          </w:p>
        </w:tc>
      </w:tr>
      <w:tr w14:paraId="3A80E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256671B1">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3</w:t>
            </w:r>
          </w:p>
        </w:tc>
        <w:tc>
          <w:tcPr>
            <w:tcW w:w="2410" w:type="dxa"/>
            <w:vAlign w:val="center"/>
          </w:tcPr>
          <w:p w14:paraId="00C53BB5">
            <w:pPr>
              <w:pStyle w:val="69"/>
              <w:jc w:val="center"/>
              <w:rPr>
                <w:rFonts w:ascii="宋体" w:hAnsi="宋体"/>
                <w:b w:val="0"/>
                <w:bCs/>
                <w:color w:val="auto"/>
                <w:sz w:val="21"/>
                <w:szCs w:val="21"/>
                <w:highlight w:val="none"/>
              </w:rPr>
            </w:pPr>
          </w:p>
        </w:tc>
        <w:tc>
          <w:tcPr>
            <w:tcW w:w="1276" w:type="dxa"/>
            <w:vAlign w:val="center"/>
          </w:tcPr>
          <w:p w14:paraId="7F8B3602">
            <w:pPr>
              <w:pStyle w:val="69"/>
              <w:jc w:val="center"/>
              <w:rPr>
                <w:rFonts w:ascii="宋体" w:hAnsi="宋体"/>
                <w:b w:val="0"/>
                <w:bCs/>
                <w:color w:val="auto"/>
                <w:sz w:val="21"/>
                <w:szCs w:val="21"/>
                <w:highlight w:val="none"/>
              </w:rPr>
            </w:pPr>
          </w:p>
        </w:tc>
        <w:tc>
          <w:tcPr>
            <w:tcW w:w="1842" w:type="dxa"/>
            <w:vAlign w:val="center"/>
          </w:tcPr>
          <w:p w14:paraId="75C5BF7B">
            <w:pPr>
              <w:pStyle w:val="69"/>
              <w:jc w:val="center"/>
              <w:rPr>
                <w:rFonts w:ascii="宋体" w:hAnsi="宋体"/>
                <w:b w:val="0"/>
                <w:bCs/>
                <w:color w:val="auto"/>
                <w:sz w:val="21"/>
                <w:szCs w:val="21"/>
                <w:highlight w:val="none"/>
              </w:rPr>
            </w:pPr>
          </w:p>
        </w:tc>
        <w:tc>
          <w:tcPr>
            <w:tcW w:w="1418" w:type="dxa"/>
            <w:vAlign w:val="center"/>
          </w:tcPr>
          <w:p w14:paraId="65DB82CF">
            <w:pPr>
              <w:pStyle w:val="69"/>
              <w:ind w:firstLine="102" w:firstLineChars="49"/>
              <w:jc w:val="center"/>
              <w:rPr>
                <w:rFonts w:ascii="宋体" w:hAnsi="宋体"/>
                <w:b w:val="0"/>
                <w:bCs/>
                <w:color w:val="auto"/>
                <w:sz w:val="21"/>
                <w:szCs w:val="21"/>
                <w:highlight w:val="none"/>
              </w:rPr>
            </w:pPr>
          </w:p>
        </w:tc>
        <w:tc>
          <w:tcPr>
            <w:tcW w:w="1530" w:type="dxa"/>
            <w:vAlign w:val="center"/>
          </w:tcPr>
          <w:p w14:paraId="72CEF285">
            <w:pPr>
              <w:pStyle w:val="69"/>
              <w:ind w:firstLine="482"/>
              <w:jc w:val="center"/>
              <w:rPr>
                <w:rFonts w:ascii="宋体" w:hAnsi="宋体"/>
                <w:b w:val="0"/>
                <w:bCs/>
                <w:color w:val="auto"/>
                <w:sz w:val="21"/>
                <w:szCs w:val="21"/>
                <w:highlight w:val="none"/>
              </w:rPr>
            </w:pPr>
          </w:p>
        </w:tc>
      </w:tr>
      <w:tr w14:paraId="7C4BF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1082F35A">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4</w:t>
            </w:r>
          </w:p>
        </w:tc>
        <w:tc>
          <w:tcPr>
            <w:tcW w:w="2410" w:type="dxa"/>
            <w:vAlign w:val="center"/>
          </w:tcPr>
          <w:p w14:paraId="6AFC3826">
            <w:pPr>
              <w:pStyle w:val="69"/>
              <w:jc w:val="center"/>
              <w:rPr>
                <w:rFonts w:ascii="宋体" w:hAnsi="宋体"/>
                <w:b w:val="0"/>
                <w:bCs/>
                <w:color w:val="auto"/>
                <w:sz w:val="21"/>
                <w:szCs w:val="21"/>
                <w:highlight w:val="none"/>
              </w:rPr>
            </w:pPr>
          </w:p>
        </w:tc>
        <w:tc>
          <w:tcPr>
            <w:tcW w:w="1276" w:type="dxa"/>
            <w:vAlign w:val="center"/>
          </w:tcPr>
          <w:p w14:paraId="278D8DE0">
            <w:pPr>
              <w:pStyle w:val="69"/>
              <w:jc w:val="center"/>
              <w:rPr>
                <w:rFonts w:ascii="宋体" w:hAnsi="宋体"/>
                <w:b w:val="0"/>
                <w:bCs/>
                <w:color w:val="auto"/>
                <w:sz w:val="21"/>
                <w:szCs w:val="21"/>
                <w:highlight w:val="none"/>
              </w:rPr>
            </w:pPr>
          </w:p>
        </w:tc>
        <w:tc>
          <w:tcPr>
            <w:tcW w:w="1842" w:type="dxa"/>
            <w:vAlign w:val="center"/>
          </w:tcPr>
          <w:p w14:paraId="3946354D">
            <w:pPr>
              <w:pStyle w:val="69"/>
              <w:jc w:val="center"/>
              <w:rPr>
                <w:rFonts w:ascii="宋体" w:hAnsi="宋体"/>
                <w:b w:val="0"/>
                <w:bCs/>
                <w:color w:val="auto"/>
                <w:sz w:val="21"/>
                <w:szCs w:val="21"/>
                <w:highlight w:val="none"/>
              </w:rPr>
            </w:pPr>
          </w:p>
        </w:tc>
        <w:tc>
          <w:tcPr>
            <w:tcW w:w="1418" w:type="dxa"/>
            <w:vAlign w:val="center"/>
          </w:tcPr>
          <w:p w14:paraId="49A96653">
            <w:pPr>
              <w:pStyle w:val="69"/>
              <w:ind w:firstLine="102" w:firstLineChars="49"/>
              <w:jc w:val="center"/>
              <w:rPr>
                <w:rFonts w:ascii="宋体" w:hAnsi="宋体"/>
                <w:b w:val="0"/>
                <w:bCs/>
                <w:color w:val="auto"/>
                <w:sz w:val="21"/>
                <w:szCs w:val="21"/>
                <w:highlight w:val="none"/>
              </w:rPr>
            </w:pPr>
          </w:p>
        </w:tc>
        <w:tc>
          <w:tcPr>
            <w:tcW w:w="1530" w:type="dxa"/>
            <w:vAlign w:val="center"/>
          </w:tcPr>
          <w:p w14:paraId="7327BE13">
            <w:pPr>
              <w:pStyle w:val="69"/>
              <w:ind w:firstLine="482"/>
              <w:jc w:val="center"/>
              <w:rPr>
                <w:rFonts w:ascii="宋体" w:hAnsi="宋体"/>
                <w:b w:val="0"/>
                <w:bCs/>
                <w:color w:val="auto"/>
                <w:sz w:val="21"/>
                <w:szCs w:val="21"/>
                <w:highlight w:val="none"/>
              </w:rPr>
            </w:pPr>
          </w:p>
        </w:tc>
      </w:tr>
      <w:tr w14:paraId="2B992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2B93F23D">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5</w:t>
            </w:r>
          </w:p>
        </w:tc>
        <w:tc>
          <w:tcPr>
            <w:tcW w:w="2410" w:type="dxa"/>
            <w:vAlign w:val="center"/>
          </w:tcPr>
          <w:p w14:paraId="6D5B9FDE">
            <w:pPr>
              <w:pStyle w:val="69"/>
              <w:jc w:val="center"/>
              <w:rPr>
                <w:rFonts w:ascii="宋体" w:hAnsi="宋体"/>
                <w:b w:val="0"/>
                <w:bCs/>
                <w:color w:val="auto"/>
                <w:sz w:val="21"/>
                <w:szCs w:val="21"/>
                <w:highlight w:val="none"/>
              </w:rPr>
            </w:pPr>
          </w:p>
        </w:tc>
        <w:tc>
          <w:tcPr>
            <w:tcW w:w="1276" w:type="dxa"/>
            <w:vAlign w:val="center"/>
          </w:tcPr>
          <w:p w14:paraId="57796966">
            <w:pPr>
              <w:pStyle w:val="69"/>
              <w:jc w:val="center"/>
              <w:rPr>
                <w:rFonts w:ascii="宋体" w:hAnsi="宋体"/>
                <w:b w:val="0"/>
                <w:bCs/>
                <w:color w:val="auto"/>
                <w:sz w:val="21"/>
                <w:szCs w:val="21"/>
                <w:highlight w:val="none"/>
              </w:rPr>
            </w:pPr>
          </w:p>
        </w:tc>
        <w:tc>
          <w:tcPr>
            <w:tcW w:w="1842" w:type="dxa"/>
            <w:vAlign w:val="center"/>
          </w:tcPr>
          <w:p w14:paraId="4DCD3B7A">
            <w:pPr>
              <w:pStyle w:val="69"/>
              <w:jc w:val="center"/>
              <w:rPr>
                <w:rFonts w:ascii="宋体" w:hAnsi="宋体"/>
                <w:b w:val="0"/>
                <w:bCs/>
                <w:color w:val="auto"/>
                <w:sz w:val="21"/>
                <w:szCs w:val="21"/>
                <w:highlight w:val="none"/>
              </w:rPr>
            </w:pPr>
          </w:p>
        </w:tc>
        <w:tc>
          <w:tcPr>
            <w:tcW w:w="1418" w:type="dxa"/>
            <w:vAlign w:val="center"/>
          </w:tcPr>
          <w:p w14:paraId="17DB42C5">
            <w:pPr>
              <w:pStyle w:val="69"/>
              <w:ind w:firstLine="102" w:firstLineChars="49"/>
              <w:jc w:val="center"/>
              <w:rPr>
                <w:rFonts w:ascii="宋体" w:hAnsi="宋体"/>
                <w:b w:val="0"/>
                <w:bCs/>
                <w:color w:val="auto"/>
                <w:sz w:val="21"/>
                <w:szCs w:val="21"/>
                <w:highlight w:val="none"/>
              </w:rPr>
            </w:pPr>
          </w:p>
        </w:tc>
        <w:tc>
          <w:tcPr>
            <w:tcW w:w="1530" w:type="dxa"/>
            <w:vAlign w:val="center"/>
          </w:tcPr>
          <w:p w14:paraId="05D4B3D9">
            <w:pPr>
              <w:pStyle w:val="69"/>
              <w:ind w:firstLine="482"/>
              <w:jc w:val="center"/>
              <w:rPr>
                <w:rFonts w:ascii="宋体" w:hAnsi="宋体"/>
                <w:b w:val="0"/>
                <w:bCs/>
                <w:color w:val="auto"/>
                <w:sz w:val="21"/>
                <w:szCs w:val="21"/>
                <w:highlight w:val="none"/>
              </w:rPr>
            </w:pPr>
          </w:p>
        </w:tc>
      </w:tr>
      <w:tr w14:paraId="7F4B8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19DB4DAE">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6</w:t>
            </w:r>
          </w:p>
        </w:tc>
        <w:tc>
          <w:tcPr>
            <w:tcW w:w="2410" w:type="dxa"/>
            <w:vAlign w:val="center"/>
          </w:tcPr>
          <w:p w14:paraId="1273EC8A">
            <w:pPr>
              <w:pStyle w:val="69"/>
              <w:jc w:val="center"/>
              <w:rPr>
                <w:rFonts w:ascii="宋体" w:hAnsi="宋体"/>
                <w:b w:val="0"/>
                <w:bCs/>
                <w:color w:val="auto"/>
                <w:sz w:val="21"/>
                <w:szCs w:val="21"/>
                <w:highlight w:val="none"/>
              </w:rPr>
            </w:pPr>
          </w:p>
        </w:tc>
        <w:tc>
          <w:tcPr>
            <w:tcW w:w="1276" w:type="dxa"/>
            <w:vAlign w:val="center"/>
          </w:tcPr>
          <w:p w14:paraId="6B59473C">
            <w:pPr>
              <w:pStyle w:val="69"/>
              <w:jc w:val="center"/>
              <w:rPr>
                <w:rFonts w:ascii="宋体" w:hAnsi="宋体"/>
                <w:b w:val="0"/>
                <w:bCs/>
                <w:color w:val="auto"/>
                <w:sz w:val="21"/>
                <w:szCs w:val="21"/>
                <w:highlight w:val="none"/>
              </w:rPr>
            </w:pPr>
          </w:p>
        </w:tc>
        <w:tc>
          <w:tcPr>
            <w:tcW w:w="1842" w:type="dxa"/>
            <w:vAlign w:val="center"/>
          </w:tcPr>
          <w:p w14:paraId="4D7E425A">
            <w:pPr>
              <w:pStyle w:val="69"/>
              <w:jc w:val="center"/>
              <w:rPr>
                <w:rFonts w:ascii="宋体" w:hAnsi="宋体"/>
                <w:b w:val="0"/>
                <w:bCs/>
                <w:color w:val="auto"/>
                <w:sz w:val="21"/>
                <w:szCs w:val="21"/>
                <w:highlight w:val="none"/>
              </w:rPr>
            </w:pPr>
          </w:p>
        </w:tc>
        <w:tc>
          <w:tcPr>
            <w:tcW w:w="1418" w:type="dxa"/>
            <w:vAlign w:val="center"/>
          </w:tcPr>
          <w:p w14:paraId="4E42778A">
            <w:pPr>
              <w:pStyle w:val="69"/>
              <w:ind w:firstLine="102" w:firstLineChars="49"/>
              <w:jc w:val="center"/>
              <w:rPr>
                <w:rFonts w:ascii="宋体" w:hAnsi="宋体"/>
                <w:b w:val="0"/>
                <w:bCs/>
                <w:color w:val="auto"/>
                <w:sz w:val="21"/>
                <w:szCs w:val="21"/>
                <w:highlight w:val="none"/>
              </w:rPr>
            </w:pPr>
          </w:p>
        </w:tc>
        <w:tc>
          <w:tcPr>
            <w:tcW w:w="1530" w:type="dxa"/>
            <w:vAlign w:val="center"/>
          </w:tcPr>
          <w:p w14:paraId="14D1E93F">
            <w:pPr>
              <w:pStyle w:val="69"/>
              <w:ind w:firstLine="482"/>
              <w:jc w:val="center"/>
              <w:rPr>
                <w:rFonts w:ascii="宋体" w:hAnsi="宋体"/>
                <w:b w:val="0"/>
                <w:bCs/>
                <w:color w:val="auto"/>
                <w:sz w:val="21"/>
                <w:szCs w:val="21"/>
                <w:highlight w:val="none"/>
              </w:rPr>
            </w:pPr>
          </w:p>
        </w:tc>
      </w:tr>
      <w:tr w14:paraId="7BDF7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7352E86E">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7</w:t>
            </w:r>
          </w:p>
        </w:tc>
        <w:tc>
          <w:tcPr>
            <w:tcW w:w="2410" w:type="dxa"/>
            <w:vAlign w:val="center"/>
          </w:tcPr>
          <w:p w14:paraId="1C65481B">
            <w:pPr>
              <w:pStyle w:val="69"/>
              <w:jc w:val="center"/>
              <w:rPr>
                <w:rFonts w:ascii="宋体" w:hAnsi="宋体"/>
                <w:b w:val="0"/>
                <w:bCs/>
                <w:color w:val="auto"/>
                <w:sz w:val="21"/>
                <w:szCs w:val="21"/>
                <w:highlight w:val="none"/>
              </w:rPr>
            </w:pPr>
          </w:p>
        </w:tc>
        <w:tc>
          <w:tcPr>
            <w:tcW w:w="1276" w:type="dxa"/>
            <w:vAlign w:val="center"/>
          </w:tcPr>
          <w:p w14:paraId="4BF61FCE">
            <w:pPr>
              <w:pStyle w:val="69"/>
              <w:jc w:val="center"/>
              <w:rPr>
                <w:rFonts w:ascii="宋体" w:hAnsi="宋体"/>
                <w:b w:val="0"/>
                <w:bCs/>
                <w:color w:val="auto"/>
                <w:sz w:val="21"/>
                <w:szCs w:val="21"/>
                <w:highlight w:val="none"/>
              </w:rPr>
            </w:pPr>
          </w:p>
        </w:tc>
        <w:tc>
          <w:tcPr>
            <w:tcW w:w="1842" w:type="dxa"/>
            <w:vAlign w:val="center"/>
          </w:tcPr>
          <w:p w14:paraId="385F0E4C">
            <w:pPr>
              <w:pStyle w:val="69"/>
              <w:jc w:val="center"/>
              <w:rPr>
                <w:rFonts w:ascii="宋体" w:hAnsi="宋体"/>
                <w:b w:val="0"/>
                <w:bCs/>
                <w:color w:val="auto"/>
                <w:sz w:val="21"/>
                <w:szCs w:val="21"/>
                <w:highlight w:val="none"/>
              </w:rPr>
            </w:pPr>
          </w:p>
        </w:tc>
        <w:tc>
          <w:tcPr>
            <w:tcW w:w="1418" w:type="dxa"/>
            <w:vAlign w:val="center"/>
          </w:tcPr>
          <w:p w14:paraId="1F0BA8D1">
            <w:pPr>
              <w:pStyle w:val="69"/>
              <w:ind w:firstLine="102" w:firstLineChars="49"/>
              <w:jc w:val="center"/>
              <w:rPr>
                <w:rFonts w:ascii="宋体" w:hAnsi="宋体"/>
                <w:b w:val="0"/>
                <w:bCs/>
                <w:color w:val="auto"/>
                <w:sz w:val="21"/>
                <w:szCs w:val="21"/>
                <w:highlight w:val="none"/>
              </w:rPr>
            </w:pPr>
          </w:p>
        </w:tc>
        <w:tc>
          <w:tcPr>
            <w:tcW w:w="1530" w:type="dxa"/>
            <w:vAlign w:val="center"/>
          </w:tcPr>
          <w:p w14:paraId="11866037">
            <w:pPr>
              <w:pStyle w:val="69"/>
              <w:ind w:firstLine="482"/>
              <w:jc w:val="center"/>
              <w:rPr>
                <w:rFonts w:ascii="宋体" w:hAnsi="宋体"/>
                <w:b w:val="0"/>
                <w:bCs/>
                <w:color w:val="auto"/>
                <w:sz w:val="21"/>
                <w:szCs w:val="21"/>
                <w:highlight w:val="none"/>
              </w:rPr>
            </w:pPr>
          </w:p>
        </w:tc>
      </w:tr>
      <w:tr w14:paraId="491DF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83B713A">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8</w:t>
            </w:r>
          </w:p>
        </w:tc>
        <w:tc>
          <w:tcPr>
            <w:tcW w:w="2410" w:type="dxa"/>
            <w:vAlign w:val="center"/>
          </w:tcPr>
          <w:p w14:paraId="45B184C6">
            <w:pPr>
              <w:pStyle w:val="69"/>
              <w:jc w:val="center"/>
              <w:rPr>
                <w:rFonts w:ascii="宋体" w:hAnsi="宋体"/>
                <w:b w:val="0"/>
                <w:bCs/>
                <w:color w:val="auto"/>
                <w:sz w:val="21"/>
                <w:szCs w:val="21"/>
                <w:highlight w:val="none"/>
              </w:rPr>
            </w:pPr>
          </w:p>
        </w:tc>
        <w:tc>
          <w:tcPr>
            <w:tcW w:w="1276" w:type="dxa"/>
            <w:vAlign w:val="center"/>
          </w:tcPr>
          <w:p w14:paraId="34C7DADC">
            <w:pPr>
              <w:pStyle w:val="69"/>
              <w:jc w:val="center"/>
              <w:rPr>
                <w:rFonts w:ascii="宋体" w:hAnsi="宋体"/>
                <w:b w:val="0"/>
                <w:bCs/>
                <w:color w:val="auto"/>
                <w:sz w:val="21"/>
                <w:szCs w:val="21"/>
                <w:highlight w:val="none"/>
              </w:rPr>
            </w:pPr>
          </w:p>
        </w:tc>
        <w:tc>
          <w:tcPr>
            <w:tcW w:w="1842" w:type="dxa"/>
            <w:vAlign w:val="center"/>
          </w:tcPr>
          <w:p w14:paraId="004E01B1">
            <w:pPr>
              <w:pStyle w:val="69"/>
              <w:jc w:val="center"/>
              <w:rPr>
                <w:rFonts w:ascii="宋体" w:hAnsi="宋体"/>
                <w:b w:val="0"/>
                <w:bCs/>
                <w:color w:val="auto"/>
                <w:sz w:val="21"/>
                <w:szCs w:val="21"/>
                <w:highlight w:val="none"/>
              </w:rPr>
            </w:pPr>
          </w:p>
        </w:tc>
        <w:tc>
          <w:tcPr>
            <w:tcW w:w="1418" w:type="dxa"/>
            <w:vAlign w:val="center"/>
          </w:tcPr>
          <w:p w14:paraId="75274B37">
            <w:pPr>
              <w:pStyle w:val="69"/>
              <w:ind w:firstLine="102" w:firstLineChars="49"/>
              <w:jc w:val="center"/>
              <w:rPr>
                <w:rFonts w:ascii="宋体" w:hAnsi="宋体"/>
                <w:b w:val="0"/>
                <w:bCs/>
                <w:color w:val="auto"/>
                <w:sz w:val="21"/>
                <w:szCs w:val="21"/>
                <w:highlight w:val="none"/>
              </w:rPr>
            </w:pPr>
          </w:p>
        </w:tc>
        <w:tc>
          <w:tcPr>
            <w:tcW w:w="1530" w:type="dxa"/>
            <w:vAlign w:val="center"/>
          </w:tcPr>
          <w:p w14:paraId="03BB93E7">
            <w:pPr>
              <w:pStyle w:val="69"/>
              <w:ind w:firstLine="482"/>
              <w:jc w:val="center"/>
              <w:rPr>
                <w:rFonts w:ascii="宋体" w:hAnsi="宋体"/>
                <w:b w:val="0"/>
                <w:bCs/>
                <w:color w:val="auto"/>
                <w:sz w:val="21"/>
                <w:szCs w:val="21"/>
                <w:highlight w:val="none"/>
              </w:rPr>
            </w:pPr>
          </w:p>
        </w:tc>
      </w:tr>
      <w:tr w14:paraId="22BC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8DF817E">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9</w:t>
            </w:r>
          </w:p>
        </w:tc>
        <w:tc>
          <w:tcPr>
            <w:tcW w:w="2410" w:type="dxa"/>
            <w:vAlign w:val="center"/>
          </w:tcPr>
          <w:p w14:paraId="49AC8691">
            <w:pPr>
              <w:pStyle w:val="69"/>
              <w:jc w:val="center"/>
              <w:rPr>
                <w:rFonts w:ascii="宋体" w:hAnsi="宋体"/>
                <w:b w:val="0"/>
                <w:bCs/>
                <w:color w:val="auto"/>
                <w:sz w:val="21"/>
                <w:szCs w:val="21"/>
                <w:highlight w:val="none"/>
              </w:rPr>
            </w:pPr>
          </w:p>
        </w:tc>
        <w:tc>
          <w:tcPr>
            <w:tcW w:w="1276" w:type="dxa"/>
            <w:vAlign w:val="center"/>
          </w:tcPr>
          <w:p w14:paraId="77CEBB37">
            <w:pPr>
              <w:pStyle w:val="69"/>
              <w:jc w:val="center"/>
              <w:rPr>
                <w:rFonts w:ascii="宋体" w:hAnsi="宋体"/>
                <w:b w:val="0"/>
                <w:bCs/>
                <w:color w:val="auto"/>
                <w:sz w:val="21"/>
                <w:szCs w:val="21"/>
                <w:highlight w:val="none"/>
              </w:rPr>
            </w:pPr>
          </w:p>
        </w:tc>
        <w:tc>
          <w:tcPr>
            <w:tcW w:w="1842" w:type="dxa"/>
            <w:vAlign w:val="center"/>
          </w:tcPr>
          <w:p w14:paraId="6B4C8256">
            <w:pPr>
              <w:pStyle w:val="69"/>
              <w:jc w:val="center"/>
              <w:rPr>
                <w:rFonts w:ascii="宋体" w:hAnsi="宋体"/>
                <w:b w:val="0"/>
                <w:bCs/>
                <w:color w:val="auto"/>
                <w:sz w:val="21"/>
                <w:szCs w:val="21"/>
                <w:highlight w:val="none"/>
              </w:rPr>
            </w:pPr>
          </w:p>
        </w:tc>
        <w:tc>
          <w:tcPr>
            <w:tcW w:w="1418" w:type="dxa"/>
            <w:vAlign w:val="center"/>
          </w:tcPr>
          <w:p w14:paraId="578FBD21">
            <w:pPr>
              <w:pStyle w:val="69"/>
              <w:ind w:firstLine="102" w:firstLineChars="49"/>
              <w:jc w:val="center"/>
              <w:rPr>
                <w:rFonts w:ascii="宋体" w:hAnsi="宋体"/>
                <w:b w:val="0"/>
                <w:bCs/>
                <w:color w:val="auto"/>
                <w:sz w:val="21"/>
                <w:szCs w:val="21"/>
                <w:highlight w:val="none"/>
              </w:rPr>
            </w:pPr>
          </w:p>
        </w:tc>
        <w:tc>
          <w:tcPr>
            <w:tcW w:w="1530" w:type="dxa"/>
            <w:vAlign w:val="center"/>
          </w:tcPr>
          <w:p w14:paraId="43659C56">
            <w:pPr>
              <w:pStyle w:val="69"/>
              <w:ind w:firstLine="482"/>
              <w:jc w:val="center"/>
              <w:rPr>
                <w:rFonts w:ascii="宋体" w:hAnsi="宋体"/>
                <w:b w:val="0"/>
                <w:bCs/>
                <w:color w:val="auto"/>
                <w:sz w:val="21"/>
                <w:szCs w:val="21"/>
                <w:highlight w:val="none"/>
              </w:rPr>
            </w:pPr>
          </w:p>
        </w:tc>
      </w:tr>
      <w:tr w14:paraId="701C8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7B64A2A">
            <w:pPr>
              <w:pStyle w:val="69"/>
              <w:jc w:val="center"/>
              <w:rPr>
                <w:rFonts w:ascii="宋体" w:hAnsi="宋体"/>
                <w:b w:val="0"/>
                <w:bCs/>
                <w:color w:val="auto"/>
                <w:sz w:val="21"/>
                <w:szCs w:val="21"/>
                <w:highlight w:val="none"/>
              </w:rPr>
            </w:pPr>
            <w:r>
              <w:rPr>
                <w:rFonts w:hint="eastAsia" w:ascii="宋体" w:hAnsi="宋体"/>
                <w:b w:val="0"/>
                <w:bCs/>
                <w:color w:val="auto"/>
                <w:sz w:val="21"/>
                <w:szCs w:val="21"/>
                <w:highlight w:val="none"/>
              </w:rPr>
              <w:t>1</w:t>
            </w:r>
            <w:r>
              <w:rPr>
                <w:rFonts w:ascii="宋体" w:hAnsi="宋体"/>
                <w:b w:val="0"/>
                <w:bCs/>
                <w:color w:val="auto"/>
                <w:sz w:val="21"/>
                <w:szCs w:val="21"/>
                <w:highlight w:val="none"/>
              </w:rPr>
              <w:t>0</w:t>
            </w:r>
          </w:p>
        </w:tc>
        <w:tc>
          <w:tcPr>
            <w:tcW w:w="2410" w:type="dxa"/>
            <w:vAlign w:val="center"/>
          </w:tcPr>
          <w:p w14:paraId="05578A54">
            <w:pPr>
              <w:pStyle w:val="69"/>
              <w:jc w:val="center"/>
              <w:rPr>
                <w:rFonts w:ascii="宋体" w:hAnsi="宋体"/>
                <w:b w:val="0"/>
                <w:bCs/>
                <w:color w:val="auto"/>
                <w:sz w:val="21"/>
                <w:szCs w:val="21"/>
                <w:highlight w:val="none"/>
              </w:rPr>
            </w:pPr>
          </w:p>
        </w:tc>
        <w:tc>
          <w:tcPr>
            <w:tcW w:w="1276" w:type="dxa"/>
            <w:vAlign w:val="center"/>
          </w:tcPr>
          <w:p w14:paraId="536B23D6">
            <w:pPr>
              <w:pStyle w:val="69"/>
              <w:jc w:val="center"/>
              <w:rPr>
                <w:rFonts w:ascii="宋体" w:hAnsi="宋体"/>
                <w:b w:val="0"/>
                <w:bCs/>
                <w:color w:val="auto"/>
                <w:sz w:val="21"/>
                <w:szCs w:val="21"/>
                <w:highlight w:val="none"/>
              </w:rPr>
            </w:pPr>
          </w:p>
        </w:tc>
        <w:tc>
          <w:tcPr>
            <w:tcW w:w="1842" w:type="dxa"/>
            <w:vAlign w:val="center"/>
          </w:tcPr>
          <w:p w14:paraId="4F16B33C">
            <w:pPr>
              <w:pStyle w:val="69"/>
              <w:jc w:val="center"/>
              <w:rPr>
                <w:rFonts w:ascii="宋体" w:hAnsi="宋体"/>
                <w:b w:val="0"/>
                <w:bCs/>
                <w:color w:val="auto"/>
                <w:sz w:val="21"/>
                <w:szCs w:val="21"/>
                <w:highlight w:val="none"/>
              </w:rPr>
            </w:pPr>
          </w:p>
        </w:tc>
        <w:tc>
          <w:tcPr>
            <w:tcW w:w="1418" w:type="dxa"/>
            <w:vAlign w:val="center"/>
          </w:tcPr>
          <w:p w14:paraId="79BF8736">
            <w:pPr>
              <w:pStyle w:val="69"/>
              <w:ind w:firstLine="102" w:firstLineChars="49"/>
              <w:jc w:val="center"/>
              <w:rPr>
                <w:rFonts w:ascii="宋体" w:hAnsi="宋体"/>
                <w:b w:val="0"/>
                <w:bCs/>
                <w:color w:val="auto"/>
                <w:sz w:val="21"/>
                <w:szCs w:val="21"/>
                <w:highlight w:val="none"/>
              </w:rPr>
            </w:pPr>
          </w:p>
        </w:tc>
        <w:tc>
          <w:tcPr>
            <w:tcW w:w="1530" w:type="dxa"/>
            <w:vAlign w:val="center"/>
          </w:tcPr>
          <w:p w14:paraId="570572A0">
            <w:pPr>
              <w:pStyle w:val="69"/>
              <w:ind w:firstLine="482"/>
              <w:jc w:val="center"/>
              <w:rPr>
                <w:rFonts w:ascii="宋体" w:hAnsi="宋体"/>
                <w:b w:val="0"/>
                <w:bCs/>
                <w:color w:val="auto"/>
                <w:sz w:val="21"/>
                <w:szCs w:val="21"/>
                <w:highlight w:val="none"/>
              </w:rPr>
            </w:pPr>
          </w:p>
        </w:tc>
      </w:tr>
    </w:tbl>
    <w:p w14:paraId="52645F04">
      <w:pPr>
        <w:rPr>
          <w:b w:val="0"/>
          <w:bCs/>
          <w:color w:val="auto"/>
          <w:highlight w:val="none"/>
          <w:lang w:eastAsia="zh-CN"/>
        </w:rPr>
      </w:pPr>
      <w:r>
        <w:rPr>
          <w:rFonts w:hint="eastAsia"/>
          <w:b w:val="0"/>
          <w:bCs/>
          <w:color w:val="auto"/>
          <w:sz w:val="21"/>
          <w:szCs w:val="21"/>
          <w:highlight w:val="none"/>
          <w:lang w:eastAsia="zh-CN"/>
        </w:rPr>
        <w:t>注：</w:t>
      </w:r>
      <w:r>
        <w:rPr>
          <w:rFonts w:hint="eastAsia"/>
          <w:b w:val="0"/>
          <w:bCs/>
          <w:color w:val="auto"/>
          <w:sz w:val="21"/>
          <w:szCs w:val="21"/>
          <w:highlight w:val="none"/>
          <w:lang w:val="en-US" w:eastAsia="zh-CN"/>
        </w:rPr>
        <w:t>投标人应</w:t>
      </w:r>
      <w:r>
        <w:rPr>
          <w:rFonts w:hint="eastAsia"/>
          <w:b w:val="0"/>
          <w:bCs/>
          <w:color w:val="auto"/>
          <w:sz w:val="21"/>
          <w:szCs w:val="21"/>
          <w:highlight w:val="none"/>
          <w:lang w:eastAsia="zh-CN"/>
        </w:rPr>
        <w:t>根据</w:t>
      </w:r>
      <w:r>
        <w:rPr>
          <w:rFonts w:hint="eastAsia"/>
          <w:b w:val="0"/>
          <w:bCs/>
          <w:color w:val="auto"/>
          <w:sz w:val="21"/>
          <w:szCs w:val="21"/>
          <w:highlight w:val="none"/>
          <w:lang w:val="en-US" w:eastAsia="zh-CN"/>
        </w:rPr>
        <w:t>评审</w:t>
      </w:r>
      <w:r>
        <w:rPr>
          <w:rFonts w:hint="eastAsia"/>
          <w:b w:val="0"/>
          <w:bCs/>
          <w:color w:val="auto"/>
          <w:sz w:val="21"/>
          <w:szCs w:val="21"/>
          <w:highlight w:val="none"/>
          <w:lang w:eastAsia="zh-CN"/>
        </w:rPr>
        <w:t>要求提供相应证明材料。</w:t>
      </w:r>
    </w:p>
    <w:p w14:paraId="6E7B8687">
      <w:pPr>
        <w:rPr>
          <w:rFonts w:hint="eastAsia" w:ascii="宋体" w:hAnsi="宋体"/>
          <w:b w:val="0"/>
          <w:bCs/>
          <w:color w:val="auto"/>
          <w:spacing w:val="2"/>
          <w:position w:val="-1"/>
          <w:sz w:val="32"/>
          <w:szCs w:val="32"/>
          <w:highlight w:val="none"/>
        </w:rPr>
      </w:pPr>
      <w:r>
        <w:rPr>
          <w:rFonts w:hint="eastAsia" w:ascii="宋体" w:hAnsi="宋体"/>
          <w:b w:val="0"/>
          <w:bCs/>
          <w:color w:val="auto"/>
          <w:spacing w:val="2"/>
          <w:position w:val="-1"/>
          <w:sz w:val="32"/>
          <w:szCs w:val="32"/>
          <w:highlight w:val="none"/>
        </w:rPr>
        <w:br w:type="page"/>
      </w:r>
    </w:p>
    <w:p w14:paraId="2A0CAA7D">
      <w:pPr>
        <w:autoSpaceDE w:val="0"/>
        <w:autoSpaceDN w:val="0"/>
        <w:adjustRightInd w:val="0"/>
        <w:spacing w:line="466" w:lineRule="exact"/>
        <w:ind w:right="-20"/>
        <w:outlineLvl w:val="0"/>
        <w:rPr>
          <w:rFonts w:ascii="宋体" w:hAnsi="宋体"/>
          <w:color w:val="auto"/>
          <w:spacing w:val="2"/>
          <w:position w:val="-1"/>
          <w:sz w:val="24"/>
          <w:szCs w:val="24"/>
          <w:highlight w:val="none"/>
        </w:rPr>
      </w:pPr>
      <w:bookmarkStart w:id="341" w:name="_Toc3534"/>
      <w:bookmarkStart w:id="342" w:name="_Toc11940"/>
      <w:r>
        <w:rPr>
          <w:rFonts w:hint="eastAsia" w:ascii="宋体" w:hAnsi="宋体"/>
          <w:color w:val="auto"/>
          <w:spacing w:val="2"/>
          <w:position w:val="-1"/>
          <w:sz w:val="24"/>
          <w:szCs w:val="24"/>
          <w:highlight w:val="none"/>
        </w:rPr>
        <w:t>格式</w:t>
      </w:r>
      <w:r>
        <w:rPr>
          <w:rFonts w:hint="eastAsia" w:ascii="宋体" w:hAnsi="宋体"/>
          <w:color w:val="auto"/>
          <w:spacing w:val="2"/>
          <w:position w:val="-1"/>
          <w:sz w:val="24"/>
          <w:szCs w:val="24"/>
          <w:highlight w:val="none"/>
          <w:lang w:val="en-US" w:eastAsia="zh-CN"/>
        </w:rPr>
        <w:t>九</w:t>
      </w:r>
      <w:r>
        <w:rPr>
          <w:rFonts w:hint="eastAsia" w:ascii="宋体" w:hAnsi="宋体"/>
          <w:color w:val="auto"/>
          <w:spacing w:val="2"/>
          <w:position w:val="-1"/>
          <w:sz w:val="24"/>
          <w:szCs w:val="24"/>
          <w:highlight w:val="none"/>
        </w:rPr>
        <w:t>：其他资料</w:t>
      </w:r>
      <w:bookmarkEnd w:id="341"/>
      <w:bookmarkEnd w:id="342"/>
    </w:p>
    <w:p w14:paraId="6ACA4E7D">
      <w:pPr>
        <w:pStyle w:val="42"/>
        <w:ind w:left="1480" w:hanging="640"/>
        <w:rPr>
          <w:rFonts w:ascii="宋体" w:hAnsi="宋体" w:eastAsia="宋体"/>
          <w:b w:val="0"/>
          <w:color w:val="auto"/>
          <w:sz w:val="32"/>
          <w:szCs w:val="32"/>
          <w:highlight w:val="none"/>
          <w:lang w:eastAsia="zh-CN"/>
        </w:rPr>
      </w:pPr>
    </w:p>
    <w:p w14:paraId="5854DB89">
      <w:pPr>
        <w:pStyle w:val="9"/>
        <w:jc w:val="center"/>
        <w:rPr>
          <w:rFonts w:ascii="宋体" w:hAnsi="宋体" w:eastAsia="宋体"/>
          <w:color w:val="auto"/>
          <w:kern w:val="2"/>
          <w:sz w:val="21"/>
          <w:szCs w:val="24"/>
          <w:highlight w:val="none"/>
          <w:lang w:eastAsia="zh-CN"/>
        </w:rPr>
      </w:pPr>
      <w:r>
        <w:rPr>
          <w:rFonts w:hint="eastAsia" w:ascii="宋体" w:hAnsi="宋体" w:eastAsia="宋体"/>
          <w:color w:val="auto"/>
          <w:kern w:val="2"/>
          <w:sz w:val="21"/>
          <w:szCs w:val="24"/>
          <w:highlight w:val="none"/>
          <w:lang w:eastAsia="zh-CN"/>
        </w:rPr>
        <w:t>其他资料（投标人认为需要提供的其他资料，自行编辑提供）</w:t>
      </w:r>
    </w:p>
    <w:p w14:paraId="6C98D5C2">
      <w:pPr>
        <w:pStyle w:val="9"/>
        <w:rPr>
          <w:rFonts w:ascii="宋体" w:hAnsi="宋体" w:eastAsia="宋体"/>
          <w:color w:val="auto"/>
          <w:kern w:val="2"/>
          <w:sz w:val="21"/>
          <w:szCs w:val="24"/>
          <w:highlight w:val="none"/>
          <w:lang w:eastAsia="zh-CN"/>
        </w:rPr>
      </w:pPr>
    </w:p>
    <w:p w14:paraId="23A83130">
      <w:pPr>
        <w:pStyle w:val="6"/>
        <w:spacing w:line="441" w:lineRule="exact"/>
        <w:ind w:left="3" w:right="1"/>
        <w:jc w:val="both"/>
        <w:rPr>
          <w:rFonts w:hint="eastAsia" w:ascii="宋体" w:hAnsi="宋体" w:eastAsia="宋体" w:cs="宋体"/>
          <w:color w:val="auto"/>
          <w:highlight w:val="none"/>
        </w:rPr>
      </w:pPr>
    </w:p>
    <w:p w14:paraId="0261337D">
      <w:pPr>
        <w:widowControl/>
        <w:rPr>
          <w:rFonts w:hint="eastAsia" w:ascii="宋体" w:hAnsi="宋体" w:eastAsia="宋体" w:cs="宋体"/>
          <w:color w:val="auto"/>
          <w:kern w:val="0"/>
          <w:sz w:val="32"/>
          <w:szCs w:val="36"/>
          <w:highlight w:val="none"/>
        </w:rPr>
      </w:pPr>
    </w:p>
    <w:sectPr>
      <w:headerReference r:id="rId17" w:type="default"/>
      <w:footerReference r:id="rId18" w:type="default"/>
      <w:pgSz w:w="11906" w:h="16838"/>
      <w:pgMar w:top="680" w:right="1134" w:bottom="680" w:left="1134"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0" w:usb3="00000000" w:csb0="0000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F8D6">
    <w:pPr>
      <w:pStyle w:val="18"/>
      <w:jc w:val="center"/>
    </w:pPr>
  </w:p>
  <w:p w14:paraId="48ACF15D">
    <w:pPr>
      <w:pStyle w:val="18"/>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6D31">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8A603">
                          <w:pPr>
                            <w:pStyle w:val="1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0D8A603">
                    <w:pPr>
                      <w:pStyle w:val="1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A438">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4A4B7">
                          <w:pPr>
                            <w:pStyle w:val="1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C4A4B7">
                    <w:pPr>
                      <w:pStyle w:val="1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132A">
    <w:pPr>
      <w:pStyle w:val="1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35015">
                          <w:pPr>
                            <w:pStyle w:val="1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0935015">
                    <w:pPr>
                      <w:pStyle w:val="1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C716E">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82FE">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34E0B">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834E0B">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DC48">
    <w:pPr>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B79EA">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3B79EA">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CD07">
    <w:pPr>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EFFEE">
                          <w:pPr>
                            <w:pStyle w:val="1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34EFFEE">
                    <w:pPr>
                      <w:pStyle w:val="1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5A332">
    <w:pPr>
      <w:pStyle w:val="18"/>
      <w:spacing w:beforeLines="0" w:afterLines="0"/>
      <w:rPr>
        <w:rFonts w:hint="eastAsia"/>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374B7">
                          <w:pPr>
                            <w:pStyle w:val="1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92374B7">
                    <w:pPr>
                      <w:pStyle w:val="1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0DA0">
    <w:pPr>
      <w:pStyle w:val="18"/>
      <w:spacing w:beforeLines="0" w:afterLines="0"/>
      <w:rPr>
        <w:rFonts w:hint="eastAsia"/>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6D8A7">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26D8A7">
                    <w:pPr>
                      <w:pStyle w:val="1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DF56">
    <w:pPr>
      <w:pStyle w:val="18"/>
      <w:spacing w:beforeLines="0" w:afterLines="0"/>
      <w:rPr>
        <w:rFonts w:hint="eastAsia"/>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27F99">
                          <w:pPr>
                            <w:pStyle w:val="1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9927F99">
                    <w:pPr>
                      <w:pStyle w:val="1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04C23">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488FA">
                          <w:pPr>
                            <w:pStyle w:val="1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79488FA">
                    <w:pPr>
                      <w:pStyle w:val="1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606F">
    <w:pPr>
      <w:pStyle w:val="19"/>
      <w:pBdr>
        <w:bottom w:val="none" w:color="auto" w:sz="0" w:space="1"/>
      </w:pBdr>
      <w:spacing w:beforeLines="0" w:after="120" w:afterLines="0"/>
      <w:rPr>
        <w:rFonts w:hint="eastAsi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8DE2">
    <w:pPr>
      <w:pStyle w:val="19"/>
      <w:spacing w:beforeLines="0" w:after="120" w:afterLines="0"/>
      <w:rPr>
        <w:rFonts w:hint="eastAsia"/>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B5982">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13EA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DE9AA"/>
    <w:multiLevelType w:val="singleLevel"/>
    <w:tmpl w:val="8ADDE9AA"/>
    <w:lvl w:ilvl="0" w:tentative="0">
      <w:start w:val="2"/>
      <w:numFmt w:val="chineseCounting"/>
      <w:suff w:val="space"/>
      <w:lvlText w:val="第%1部分"/>
      <w:lvlJc w:val="left"/>
      <w:rPr>
        <w:rFonts w:hint="eastAsia"/>
      </w:rPr>
    </w:lvl>
  </w:abstractNum>
  <w:abstractNum w:abstractNumId="1">
    <w:nsid w:val="00000003"/>
    <w:multiLevelType w:val="multilevel"/>
    <w:tmpl w:val="00000003"/>
    <w:lvl w:ilvl="0" w:tentative="0">
      <w:start w:val="1"/>
      <w:numFmt w:val="decimal"/>
      <w:pStyle w:val="76"/>
      <w:lvlText w:val="附件%1"/>
      <w:lvlJc w:val="left"/>
      <w:pPr>
        <w:ind w:left="420" w:hanging="42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2">
    <w:nsid w:val="00000006"/>
    <w:multiLevelType w:val="singleLevel"/>
    <w:tmpl w:val="00000006"/>
    <w:lvl w:ilvl="0" w:tentative="0">
      <w:start w:val="2"/>
      <w:numFmt w:val="decimal"/>
      <w:suff w:val="nothing"/>
      <w:lvlText w:val="%1、"/>
      <w:lvlJc w:val="left"/>
    </w:lvl>
  </w:abstractNum>
  <w:abstractNum w:abstractNumId="3">
    <w:nsid w:val="0000000C"/>
    <w:multiLevelType w:val="multilevel"/>
    <w:tmpl w:val="0000000C"/>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D"/>
    <w:multiLevelType w:val="multilevel"/>
    <w:tmpl w:val="0000000D"/>
    <w:lvl w:ilvl="0" w:tentative="0">
      <w:start w:val="1"/>
      <w:numFmt w:val="decimal"/>
      <w:lvlText w:val="%1."/>
      <w:lvlJc w:val="left"/>
      <w:pPr>
        <w:ind w:left="780" w:hanging="360"/>
      </w:pPr>
      <w:rPr>
        <w:rFonts w:hint="default"/>
        <w:u w:val="none" w:color="auto"/>
      </w:rPr>
    </w:lvl>
    <w:lvl w:ilvl="1" w:tentative="0">
      <w:start w:val="1"/>
      <w:numFmt w:val="decimal"/>
      <w:lvlText w:val="%2)"/>
      <w:lvlJc w:val="left"/>
      <w:pPr>
        <w:ind w:left="1200" w:hanging="36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5">
    <w:nsid w:val="00000010"/>
    <w:multiLevelType w:val="multilevel"/>
    <w:tmpl w:val="00000010"/>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11"/>
    <w:multiLevelType w:val="multilevel"/>
    <w:tmpl w:val="00000011"/>
    <w:lvl w:ilvl="0" w:tentative="0">
      <w:start w:val="1"/>
      <w:numFmt w:val="decimal"/>
      <w:pStyle w:val="75"/>
      <w:lvlText w:val="第%1条"/>
      <w:lvlJc w:val="left"/>
      <w:pPr>
        <w:ind w:left="0" w:firstLine="0"/>
      </w:pPr>
      <w:rPr>
        <w:rFonts w:hint="default"/>
        <w:u w:val="none" w:color="auto"/>
      </w:rPr>
    </w:lvl>
    <w:lvl w:ilvl="1" w:tentative="0">
      <w:start w:val="1"/>
      <w:numFmt w:val="decimal"/>
      <w:lvlText w:val="%1.%2"/>
      <w:lvlJc w:val="left"/>
      <w:pPr>
        <w:ind w:left="992" w:hanging="567"/>
      </w:pPr>
      <w:rPr>
        <w:rFonts w:hint="default"/>
        <w:u w:val="none" w:color="auto"/>
      </w:rPr>
    </w:lvl>
    <w:lvl w:ilvl="2" w:tentative="0">
      <w:start w:val="1"/>
      <w:numFmt w:val="decimal"/>
      <w:lvlText w:val="%1.%2.%3"/>
      <w:lvlJc w:val="left"/>
      <w:pPr>
        <w:ind w:left="2836" w:hanging="567"/>
      </w:pPr>
      <w:rPr>
        <w:rFonts w:hint="default"/>
        <w:u w:val="none" w:color="auto"/>
      </w:rPr>
    </w:lvl>
    <w:lvl w:ilvl="3" w:tentative="0">
      <w:start w:val="1"/>
      <w:numFmt w:val="decimal"/>
      <w:lvlText w:val="%1.%2.%3.%4"/>
      <w:lvlJc w:val="left"/>
      <w:pPr>
        <w:ind w:left="1984" w:hanging="708"/>
      </w:pPr>
      <w:rPr>
        <w:rFonts w:hint="default"/>
        <w:u w:val="none" w:color="auto"/>
      </w:rPr>
    </w:lvl>
    <w:lvl w:ilvl="4" w:tentative="0">
      <w:start w:val="1"/>
      <w:numFmt w:val="decimal"/>
      <w:lvlText w:val="%1.%2.%3.%4.%5"/>
      <w:lvlJc w:val="left"/>
      <w:pPr>
        <w:ind w:left="2551" w:hanging="850"/>
      </w:pPr>
      <w:rPr>
        <w:rFonts w:hint="default"/>
        <w:u w:val="none" w:color="auto"/>
      </w:rPr>
    </w:lvl>
    <w:lvl w:ilvl="5" w:tentative="0">
      <w:start w:val="1"/>
      <w:numFmt w:val="decimal"/>
      <w:lvlText w:val="%1.%2.%3.%4.%5.%6"/>
      <w:lvlJc w:val="left"/>
      <w:pPr>
        <w:ind w:left="3260" w:hanging="1134"/>
      </w:pPr>
      <w:rPr>
        <w:rFonts w:hint="default"/>
        <w:u w:val="none" w:color="auto"/>
      </w:rPr>
    </w:lvl>
    <w:lvl w:ilvl="6" w:tentative="0">
      <w:start w:val="1"/>
      <w:numFmt w:val="decimal"/>
      <w:lvlText w:val="%1.%2.%3.%4.%5.%6.%7"/>
      <w:lvlJc w:val="left"/>
      <w:pPr>
        <w:ind w:left="3827" w:hanging="1276"/>
      </w:pPr>
      <w:rPr>
        <w:rFonts w:hint="default"/>
        <w:u w:val="none" w:color="auto"/>
      </w:rPr>
    </w:lvl>
    <w:lvl w:ilvl="7" w:tentative="0">
      <w:start w:val="1"/>
      <w:numFmt w:val="decimal"/>
      <w:lvlText w:val="%1.%2.%3.%4.%5.%6.%7.%8"/>
      <w:lvlJc w:val="left"/>
      <w:pPr>
        <w:ind w:left="4394" w:hanging="1418"/>
      </w:pPr>
      <w:rPr>
        <w:rFonts w:hint="default"/>
        <w:u w:val="none" w:color="auto"/>
      </w:rPr>
    </w:lvl>
    <w:lvl w:ilvl="8" w:tentative="0">
      <w:start w:val="1"/>
      <w:numFmt w:val="decimal"/>
      <w:lvlText w:val="%1.%2.%3.%4.%5.%6.%7.%8.%9"/>
      <w:lvlJc w:val="left"/>
      <w:pPr>
        <w:ind w:left="5102" w:hanging="1700"/>
      </w:pPr>
      <w:rPr>
        <w:rFonts w:hint="default"/>
        <w:u w:val="none" w:color="auto"/>
      </w:rPr>
    </w:lvl>
  </w:abstractNum>
  <w:abstractNum w:abstractNumId="7">
    <w:nsid w:val="00000012"/>
    <w:multiLevelType w:val="multilevel"/>
    <w:tmpl w:val="00000012"/>
    <w:lvl w:ilvl="0" w:tentative="0">
      <w:start w:val="1"/>
      <w:numFmt w:val="decimal"/>
      <w:lvlText w:val="%1."/>
      <w:lvlJc w:val="left"/>
      <w:pPr>
        <w:ind w:left="780" w:hanging="360"/>
      </w:pPr>
      <w:rPr>
        <w:rFonts w:hint="default"/>
        <w:u w:val="none" w:color="auto"/>
      </w:rPr>
    </w:lvl>
    <w:lvl w:ilvl="1" w:tentative="0">
      <w:start w:val="1"/>
      <w:numFmt w:val="decimal"/>
      <w:lvlText w:val="%2)"/>
      <w:lvlJc w:val="left"/>
      <w:pPr>
        <w:ind w:left="1200" w:hanging="36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8">
    <w:nsid w:val="00000016"/>
    <w:multiLevelType w:val="multilevel"/>
    <w:tmpl w:val="00000016"/>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17"/>
    <w:multiLevelType w:val="multilevel"/>
    <w:tmpl w:val="00000017"/>
    <w:lvl w:ilvl="0" w:tentative="0">
      <w:start w:val="1"/>
      <w:numFmt w:val="decimal"/>
      <w:lvlText w:val="%1."/>
      <w:lvlJc w:val="left"/>
      <w:pPr>
        <w:ind w:left="780" w:hanging="360"/>
      </w:pPr>
      <w:rPr>
        <w:rFonts w:hint="default"/>
        <w:u w:val="none" w:color="auto"/>
      </w:rPr>
    </w:lvl>
    <w:lvl w:ilvl="1" w:tentative="0">
      <w:start w:val="1"/>
      <w:numFmt w:val="decimal"/>
      <w:lvlText w:val="%2)"/>
      <w:lvlJc w:val="left"/>
      <w:pPr>
        <w:ind w:left="1200" w:hanging="360"/>
      </w:pPr>
      <w:rPr>
        <w:rFonts w:hint="default"/>
        <w:u w:val="none" w:color="auto"/>
      </w:rPr>
    </w:lvl>
    <w:lvl w:ilvl="2" w:tentative="0">
      <w:start w:val="1"/>
      <w:numFmt w:val="lowerRoman"/>
      <w:lvlText w:val="%3."/>
      <w:lvlJc w:val="right"/>
      <w:pPr>
        <w:ind w:left="1680" w:hanging="420"/>
      </w:pPr>
      <w:rPr>
        <w:rFonts w:hint="default"/>
        <w:u w:val="none" w:color="auto"/>
      </w:rPr>
    </w:lvl>
    <w:lvl w:ilvl="3" w:tentative="0">
      <w:start w:val="1"/>
      <w:numFmt w:val="decimal"/>
      <w:lvlText w:val="%4."/>
      <w:lvlJc w:val="left"/>
      <w:pPr>
        <w:ind w:left="2100" w:hanging="420"/>
      </w:pPr>
      <w:rPr>
        <w:rFonts w:hint="default"/>
        <w:u w:val="none" w:color="auto"/>
      </w:rPr>
    </w:lvl>
    <w:lvl w:ilvl="4" w:tentative="0">
      <w:start w:val="1"/>
      <w:numFmt w:val="lowerLetter"/>
      <w:lvlText w:val="%5)"/>
      <w:lvlJc w:val="left"/>
      <w:pPr>
        <w:ind w:left="2520" w:hanging="420"/>
      </w:pPr>
      <w:rPr>
        <w:rFonts w:hint="default"/>
        <w:u w:val="none" w:color="auto"/>
      </w:rPr>
    </w:lvl>
    <w:lvl w:ilvl="5" w:tentative="0">
      <w:start w:val="1"/>
      <w:numFmt w:val="lowerRoman"/>
      <w:lvlText w:val="%6."/>
      <w:lvlJc w:val="right"/>
      <w:pPr>
        <w:ind w:left="2940" w:hanging="420"/>
      </w:pPr>
      <w:rPr>
        <w:rFonts w:hint="default"/>
        <w:u w:val="none" w:color="auto"/>
      </w:rPr>
    </w:lvl>
    <w:lvl w:ilvl="6" w:tentative="0">
      <w:start w:val="1"/>
      <w:numFmt w:val="decimal"/>
      <w:lvlText w:val="%7."/>
      <w:lvlJc w:val="left"/>
      <w:pPr>
        <w:ind w:left="3360" w:hanging="420"/>
      </w:pPr>
      <w:rPr>
        <w:rFonts w:hint="default"/>
        <w:u w:val="none" w:color="auto"/>
      </w:rPr>
    </w:lvl>
    <w:lvl w:ilvl="7" w:tentative="0">
      <w:start w:val="1"/>
      <w:numFmt w:val="lowerLetter"/>
      <w:lvlText w:val="%8)"/>
      <w:lvlJc w:val="left"/>
      <w:pPr>
        <w:ind w:left="3780" w:hanging="420"/>
      </w:pPr>
      <w:rPr>
        <w:rFonts w:hint="default"/>
        <w:u w:val="none" w:color="auto"/>
      </w:rPr>
    </w:lvl>
    <w:lvl w:ilvl="8" w:tentative="0">
      <w:start w:val="1"/>
      <w:numFmt w:val="lowerRoman"/>
      <w:lvlText w:val="%9."/>
      <w:lvlJc w:val="right"/>
      <w:pPr>
        <w:ind w:left="4200" w:hanging="420"/>
      </w:pPr>
      <w:rPr>
        <w:rFonts w:hint="default"/>
        <w:u w:val="none" w:color="auto"/>
      </w:rPr>
    </w:lvl>
  </w:abstractNum>
  <w:abstractNum w:abstractNumId="10">
    <w:nsid w:val="00000018"/>
    <w:multiLevelType w:val="multilevel"/>
    <w:tmpl w:val="00000018"/>
    <w:lvl w:ilvl="0" w:tentative="0">
      <w:start w:val="1"/>
      <w:numFmt w:val="chineseCountingThousand"/>
      <w:pStyle w:val="77"/>
      <w:lvlText w:val="%1、"/>
      <w:lvlJc w:val="left"/>
      <w:pPr>
        <w:ind w:left="0" w:firstLine="40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11">
    <w:nsid w:val="00000039"/>
    <w:multiLevelType w:val="multilevel"/>
    <w:tmpl w:val="00000039"/>
    <w:lvl w:ilvl="0" w:tentative="0">
      <w:start w:val="1"/>
      <w:numFmt w:val="chineseCountingThousand"/>
      <w:pStyle w:val="72"/>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1"/>
  </w:num>
  <w:num w:numId="2">
    <w:abstractNumId w:val="6"/>
  </w:num>
  <w:num w:numId="3">
    <w:abstractNumId w:val="1"/>
  </w:num>
  <w:num w:numId="4">
    <w:abstractNumId w:val="10"/>
  </w:num>
  <w:num w:numId="5">
    <w:abstractNumId w:val="9"/>
  </w:num>
  <w:num w:numId="6">
    <w:abstractNumId w:val="5"/>
  </w:num>
  <w:num w:numId="7">
    <w:abstractNumId w:val="8"/>
  </w:num>
  <w:num w:numId="8">
    <w:abstractNumId w:val="7"/>
  </w:num>
  <w:num w:numId="9">
    <w:abstractNumId w:val="4"/>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MmI3ZTNkZWM4N2MyMGEwYmY5YjlkMjUzNDJiMGUifQ=="/>
  </w:docVars>
  <w:rsids>
    <w:rsidRoot w:val="00172A27"/>
    <w:rsid w:val="00006AF0"/>
    <w:rsid w:val="0001632D"/>
    <w:rsid w:val="00030A69"/>
    <w:rsid w:val="000548D3"/>
    <w:rsid w:val="00060C6A"/>
    <w:rsid w:val="00073278"/>
    <w:rsid w:val="0007404F"/>
    <w:rsid w:val="00083DD9"/>
    <w:rsid w:val="00093875"/>
    <w:rsid w:val="000A2A8C"/>
    <w:rsid w:val="000A7104"/>
    <w:rsid w:val="000C0F09"/>
    <w:rsid w:val="000E0928"/>
    <w:rsid w:val="000E7714"/>
    <w:rsid w:val="000F70FB"/>
    <w:rsid w:val="00113B60"/>
    <w:rsid w:val="00115DB3"/>
    <w:rsid w:val="001322EB"/>
    <w:rsid w:val="001364B4"/>
    <w:rsid w:val="00161601"/>
    <w:rsid w:val="00167356"/>
    <w:rsid w:val="001725C8"/>
    <w:rsid w:val="00172A27"/>
    <w:rsid w:val="00172FEB"/>
    <w:rsid w:val="00197E66"/>
    <w:rsid w:val="001A5B4D"/>
    <w:rsid w:val="001D4206"/>
    <w:rsid w:val="00222B65"/>
    <w:rsid w:val="00226FC9"/>
    <w:rsid w:val="002332F7"/>
    <w:rsid w:val="00235128"/>
    <w:rsid w:val="0024324D"/>
    <w:rsid w:val="00243D33"/>
    <w:rsid w:val="00251073"/>
    <w:rsid w:val="00276558"/>
    <w:rsid w:val="00281735"/>
    <w:rsid w:val="002A16E2"/>
    <w:rsid w:val="002B0CEB"/>
    <w:rsid w:val="002B51F2"/>
    <w:rsid w:val="002B7F5E"/>
    <w:rsid w:val="002D19BC"/>
    <w:rsid w:val="00303C15"/>
    <w:rsid w:val="00314E4C"/>
    <w:rsid w:val="00316820"/>
    <w:rsid w:val="003261F0"/>
    <w:rsid w:val="003636F7"/>
    <w:rsid w:val="00375364"/>
    <w:rsid w:val="00382424"/>
    <w:rsid w:val="00384B9C"/>
    <w:rsid w:val="003D4F87"/>
    <w:rsid w:val="00415984"/>
    <w:rsid w:val="00416205"/>
    <w:rsid w:val="00416674"/>
    <w:rsid w:val="00432490"/>
    <w:rsid w:val="004355ED"/>
    <w:rsid w:val="00437670"/>
    <w:rsid w:val="00495701"/>
    <w:rsid w:val="00497335"/>
    <w:rsid w:val="004A4092"/>
    <w:rsid w:val="004B00C0"/>
    <w:rsid w:val="004D75E4"/>
    <w:rsid w:val="004E463C"/>
    <w:rsid w:val="004F6F71"/>
    <w:rsid w:val="00516A70"/>
    <w:rsid w:val="00544882"/>
    <w:rsid w:val="00563274"/>
    <w:rsid w:val="00582286"/>
    <w:rsid w:val="0058329C"/>
    <w:rsid w:val="00591F40"/>
    <w:rsid w:val="005A6F10"/>
    <w:rsid w:val="005E099C"/>
    <w:rsid w:val="005F0BE8"/>
    <w:rsid w:val="005F65B0"/>
    <w:rsid w:val="00612051"/>
    <w:rsid w:val="00621ECF"/>
    <w:rsid w:val="00637081"/>
    <w:rsid w:val="00645716"/>
    <w:rsid w:val="00691C80"/>
    <w:rsid w:val="006A55DB"/>
    <w:rsid w:val="006D2A98"/>
    <w:rsid w:val="006E77DF"/>
    <w:rsid w:val="00706177"/>
    <w:rsid w:val="007116A3"/>
    <w:rsid w:val="00713A24"/>
    <w:rsid w:val="0077216C"/>
    <w:rsid w:val="0077406E"/>
    <w:rsid w:val="00782AC5"/>
    <w:rsid w:val="00793417"/>
    <w:rsid w:val="007C3C66"/>
    <w:rsid w:val="007D0677"/>
    <w:rsid w:val="007D2605"/>
    <w:rsid w:val="007E60CD"/>
    <w:rsid w:val="008008FF"/>
    <w:rsid w:val="00812C52"/>
    <w:rsid w:val="00830341"/>
    <w:rsid w:val="00830765"/>
    <w:rsid w:val="008365B3"/>
    <w:rsid w:val="00851737"/>
    <w:rsid w:val="008630C0"/>
    <w:rsid w:val="0086434F"/>
    <w:rsid w:val="0086587E"/>
    <w:rsid w:val="008815FA"/>
    <w:rsid w:val="008871D2"/>
    <w:rsid w:val="008C49AE"/>
    <w:rsid w:val="008D4895"/>
    <w:rsid w:val="008D7319"/>
    <w:rsid w:val="008F7263"/>
    <w:rsid w:val="00935143"/>
    <w:rsid w:val="00946D9C"/>
    <w:rsid w:val="00955E5E"/>
    <w:rsid w:val="00956C93"/>
    <w:rsid w:val="00986F28"/>
    <w:rsid w:val="009E5671"/>
    <w:rsid w:val="00A16A13"/>
    <w:rsid w:val="00A571A4"/>
    <w:rsid w:val="00A62F2D"/>
    <w:rsid w:val="00A73C32"/>
    <w:rsid w:val="00A80145"/>
    <w:rsid w:val="00A85B57"/>
    <w:rsid w:val="00AB124B"/>
    <w:rsid w:val="00AC0178"/>
    <w:rsid w:val="00AC44BB"/>
    <w:rsid w:val="00AD0101"/>
    <w:rsid w:val="00AD309B"/>
    <w:rsid w:val="00AD7EC6"/>
    <w:rsid w:val="00AE3D97"/>
    <w:rsid w:val="00AE7051"/>
    <w:rsid w:val="00AF1018"/>
    <w:rsid w:val="00B058D2"/>
    <w:rsid w:val="00B262A9"/>
    <w:rsid w:val="00B3263B"/>
    <w:rsid w:val="00B3522D"/>
    <w:rsid w:val="00B3652B"/>
    <w:rsid w:val="00B41191"/>
    <w:rsid w:val="00B4133B"/>
    <w:rsid w:val="00B52A86"/>
    <w:rsid w:val="00B658C6"/>
    <w:rsid w:val="00B76800"/>
    <w:rsid w:val="00B9425F"/>
    <w:rsid w:val="00BC4ADB"/>
    <w:rsid w:val="00BD2DAF"/>
    <w:rsid w:val="00BD483B"/>
    <w:rsid w:val="00BE27FE"/>
    <w:rsid w:val="00C24481"/>
    <w:rsid w:val="00C25390"/>
    <w:rsid w:val="00C26F6D"/>
    <w:rsid w:val="00C35D89"/>
    <w:rsid w:val="00C66E71"/>
    <w:rsid w:val="00C7673C"/>
    <w:rsid w:val="00C967F9"/>
    <w:rsid w:val="00C96BC9"/>
    <w:rsid w:val="00CB65D1"/>
    <w:rsid w:val="00CD5CE0"/>
    <w:rsid w:val="00CE351D"/>
    <w:rsid w:val="00CF1A96"/>
    <w:rsid w:val="00D21215"/>
    <w:rsid w:val="00D214B6"/>
    <w:rsid w:val="00D2516F"/>
    <w:rsid w:val="00D5481D"/>
    <w:rsid w:val="00D7185F"/>
    <w:rsid w:val="00D90153"/>
    <w:rsid w:val="00DA1B9A"/>
    <w:rsid w:val="00DA6098"/>
    <w:rsid w:val="00DA7CBF"/>
    <w:rsid w:val="00DC14E5"/>
    <w:rsid w:val="00DD7AE7"/>
    <w:rsid w:val="00DF1DA0"/>
    <w:rsid w:val="00DF7767"/>
    <w:rsid w:val="00E005FD"/>
    <w:rsid w:val="00E038CE"/>
    <w:rsid w:val="00E05912"/>
    <w:rsid w:val="00E62AD6"/>
    <w:rsid w:val="00E72E2A"/>
    <w:rsid w:val="00E73D22"/>
    <w:rsid w:val="00E7746D"/>
    <w:rsid w:val="00E8306F"/>
    <w:rsid w:val="00E920CB"/>
    <w:rsid w:val="00EA005D"/>
    <w:rsid w:val="00EC1E93"/>
    <w:rsid w:val="00ED790D"/>
    <w:rsid w:val="00EE1B33"/>
    <w:rsid w:val="00EE659F"/>
    <w:rsid w:val="00F00B73"/>
    <w:rsid w:val="00F1062F"/>
    <w:rsid w:val="00F454E4"/>
    <w:rsid w:val="00F76035"/>
    <w:rsid w:val="00F81282"/>
    <w:rsid w:val="00FA0F22"/>
    <w:rsid w:val="00FA522A"/>
    <w:rsid w:val="00FB6847"/>
    <w:rsid w:val="00FC7E98"/>
    <w:rsid w:val="00FE0F41"/>
    <w:rsid w:val="00FE78FA"/>
    <w:rsid w:val="00FE7AE0"/>
    <w:rsid w:val="00FF7969"/>
    <w:rsid w:val="00FF79CE"/>
    <w:rsid w:val="01066A48"/>
    <w:rsid w:val="01253372"/>
    <w:rsid w:val="012C2D92"/>
    <w:rsid w:val="014B7552"/>
    <w:rsid w:val="014E1499"/>
    <w:rsid w:val="01610B3B"/>
    <w:rsid w:val="018E7169"/>
    <w:rsid w:val="019C74D7"/>
    <w:rsid w:val="019E0983"/>
    <w:rsid w:val="01B834D9"/>
    <w:rsid w:val="01D3127C"/>
    <w:rsid w:val="01F31A41"/>
    <w:rsid w:val="01FD464E"/>
    <w:rsid w:val="02021905"/>
    <w:rsid w:val="020E02AA"/>
    <w:rsid w:val="028B18FB"/>
    <w:rsid w:val="028D7B6F"/>
    <w:rsid w:val="029D5D35"/>
    <w:rsid w:val="03253212"/>
    <w:rsid w:val="034D4E02"/>
    <w:rsid w:val="0398212A"/>
    <w:rsid w:val="039F0A2B"/>
    <w:rsid w:val="03E700D7"/>
    <w:rsid w:val="03EE3EEF"/>
    <w:rsid w:val="03F60FF6"/>
    <w:rsid w:val="045A1585"/>
    <w:rsid w:val="046F0B92"/>
    <w:rsid w:val="047E1145"/>
    <w:rsid w:val="04911A8C"/>
    <w:rsid w:val="04932DEE"/>
    <w:rsid w:val="04956F3E"/>
    <w:rsid w:val="04FA4B16"/>
    <w:rsid w:val="051F200B"/>
    <w:rsid w:val="05235E1B"/>
    <w:rsid w:val="056F08F3"/>
    <w:rsid w:val="05A14F91"/>
    <w:rsid w:val="05B51E7D"/>
    <w:rsid w:val="05B95F12"/>
    <w:rsid w:val="06175254"/>
    <w:rsid w:val="064029FC"/>
    <w:rsid w:val="0671705A"/>
    <w:rsid w:val="06D26447"/>
    <w:rsid w:val="06E15F8D"/>
    <w:rsid w:val="07657ADD"/>
    <w:rsid w:val="07756313"/>
    <w:rsid w:val="07790E1C"/>
    <w:rsid w:val="07AA2823"/>
    <w:rsid w:val="07B83BE4"/>
    <w:rsid w:val="07E8556F"/>
    <w:rsid w:val="07ED61C7"/>
    <w:rsid w:val="07EF46DA"/>
    <w:rsid w:val="07F4584C"/>
    <w:rsid w:val="080261BB"/>
    <w:rsid w:val="08253BD7"/>
    <w:rsid w:val="08346591"/>
    <w:rsid w:val="083E47CA"/>
    <w:rsid w:val="08713341"/>
    <w:rsid w:val="089B1CC8"/>
    <w:rsid w:val="08EA41E9"/>
    <w:rsid w:val="08EE4BCC"/>
    <w:rsid w:val="08F44AB4"/>
    <w:rsid w:val="090D074B"/>
    <w:rsid w:val="0939330D"/>
    <w:rsid w:val="09776735"/>
    <w:rsid w:val="09A514F4"/>
    <w:rsid w:val="09B05932"/>
    <w:rsid w:val="09FE4B88"/>
    <w:rsid w:val="0A1419E1"/>
    <w:rsid w:val="0A155635"/>
    <w:rsid w:val="0A382368"/>
    <w:rsid w:val="0AD61B81"/>
    <w:rsid w:val="0ADA341F"/>
    <w:rsid w:val="0AFF4C34"/>
    <w:rsid w:val="0B436E72"/>
    <w:rsid w:val="0B536D2E"/>
    <w:rsid w:val="0B56752A"/>
    <w:rsid w:val="0BCD3BA8"/>
    <w:rsid w:val="0BCD7C03"/>
    <w:rsid w:val="0C6F3D71"/>
    <w:rsid w:val="0C7F9CFC"/>
    <w:rsid w:val="0C85560D"/>
    <w:rsid w:val="0CB6087F"/>
    <w:rsid w:val="0CE339B3"/>
    <w:rsid w:val="0CF54541"/>
    <w:rsid w:val="0D2A6522"/>
    <w:rsid w:val="0D3B5CCB"/>
    <w:rsid w:val="0D58687D"/>
    <w:rsid w:val="0DB75D3F"/>
    <w:rsid w:val="0DC22824"/>
    <w:rsid w:val="0DC56BE1"/>
    <w:rsid w:val="0DD24C4F"/>
    <w:rsid w:val="0DDA54E4"/>
    <w:rsid w:val="0E1209E8"/>
    <w:rsid w:val="0E1B7FD7"/>
    <w:rsid w:val="0EA77D53"/>
    <w:rsid w:val="0EA92E5E"/>
    <w:rsid w:val="0EC870E3"/>
    <w:rsid w:val="0F1A19E5"/>
    <w:rsid w:val="0F2476E9"/>
    <w:rsid w:val="0F2811FF"/>
    <w:rsid w:val="0F3A448D"/>
    <w:rsid w:val="0F4065BF"/>
    <w:rsid w:val="0F5878D6"/>
    <w:rsid w:val="0F7A4EFF"/>
    <w:rsid w:val="0F7F4595"/>
    <w:rsid w:val="0F813769"/>
    <w:rsid w:val="0F9067A2"/>
    <w:rsid w:val="0FBD0C1A"/>
    <w:rsid w:val="0FF79A79"/>
    <w:rsid w:val="10105818"/>
    <w:rsid w:val="10261806"/>
    <w:rsid w:val="1042171F"/>
    <w:rsid w:val="10501A8E"/>
    <w:rsid w:val="106A2B50"/>
    <w:rsid w:val="1075073F"/>
    <w:rsid w:val="10EC2FE9"/>
    <w:rsid w:val="10F03B1E"/>
    <w:rsid w:val="110C1E59"/>
    <w:rsid w:val="111D7A93"/>
    <w:rsid w:val="11811765"/>
    <w:rsid w:val="118311DD"/>
    <w:rsid w:val="11C176E7"/>
    <w:rsid w:val="11EB1F52"/>
    <w:rsid w:val="11F818E6"/>
    <w:rsid w:val="123A28A0"/>
    <w:rsid w:val="12445622"/>
    <w:rsid w:val="126600CC"/>
    <w:rsid w:val="126B30A7"/>
    <w:rsid w:val="129E2765"/>
    <w:rsid w:val="12B91B6C"/>
    <w:rsid w:val="12E110C3"/>
    <w:rsid w:val="12ED1816"/>
    <w:rsid w:val="133438E9"/>
    <w:rsid w:val="13423E9B"/>
    <w:rsid w:val="13A00166"/>
    <w:rsid w:val="13DA7FEC"/>
    <w:rsid w:val="13ED3E22"/>
    <w:rsid w:val="14211017"/>
    <w:rsid w:val="14221993"/>
    <w:rsid w:val="14224B11"/>
    <w:rsid w:val="14601A66"/>
    <w:rsid w:val="14653481"/>
    <w:rsid w:val="14853280"/>
    <w:rsid w:val="148D32B1"/>
    <w:rsid w:val="14C81A92"/>
    <w:rsid w:val="14CB2FEB"/>
    <w:rsid w:val="14DE58BA"/>
    <w:rsid w:val="14E05AD6"/>
    <w:rsid w:val="14F31800"/>
    <w:rsid w:val="1525798D"/>
    <w:rsid w:val="154E289B"/>
    <w:rsid w:val="1556420D"/>
    <w:rsid w:val="155707C5"/>
    <w:rsid w:val="155D7953"/>
    <w:rsid w:val="15984BA7"/>
    <w:rsid w:val="15C16D34"/>
    <w:rsid w:val="15DF7B3C"/>
    <w:rsid w:val="15E92769"/>
    <w:rsid w:val="161315B8"/>
    <w:rsid w:val="165E3157"/>
    <w:rsid w:val="16782B7B"/>
    <w:rsid w:val="1698541C"/>
    <w:rsid w:val="169F21B6"/>
    <w:rsid w:val="16C74A49"/>
    <w:rsid w:val="16CC2F63"/>
    <w:rsid w:val="170F4451"/>
    <w:rsid w:val="171750B3"/>
    <w:rsid w:val="171E28E6"/>
    <w:rsid w:val="17206E3D"/>
    <w:rsid w:val="17531E13"/>
    <w:rsid w:val="17832749"/>
    <w:rsid w:val="17A6653D"/>
    <w:rsid w:val="17A967EF"/>
    <w:rsid w:val="17FFEB3F"/>
    <w:rsid w:val="184E5883"/>
    <w:rsid w:val="188330CB"/>
    <w:rsid w:val="18876269"/>
    <w:rsid w:val="18C70012"/>
    <w:rsid w:val="1907198A"/>
    <w:rsid w:val="19481E9C"/>
    <w:rsid w:val="19555F57"/>
    <w:rsid w:val="195720DF"/>
    <w:rsid w:val="195B2D22"/>
    <w:rsid w:val="196071E6"/>
    <w:rsid w:val="199863DB"/>
    <w:rsid w:val="19E2226B"/>
    <w:rsid w:val="19F44E8A"/>
    <w:rsid w:val="1A22449B"/>
    <w:rsid w:val="1A3366A8"/>
    <w:rsid w:val="1A7171D0"/>
    <w:rsid w:val="1A736AA5"/>
    <w:rsid w:val="1A8B2040"/>
    <w:rsid w:val="1AAC1FB7"/>
    <w:rsid w:val="1AD82DAC"/>
    <w:rsid w:val="1AE31E7C"/>
    <w:rsid w:val="1B211995"/>
    <w:rsid w:val="1B344438"/>
    <w:rsid w:val="1B5511D5"/>
    <w:rsid w:val="1B574618"/>
    <w:rsid w:val="1B771271"/>
    <w:rsid w:val="1BAA5A55"/>
    <w:rsid w:val="1BB62173"/>
    <w:rsid w:val="1BCC2B44"/>
    <w:rsid w:val="1BEA0FE8"/>
    <w:rsid w:val="1C3439EA"/>
    <w:rsid w:val="1C672639"/>
    <w:rsid w:val="1C974092"/>
    <w:rsid w:val="1CF33ECD"/>
    <w:rsid w:val="1D126A49"/>
    <w:rsid w:val="1D2C34BA"/>
    <w:rsid w:val="1D592C48"/>
    <w:rsid w:val="1D5D5CE8"/>
    <w:rsid w:val="1D682B0D"/>
    <w:rsid w:val="1D703ACD"/>
    <w:rsid w:val="1DAF5154"/>
    <w:rsid w:val="1DB01DBE"/>
    <w:rsid w:val="1E110AAE"/>
    <w:rsid w:val="1E177153"/>
    <w:rsid w:val="1E2702D2"/>
    <w:rsid w:val="1E2A4B1E"/>
    <w:rsid w:val="1E347D63"/>
    <w:rsid w:val="1E4060EB"/>
    <w:rsid w:val="1E470974"/>
    <w:rsid w:val="1EB15DEE"/>
    <w:rsid w:val="1EBB6C6C"/>
    <w:rsid w:val="1EC02E69"/>
    <w:rsid w:val="1EE70B1F"/>
    <w:rsid w:val="1EEF20C7"/>
    <w:rsid w:val="1EEF37FC"/>
    <w:rsid w:val="1EF427F4"/>
    <w:rsid w:val="1EF54B7F"/>
    <w:rsid w:val="1F5E41C7"/>
    <w:rsid w:val="1F641904"/>
    <w:rsid w:val="1F7F2436"/>
    <w:rsid w:val="1F896D6A"/>
    <w:rsid w:val="1FA0658E"/>
    <w:rsid w:val="1FA53BA4"/>
    <w:rsid w:val="1FCD30FB"/>
    <w:rsid w:val="1FE521F3"/>
    <w:rsid w:val="1FF171BF"/>
    <w:rsid w:val="20542090"/>
    <w:rsid w:val="207B66B3"/>
    <w:rsid w:val="20881525"/>
    <w:rsid w:val="20D00718"/>
    <w:rsid w:val="20D34741"/>
    <w:rsid w:val="20D67D2E"/>
    <w:rsid w:val="20FA011C"/>
    <w:rsid w:val="210A3544"/>
    <w:rsid w:val="211A56BD"/>
    <w:rsid w:val="21224D81"/>
    <w:rsid w:val="21260D15"/>
    <w:rsid w:val="21366A7E"/>
    <w:rsid w:val="21454BF3"/>
    <w:rsid w:val="215F0797"/>
    <w:rsid w:val="216A4BF3"/>
    <w:rsid w:val="216E688E"/>
    <w:rsid w:val="21A165ED"/>
    <w:rsid w:val="220A5F40"/>
    <w:rsid w:val="220D3C83"/>
    <w:rsid w:val="221943D6"/>
    <w:rsid w:val="223E3E3C"/>
    <w:rsid w:val="224C7D02"/>
    <w:rsid w:val="22561152"/>
    <w:rsid w:val="22870DB9"/>
    <w:rsid w:val="2295091D"/>
    <w:rsid w:val="22993768"/>
    <w:rsid w:val="22A71F91"/>
    <w:rsid w:val="22AF4D3A"/>
    <w:rsid w:val="22CD6F6E"/>
    <w:rsid w:val="22F15352"/>
    <w:rsid w:val="23007343"/>
    <w:rsid w:val="23023F73"/>
    <w:rsid w:val="231177A3"/>
    <w:rsid w:val="2316361E"/>
    <w:rsid w:val="23272B22"/>
    <w:rsid w:val="23337912"/>
    <w:rsid w:val="233F7E6C"/>
    <w:rsid w:val="23512ECE"/>
    <w:rsid w:val="235C0A1E"/>
    <w:rsid w:val="235F29DD"/>
    <w:rsid w:val="23617646"/>
    <w:rsid w:val="23711FEF"/>
    <w:rsid w:val="237C0708"/>
    <w:rsid w:val="23B3495F"/>
    <w:rsid w:val="23EE3BED"/>
    <w:rsid w:val="24602F0B"/>
    <w:rsid w:val="248F097F"/>
    <w:rsid w:val="24DE0F1C"/>
    <w:rsid w:val="24EB1A43"/>
    <w:rsid w:val="24EC0364"/>
    <w:rsid w:val="24F609FE"/>
    <w:rsid w:val="25043F44"/>
    <w:rsid w:val="25290C0F"/>
    <w:rsid w:val="252A68FA"/>
    <w:rsid w:val="254B0ECC"/>
    <w:rsid w:val="25536C6E"/>
    <w:rsid w:val="25585215"/>
    <w:rsid w:val="25607EB6"/>
    <w:rsid w:val="25B15BA3"/>
    <w:rsid w:val="262F4BAF"/>
    <w:rsid w:val="262F4EF0"/>
    <w:rsid w:val="26540C5F"/>
    <w:rsid w:val="268362C1"/>
    <w:rsid w:val="26BB47F7"/>
    <w:rsid w:val="26EE4083"/>
    <w:rsid w:val="270B39D4"/>
    <w:rsid w:val="271D04C4"/>
    <w:rsid w:val="27371426"/>
    <w:rsid w:val="273852FE"/>
    <w:rsid w:val="2749316B"/>
    <w:rsid w:val="27501FAC"/>
    <w:rsid w:val="278103B5"/>
    <w:rsid w:val="27947DA4"/>
    <w:rsid w:val="27CB6172"/>
    <w:rsid w:val="27D56FF1"/>
    <w:rsid w:val="27DFAE9C"/>
    <w:rsid w:val="27E15995"/>
    <w:rsid w:val="27E4184D"/>
    <w:rsid w:val="28812CD5"/>
    <w:rsid w:val="28A32C4B"/>
    <w:rsid w:val="28A644E9"/>
    <w:rsid w:val="28D603D4"/>
    <w:rsid w:val="28D65731"/>
    <w:rsid w:val="28F6564B"/>
    <w:rsid w:val="29143B49"/>
    <w:rsid w:val="291C3D4F"/>
    <w:rsid w:val="2927387C"/>
    <w:rsid w:val="292875F4"/>
    <w:rsid w:val="292D69B8"/>
    <w:rsid w:val="29662C92"/>
    <w:rsid w:val="29722F5F"/>
    <w:rsid w:val="298442EC"/>
    <w:rsid w:val="298C6E54"/>
    <w:rsid w:val="29AE18A7"/>
    <w:rsid w:val="29C60FDB"/>
    <w:rsid w:val="2A0D3496"/>
    <w:rsid w:val="2A2102CB"/>
    <w:rsid w:val="2A341CA9"/>
    <w:rsid w:val="2A944F41"/>
    <w:rsid w:val="2A9E7B6E"/>
    <w:rsid w:val="2AF17DAC"/>
    <w:rsid w:val="2AF9276D"/>
    <w:rsid w:val="2B3B53BD"/>
    <w:rsid w:val="2B3E4F87"/>
    <w:rsid w:val="2B3F32EA"/>
    <w:rsid w:val="2B54647E"/>
    <w:rsid w:val="2B606BD1"/>
    <w:rsid w:val="2B612949"/>
    <w:rsid w:val="2B642C2F"/>
    <w:rsid w:val="2B894753"/>
    <w:rsid w:val="2BA2368E"/>
    <w:rsid w:val="2BAE2D24"/>
    <w:rsid w:val="2BE7251E"/>
    <w:rsid w:val="2BF2400A"/>
    <w:rsid w:val="2C0313A8"/>
    <w:rsid w:val="2C1A1476"/>
    <w:rsid w:val="2C1D0F66"/>
    <w:rsid w:val="2C1D688E"/>
    <w:rsid w:val="2C4C5F9B"/>
    <w:rsid w:val="2C695F59"/>
    <w:rsid w:val="2C6C5DDF"/>
    <w:rsid w:val="2CF87A11"/>
    <w:rsid w:val="2D572256"/>
    <w:rsid w:val="2D6A01DB"/>
    <w:rsid w:val="2DD438A6"/>
    <w:rsid w:val="2DE41D3C"/>
    <w:rsid w:val="2DE955A4"/>
    <w:rsid w:val="2DFE7E26"/>
    <w:rsid w:val="2DFF1639"/>
    <w:rsid w:val="2E2E067D"/>
    <w:rsid w:val="2E3F6F72"/>
    <w:rsid w:val="2EC45814"/>
    <w:rsid w:val="2EDC05D9"/>
    <w:rsid w:val="2EDDD7E7"/>
    <w:rsid w:val="2EE753FA"/>
    <w:rsid w:val="2EFFCCAE"/>
    <w:rsid w:val="2F0F2DE8"/>
    <w:rsid w:val="2F4B1B9C"/>
    <w:rsid w:val="2F52CF9D"/>
    <w:rsid w:val="2F542EF1"/>
    <w:rsid w:val="2F7973C1"/>
    <w:rsid w:val="2F854FD8"/>
    <w:rsid w:val="2F8813FA"/>
    <w:rsid w:val="2F8829A6"/>
    <w:rsid w:val="2F912537"/>
    <w:rsid w:val="2FB310C1"/>
    <w:rsid w:val="2FDFC1B2"/>
    <w:rsid w:val="2FDFEA83"/>
    <w:rsid w:val="2FE783EB"/>
    <w:rsid w:val="2FEF2C1A"/>
    <w:rsid w:val="2FF919C9"/>
    <w:rsid w:val="2FFF6C10"/>
    <w:rsid w:val="301651B0"/>
    <w:rsid w:val="301A5EE8"/>
    <w:rsid w:val="304A68FD"/>
    <w:rsid w:val="30627EF3"/>
    <w:rsid w:val="306C596C"/>
    <w:rsid w:val="307E6A59"/>
    <w:rsid w:val="309250C3"/>
    <w:rsid w:val="30F93D50"/>
    <w:rsid w:val="3115220C"/>
    <w:rsid w:val="31232B7B"/>
    <w:rsid w:val="314952F1"/>
    <w:rsid w:val="31570939"/>
    <w:rsid w:val="318F4D46"/>
    <w:rsid w:val="31985960"/>
    <w:rsid w:val="319B6BB5"/>
    <w:rsid w:val="31AE436E"/>
    <w:rsid w:val="31CD3C67"/>
    <w:rsid w:val="32012A3E"/>
    <w:rsid w:val="320C1861"/>
    <w:rsid w:val="32313075"/>
    <w:rsid w:val="323D7C6C"/>
    <w:rsid w:val="32472899"/>
    <w:rsid w:val="32534EA6"/>
    <w:rsid w:val="325A7B16"/>
    <w:rsid w:val="328371BC"/>
    <w:rsid w:val="32DD144F"/>
    <w:rsid w:val="32E14A9C"/>
    <w:rsid w:val="330B246B"/>
    <w:rsid w:val="331F55C4"/>
    <w:rsid w:val="33225C67"/>
    <w:rsid w:val="333B4884"/>
    <w:rsid w:val="335F00B6"/>
    <w:rsid w:val="337640F0"/>
    <w:rsid w:val="339D2D41"/>
    <w:rsid w:val="33B71CA0"/>
    <w:rsid w:val="33C30645"/>
    <w:rsid w:val="33D9456D"/>
    <w:rsid w:val="33FF22A5"/>
    <w:rsid w:val="341B4B86"/>
    <w:rsid w:val="34473024"/>
    <w:rsid w:val="34A107F2"/>
    <w:rsid w:val="34AA2C62"/>
    <w:rsid w:val="34B1337D"/>
    <w:rsid w:val="34D04DC8"/>
    <w:rsid w:val="34F15007"/>
    <w:rsid w:val="350E58F0"/>
    <w:rsid w:val="351A4295"/>
    <w:rsid w:val="35265C18"/>
    <w:rsid w:val="355157DD"/>
    <w:rsid w:val="35571045"/>
    <w:rsid w:val="358B6F41"/>
    <w:rsid w:val="35C47D3F"/>
    <w:rsid w:val="35EC6B2E"/>
    <w:rsid w:val="35EF5721"/>
    <w:rsid w:val="360D3DFA"/>
    <w:rsid w:val="36211653"/>
    <w:rsid w:val="365A616A"/>
    <w:rsid w:val="36B6623F"/>
    <w:rsid w:val="36BB3354"/>
    <w:rsid w:val="36D84EA5"/>
    <w:rsid w:val="36D8736D"/>
    <w:rsid w:val="36E239A8"/>
    <w:rsid w:val="36E91EA9"/>
    <w:rsid w:val="36FE4956"/>
    <w:rsid w:val="36FF85AE"/>
    <w:rsid w:val="37180CA8"/>
    <w:rsid w:val="37292428"/>
    <w:rsid w:val="372D6E3F"/>
    <w:rsid w:val="373F5302"/>
    <w:rsid w:val="37643EED"/>
    <w:rsid w:val="376856E5"/>
    <w:rsid w:val="377079EB"/>
    <w:rsid w:val="377FCEB6"/>
    <w:rsid w:val="378474D3"/>
    <w:rsid w:val="3787198A"/>
    <w:rsid w:val="37DA7D0B"/>
    <w:rsid w:val="37ED4992"/>
    <w:rsid w:val="383E54CF"/>
    <w:rsid w:val="38680C78"/>
    <w:rsid w:val="386B035A"/>
    <w:rsid w:val="387A1542"/>
    <w:rsid w:val="388F6D48"/>
    <w:rsid w:val="3891486E"/>
    <w:rsid w:val="389B56ED"/>
    <w:rsid w:val="38CA65FA"/>
    <w:rsid w:val="38F233BB"/>
    <w:rsid w:val="39301553"/>
    <w:rsid w:val="39455658"/>
    <w:rsid w:val="39604CDB"/>
    <w:rsid w:val="399D36E6"/>
    <w:rsid w:val="39E66E3B"/>
    <w:rsid w:val="39EA5CF4"/>
    <w:rsid w:val="39F34786"/>
    <w:rsid w:val="39FA28E7"/>
    <w:rsid w:val="3A02542C"/>
    <w:rsid w:val="3A154B40"/>
    <w:rsid w:val="3A1A5594"/>
    <w:rsid w:val="3A332B11"/>
    <w:rsid w:val="3A381BAC"/>
    <w:rsid w:val="3A3C2EFF"/>
    <w:rsid w:val="3A463375"/>
    <w:rsid w:val="3A8B1791"/>
    <w:rsid w:val="3AA0348E"/>
    <w:rsid w:val="3AA94BD5"/>
    <w:rsid w:val="3ADB0022"/>
    <w:rsid w:val="3AE74C19"/>
    <w:rsid w:val="3B457B92"/>
    <w:rsid w:val="3B570312"/>
    <w:rsid w:val="3B81506E"/>
    <w:rsid w:val="3B9F54CE"/>
    <w:rsid w:val="3BB6F035"/>
    <w:rsid w:val="3BC91F0E"/>
    <w:rsid w:val="3BED2703"/>
    <w:rsid w:val="3BEFA308"/>
    <w:rsid w:val="3BF16BC3"/>
    <w:rsid w:val="3BF55CF3"/>
    <w:rsid w:val="3BF68361"/>
    <w:rsid w:val="3C1F59D1"/>
    <w:rsid w:val="3C3F0A85"/>
    <w:rsid w:val="3C4226DD"/>
    <w:rsid w:val="3C53008C"/>
    <w:rsid w:val="3C532300"/>
    <w:rsid w:val="3C601430"/>
    <w:rsid w:val="3C696C92"/>
    <w:rsid w:val="3C99296C"/>
    <w:rsid w:val="3C9E5BA8"/>
    <w:rsid w:val="3CA54D8C"/>
    <w:rsid w:val="3CD76F0F"/>
    <w:rsid w:val="3CDF6D0B"/>
    <w:rsid w:val="3CF655E7"/>
    <w:rsid w:val="3D007DBA"/>
    <w:rsid w:val="3D0E6E15"/>
    <w:rsid w:val="3D5FE911"/>
    <w:rsid w:val="3D6975A4"/>
    <w:rsid w:val="3D6F0EF6"/>
    <w:rsid w:val="3D8A4BCE"/>
    <w:rsid w:val="3D8F2D6E"/>
    <w:rsid w:val="3DAB603D"/>
    <w:rsid w:val="3DC2196D"/>
    <w:rsid w:val="3DDA6FD7"/>
    <w:rsid w:val="3DE11DF4"/>
    <w:rsid w:val="3DEFCBB7"/>
    <w:rsid w:val="3DFFAF13"/>
    <w:rsid w:val="3E0575A1"/>
    <w:rsid w:val="3E6E73FF"/>
    <w:rsid w:val="3E93F166"/>
    <w:rsid w:val="3EA971BA"/>
    <w:rsid w:val="3EB58C4D"/>
    <w:rsid w:val="3EC040FF"/>
    <w:rsid w:val="3EEC6CA2"/>
    <w:rsid w:val="3F022FC2"/>
    <w:rsid w:val="3F0D6C18"/>
    <w:rsid w:val="3F3D5E9F"/>
    <w:rsid w:val="3F453060"/>
    <w:rsid w:val="3F7248EE"/>
    <w:rsid w:val="3F73B8DC"/>
    <w:rsid w:val="3F88086B"/>
    <w:rsid w:val="3F8823C7"/>
    <w:rsid w:val="3F9BCEFA"/>
    <w:rsid w:val="3F9F0707"/>
    <w:rsid w:val="3FB31600"/>
    <w:rsid w:val="3FBE38AF"/>
    <w:rsid w:val="3FC03C8B"/>
    <w:rsid w:val="3FC56946"/>
    <w:rsid w:val="3FF403FA"/>
    <w:rsid w:val="3FFE2ED6"/>
    <w:rsid w:val="3FFE991D"/>
    <w:rsid w:val="40063D93"/>
    <w:rsid w:val="400A23D4"/>
    <w:rsid w:val="404B1364"/>
    <w:rsid w:val="408A3A0D"/>
    <w:rsid w:val="40F864B4"/>
    <w:rsid w:val="41067DC3"/>
    <w:rsid w:val="411249BA"/>
    <w:rsid w:val="41354204"/>
    <w:rsid w:val="413E130B"/>
    <w:rsid w:val="4158572B"/>
    <w:rsid w:val="416F0BF4"/>
    <w:rsid w:val="417E5BAB"/>
    <w:rsid w:val="418036D2"/>
    <w:rsid w:val="418D4040"/>
    <w:rsid w:val="419D1708"/>
    <w:rsid w:val="41A82000"/>
    <w:rsid w:val="41C537DA"/>
    <w:rsid w:val="41FB042D"/>
    <w:rsid w:val="423050F8"/>
    <w:rsid w:val="4238123C"/>
    <w:rsid w:val="42727CA6"/>
    <w:rsid w:val="427D3C86"/>
    <w:rsid w:val="428B25BE"/>
    <w:rsid w:val="42AA2DEE"/>
    <w:rsid w:val="42CD0FC1"/>
    <w:rsid w:val="431E7646"/>
    <w:rsid w:val="43213B69"/>
    <w:rsid w:val="43367FF4"/>
    <w:rsid w:val="434102C7"/>
    <w:rsid w:val="4358671C"/>
    <w:rsid w:val="435B43F6"/>
    <w:rsid w:val="436332AB"/>
    <w:rsid w:val="43943464"/>
    <w:rsid w:val="43A63197"/>
    <w:rsid w:val="43AF64F0"/>
    <w:rsid w:val="44112D07"/>
    <w:rsid w:val="442A6274"/>
    <w:rsid w:val="443133A9"/>
    <w:rsid w:val="444561F0"/>
    <w:rsid w:val="444E3BE8"/>
    <w:rsid w:val="445A3463"/>
    <w:rsid w:val="44600FFC"/>
    <w:rsid w:val="44AB7024"/>
    <w:rsid w:val="44BE3578"/>
    <w:rsid w:val="44C935E1"/>
    <w:rsid w:val="44D3620E"/>
    <w:rsid w:val="44D426B2"/>
    <w:rsid w:val="44E87F0C"/>
    <w:rsid w:val="450B0205"/>
    <w:rsid w:val="452A20C1"/>
    <w:rsid w:val="455507B6"/>
    <w:rsid w:val="45603F46"/>
    <w:rsid w:val="45857508"/>
    <w:rsid w:val="45874E64"/>
    <w:rsid w:val="45BE6EBE"/>
    <w:rsid w:val="45C2075D"/>
    <w:rsid w:val="45CA2262"/>
    <w:rsid w:val="45D81521"/>
    <w:rsid w:val="45EF7078"/>
    <w:rsid w:val="45F446C0"/>
    <w:rsid w:val="464078D3"/>
    <w:rsid w:val="464145F6"/>
    <w:rsid w:val="467A5ADD"/>
    <w:rsid w:val="468603E5"/>
    <w:rsid w:val="468C48C7"/>
    <w:rsid w:val="468E6F6C"/>
    <w:rsid w:val="46924078"/>
    <w:rsid w:val="46A10DA5"/>
    <w:rsid w:val="46B81B60"/>
    <w:rsid w:val="46D36999"/>
    <w:rsid w:val="46F30DEA"/>
    <w:rsid w:val="4760316A"/>
    <w:rsid w:val="476D7B5D"/>
    <w:rsid w:val="47767A51"/>
    <w:rsid w:val="479E0D55"/>
    <w:rsid w:val="47B07BAA"/>
    <w:rsid w:val="47E70BB6"/>
    <w:rsid w:val="4803556E"/>
    <w:rsid w:val="48065E58"/>
    <w:rsid w:val="48286816"/>
    <w:rsid w:val="48380575"/>
    <w:rsid w:val="4858258C"/>
    <w:rsid w:val="48593977"/>
    <w:rsid w:val="486C6D18"/>
    <w:rsid w:val="486E0728"/>
    <w:rsid w:val="487B2E45"/>
    <w:rsid w:val="48904B42"/>
    <w:rsid w:val="48C33E97"/>
    <w:rsid w:val="48DD6F82"/>
    <w:rsid w:val="491E4121"/>
    <w:rsid w:val="49687EE9"/>
    <w:rsid w:val="497E1E4D"/>
    <w:rsid w:val="49890704"/>
    <w:rsid w:val="498D6205"/>
    <w:rsid w:val="49971F00"/>
    <w:rsid w:val="49CB5195"/>
    <w:rsid w:val="49DA3918"/>
    <w:rsid w:val="49E03350"/>
    <w:rsid w:val="49EC234C"/>
    <w:rsid w:val="49F17862"/>
    <w:rsid w:val="49F7474D"/>
    <w:rsid w:val="4A010FC6"/>
    <w:rsid w:val="4A0A2486"/>
    <w:rsid w:val="4A0C6254"/>
    <w:rsid w:val="4AAB4494"/>
    <w:rsid w:val="4AB03279"/>
    <w:rsid w:val="4AB0666C"/>
    <w:rsid w:val="4AE81949"/>
    <w:rsid w:val="4B106E7B"/>
    <w:rsid w:val="4B5A3324"/>
    <w:rsid w:val="4B76388E"/>
    <w:rsid w:val="4B9506C1"/>
    <w:rsid w:val="4B9F20AD"/>
    <w:rsid w:val="4C0D3A61"/>
    <w:rsid w:val="4C341BD2"/>
    <w:rsid w:val="4C5B7215"/>
    <w:rsid w:val="4C9149E5"/>
    <w:rsid w:val="4CC40DB5"/>
    <w:rsid w:val="4CCD730A"/>
    <w:rsid w:val="4D3A5CC6"/>
    <w:rsid w:val="4D3E2FAE"/>
    <w:rsid w:val="4D4A7598"/>
    <w:rsid w:val="4D816C33"/>
    <w:rsid w:val="4D907B8E"/>
    <w:rsid w:val="4DBF26D1"/>
    <w:rsid w:val="4DF80A94"/>
    <w:rsid w:val="4E045703"/>
    <w:rsid w:val="4E405508"/>
    <w:rsid w:val="4E863B24"/>
    <w:rsid w:val="4EA83FDC"/>
    <w:rsid w:val="4ED115C8"/>
    <w:rsid w:val="4ED71898"/>
    <w:rsid w:val="4EDD4E75"/>
    <w:rsid w:val="4EFE2B32"/>
    <w:rsid w:val="4F063B93"/>
    <w:rsid w:val="4F2953A8"/>
    <w:rsid w:val="4F7D515F"/>
    <w:rsid w:val="4FCE7CFE"/>
    <w:rsid w:val="4FE87012"/>
    <w:rsid w:val="4FEFBBD0"/>
    <w:rsid w:val="4FF37764"/>
    <w:rsid w:val="50083210"/>
    <w:rsid w:val="501047BA"/>
    <w:rsid w:val="5032028D"/>
    <w:rsid w:val="50406E4E"/>
    <w:rsid w:val="508C2093"/>
    <w:rsid w:val="51D13AD5"/>
    <w:rsid w:val="51D97AFF"/>
    <w:rsid w:val="51FBFAE8"/>
    <w:rsid w:val="52263E21"/>
    <w:rsid w:val="522B682A"/>
    <w:rsid w:val="52474DA5"/>
    <w:rsid w:val="526A6404"/>
    <w:rsid w:val="52824BEE"/>
    <w:rsid w:val="528721B3"/>
    <w:rsid w:val="52906AFF"/>
    <w:rsid w:val="52D03D8D"/>
    <w:rsid w:val="52DD4D4B"/>
    <w:rsid w:val="52E5041A"/>
    <w:rsid w:val="52F61A46"/>
    <w:rsid w:val="531719BC"/>
    <w:rsid w:val="531A33C5"/>
    <w:rsid w:val="53426794"/>
    <w:rsid w:val="537D2167"/>
    <w:rsid w:val="53BB5DC0"/>
    <w:rsid w:val="53E775E0"/>
    <w:rsid w:val="53F50225"/>
    <w:rsid w:val="53FD9591"/>
    <w:rsid w:val="54092845"/>
    <w:rsid w:val="543A6075"/>
    <w:rsid w:val="545E3D46"/>
    <w:rsid w:val="54CB5951"/>
    <w:rsid w:val="54E7110D"/>
    <w:rsid w:val="54F57361"/>
    <w:rsid w:val="550541AA"/>
    <w:rsid w:val="552E0B58"/>
    <w:rsid w:val="554121F3"/>
    <w:rsid w:val="554272CD"/>
    <w:rsid w:val="55AA001C"/>
    <w:rsid w:val="55AA4D69"/>
    <w:rsid w:val="55B44532"/>
    <w:rsid w:val="55C87F2E"/>
    <w:rsid w:val="55FE2CBA"/>
    <w:rsid w:val="561E7655"/>
    <w:rsid w:val="562059B9"/>
    <w:rsid w:val="56440D1A"/>
    <w:rsid w:val="56653549"/>
    <w:rsid w:val="567F1D52"/>
    <w:rsid w:val="56927CD7"/>
    <w:rsid w:val="56CF4AAF"/>
    <w:rsid w:val="56D40B82"/>
    <w:rsid w:val="56D77DE0"/>
    <w:rsid w:val="56DB4C3A"/>
    <w:rsid w:val="56E35CBB"/>
    <w:rsid w:val="56FB363C"/>
    <w:rsid w:val="57033140"/>
    <w:rsid w:val="57037FEF"/>
    <w:rsid w:val="572E6CA7"/>
    <w:rsid w:val="57415D3F"/>
    <w:rsid w:val="574DB4D3"/>
    <w:rsid w:val="57596A47"/>
    <w:rsid w:val="576C6869"/>
    <w:rsid w:val="577915D9"/>
    <w:rsid w:val="57881F22"/>
    <w:rsid w:val="578971D5"/>
    <w:rsid w:val="57923D07"/>
    <w:rsid w:val="57B43C7D"/>
    <w:rsid w:val="57CF1914"/>
    <w:rsid w:val="57E633BE"/>
    <w:rsid w:val="57FF9EFE"/>
    <w:rsid w:val="581550E8"/>
    <w:rsid w:val="58167B7A"/>
    <w:rsid w:val="582839E6"/>
    <w:rsid w:val="583C5BF3"/>
    <w:rsid w:val="58401886"/>
    <w:rsid w:val="5855720E"/>
    <w:rsid w:val="5875340D"/>
    <w:rsid w:val="587C29ED"/>
    <w:rsid w:val="5881407B"/>
    <w:rsid w:val="588C0756"/>
    <w:rsid w:val="58911DCF"/>
    <w:rsid w:val="58975A79"/>
    <w:rsid w:val="58B60AA4"/>
    <w:rsid w:val="58B73A25"/>
    <w:rsid w:val="58C6010C"/>
    <w:rsid w:val="58F279AA"/>
    <w:rsid w:val="58F6DF6E"/>
    <w:rsid w:val="590B5B1F"/>
    <w:rsid w:val="591109C7"/>
    <w:rsid w:val="592326D2"/>
    <w:rsid w:val="59246BE1"/>
    <w:rsid w:val="59253085"/>
    <w:rsid w:val="5943175D"/>
    <w:rsid w:val="59436B91"/>
    <w:rsid w:val="595F5990"/>
    <w:rsid w:val="597DEF9B"/>
    <w:rsid w:val="599C3422"/>
    <w:rsid w:val="59B42CD8"/>
    <w:rsid w:val="59CC52AE"/>
    <w:rsid w:val="59CD275E"/>
    <w:rsid w:val="59F238A5"/>
    <w:rsid w:val="5A160C1F"/>
    <w:rsid w:val="5A387599"/>
    <w:rsid w:val="5A7FB14E"/>
    <w:rsid w:val="5A8913F1"/>
    <w:rsid w:val="5A9B2ED2"/>
    <w:rsid w:val="5A9D6FC5"/>
    <w:rsid w:val="5AA61A39"/>
    <w:rsid w:val="5AB167E2"/>
    <w:rsid w:val="5ABE406B"/>
    <w:rsid w:val="5ADB3AB4"/>
    <w:rsid w:val="5AFF1586"/>
    <w:rsid w:val="5B064FB5"/>
    <w:rsid w:val="5B160669"/>
    <w:rsid w:val="5B331733"/>
    <w:rsid w:val="5B43467D"/>
    <w:rsid w:val="5B78295E"/>
    <w:rsid w:val="5B7B2B66"/>
    <w:rsid w:val="5B924B32"/>
    <w:rsid w:val="5BBC1352"/>
    <w:rsid w:val="5BE24471"/>
    <w:rsid w:val="5BFA1B04"/>
    <w:rsid w:val="5BFB027A"/>
    <w:rsid w:val="5C146C73"/>
    <w:rsid w:val="5C295777"/>
    <w:rsid w:val="5C3910BC"/>
    <w:rsid w:val="5C602626"/>
    <w:rsid w:val="5C7B0A98"/>
    <w:rsid w:val="5C7D6D34"/>
    <w:rsid w:val="5D047455"/>
    <w:rsid w:val="5D3A654F"/>
    <w:rsid w:val="5D603429"/>
    <w:rsid w:val="5D7A14C5"/>
    <w:rsid w:val="5D7DCCBC"/>
    <w:rsid w:val="5D805C7A"/>
    <w:rsid w:val="5D9FBAFC"/>
    <w:rsid w:val="5DC463E8"/>
    <w:rsid w:val="5DD67616"/>
    <w:rsid w:val="5E05722B"/>
    <w:rsid w:val="5E0E62FC"/>
    <w:rsid w:val="5E3F6182"/>
    <w:rsid w:val="5E4F76AC"/>
    <w:rsid w:val="5E6829AE"/>
    <w:rsid w:val="5E6A778C"/>
    <w:rsid w:val="5E8C7702"/>
    <w:rsid w:val="5EBC027A"/>
    <w:rsid w:val="5ECB9D66"/>
    <w:rsid w:val="5EEC01A1"/>
    <w:rsid w:val="5EF157B7"/>
    <w:rsid w:val="5EFF7613"/>
    <w:rsid w:val="5F2F16D3"/>
    <w:rsid w:val="5F3C1FE0"/>
    <w:rsid w:val="5F563A58"/>
    <w:rsid w:val="5F5A7800"/>
    <w:rsid w:val="5F5E8005"/>
    <w:rsid w:val="5F655D15"/>
    <w:rsid w:val="5F956F50"/>
    <w:rsid w:val="5F964192"/>
    <w:rsid w:val="5FBF0F34"/>
    <w:rsid w:val="5FE7510C"/>
    <w:rsid w:val="5FEF619A"/>
    <w:rsid w:val="5FF940EC"/>
    <w:rsid w:val="60131842"/>
    <w:rsid w:val="60163069"/>
    <w:rsid w:val="604F7150"/>
    <w:rsid w:val="605509A7"/>
    <w:rsid w:val="60AA0313"/>
    <w:rsid w:val="60B849F9"/>
    <w:rsid w:val="60BC4B7A"/>
    <w:rsid w:val="611B26C5"/>
    <w:rsid w:val="614E39AD"/>
    <w:rsid w:val="61614E76"/>
    <w:rsid w:val="61631C7E"/>
    <w:rsid w:val="617C2D3A"/>
    <w:rsid w:val="618A06C4"/>
    <w:rsid w:val="61973C7D"/>
    <w:rsid w:val="619B2CBC"/>
    <w:rsid w:val="619D0A42"/>
    <w:rsid w:val="619E65B7"/>
    <w:rsid w:val="61FC694D"/>
    <w:rsid w:val="61FF01EB"/>
    <w:rsid w:val="62160ED1"/>
    <w:rsid w:val="622D46BD"/>
    <w:rsid w:val="6280132C"/>
    <w:rsid w:val="629812AD"/>
    <w:rsid w:val="629E73A2"/>
    <w:rsid w:val="62A570F7"/>
    <w:rsid w:val="62AB1151"/>
    <w:rsid w:val="62BD7CFB"/>
    <w:rsid w:val="62E77411"/>
    <w:rsid w:val="62FB30A8"/>
    <w:rsid w:val="630E06E5"/>
    <w:rsid w:val="630F445E"/>
    <w:rsid w:val="631D4DCC"/>
    <w:rsid w:val="632C5010"/>
    <w:rsid w:val="636078E8"/>
    <w:rsid w:val="63614889"/>
    <w:rsid w:val="636E5628"/>
    <w:rsid w:val="6371581F"/>
    <w:rsid w:val="637A5D7B"/>
    <w:rsid w:val="63843334"/>
    <w:rsid w:val="63854488"/>
    <w:rsid w:val="638766EA"/>
    <w:rsid w:val="639D7CBB"/>
    <w:rsid w:val="63BC3470"/>
    <w:rsid w:val="63E27261"/>
    <w:rsid w:val="63E34B70"/>
    <w:rsid w:val="641472EE"/>
    <w:rsid w:val="64155AA4"/>
    <w:rsid w:val="645C1D5E"/>
    <w:rsid w:val="646D3391"/>
    <w:rsid w:val="64763304"/>
    <w:rsid w:val="64B2774A"/>
    <w:rsid w:val="64D63485"/>
    <w:rsid w:val="65111A21"/>
    <w:rsid w:val="655B7FC6"/>
    <w:rsid w:val="65874A9D"/>
    <w:rsid w:val="658904F7"/>
    <w:rsid w:val="65E25E59"/>
    <w:rsid w:val="65EC0A86"/>
    <w:rsid w:val="65FE0603"/>
    <w:rsid w:val="66532A36"/>
    <w:rsid w:val="66615387"/>
    <w:rsid w:val="666A43E6"/>
    <w:rsid w:val="666B22F3"/>
    <w:rsid w:val="66B477F6"/>
    <w:rsid w:val="66BE2423"/>
    <w:rsid w:val="66C56337"/>
    <w:rsid w:val="672229B1"/>
    <w:rsid w:val="672824FD"/>
    <w:rsid w:val="677220A2"/>
    <w:rsid w:val="677C5E51"/>
    <w:rsid w:val="67902011"/>
    <w:rsid w:val="67A57B70"/>
    <w:rsid w:val="67AC671F"/>
    <w:rsid w:val="67EB28FC"/>
    <w:rsid w:val="67F51E74"/>
    <w:rsid w:val="67F65BEC"/>
    <w:rsid w:val="67F72BAF"/>
    <w:rsid w:val="67FEDA8B"/>
    <w:rsid w:val="680D18B3"/>
    <w:rsid w:val="68104F00"/>
    <w:rsid w:val="681244FC"/>
    <w:rsid w:val="685968A7"/>
    <w:rsid w:val="688E37FB"/>
    <w:rsid w:val="68C853D0"/>
    <w:rsid w:val="68E5638C"/>
    <w:rsid w:val="68EF785A"/>
    <w:rsid w:val="690A7BA1"/>
    <w:rsid w:val="69107F02"/>
    <w:rsid w:val="691E189E"/>
    <w:rsid w:val="694A61EF"/>
    <w:rsid w:val="69652139"/>
    <w:rsid w:val="697B284D"/>
    <w:rsid w:val="69A928F1"/>
    <w:rsid w:val="69C45FA2"/>
    <w:rsid w:val="69DF0155"/>
    <w:rsid w:val="69E7343C"/>
    <w:rsid w:val="69F74FA9"/>
    <w:rsid w:val="6A745C1A"/>
    <w:rsid w:val="6A7C4ACE"/>
    <w:rsid w:val="6A8E477D"/>
    <w:rsid w:val="6A9260A0"/>
    <w:rsid w:val="6ABA2D6A"/>
    <w:rsid w:val="6AF06402"/>
    <w:rsid w:val="6B0A3E88"/>
    <w:rsid w:val="6B2B64DE"/>
    <w:rsid w:val="6B7B6EF8"/>
    <w:rsid w:val="6BA43F91"/>
    <w:rsid w:val="6BE74F14"/>
    <w:rsid w:val="6BF7B891"/>
    <w:rsid w:val="6C0A7EB8"/>
    <w:rsid w:val="6C264CF2"/>
    <w:rsid w:val="6C2979F2"/>
    <w:rsid w:val="6C6121CE"/>
    <w:rsid w:val="6CB82ACD"/>
    <w:rsid w:val="6CE95D1F"/>
    <w:rsid w:val="6CF92DA5"/>
    <w:rsid w:val="6D622450"/>
    <w:rsid w:val="6DA94B4F"/>
    <w:rsid w:val="6DB657C7"/>
    <w:rsid w:val="6DCD0C1A"/>
    <w:rsid w:val="6DD4449B"/>
    <w:rsid w:val="6DDCA2AC"/>
    <w:rsid w:val="6DEC1F6B"/>
    <w:rsid w:val="6DFB0400"/>
    <w:rsid w:val="6E166FE8"/>
    <w:rsid w:val="6E227C51"/>
    <w:rsid w:val="6E2A64EE"/>
    <w:rsid w:val="6E478CCF"/>
    <w:rsid w:val="6E535B46"/>
    <w:rsid w:val="6E5B2C4D"/>
    <w:rsid w:val="6E6D4619"/>
    <w:rsid w:val="6E7F5B55"/>
    <w:rsid w:val="6E873A42"/>
    <w:rsid w:val="6EFDC14F"/>
    <w:rsid w:val="6F0230C8"/>
    <w:rsid w:val="6F2C399A"/>
    <w:rsid w:val="6F344880"/>
    <w:rsid w:val="6F5372C3"/>
    <w:rsid w:val="6F636D19"/>
    <w:rsid w:val="6F6A3EB7"/>
    <w:rsid w:val="6F6B5112"/>
    <w:rsid w:val="6F761BCE"/>
    <w:rsid w:val="6F7E44F1"/>
    <w:rsid w:val="6F7FA7DC"/>
    <w:rsid w:val="6F8040FF"/>
    <w:rsid w:val="6F8F2BAE"/>
    <w:rsid w:val="6FA128E1"/>
    <w:rsid w:val="6FC43198"/>
    <w:rsid w:val="6FDE10DE"/>
    <w:rsid w:val="6FEF90B4"/>
    <w:rsid w:val="6FFC1207"/>
    <w:rsid w:val="700A07D7"/>
    <w:rsid w:val="7013079E"/>
    <w:rsid w:val="70251764"/>
    <w:rsid w:val="703E6382"/>
    <w:rsid w:val="704024BF"/>
    <w:rsid w:val="704036A5"/>
    <w:rsid w:val="70470551"/>
    <w:rsid w:val="704C06FA"/>
    <w:rsid w:val="706758D9"/>
    <w:rsid w:val="706E3DA3"/>
    <w:rsid w:val="708475F5"/>
    <w:rsid w:val="708B5A6B"/>
    <w:rsid w:val="709008C4"/>
    <w:rsid w:val="70956FE4"/>
    <w:rsid w:val="70BFCC90"/>
    <w:rsid w:val="70C920F0"/>
    <w:rsid w:val="70DA5A6D"/>
    <w:rsid w:val="710D46D2"/>
    <w:rsid w:val="719569B9"/>
    <w:rsid w:val="71B44B4E"/>
    <w:rsid w:val="71D56E4C"/>
    <w:rsid w:val="71ED62B2"/>
    <w:rsid w:val="71EE199F"/>
    <w:rsid w:val="71F3D316"/>
    <w:rsid w:val="7205184D"/>
    <w:rsid w:val="720553A9"/>
    <w:rsid w:val="72135D18"/>
    <w:rsid w:val="725D2011"/>
    <w:rsid w:val="726C5429"/>
    <w:rsid w:val="727B38BE"/>
    <w:rsid w:val="729D1A86"/>
    <w:rsid w:val="72BD5C84"/>
    <w:rsid w:val="72CA520C"/>
    <w:rsid w:val="72FF1356"/>
    <w:rsid w:val="733441CF"/>
    <w:rsid w:val="734A8D0D"/>
    <w:rsid w:val="734B3290"/>
    <w:rsid w:val="73564C7B"/>
    <w:rsid w:val="73577B45"/>
    <w:rsid w:val="7386708A"/>
    <w:rsid w:val="73903399"/>
    <w:rsid w:val="73A34E7A"/>
    <w:rsid w:val="73A66718"/>
    <w:rsid w:val="73AA2FF3"/>
    <w:rsid w:val="73BD73DB"/>
    <w:rsid w:val="73DB07FD"/>
    <w:rsid w:val="73E55492"/>
    <w:rsid w:val="73E73BB3"/>
    <w:rsid w:val="73F8A7B4"/>
    <w:rsid w:val="73FDD619"/>
    <w:rsid w:val="740E2C9B"/>
    <w:rsid w:val="746FEE30"/>
    <w:rsid w:val="74A20E17"/>
    <w:rsid w:val="74B75C45"/>
    <w:rsid w:val="74D92E12"/>
    <w:rsid w:val="74E41BEE"/>
    <w:rsid w:val="74EA0887"/>
    <w:rsid w:val="751D387F"/>
    <w:rsid w:val="751D4255"/>
    <w:rsid w:val="75324707"/>
    <w:rsid w:val="753F51A9"/>
    <w:rsid w:val="75422296"/>
    <w:rsid w:val="75476980"/>
    <w:rsid w:val="75532DBB"/>
    <w:rsid w:val="758B2048"/>
    <w:rsid w:val="75C80BC8"/>
    <w:rsid w:val="75CD5545"/>
    <w:rsid w:val="763152E6"/>
    <w:rsid w:val="76331700"/>
    <w:rsid w:val="763E58F2"/>
    <w:rsid w:val="76405A74"/>
    <w:rsid w:val="76592168"/>
    <w:rsid w:val="765DD1C1"/>
    <w:rsid w:val="76671856"/>
    <w:rsid w:val="76676633"/>
    <w:rsid w:val="76966F18"/>
    <w:rsid w:val="76B7BA23"/>
    <w:rsid w:val="76DD4B47"/>
    <w:rsid w:val="76E9529A"/>
    <w:rsid w:val="76F0487A"/>
    <w:rsid w:val="76FB321F"/>
    <w:rsid w:val="76FE17BD"/>
    <w:rsid w:val="76FF5F62"/>
    <w:rsid w:val="77053665"/>
    <w:rsid w:val="770D5AC1"/>
    <w:rsid w:val="770F0E04"/>
    <w:rsid w:val="77130569"/>
    <w:rsid w:val="772462D2"/>
    <w:rsid w:val="775DEDF6"/>
    <w:rsid w:val="77671F5F"/>
    <w:rsid w:val="77737259"/>
    <w:rsid w:val="777A6AAE"/>
    <w:rsid w:val="77922261"/>
    <w:rsid w:val="77981DB8"/>
    <w:rsid w:val="77A16184"/>
    <w:rsid w:val="77BE011C"/>
    <w:rsid w:val="77CFB02D"/>
    <w:rsid w:val="77D27E07"/>
    <w:rsid w:val="77DB3D40"/>
    <w:rsid w:val="77FBF427"/>
    <w:rsid w:val="77FCEEFE"/>
    <w:rsid w:val="780A3F99"/>
    <w:rsid w:val="780E2ADE"/>
    <w:rsid w:val="784443FC"/>
    <w:rsid w:val="786A065C"/>
    <w:rsid w:val="786A4AD7"/>
    <w:rsid w:val="788E6722"/>
    <w:rsid w:val="78A7710D"/>
    <w:rsid w:val="78D110A7"/>
    <w:rsid w:val="79075EAB"/>
    <w:rsid w:val="7919798C"/>
    <w:rsid w:val="7940316B"/>
    <w:rsid w:val="794F520C"/>
    <w:rsid w:val="7956473D"/>
    <w:rsid w:val="795B2114"/>
    <w:rsid w:val="79B80F53"/>
    <w:rsid w:val="79DC2E94"/>
    <w:rsid w:val="79E65AC0"/>
    <w:rsid w:val="7A013A66"/>
    <w:rsid w:val="7A6F3D08"/>
    <w:rsid w:val="7A814B3C"/>
    <w:rsid w:val="7AA371EC"/>
    <w:rsid w:val="7AB7ABCF"/>
    <w:rsid w:val="7AB81AA1"/>
    <w:rsid w:val="7ACB3979"/>
    <w:rsid w:val="7ACD2C21"/>
    <w:rsid w:val="7B252618"/>
    <w:rsid w:val="7B3B2B9A"/>
    <w:rsid w:val="7B58479C"/>
    <w:rsid w:val="7B6E2211"/>
    <w:rsid w:val="7B771B4D"/>
    <w:rsid w:val="7B914152"/>
    <w:rsid w:val="7B9B0B2D"/>
    <w:rsid w:val="7BBBF903"/>
    <w:rsid w:val="7BDD18BA"/>
    <w:rsid w:val="7BE72388"/>
    <w:rsid w:val="7BEB1AB4"/>
    <w:rsid w:val="7C2A51D8"/>
    <w:rsid w:val="7C2D5C29"/>
    <w:rsid w:val="7C7D11DC"/>
    <w:rsid w:val="7CA40E87"/>
    <w:rsid w:val="7CEA528D"/>
    <w:rsid w:val="7CF343A1"/>
    <w:rsid w:val="7CF647CE"/>
    <w:rsid w:val="7D017208"/>
    <w:rsid w:val="7D021039"/>
    <w:rsid w:val="7D1341BE"/>
    <w:rsid w:val="7D354C5D"/>
    <w:rsid w:val="7D36082F"/>
    <w:rsid w:val="7D3F7641"/>
    <w:rsid w:val="7D513B99"/>
    <w:rsid w:val="7D9B9AB7"/>
    <w:rsid w:val="7DAA5057"/>
    <w:rsid w:val="7DBE7642"/>
    <w:rsid w:val="7DDF3AEC"/>
    <w:rsid w:val="7DDF5855"/>
    <w:rsid w:val="7DDF73F6"/>
    <w:rsid w:val="7E0A5B87"/>
    <w:rsid w:val="7E17E7FE"/>
    <w:rsid w:val="7E2E2F16"/>
    <w:rsid w:val="7E324365"/>
    <w:rsid w:val="7E4E1E86"/>
    <w:rsid w:val="7E575E95"/>
    <w:rsid w:val="7E694F12"/>
    <w:rsid w:val="7E6F667C"/>
    <w:rsid w:val="7E7EBEC9"/>
    <w:rsid w:val="7ECC4D7D"/>
    <w:rsid w:val="7EDE4B74"/>
    <w:rsid w:val="7EE1B2E8"/>
    <w:rsid w:val="7EEF5C43"/>
    <w:rsid w:val="7F01514B"/>
    <w:rsid w:val="7F0A1577"/>
    <w:rsid w:val="7F1470B5"/>
    <w:rsid w:val="7F2DCC0F"/>
    <w:rsid w:val="7F381E1D"/>
    <w:rsid w:val="7F3DBA81"/>
    <w:rsid w:val="7F741DC0"/>
    <w:rsid w:val="7F7D71C0"/>
    <w:rsid w:val="7F857B2A"/>
    <w:rsid w:val="7F9DDBA2"/>
    <w:rsid w:val="7FA26627"/>
    <w:rsid w:val="7FBDF965"/>
    <w:rsid w:val="7FBF816F"/>
    <w:rsid w:val="7FDF548C"/>
    <w:rsid w:val="7FF5EC34"/>
    <w:rsid w:val="7FF78B87"/>
    <w:rsid w:val="7FFD55ED"/>
    <w:rsid w:val="7FFF4922"/>
    <w:rsid w:val="8BFFBDCF"/>
    <w:rsid w:val="9BC6E34B"/>
    <w:rsid w:val="9EFDFDD9"/>
    <w:rsid w:val="A2E9BF0A"/>
    <w:rsid w:val="AAF9B338"/>
    <w:rsid w:val="AC8FC665"/>
    <w:rsid w:val="ACFFF825"/>
    <w:rsid w:val="AFBF0474"/>
    <w:rsid w:val="B18B7562"/>
    <w:rsid w:val="B297F98E"/>
    <w:rsid w:val="B4AD5343"/>
    <w:rsid w:val="B5FFDB98"/>
    <w:rsid w:val="B6EF5E02"/>
    <w:rsid w:val="B7AFA21A"/>
    <w:rsid w:val="B7F7B89B"/>
    <w:rsid w:val="B8F79F9E"/>
    <w:rsid w:val="BBFDA9C6"/>
    <w:rsid w:val="BEFB7107"/>
    <w:rsid w:val="BF67A0D0"/>
    <w:rsid w:val="BF684F3A"/>
    <w:rsid w:val="BFAF4CD5"/>
    <w:rsid w:val="BFB652B4"/>
    <w:rsid w:val="BFDFD5BA"/>
    <w:rsid w:val="C3A8578B"/>
    <w:rsid w:val="C3FBAE6E"/>
    <w:rsid w:val="C56B322B"/>
    <w:rsid w:val="C57B1EDB"/>
    <w:rsid w:val="C77C02FA"/>
    <w:rsid w:val="CBCFF975"/>
    <w:rsid w:val="D3CFD681"/>
    <w:rsid w:val="D5BEF10E"/>
    <w:rsid w:val="D5FDBE8C"/>
    <w:rsid w:val="D76E090B"/>
    <w:rsid w:val="D7D3BE55"/>
    <w:rsid w:val="DB3F9407"/>
    <w:rsid w:val="DEFD9A87"/>
    <w:rsid w:val="DF6A5B11"/>
    <w:rsid w:val="DF773765"/>
    <w:rsid w:val="DF7E0C2E"/>
    <w:rsid w:val="DFA6634A"/>
    <w:rsid w:val="DFECF4C1"/>
    <w:rsid w:val="DFFFE5B0"/>
    <w:rsid w:val="E4DB8413"/>
    <w:rsid w:val="E5F539FC"/>
    <w:rsid w:val="E6F70932"/>
    <w:rsid w:val="E6F72D27"/>
    <w:rsid w:val="E7FD48C9"/>
    <w:rsid w:val="EBDC6FF3"/>
    <w:rsid w:val="EBFC4E88"/>
    <w:rsid w:val="ECAFB66D"/>
    <w:rsid w:val="ED5B1C77"/>
    <w:rsid w:val="EDED7DA5"/>
    <w:rsid w:val="EDFFA1B3"/>
    <w:rsid w:val="EEFB44C7"/>
    <w:rsid w:val="EEFE3201"/>
    <w:rsid w:val="EF3D0123"/>
    <w:rsid w:val="EF5F1A39"/>
    <w:rsid w:val="EF7F3C37"/>
    <w:rsid w:val="EFDE5E1E"/>
    <w:rsid w:val="EFF7B320"/>
    <w:rsid w:val="EFF94FE0"/>
    <w:rsid w:val="F17FC5DD"/>
    <w:rsid w:val="F1BD2C02"/>
    <w:rsid w:val="F1CE00F3"/>
    <w:rsid w:val="F1D514D9"/>
    <w:rsid w:val="F37F3E99"/>
    <w:rsid w:val="F5D74F7C"/>
    <w:rsid w:val="F5FFED76"/>
    <w:rsid w:val="F6DB8EBA"/>
    <w:rsid w:val="F76F5F08"/>
    <w:rsid w:val="F7BDEEF6"/>
    <w:rsid w:val="F7DD57E3"/>
    <w:rsid w:val="F7EDC300"/>
    <w:rsid w:val="F7EF8029"/>
    <w:rsid w:val="F7FF691E"/>
    <w:rsid w:val="FB0F0988"/>
    <w:rsid w:val="FB37C769"/>
    <w:rsid w:val="FB7D8AA4"/>
    <w:rsid w:val="FBDF3BBC"/>
    <w:rsid w:val="FBEBCBD8"/>
    <w:rsid w:val="FBF76E69"/>
    <w:rsid w:val="FBFE4152"/>
    <w:rsid w:val="FCF9B662"/>
    <w:rsid w:val="FCFB06E9"/>
    <w:rsid w:val="FCFE3075"/>
    <w:rsid w:val="FD535991"/>
    <w:rsid w:val="FD9BE8F8"/>
    <w:rsid w:val="FDAA5150"/>
    <w:rsid w:val="FDDBA678"/>
    <w:rsid w:val="FDDBE9D6"/>
    <w:rsid w:val="FDDEA388"/>
    <w:rsid w:val="FDF120E3"/>
    <w:rsid w:val="FDFD971D"/>
    <w:rsid w:val="FDFF190B"/>
    <w:rsid w:val="FE674BDB"/>
    <w:rsid w:val="FE6E18DE"/>
    <w:rsid w:val="FE7F8329"/>
    <w:rsid w:val="FE856CEB"/>
    <w:rsid w:val="FECD5E06"/>
    <w:rsid w:val="FEF7ADDF"/>
    <w:rsid w:val="FEFD9655"/>
    <w:rsid w:val="FEFE955E"/>
    <w:rsid w:val="FF2FED21"/>
    <w:rsid w:val="FF370FDE"/>
    <w:rsid w:val="FF533007"/>
    <w:rsid w:val="FF5D845B"/>
    <w:rsid w:val="FF5EB924"/>
    <w:rsid w:val="FF5FA289"/>
    <w:rsid w:val="FF6F5870"/>
    <w:rsid w:val="FF7762D3"/>
    <w:rsid w:val="FF7B0F7D"/>
    <w:rsid w:val="FFBF04F4"/>
    <w:rsid w:val="FFBF2382"/>
    <w:rsid w:val="FFD6A4D0"/>
    <w:rsid w:val="FFDADF68"/>
    <w:rsid w:val="FFDBCF82"/>
    <w:rsid w:val="FFEF2757"/>
    <w:rsid w:val="FFEF39BA"/>
    <w:rsid w:val="FFEF90EC"/>
    <w:rsid w:val="FFFB12A7"/>
    <w:rsid w:val="FFFB86C7"/>
    <w:rsid w:val="FFFBB14C"/>
    <w:rsid w:val="FFFED030"/>
    <w:rsid w:val="FFFFDB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kern w:val="2"/>
      <w:sz w:val="22"/>
      <w:szCs w:val="24"/>
      <w:lang w:val="en-US" w:eastAsia="zh-CN" w:bidi="ar-SA"/>
    </w:rPr>
  </w:style>
  <w:style w:type="paragraph" w:styleId="5">
    <w:name w:val="heading 1"/>
    <w:basedOn w:val="1"/>
    <w:next w:val="1"/>
    <w:qFormat/>
    <w:uiPriority w:val="0"/>
    <w:pPr>
      <w:keepNext/>
      <w:keepLines/>
      <w:spacing w:line="360" w:lineRule="auto"/>
      <w:jc w:val="center"/>
      <w:outlineLvl w:val="0"/>
    </w:pPr>
    <w:rPr>
      <w:b/>
      <w:bCs/>
      <w:kern w:val="44"/>
      <w:sz w:val="44"/>
      <w:szCs w:val="44"/>
    </w:rPr>
  </w:style>
  <w:style w:type="paragraph" w:styleId="6">
    <w:name w:val="heading 2"/>
    <w:basedOn w:val="1"/>
    <w:next w:val="1"/>
    <w:qFormat/>
    <w:uiPriority w:val="99"/>
    <w:pPr>
      <w:ind w:left="3"/>
      <w:jc w:val="center"/>
      <w:outlineLvl w:val="1"/>
    </w:pPr>
    <w:rPr>
      <w:rFonts w:ascii="宋体" w:hAnsi="宋体"/>
      <w:kern w:val="0"/>
      <w:sz w:val="32"/>
      <w:szCs w:val="32"/>
      <w:lang w:eastAsia="en-US"/>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59"/>
    <w:qFormat/>
    <w:uiPriority w:val="0"/>
    <w:pPr>
      <w:spacing w:after="120"/>
      <w:ind w:left="0" w:firstLine="420" w:firstLineChars="100"/>
      <w:jc w:val="both"/>
    </w:pPr>
    <w:rPr>
      <w:rFonts w:ascii="Times New Roman" w:hAnsi="Times New Roman"/>
      <w:kern w:val="2"/>
      <w:szCs w:val="24"/>
      <w:lang w:eastAsia="zh-CN"/>
    </w:rPr>
  </w:style>
  <w:style w:type="paragraph" w:styleId="3">
    <w:name w:val="Body Text"/>
    <w:basedOn w:val="1"/>
    <w:link w:val="58"/>
    <w:qFormat/>
    <w:uiPriority w:val="0"/>
    <w:pPr>
      <w:ind w:left="100"/>
    </w:pPr>
    <w:rPr>
      <w:rFonts w:ascii="宋体" w:hAnsi="宋体"/>
      <w:kern w:val="0"/>
      <w:szCs w:val="21"/>
      <w:lang w:eastAsia="en-US"/>
    </w:rPr>
  </w:style>
  <w:style w:type="paragraph" w:styleId="4">
    <w:name w:val="Body Text First Indent 2"/>
    <w:basedOn w:val="1"/>
    <w:qFormat/>
    <w:uiPriority w:val="0"/>
    <w:pPr>
      <w:ind w:firstLine="420"/>
    </w:pPr>
    <w:rPr>
      <w:rFonts w:ascii="Times New Roman" w:hAnsi="Calibri"/>
    </w:rPr>
  </w:style>
  <w:style w:type="paragraph" w:styleId="9">
    <w:name w:val="Normal Indent"/>
    <w:basedOn w:val="1"/>
    <w:link w:val="62"/>
    <w:qFormat/>
    <w:uiPriority w:val="99"/>
    <w:pPr>
      <w:jc w:val="center"/>
    </w:pPr>
    <w:rPr>
      <w:rFonts w:asciiTheme="minorEastAsia" w:hAnsiTheme="minorEastAsia" w:eastAsiaTheme="minorEastAsia"/>
      <w:kern w:val="0"/>
      <w:sz w:val="32"/>
      <w:szCs w:val="36"/>
      <w:lang w:eastAsia="en-US"/>
    </w:rPr>
  </w:style>
  <w:style w:type="paragraph" w:styleId="10">
    <w:name w:val="annotation text"/>
    <w:basedOn w:val="1"/>
    <w:link w:val="46"/>
    <w:qFormat/>
    <w:uiPriority w:val="0"/>
  </w:style>
  <w:style w:type="paragraph" w:styleId="11">
    <w:name w:val="Body Text 3"/>
    <w:basedOn w:val="1"/>
    <w:qFormat/>
    <w:uiPriority w:val="0"/>
    <w:pPr>
      <w:spacing w:after="120"/>
    </w:pPr>
    <w:rPr>
      <w:sz w:val="16"/>
      <w:szCs w:val="16"/>
    </w:rPr>
  </w:style>
  <w:style w:type="paragraph" w:styleId="12">
    <w:name w:val="Body Text Indent"/>
    <w:basedOn w:val="1"/>
    <w:next w:val="13"/>
    <w:qFormat/>
    <w:uiPriority w:val="0"/>
    <w:pPr>
      <w:spacing w:after="120"/>
      <w:ind w:left="420" w:leftChars="200"/>
    </w:pPr>
    <w:rPr>
      <w:rFonts w:ascii="宋体" w:hAnsi="宋体"/>
      <w:kern w:val="0"/>
      <w:lang w:eastAsia="en-US"/>
    </w:r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39"/>
    <w:pPr>
      <w:ind w:left="840" w:leftChars="400"/>
    </w:pPr>
  </w:style>
  <w:style w:type="paragraph" w:styleId="15">
    <w:name w:val="Plain Text"/>
    <w:basedOn w:val="1"/>
    <w:link w:val="57"/>
    <w:qFormat/>
    <w:uiPriority w:val="0"/>
    <w:rPr>
      <w:rFonts w:ascii="宋体" w:hAnsi="Courier New" w:eastAsia="Calibri"/>
      <w:kern w:val="0"/>
      <w:szCs w:val="20"/>
      <w:lang w:eastAsia="en-US"/>
    </w:rPr>
  </w:style>
  <w:style w:type="paragraph" w:styleId="16">
    <w:name w:val="Date"/>
    <w:basedOn w:val="1"/>
    <w:next w:val="1"/>
    <w:qFormat/>
    <w:uiPriority w:val="0"/>
    <w:pPr>
      <w:ind w:left="100" w:leftChars="2500"/>
    </w:pPr>
  </w:style>
  <w:style w:type="paragraph" w:styleId="17">
    <w:name w:val="Balloon Text"/>
    <w:basedOn w:val="1"/>
    <w:link w:val="45"/>
    <w:qFormat/>
    <w:uiPriority w:val="0"/>
    <w:rPr>
      <w:sz w:val="18"/>
      <w:szCs w:val="18"/>
    </w:rPr>
  </w:style>
  <w:style w:type="paragraph" w:styleId="18">
    <w:name w:val="footer"/>
    <w:basedOn w:val="1"/>
    <w:unhideWhenUsed/>
    <w:qFormat/>
    <w:uiPriority w:val="99"/>
    <w:pPr>
      <w:tabs>
        <w:tab w:val="center" w:pos="4153"/>
        <w:tab w:val="right" w:pos="8306"/>
      </w:tabs>
      <w:snapToGrid w:val="0"/>
    </w:pPr>
    <w:rPr>
      <w:kern w:val="0"/>
      <w:sz w:val="18"/>
      <w:szCs w:val="18"/>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39"/>
    <w:rPr>
      <w:rFonts w:ascii="宋体" w:hAnsi="宋体"/>
      <w:kern w:val="0"/>
      <w:szCs w:val="21"/>
      <w:lang w:eastAsia="en-US"/>
    </w:rPr>
  </w:style>
  <w:style w:type="paragraph" w:styleId="21">
    <w:name w:val="toc 2"/>
    <w:basedOn w:val="1"/>
    <w:next w:val="1"/>
    <w:qFormat/>
    <w:uiPriority w:val="39"/>
    <w:pPr>
      <w:ind w:left="210"/>
    </w:pPr>
    <w:rPr>
      <w:rFonts w:cs="Calibri"/>
      <w:smallCaps/>
    </w:rPr>
  </w:style>
  <w:style w:type="paragraph" w:styleId="22">
    <w:name w:val="Body Text 2"/>
    <w:basedOn w:val="1"/>
    <w:link w:val="63"/>
    <w:qFormat/>
    <w:uiPriority w:val="0"/>
    <w:pPr>
      <w:spacing w:after="120" w:line="480" w:lineRule="auto"/>
    </w:pPr>
  </w:style>
  <w:style w:type="paragraph" w:styleId="23">
    <w:name w:val="Normal (Web)"/>
    <w:basedOn w:val="1"/>
    <w:qFormat/>
    <w:uiPriority w:val="0"/>
    <w:pPr>
      <w:widowControl/>
      <w:spacing w:before="100" w:beforeAutospacing="1" w:after="100" w:afterAutospacing="1"/>
    </w:pPr>
    <w:rPr>
      <w:rFonts w:ascii="宋体" w:hAnsi="宋体"/>
      <w:kern w:val="0"/>
      <w:sz w:val="24"/>
    </w:rPr>
  </w:style>
  <w:style w:type="paragraph" w:styleId="24">
    <w:name w:val="Title"/>
    <w:basedOn w:val="1"/>
    <w:next w:val="1"/>
    <w:qFormat/>
    <w:uiPriority w:val="0"/>
    <w:pPr>
      <w:spacing w:before="240" w:after="60"/>
      <w:jc w:val="center"/>
      <w:outlineLvl w:val="0"/>
    </w:pPr>
    <w:rPr>
      <w:rFonts w:ascii="Cambria" w:hAnsi="Cambria"/>
      <w:b/>
      <w:bCs/>
      <w:kern w:val="0"/>
      <w:sz w:val="32"/>
      <w:szCs w:val="32"/>
      <w:lang w:eastAsia="en-US"/>
    </w:rPr>
  </w:style>
  <w:style w:type="paragraph" w:styleId="25">
    <w:name w:val="annotation subject"/>
    <w:basedOn w:val="10"/>
    <w:next w:val="10"/>
    <w:link w:val="47"/>
    <w:qFormat/>
    <w:uiPriority w:val="0"/>
    <w:rPr>
      <w:b/>
      <w:bCs/>
    </w:rPr>
  </w:style>
  <w:style w:type="character" w:styleId="28">
    <w:name w:val="Strong"/>
    <w:basedOn w:val="27"/>
    <w:qFormat/>
    <w:uiPriority w:val="0"/>
    <w:rPr>
      <w:b/>
      <w:bCs/>
      <w:color w:val="737373"/>
    </w:rPr>
  </w:style>
  <w:style w:type="character" w:styleId="29">
    <w:name w:val="page number"/>
    <w:qFormat/>
    <w:uiPriority w:val="0"/>
    <w:rPr>
      <w:rFonts w:ascii="Times New Roman" w:hAnsi="Times New Roman" w:eastAsia="宋体" w:cs="Times New Roman"/>
    </w:rPr>
  </w:style>
  <w:style w:type="character" w:styleId="30">
    <w:name w:val="FollowedHyperlink"/>
    <w:basedOn w:val="27"/>
    <w:qFormat/>
    <w:uiPriority w:val="0"/>
    <w:rPr>
      <w:rFonts w:hint="eastAsia" w:ascii="微软雅黑" w:hAnsi="微软雅黑" w:eastAsia="微软雅黑" w:cs="微软雅黑"/>
      <w:color w:val="337AB7"/>
      <w:u w:val="none"/>
    </w:rPr>
  </w:style>
  <w:style w:type="character" w:styleId="31">
    <w:name w:val="HTML Definition"/>
    <w:basedOn w:val="27"/>
    <w:qFormat/>
    <w:uiPriority w:val="0"/>
    <w:rPr>
      <w:i/>
      <w:iCs/>
    </w:rPr>
  </w:style>
  <w:style w:type="character" w:styleId="32">
    <w:name w:val="Hyperlink"/>
    <w:qFormat/>
    <w:uiPriority w:val="99"/>
    <w:rPr>
      <w:color w:val="0000FF"/>
      <w:u w:val="single"/>
    </w:rPr>
  </w:style>
  <w:style w:type="character" w:styleId="33">
    <w:name w:val="HTML Code"/>
    <w:basedOn w:val="27"/>
    <w:qFormat/>
    <w:uiPriority w:val="0"/>
    <w:rPr>
      <w:rFonts w:hint="default" w:ascii="Consolas" w:hAnsi="Consolas" w:eastAsia="Consolas" w:cs="Consolas"/>
      <w:color w:val="C7254E"/>
      <w:sz w:val="21"/>
      <w:szCs w:val="21"/>
      <w:bdr w:val="single" w:color="E1E1E1" w:sz="6" w:space="0"/>
      <w:shd w:val="clear" w:color="auto" w:fill="F9F2F4"/>
    </w:rPr>
  </w:style>
  <w:style w:type="character" w:styleId="34">
    <w:name w:val="annotation reference"/>
    <w:basedOn w:val="27"/>
    <w:qFormat/>
    <w:uiPriority w:val="0"/>
    <w:rPr>
      <w:sz w:val="21"/>
      <w:szCs w:val="21"/>
    </w:rPr>
  </w:style>
  <w:style w:type="character" w:styleId="35">
    <w:name w:val="HTML Keyboard"/>
    <w:basedOn w:val="27"/>
    <w:qFormat/>
    <w:uiPriority w:val="0"/>
    <w:rPr>
      <w:rFonts w:ascii="Consolas" w:hAnsi="Consolas" w:eastAsia="Consolas" w:cs="Consolas"/>
      <w:color w:val="FFFFFF"/>
      <w:sz w:val="21"/>
      <w:szCs w:val="21"/>
      <w:shd w:val="clear" w:color="auto" w:fill="333333"/>
    </w:rPr>
  </w:style>
  <w:style w:type="character" w:styleId="36">
    <w:name w:val="HTML Sample"/>
    <w:basedOn w:val="27"/>
    <w:qFormat/>
    <w:uiPriority w:val="0"/>
    <w:rPr>
      <w:rFonts w:hint="default" w:ascii="Consolas" w:hAnsi="Consolas" w:eastAsia="Consolas" w:cs="Consolas"/>
      <w:sz w:val="21"/>
      <w:szCs w:val="21"/>
    </w:rPr>
  </w:style>
  <w:style w:type="paragraph" w:customStyle="1" w:styleId="37">
    <w:name w:val="Table Paragraph"/>
    <w:basedOn w:val="1"/>
    <w:qFormat/>
    <w:uiPriority w:val="0"/>
    <w:pPr>
      <w:kinsoku w:val="0"/>
      <w:overflowPunct w:val="0"/>
      <w:spacing w:before="92"/>
      <w:ind w:left="108"/>
      <w:jc w:val="center"/>
    </w:pPr>
    <w:rPr>
      <w:rFonts w:ascii="Times New Roman" w:hAnsi="Times New Roman" w:eastAsia="Calibri"/>
      <w:kern w:val="0"/>
      <w:lang w:eastAsia="en-US"/>
    </w:rPr>
  </w:style>
  <w:style w:type="paragraph" w:styleId="38">
    <w:name w:val="List Paragraph"/>
    <w:basedOn w:val="1"/>
    <w:qFormat/>
    <w:uiPriority w:val="34"/>
    <w:rPr>
      <w:rFonts w:ascii="Times New Roman" w:hAnsi="Times New Roman" w:eastAsia="Calibri"/>
      <w:kern w:val="0"/>
      <w:lang w:eastAsia="en-US"/>
    </w:rPr>
  </w:style>
  <w:style w:type="paragraph" w:customStyle="1" w:styleId="3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0">
    <w:name w:val="发文落款"/>
    <w:basedOn w:val="39"/>
    <w:qFormat/>
    <w:uiPriority w:val="0"/>
    <w:pPr>
      <w:ind w:left="4094" w:right="607" w:firstLine="0"/>
      <w:jc w:val="center"/>
    </w:pPr>
    <w:rPr>
      <w:rFonts w:ascii="Calibri" w:hAnsi="Calibri" w:eastAsia="宋体"/>
    </w:rPr>
  </w:style>
  <w:style w:type="paragraph" w:customStyle="1" w:styleId="41">
    <w:name w:val="文二"/>
    <w:basedOn w:val="1"/>
    <w:qFormat/>
    <w:uiPriority w:val="0"/>
    <w:rPr>
      <w:rFonts w:ascii="宋体" w:hAnsi="宋体"/>
      <w:szCs w:val="21"/>
    </w:rPr>
  </w:style>
  <w:style w:type="paragraph" w:customStyle="1" w:styleId="42">
    <w:name w:val="正题"/>
    <w:basedOn w:val="43"/>
    <w:next w:val="43"/>
    <w:qFormat/>
    <w:uiPriority w:val="0"/>
    <w:pPr>
      <w:ind w:firstLine="0" w:firstLineChars="0"/>
      <w:jc w:val="center"/>
    </w:pPr>
    <w:rPr>
      <w:rFonts w:ascii="等线" w:hAnsi="等线" w:eastAsia="黑体"/>
      <w:b/>
      <w:sz w:val="36"/>
      <w:szCs w:val="36"/>
    </w:rPr>
  </w:style>
  <w:style w:type="paragraph" w:customStyle="1" w:styleId="43">
    <w:name w:val="文一"/>
    <w:basedOn w:val="1"/>
    <w:qFormat/>
    <w:uiPriority w:val="0"/>
    <w:pPr>
      <w:topLinePunct/>
      <w:adjustRightInd w:val="0"/>
      <w:snapToGrid w:val="0"/>
      <w:spacing w:line="360" w:lineRule="auto"/>
      <w:ind w:firstLine="200" w:firstLineChars="200"/>
    </w:pPr>
    <w:rPr>
      <w:rFonts w:ascii="Times New Roman" w:hAnsi="Times New Roman" w:eastAsia="Calibri"/>
      <w:spacing w:val="4"/>
      <w:kern w:val="0"/>
      <w:sz w:val="24"/>
      <w:lang w:eastAsia="en-US"/>
    </w:rPr>
  </w:style>
  <w:style w:type="paragraph" w:customStyle="1" w:styleId="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5">
    <w:name w:val="批注框文本 字符"/>
    <w:basedOn w:val="27"/>
    <w:link w:val="17"/>
    <w:qFormat/>
    <w:uiPriority w:val="0"/>
    <w:rPr>
      <w:rFonts w:ascii="Calibri" w:hAnsi="Calibri"/>
      <w:kern w:val="2"/>
      <w:sz w:val="18"/>
      <w:szCs w:val="18"/>
    </w:rPr>
  </w:style>
  <w:style w:type="character" w:customStyle="1" w:styleId="46">
    <w:name w:val="批注文字 字符"/>
    <w:basedOn w:val="27"/>
    <w:link w:val="10"/>
    <w:qFormat/>
    <w:uiPriority w:val="0"/>
    <w:rPr>
      <w:rFonts w:ascii="Calibri" w:hAnsi="Calibri"/>
      <w:kern w:val="2"/>
      <w:sz w:val="21"/>
      <w:szCs w:val="22"/>
    </w:rPr>
  </w:style>
  <w:style w:type="character" w:customStyle="1" w:styleId="47">
    <w:name w:val="批注主题 字符"/>
    <w:basedOn w:val="46"/>
    <w:link w:val="25"/>
    <w:qFormat/>
    <w:uiPriority w:val="0"/>
    <w:rPr>
      <w:rFonts w:ascii="Calibri" w:hAnsi="Calibri"/>
      <w:b/>
      <w:bCs/>
      <w:kern w:val="2"/>
      <w:sz w:val="21"/>
      <w:szCs w:val="22"/>
    </w:rPr>
  </w:style>
  <w:style w:type="character" w:customStyle="1" w:styleId="48">
    <w:name w:val="10"/>
    <w:basedOn w:val="27"/>
    <w:qFormat/>
    <w:uiPriority w:val="0"/>
    <w:rPr>
      <w:rFonts w:hint="default" w:ascii="Times New Roman" w:hAnsi="Times New Roman" w:cs="Times New Roman"/>
    </w:rPr>
  </w:style>
  <w:style w:type="character" w:customStyle="1" w:styleId="49">
    <w:name w:val="15"/>
    <w:basedOn w:val="27"/>
    <w:qFormat/>
    <w:uiPriority w:val="0"/>
    <w:rPr>
      <w:rFonts w:hint="default" w:ascii="Times New Roman" w:hAnsi="Times New Roman" w:cs="Times New Roman"/>
      <w:sz w:val="21"/>
      <w:szCs w:val="21"/>
    </w:rPr>
  </w:style>
  <w:style w:type="character" w:customStyle="1" w:styleId="50">
    <w:name w:val="title26"/>
    <w:basedOn w:val="27"/>
    <w:qFormat/>
    <w:uiPriority w:val="0"/>
  </w:style>
  <w:style w:type="character" w:customStyle="1" w:styleId="51">
    <w:name w:val="username"/>
    <w:basedOn w:val="27"/>
    <w:qFormat/>
    <w:uiPriority w:val="0"/>
  </w:style>
  <w:style w:type="character" w:customStyle="1" w:styleId="52">
    <w:name w:val="title2"/>
    <w:basedOn w:val="27"/>
    <w:qFormat/>
    <w:uiPriority w:val="0"/>
  </w:style>
  <w:style w:type="character" w:customStyle="1" w:styleId="53">
    <w:name w:val="title24"/>
    <w:basedOn w:val="27"/>
    <w:qFormat/>
    <w:uiPriority w:val="0"/>
  </w:style>
  <w:style w:type="character" w:customStyle="1" w:styleId="54">
    <w:name w:val="title21"/>
    <w:basedOn w:val="27"/>
    <w:qFormat/>
    <w:uiPriority w:val="0"/>
  </w:style>
  <w:style w:type="paragraph" w:customStyle="1" w:styleId="55">
    <w:name w:val="修订1"/>
    <w:hidden/>
    <w:unhideWhenUsed/>
    <w:qFormat/>
    <w:uiPriority w:val="99"/>
    <w:rPr>
      <w:rFonts w:ascii="Calibri" w:hAnsi="Calibri" w:eastAsia="宋体" w:cs="Times New Roman"/>
      <w:kern w:val="2"/>
      <w:sz w:val="21"/>
      <w:szCs w:val="22"/>
      <w:lang w:val="en-US" w:eastAsia="zh-CN" w:bidi="ar-SA"/>
    </w:rPr>
  </w:style>
  <w:style w:type="paragraph" w:customStyle="1" w:styleId="56">
    <w:name w:val="正文缩进2格"/>
    <w:basedOn w:val="1"/>
    <w:qFormat/>
    <w:uiPriority w:val="0"/>
    <w:pPr>
      <w:spacing w:line="600" w:lineRule="exact"/>
      <w:ind w:firstLine="639" w:firstLineChars="206"/>
    </w:pPr>
    <w:rPr>
      <w:rFonts w:ascii="仿宋_GB2312" w:hAnsi="宋体" w:eastAsia="仿宋_GB2312" w:cs="宋体"/>
      <w:kern w:val="0"/>
      <w:sz w:val="31"/>
      <w:szCs w:val="31"/>
    </w:rPr>
  </w:style>
  <w:style w:type="character" w:customStyle="1" w:styleId="57">
    <w:name w:val="纯文本 字符"/>
    <w:basedOn w:val="27"/>
    <w:link w:val="15"/>
    <w:qFormat/>
    <w:uiPriority w:val="0"/>
    <w:rPr>
      <w:rFonts w:ascii="宋体" w:hAnsi="Courier New" w:eastAsia="Calibri"/>
      <w:sz w:val="22"/>
      <w:lang w:eastAsia="en-US"/>
    </w:rPr>
  </w:style>
  <w:style w:type="character" w:customStyle="1" w:styleId="58">
    <w:name w:val="正文文本 字符"/>
    <w:basedOn w:val="27"/>
    <w:link w:val="3"/>
    <w:qFormat/>
    <w:uiPriority w:val="0"/>
    <w:rPr>
      <w:rFonts w:ascii="宋体" w:hAnsi="宋体"/>
      <w:sz w:val="21"/>
      <w:szCs w:val="21"/>
      <w:lang w:eastAsia="en-US"/>
    </w:rPr>
  </w:style>
  <w:style w:type="character" w:customStyle="1" w:styleId="59">
    <w:name w:val="正文文本首行缩进 字符"/>
    <w:basedOn w:val="58"/>
    <w:link w:val="2"/>
    <w:qFormat/>
    <w:uiPriority w:val="0"/>
    <w:rPr>
      <w:rFonts w:ascii="宋体" w:hAnsi="宋体"/>
      <w:kern w:val="2"/>
      <w:sz w:val="21"/>
      <w:szCs w:val="24"/>
      <w:lang w:eastAsia="en-US"/>
    </w:rPr>
  </w:style>
  <w:style w:type="paragraph" w:customStyle="1" w:styleId="60">
    <w:name w:val="Other|1"/>
    <w:basedOn w:val="1"/>
    <w:qFormat/>
    <w:uiPriority w:val="0"/>
    <w:pPr>
      <w:spacing w:line="228" w:lineRule="exact"/>
    </w:pPr>
    <w:rPr>
      <w:rFonts w:ascii="Arial Unicode MS" w:hAnsi="Arial Unicode MS" w:eastAsia="Arial Unicode MS" w:cs="Arial Unicode MS"/>
      <w:sz w:val="17"/>
      <w:szCs w:val="17"/>
      <w:lang w:val="zh-TW" w:eastAsia="zh-TW" w:bidi="zh-TW"/>
    </w:rPr>
  </w:style>
  <w:style w:type="paragraph" w:customStyle="1" w:styleId="6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62">
    <w:name w:val="正文缩进 字符"/>
    <w:link w:val="9"/>
    <w:qFormat/>
    <w:uiPriority w:val="99"/>
    <w:rPr>
      <w:rFonts w:asciiTheme="minorEastAsia" w:hAnsiTheme="minorEastAsia" w:eastAsiaTheme="minorEastAsia"/>
      <w:sz w:val="32"/>
      <w:szCs w:val="36"/>
      <w:lang w:eastAsia="en-US"/>
    </w:rPr>
  </w:style>
  <w:style w:type="character" w:customStyle="1" w:styleId="63">
    <w:name w:val="正文文本 2 字符"/>
    <w:basedOn w:val="27"/>
    <w:link w:val="22"/>
    <w:qFormat/>
    <w:uiPriority w:val="0"/>
    <w:rPr>
      <w:rFonts w:ascii="Calibri" w:hAnsi="Calibri"/>
      <w:kern w:val="2"/>
      <w:sz w:val="22"/>
      <w:szCs w:val="24"/>
    </w:rPr>
  </w:style>
  <w:style w:type="paragraph" w:customStyle="1" w:styleId="64">
    <w:name w:val="修订2"/>
    <w:hidden/>
    <w:unhideWhenUsed/>
    <w:qFormat/>
    <w:uiPriority w:val="99"/>
    <w:rPr>
      <w:rFonts w:ascii="Calibri" w:hAnsi="Calibri" w:eastAsia="宋体" w:cs="Times New Roman"/>
      <w:kern w:val="2"/>
      <w:sz w:val="22"/>
      <w:szCs w:val="24"/>
      <w:lang w:val="en-US" w:eastAsia="zh-CN" w:bidi="ar-SA"/>
    </w:rPr>
  </w:style>
  <w:style w:type="paragraph" w:customStyle="1" w:styleId="65">
    <w:name w:val="修订3"/>
    <w:hidden/>
    <w:unhideWhenUsed/>
    <w:qFormat/>
    <w:uiPriority w:val="99"/>
    <w:rPr>
      <w:rFonts w:ascii="Calibri" w:hAnsi="Calibri" w:eastAsia="宋体" w:cs="Times New Roman"/>
      <w:kern w:val="2"/>
      <w:sz w:val="22"/>
      <w:szCs w:val="24"/>
      <w:lang w:val="en-US" w:eastAsia="zh-CN" w:bidi="ar-SA"/>
    </w:rPr>
  </w:style>
  <w:style w:type="paragraph" w:customStyle="1" w:styleId="66">
    <w:name w:val="修订4"/>
    <w:hidden/>
    <w:unhideWhenUsed/>
    <w:qFormat/>
    <w:uiPriority w:val="99"/>
    <w:rPr>
      <w:rFonts w:ascii="Calibri" w:hAnsi="Calibri" w:eastAsia="宋体" w:cs="Times New Roman"/>
      <w:kern w:val="2"/>
      <w:sz w:val="22"/>
      <w:szCs w:val="24"/>
      <w:lang w:val="en-US" w:eastAsia="zh-CN" w:bidi="ar-SA"/>
    </w:rPr>
  </w:style>
  <w:style w:type="paragraph" w:customStyle="1" w:styleId="67">
    <w:name w:val="修订5"/>
    <w:hidden/>
    <w:unhideWhenUsed/>
    <w:qFormat/>
    <w:uiPriority w:val="99"/>
    <w:rPr>
      <w:rFonts w:ascii="Calibri" w:hAnsi="Calibri" w:eastAsia="宋体" w:cs="Times New Roman"/>
      <w:kern w:val="2"/>
      <w:sz w:val="22"/>
      <w:szCs w:val="24"/>
      <w:lang w:val="en-US" w:eastAsia="zh-CN" w:bidi="ar-SA"/>
    </w:rPr>
  </w:style>
  <w:style w:type="paragraph" w:customStyle="1" w:styleId="68">
    <w:name w:val="Revision"/>
    <w:hidden/>
    <w:unhideWhenUsed/>
    <w:qFormat/>
    <w:uiPriority w:val="99"/>
    <w:rPr>
      <w:rFonts w:ascii="Calibri" w:hAnsi="Calibri" w:eastAsia="宋体" w:cs="Times New Roman"/>
      <w:kern w:val="2"/>
      <w:sz w:val="22"/>
      <w:szCs w:val="24"/>
      <w:lang w:val="en-US" w:eastAsia="zh-CN" w:bidi="ar-SA"/>
    </w:rPr>
  </w:style>
  <w:style w:type="paragraph" w:customStyle="1" w:styleId="69">
    <w:name w:val="Normal_3_0"/>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70">
    <w:name w:val="Main Title"/>
    <w:next w:val="1"/>
    <w:qFormat/>
    <w:uiPriority w:val="0"/>
    <w:pPr>
      <w:adjustRightInd w:val="0"/>
      <w:snapToGrid w:val="0"/>
      <w:spacing w:after="156" w:afterLines="50" w:line="360" w:lineRule="auto"/>
      <w:jc w:val="center"/>
    </w:pPr>
    <w:rPr>
      <w:rFonts w:ascii="黑体" w:hAnsi="黑体" w:eastAsia="黑体" w:cs="黑体"/>
      <w:b/>
      <w:kern w:val="2"/>
      <w:sz w:val="36"/>
      <w:szCs w:val="22"/>
      <w:lang w:val="zh-CN" w:eastAsia="zh-CN" w:bidi="ar-SA"/>
    </w:rPr>
  </w:style>
  <w:style w:type="paragraph" w:customStyle="1" w:styleId="71">
    <w:name w:val="TOC Heading"/>
    <w:basedOn w:val="5"/>
    <w:next w:val="1"/>
    <w:unhideWhenUsed/>
    <w:qFormat/>
    <w:uiPriority w:val="0"/>
    <w:pPr>
      <w:keepNext/>
      <w:keepLines/>
      <w:widowControl w:val="0"/>
      <w:adjustRightInd/>
      <w:snapToGrid/>
      <w:spacing w:before="260" w:after="260" w:line="413" w:lineRule="auto"/>
    </w:pPr>
    <w:rPr>
      <w:rFonts w:hint="eastAsia" w:ascii="宋体" w:hAnsi="宋体" w:eastAsia="宋体" w:cs="Times New Roman"/>
      <w:sz w:val="36"/>
      <w:szCs w:val="44"/>
      <w:lang w:val="zh-CN"/>
    </w:rPr>
  </w:style>
  <w:style w:type="paragraph" w:customStyle="1" w:styleId="72">
    <w:name w:val="协议书标题2"/>
    <w:basedOn w:val="6"/>
    <w:next w:val="1"/>
    <w:qFormat/>
    <w:uiPriority w:val="0"/>
    <w:pPr>
      <w:keepNext w:val="0"/>
      <w:keepLines w:val="0"/>
      <w:numPr>
        <w:ilvl w:val="0"/>
        <w:numId w:val="1"/>
      </w:numPr>
      <w:tabs>
        <w:tab w:val="left" w:pos="567"/>
      </w:tabs>
      <w:spacing w:line="360" w:lineRule="auto"/>
      <w:ind w:firstLine="0" w:firstLineChars="0"/>
      <w:jc w:val="left"/>
    </w:pPr>
    <w:rPr>
      <w:rFonts w:ascii="宋体" w:hAnsi="宋体" w:eastAsia="宋体"/>
      <w:sz w:val="24"/>
    </w:rPr>
  </w:style>
  <w:style w:type="paragraph" w:customStyle="1" w:styleId="73">
    <w:name w:val="List Paragraph1"/>
    <w:basedOn w:val="1"/>
    <w:unhideWhenUsed/>
    <w:qFormat/>
    <w:uiPriority w:val="0"/>
    <w:pPr>
      <w:spacing w:beforeLines="0"/>
      <w:ind w:firstLine="420"/>
    </w:pPr>
    <w:rPr>
      <w:rFonts w:hint="eastAsia"/>
      <w:sz w:val="24"/>
      <w:szCs w:val="24"/>
    </w:rPr>
  </w:style>
  <w:style w:type="paragraph" w:customStyle="1" w:styleId="74">
    <w:name w:val="table"/>
    <w:qFormat/>
    <w:uiPriority w:val="0"/>
    <w:pPr>
      <w:adjustRightInd w:val="0"/>
      <w:snapToGrid w:val="0"/>
    </w:pPr>
    <w:rPr>
      <w:rFonts w:ascii="宋体" w:hAnsi="Calibri" w:eastAsia="宋体" w:cs="黑体"/>
      <w:kern w:val="2"/>
      <w:sz w:val="24"/>
      <w:szCs w:val="22"/>
      <w:lang w:val="en-US" w:eastAsia="zh-CN" w:bidi="ar-SA"/>
    </w:rPr>
  </w:style>
  <w:style w:type="paragraph" w:customStyle="1" w:styleId="75">
    <w:name w:val="专用标题2"/>
    <w:basedOn w:val="6"/>
    <w:next w:val="1"/>
    <w:unhideWhenUsed/>
    <w:qFormat/>
    <w:uiPriority w:val="0"/>
    <w:pPr>
      <w:numPr>
        <w:ilvl w:val="0"/>
        <w:numId w:val="2"/>
      </w:numPr>
      <w:tabs>
        <w:tab w:val="left" w:pos="993"/>
      </w:tabs>
      <w:spacing w:beforeLines="0" w:line="360" w:lineRule="auto"/>
      <w:ind w:firstLine="0" w:firstLineChars="0"/>
    </w:pPr>
    <w:rPr>
      <w:rFonts w:hint="eastAsia" w:ascii="宋体" w:hAnsi="宋体" w:eastAsia="宋体" w:cs="Times"/>
      <w:sz w:val="28"/>
      <w:szCs w:val="24"/>
    </w:rPr>
  </w:style>
  <w:style w:type="paragraph" w:customStyle="1" w:styleId="76">
    <w:name w:val="附件标题"/>
    <w:basedOn w:val="6"/>
    <w:next w:val="1"/>
    <w:unhideWhenUsed/>
    <w:qFormat/>
    <w:uiPriority w:val="0"/>
    <w:pPr>
      <w:numPr>
        <w:ilvl w:val="0"/>
        <w:numId w:val="3"/>
      </w:numPr>
      <w:tabs>
        <w:tab w:val="left" w:pos="1134"/>
      </w:tabs>
      <w:spacing w:beforeLines="0" w:line="360" w:lineRule="auto"/>
      <w:ind w:firstLine="0" w:firstLineChars="0"/>
      <w:jc w:val="center"/>
    </w:pPr>
    <w:rPr>
      <w:rFonts w:hint="eastAsia" w:ascii="宋体" w:hAnsi="宋体" w:eastAsia="宋体" w:cs="Times New Roman"/>
      <w:sz w:val="30"/>
      <w:szCs w:val="30"/>
    </w:rPr>
  </w:style>
  <w:style w:type="paragraph" w:customStyle="1" w:styleId="77">
    <w:name w:val="附件标题1"/>
    <w:next w:val="1"/>
    <w:unhideWhenUsed/>
    <w:qFormat/>
    <w:uiPriority w:val="0"/>
    <w:pPr>
      <w:numPr>
        <w:ilvl w:val="0"/>
        <w:numId w:val="4"/>
      </w:numPr>
      <w:tabs>
        <w:tab w:val="left" w:pos="1134"/>
      </w:tabs>
      <w:adjustRightInd w:val="0"/>
      <w:snapToGrid w:val="0"/>
      <w:spacing w:beforeLines="0" w:after="156" w:afterLines="50" w:line="360" w:lineRule="auto"/>
      <w:ind w:firstLine="400"/>
    </w:pPr>
    <w:rPr>
      <w:rFonts w:hint="eastAsia" w:ascii="宋体" w:hAnsi="宋体" w:eastAsia="宋体" w:cs="黑体"/>
      <w:b/>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3AE1F9-54E6-41B0-9D3A-2DB60C53BB72}">
  <ds:schemaRefs/>
</ds:datastoreItem>
</file>

<file path=docProps/app.xml><?xml version="1.0" encoding="utf-8"?>
<Properties xmlns="http://schemas.openxmlformats.org/officeDocument/2006/extended-properties" xmlns:vt="http://schemas.openxmlformats.org/officeDocument/2006/docPropsVTypes">
  <Template>Normal</Template>
  <Pages>67</Pages>
  <Words>33516</Words>
  <Characters>36433</Characters>
  <Lines>310</Lines>
  <Paragraphs>87</Paragraphs>
  <TotalTime>1</TotalTime>
  <ScaleCrop>false</ScaleCrop>
  <LinksUpToDate>false</LinksUpToDate>
  <CharactersWithSpaces>38781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2025-01-08T14:11:00Z</dcterms:created>
  <dc:creator>Y.sisi</dc:creator>
  <cp:lastModifiedBy>钟智豪</cp:lastModifiedBy>
  <dcterms:modified xsi:type="dcterms:W3CDTF">2025-10-23T13:51:07Z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ADD5E639E0A24539BF6DA07FCD4736DC_13</vt:lpwstr>
  </property>
  <property fmtid="{D5CDD505-2E9C-101B-9397-08002B2CF9AE}" pid="4" name="KSOTemplateDocerSaveRecord">
    <vt:lpwstr>eyJoZGlkIjoiNDFmNmJiMmExNzhkMTQ4OTk1NTY5ZmVjNjY0NmQ0YzQiLCJ1c2VySWQiOiI0MDM1MTQ2NzcifQ==</vt:lpwstr>
  </property>
</Properties>
</file>