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6A5DA">
      <w:pPr>
        <w:spacing w:line="360" w:lineRule="auto"/>
        <w:jc w:val="center"/>
        <w:rPr>
          <w:rFonts w:hint="eastAsia" w:ascii="宋体" w:hAnsi="宋体" w:eastAsia="宋体" w:cs="宋体"/>
          <w:bCs/>
          <w:color w:val="auto"/>
          <w:kern w:val="0"/>
          <w:sz w:val="48"/>
          <w:szCs w:val="48"/>
          <w:highlight w:val="none"/>
        </w:rPr>
      </w:pPr>
      <w:r>
        <w:rPr>
          <w:rFonts w:hint="eastAsia" w:ascii="宋体" w:hAnsi="宋体" w:cs="宋体"/>
          <w:b/>
          <w:color w:val="auto"/>
          <w:kern w:val="0"/>
          <w:sz w:val="32"/>
          <w:szCs w:val="32"/>
          <w:highlight w:val="none"/>
        </w:rPr>
        <w:t xml:space="preserve">                          </w:t>
      </w:r>
    </w:p>
    <w:p w14:paraId="05B3E43A">
      <w:pPr>
        <w:pStyle w:val="9"/>
        <w:rPr>
          <w:rFonts w:hint="eastAsia" w:ascii="宋体" w:hAnsi="宋体" w:eastAsia="宋体" w:cs="宋体"/>
          <w:bCs/>
          <w:color w:val="auto"/>
          <w:kern w:val="0"/>
          <w:sz w:val="48"/>
          <w:szCs w:val="48"/>
          <w:highlight w:val="none"/>
        </w:rPr>
      </w:pPr>
    </w:p>
    <w:p w14:paraId="19C66F18">
      <w:pPr>
        <w:rPr>
          <w:rFonts w:hint="eastAsia"/>
          <w:color w:val="auto"/>
          <w:highlight w:val="none"/>
        </w:rPr>
      </w:pPr>
    </w:p>
    <w:p w14:paraId="40D8D37D">
      <w:pPr>
        <w:pStyle w:val="31"/>
        <w:rPr>
          <w:rFonts w:hint="eastAsia" w:ascii="宋体" w:hAnsi="宋体" w:cs="宋体"/>
          <w:color w:val="auto"/>
          <w:highlight w:val="none"/>
        </w:rPr>
      </w:pPr>
    </w:p>
    <w:p w14:paraId="17A31178">
      <w:pPr>
        <w:pStyle w:val="31"/>
        <w:rPr>
          <w:rFonts w:hint="eastAsia" w:ascii="宋体" w:hAnsi="宋体" w:cs="宋体"/>
          <w:color w:val="auto"/>
          <w:highlight w:val="none"/>
        </w:rPr>
      </w:pPr>
    </w:p>
    <w:p w14:paraId="30BB643D">
      <w:pPr>
        <w:spacing w:line="360" w:lineRule="auto"/>
        <w:ind w:firstLine="0" w:firstLineChars="0"/>
        <w:jc w:val="center"/>
        <w:rPr>
          <w:rFonts w:hint="eastAsia" w:ascii="宋体" w:hAnsi="宋体" w:cs="宋体"/>
          <w:b/>
          <w:color w:val="auto"/>
          <w:szCs w:val="21"/>
          <w:highlight w:val="none"/>
        </w:rPr>
      </w:pPr>
      <w:r>
        <w:rPr>
          <w:rFonts w:hint="eastAsia" w:cs="宋体"/>
          <w:b/>
          <w:color w:val="auto"/>
          <w:kern w:val="0"/>
          <w:sz w:val="52"/>
          <w:szCs w:val="52"/>
          <w:highlight w:val="none"/>
          <w:u w:val="none"/>
          <w:lang w:val="en-US" w:eastAsia="zh-CN"/>
        </w:rPr>
        <w:t>广州市增城区仙村镇碧潭村城中村改造项目碧潭新社区工程</w:t>
      </w:r>
      <w:r>
        <w:rPr>
          <w:rFonts w:hint="eastAsia" w:cs="宋体"/>
          <w:b/>
          <w:color w:val="auto"/>
          <w:kern w:val="0"/>
          <w:sz w:val="52"/>
          <w:szCs w:val="52"/>
          <w:highlight w:val="none"/>
          <w:u w:val="none"/>
          <w:lang w:eastAsia="zh-CN"/>
        </w:rPr>
        <w:t>质量潜在缺陷保险服务</w:t>
      </w:r>
      <w:r>
        <w:rPr>
          <w:rFonts w:hint="eastAsia" w:ascii="宋体" w:hAnsi="宋体" w:cs="宋体"/>
          <w:b/>
          <w:color w:val="auto"/>
          <w:kern w:val="0"/>
          <w:sz w:val="52"/>
          <w:szCs w:val="52"/>
          <w:highlight w:val="none"/>
        </w:rPr>
        <w:t>合同</w:t>
      </w:r>
    </w:p>
    <w:p w14:paraId="460ED565">
      <w:pPr>
        <w:spacing w:line="360" w:lineRule="auto"/>
        <w:rPr>
          <w:rFonts w:hint="eastAsia" w:ascii="宋体" w:hAnsi="宋体" w:eastAsia="宋体" w:cs="宋体"/>
          <w:b/>
          <w:color w:val="auto"/>
          <w:szCs w:val="21"/>
          <w:highlight w:val="none"/>
          <w:lang w:eastAsia="zh-CN"/>
        </w:rPr>
      </w:pPr>
    </w:p>
    <w:p w14:paraId="6B117F30">
      <w:pPr>
        <w:spacing w:line="360" w:lineRule="auto"/>
        <w:rPr>
          <w:rFonts w:hint="eastAsia" w:ascii="宋体" w:hAnsi="宋体" w:eastAsia="宋体" w:cs="宋体"/>
          <w:b/>
          <w:color w:val="auto"/>
          <w:szCs w:val="21"/>
          <w:highlight w:val="none"/>
          <w:lang w:eastAsia="zh-CN"/>
        </w:rPr>
      </w:pPr>
    </w:p>
    <w:p w14:paraId="463846AB">
      <w:pPr>
        <w:spacing w:line="360" w:lineRule="auto"/>
        <w:rPr>
          <w:rFonts w:hint="eastAsia" w:ascii="宋体" w:hAnsi="宋体" w:cs="宋体"/>
          <w:b/>
          <w:color w:val="auto"/>
          <w:szCs w:val="21"/>
          <w:highlight w:val="none"/>
        </w:rPr>
      </w:pPr>
    </w:p>
    <w:p w14:paraId="2853AE58">
      <w:pPr>
        <w:pStyle w:val="31"/>
        <w:rPr>
          <w:rFonts w:hint="eastAsia" w:ascii="宋体" w:hAnsi="宋体" w:cs="宋体"/>
          <w:color w:val="auto"/>
          <w:szCs w:val="21"/>
          <w:highlight w:val="none"/>
        </w:rPr>
      </w:pPr>
    </w:p>
    <w:p w14:paraId="267D15A0">
      <w:pPr>
        <w:pStyle w:val="31"/>
        <w:rPr>
          <w:rFonts w:hint="eastAsia" w:ascii="宋体" w:hAnsi="宋体" w:cs="宋体"/>
          <w:color w:val="auto"/>
          <w:szCs w:val="21"/>
          <w:highlight w:val="none"/>
        </w:rPr>
      </w:pPr>
    </w:p>
    <w:p w14:paraId="7DCD673E">
      <w:pPr>
        <w:pStyle w:val="31"/>
        <w:rPr>
          <w:rFonts w:hint="eastAsia" w:ascii="宋体" w:hAnsi="宋体" w:cs="宋体"/>
          <w:color w:val="auto"/>
          <w:szCs w:val="21"/>
          <w:highlight w:val="none"/>
        </w:rPr>
      </w:pPr>
    </w:p>
    <w:p w14:paraId="13551A24">
      <w:pPr>
        <w:pStyle w:val="31"/>
        <w:rPr>
          <w:rFonts w:hint="eastAsia" w:ascii="宋体" w:hAnsi="宋体" w:cs="宋体"/>
          <w:color w:val="auto"/>
          <w:szCs w:val="21"/>
          <w:highlight w:val="none"/>
        </w:rPr>
      </w:pPr>
    </w:p>
    <w:p w14:paraId="627697EF">
      <w:pPr>
        <w:pStyle w:val="31"/>
        <w:jc w:val="both"/>
        <w:rPr>
          <w:rFonts w:hint="eastAsia" w:ascii="宋体" w:hAnsi="宋体" w:cs="宋体"/>
          <w:color w:val="auto"/>
          <w:szCs w:val="21"/>
          <w:highlight w:val="none"/>
        </w:rPr>
      </w:pPr>
    </w:p>
    <w:p w14:paraId="309482F2">
      <w:pPr>
        <w:pStyle w:val="31"/>
        <w:jc w:val="both"/>
        <w:rPr>
          <w:rFonts w:hint="eastAsia" w:ascii="宋体" w:hAnsi="宋体" w:cs="宋体"/>
          <w:color w:val="auto"/>
          <w:szCs w:val="21"/>
          <w:highlight w:val="none"/>
        </w:rPr>
      </w:pPr>
    </w:p>
    <w:p w14:paraId="7229B3D5">
      <w:pPr>
        <w:pStyle w:val="31"/>
        <w:rPr>
          <w:rFonts w:hint="eastAsia" w:ascii="宋体" w:hAnsi="宋体" w:cs="宋体"/>
          <w:color w:val="auto"/>
          <w:szCs w:val="21"/>
          <w:highlight w:val="none"/>
        </w:rPr>
      </w:pPr>
    </w:p>
    <w:p w14:paraId="3F7CB10A">
      <w:pPr>
        <w:pStyle w:val="31"/>
        <w:jc w:val="both"/>
        <w:rPr>
          <w:rFonts w:hint="eastAsia" w:ascii="宋体" w:hAnsi="宋体" w:cs="宋体"/>
          <w:color w:val="auto"/>
          <w:szCs w:val="21"/>
          <w:highlight w:val="none"/>
        </w:rPr>
      </w:pPr>
    </w:p>
    <w:p w14:paraId="72214DA7">
      <w:pPr>
        <w:pStyle w:val="31"/>
        <w:rPr>
          <w:rFonts w:hint="eastAsia" w:ascii="宋体" w:hAnsi="宋体" w:cs="宋体"/>
          <w:color w:val="auto"/>
          <w:szCs w:val="21"/>
          <w:highlight w:val="none"/>
        </w:rPr>
      </w:pPr>
    </w:p>
    <w:p w14:paraId="524C2FD2">
      <w:pPr>
        <w:pStyle w:val="31"/>
        <w:jc w:val="both"/>
        <w:rPr>
          <w:rFonts w:hint="eastAsia" w:ascii="宋体" w:hAnsi="宋体" w:cs="宋体"/>
          <w:color w:val="auto"/>
          <w:szCs w:val="21"/>
          <w:highlight w:val="none"/>
        </w:rPr>
      </w:pPr>
    </w:p>
    <w:p w14:paraId="7748CE44">
      <w:pPr>
        <w:spacing w:line="360" w:lineRule="auto"/>
        <w:rPr>
          <w:rFonts w:hint="eastAsia" w:ascii="宋体" w:hAnsi="宋体" w:cs="宋体"/>
          <w:b/>
          <w:color w:val="auto"/>
          <w:szCs w:val="21"/>
          <w:highlight w:val="none"/>
        </w:rPr>
      </w:pPr>
    </w:p>
    <w:p w14:paraId="7DE1DAC7">
      <w:pPr>
        <w:tabs>
          <w:tab w:val="left" w:leader="underscore" w:pos="7560"/>
        </w:tabs>
        <w:spacing w:line="360" w:lineRule="auto"/>
        <w:ind w:firstLine="0" w:firstLineChars="0"/>
        <w:rPr>
          <w:rFonts w:hint="default" w:ascii="宋体" w:hAnsi="宋体" w:eastAsia="宋体" w:cs="宋体"/>
          <w:bCs/>
          <w:color w:val="auto"/>
          <w:sz w:val="28"/>
          <w:szCs w:val="28"/>
          <w:highlight w:val="none"/>
          <w:u w:val="single"/>
          <w:lang w:val="en-US" w:eastAsia="zh-CN"/>
        </w:rPr>
      </w:pPr>
      <w:r>
        <w:rPr>
          <w:rFonts w:hint="eastAsia" w:ascii="宋体" w:hAnsi="宋体" w:cs="宋体"/>
          <w:bCs/>
          <w:color w:val="auto"/>
          <w:sz w:val="28"/>
          <w:szCs w:val="28"/>
          <w:highlight w:val="none"/>
        </w:rPr>
        <w:t>合同编号：</w:t>
      </w:r>
      <w:r>
        <w:rPr>
          <w:rFonts w:hint="eastAsia" w:cs="宋体"/>
          <w:bCs/>
          <w:color w:val="auto"/>
          <w:sz w:val="28"/>
          <w:szCs w:val="28"/>
          <w:highlight w:val="none"/>
          <w:u w:val="single"/>
          <w:lang w:val="en-US" w:eastAsia="zh-CN"/>
        </w:rPr>
        <w:t xml:space="preserve">                    </w:t>
      </w:r>
    </w:p>
    <w:p w14:paraId="65D4C99E">
      <w:pPr>
        <w:tabs>
          <w:tab w:val="left" w:leader="underscore" w:pos="7560"/>
        </w:tabs>
        <w:spacing w:line="360" w:lineRule="auto"/>
        <w:ind w:left="1400" w:hanging="1400" w:hangingChars="500"/>
        <w:rPr>
          <w:rFonts w:hint="eastAsia" w:ascii="宋体" w:hAnsi="宋体" w:eastAsia="宋体" w:cs="宋体"/>
          <w:bCs/>
          <w:color w:val="auto"/>
          <w:sz w:val="28"/>
          <w:szCs w:val="28"/>
          <w:highlight w:val="none"/>
          <w:lang w:val="en-US" w:eastAsia="zh-CN"/>
        </w:rPr>
      </w:pPr>
      <w:r>
        <w:rPr>
          <w:rFonts w:hint="eastAsia" w:ascii="宋体" w:hAnsi="宋体" w:cs="宋体"/>
          <w:bCs/>
          <w:color w:val="auto"/>
          <w:sz w:val="28"/>
          <w:szCs w:val="28"/>
          <w:highlight w:val="none"/>
          <w:lang w:val="en-US" w:eastAsia="zh-CN"/>
        </w:rPr>
        <w:t>项目名称：</w:t>
      </w:r>
      <w:r>
        <w:rPr>
          <w:rFonts w:hint="eastAsia" w:cs="宋体"/>
          <w:bCs/>
          <w:color w:val="auto"/>
          <w:sz w:val="28"/>
          <w:szCs w:val="28"/>
          <w:highlight w:val="none"/>
          <w:u w:val="single"/>
          <w:lang w:val="en-US" w:eastAsia="zh-CN"/>
        </w:rPr>
        <w:t>广州市增城区仙村镇碧潭村城中村改造项目碧潭新社区工程</w:t>
      </w:r>
      <w:r>
        <w:rPr>
          <w:rFonts w:hint="eastAsia" w:cs="宋体"/>
          <w:b w:val="0"/>
          <w:bCs/>
          <w:color w:val="auto"/>
          <w:kern w:val="0"/>
          <w:sz w:val="28"/>
          <w:szCs w:val="28"/>
          <w:highlight w:val="none"/>
          <w:u w:val="single"/>
          <w:lang w:eastAsia="zh-CN"/>
        </w:rPr>
        <w:t>质量潜在缺陷保险服务</w:t>
      </w:r>
      <w:r>
        <w:rPr>
          <w:rFonts w:hint="eastAsia" w:ascii="宋体" w:hAnsi="宋体" w:cs="宋体"/>
          <w:bCs/>
          <w:color w:val="auto"/>
          <w:sz w:val="28"/>
          <w:szCs w:val="28"/>
          <w:highlight w:val="none"/>
          <w:u w:val="single"/>
          <w:lang w:val="en-US" w:eastAsia="zh-CN"/>
        </w:rPr>
        <w:t xml:space="preserve"> </w:t>
      </w:r>
    </w:p>
    <w:p w14:paraId="2A8C0B53">
      <w:pPr>
        <w:tabs>
          <w:tab w:val="left" w:leader="underscore" w:pos="7560"/>
        </w:tabs>
        <w:spacing w:line="360" w:lineRule="auto"/>
        <w:ind w:firstLine="0" w:firstLineChars="0"/>
        <w:rPr>
          <w:rFonts w:hint="eastAsia" w:ascii="宋体" w:hAnsi="宋体" w:eastAsia="宋体" w:cs="宋体"/>
          <w:bCs/>
          <w:color w:val="auto"/>
          <w:sz w:val="28"/>
          <w:szCs w:val="28"/>
          <w:highlight w:val="none"/>
          <w:lang w:eastAsia="zh-CN"/>
        </w:rPr>
      </w:pPr>
      <w:r>
        <w:rPr>
          <w:rFonts w:hint="eastAsia" w:ascii="宋体" w:hAnsi="宋体" w:cs="宋体"/>
          <w:bCs/>
          <w:color w:val="auto"/>
          <w:sz w:val="28"/>
          <w:szCs w:val="28"/>
          <w:highlight w:val="none"/>
          <w:lang w:val="en-US" w:eastAsia="zh-CN"/>
        </w:rPr>
        <w:t>投保人</w:t>
      </w:r>
      <w:r>
        <w:rPr>
          <w:rFonts w:hint="eastAsia" w:ascii="宋体" w:hAnsi="宋体" w:cs="宋体"/>
          <w:bCs/>
          <w:color w:val="auto"/>
          <w:sz w:val="28"/>
          <w:szCs w:val="28"/>
          <w:highlight w:val="none"/>
        </w:rPr>
        <w:t>（甲方）：</w:t>
      </w:r>
      <w:r>
        <w:rPr>
          <w:rFonts w:hint="eastAsia" w:cs="宋体"/>
          <w:bCs/>
          <w:color w:val="auto"/>
          <w:sz w:val="28"/>
          <w:szCs w:val="28"/>
          <w:highlight w:val="none"/>
          <w:u w:val="single"/>
          <w:lang w:eastAsia="zh-CN"/>
        </w:rPr>
        <w:t>广州市增城区公共建设项目管理服务中心</w:t>
      </w:r>
    </w:p>
    <w:p w14:paraId="4C91F088">
      <w:pPr>
        <w:tabs>
          <w:tab w:val="left" w:leader="underscore" w:pos="7560"/>
        </w:tabs>
        <w:spacing w:line="360" w:lineRule="auto"/>
        <w:ind w:firstLine="0" w:firstLineChars="0"/>
        <w:rPr>
          <w:rFonts w:hint="default" w:ascii="宋体" w:hAnsi="宋体" w:cs="宋体"/>
          <w:bCs/>
          <w:color w:val="auto"/>
          <w:sz w:val="28"/>
          <w:szCs w:val="28"/>
          <w:highlight w:val="none"/>
          <w:lang w:val="en-US"/>
        </w:rPr>
      </w:pPr>
      <w:r>
        <w:rPr>
          <w:rFonts w:hint="eastAsia" w:ascii="宋体" w:hAnsi="宋体" w:cs="宋体"/>
          <w:bCs/>
          <w:color w:val="auto"/>
          <w:sz w:val="28"/>
          <w:szCs w:val="28"/>
          <w:highlight w:val="none"/>
          <w:lang w:val="en-US" w:eastAsia="zh-CN"/>
        </w:rPr>
        <w:t>保险人</w:t>
      </w:r>
      <w:r>
        <w:rPr>
          <w:rFonts w:hint="eastAsia" w:ascii="宋体" w:hAnsi="宋体" w:cs="宋体"/>
          <w:bCs/>
          <w:color w:val="auto"/>
          <w:sz w:val="28"/>
          <w:szCs w:val="28"/>
          <w:highlight w:val="none"/>
        </w:rPr>
        <w:t>（乙方）：</w:t>
      </w:r>
      <w:r>
        <w:rPr>
          <w:rFonts w:hint="eastAsia" w:cs="宋体"/>
          <w:bCs/>
          <w:color w:val="auto"/>
          <w:sz w:val="28"/>
          <w:szCs w:val="28"/>
          <w:highlight w:val="none"/>
          <w:lang w:val="en-US" w:eastAsia="zh-CN"/>
        </w:rPr>
        <w:t xml:space="preserve">                                 </w:t>
      </w:r>
    </w:p>
    <w:p w14:paraId="5E1D127A">
      <w:pPr>
        <w:tabs>
          <w:tab w:val="left" w:leader="underscore" w:pos="7560"/>
        </w:tabs>
        <w:spacing w:line="360" w:lineRule="auto"/>
        <w:ind w:firstLine="0" w:firstLineChars="0"/>
        <w:rPr>
          <w:rFonts w:hint="eastAsia" w:ascii="宋体" w:hAnsi="宋体" w:cs="宋体"/>
          <w:bCs/>
          <w:color w:val="auto"/>
          <w:sz w:val="28"/>
          <w:szCs w:val="28"/>
          <w:highlight w:val="none"/>
          <w:u w:val="single"/>
        </w:rPr>
      </w:pPr>
      <w:r>
        <w:rPr>
          <w:rFonts w:hint="eastAsia" w:ascii="宋体" w:hAnsi="宋体" w:cs="宋体"/>
          <w:bCs/>
          <w:color w:val="auto"/>
          <w:sz w:val="28"/>
          <w:szCs w:val="28"/>
          <w:highlight w:val="none"/>
        </w:rPr>
        <w:t>签订日期：</w:t>
      </w:r>
      <w:r>
        <w:rPr>
          <w:rFonts w:hint="eastAsia" w:ascii="宋体" w:hAnsi="宋体" w:cs="宋体"/>
          <w:bCs/>
          <w:color w:val="auto"/>
          <w:sz w:val="28"/>
          <w:szCs w:val="28"/>
          <w:highlight w:val="none"/>
          <w:u w:val="single"/>
        </w:rPr>
        <w:t xml:space="preserve">  20</w:t>
      </w:r>
      <w:r>
        <w:rPr>
          <w:rFonts w:hint="eastAsia" w:cs="宋体"/>
          <w:bCs/>
          <w:color w:val="auto"/>
          <w:sz w:val="28"/>
          <w:szCs w:val="28"/>
          <w:highlight w:val="none"/>
          <w:u w:val="single"/>
          <w:lang w:val="en-US" w:eastAsia="zh-CN"/>
        </w:rPr>
        <w:t>25</w:t>
      </w:r>
      <w:r>
        <w:rPr>
          <w:rFonts w:hint="eastAsia" w:ascii="宋体" w:hAnsi="宋体" w:cs="宋体"/>
          <w:bCs/>
          <w:color w:val="auto"/>
          <w:sz w:val="28"/>
          <w:szCs w:val="28"/>
          <w:highlight w:val="none"/>
          <w:u w:val="single"/>
        </w:rPr>
        <w:t>年</w:t>
      </w:r>
      <w:r>
        <w:rPr>
          <w:rFonts w:hint="eastAsia" w:cs="宋体"/>
          <w:bCs/>
          <w:color w:val="auto"/>
          <w:sz w:val="28"/>
          <w:szCs w:val="28"/>
          <w:highlight w:val="none"/>
          <w:u w:val="single"/>
          <w:lang w:val="en-US" w:eastAsia="zh-CN"/>
        </w:rPr>
        <w:t xml:space="preserve">  </w:t>
      </w:r>
      <w:r>
        <w:rPr>
          <w:rFonts w:hint="eastAsia" w:ascii="宋体" w:hAnsi="宋体" w:cs="宋体"/>
          <w:bCs/>
          <w:color w:val="auto"/>
          <w:sz w:val="28"/>
          <w:szCs w:val="28"/>
          <w:highlight w:val="none"/>
          <w:u w:val="single"/>
        </w:rPr>
        <w:t>月</w:t>
      </w:r>
      <w:r>
        <w:rPr>
          <w:rFonts w:hint="eastAsia" w:cs="宋体"/>
          <w:bCs/>
          <w:color w:val="auto"/>
          <w:sz w:val="28"/>
          <w:szCs w:val="28"/>
          <w:highlight w:val="none"/>
          <w:u w:val="single"/>
          <w:lang w:val="en-US" w:eastAsia="zh-CN"/>
        </w:rPr>
        <w:t xml:space="preserve">  </w:t>
      </w:r>
      <w:r>
        <w:rPr>
          <w:rFonts w:hint="eastAsia" w:ascii="宋体" w:hAnsi="宋体" w:cs="宋体"/>
          <w:bCs/>
          <w:color w:val="auto"/>
          <w:sz w:val="28"/>
          <w:szCs w:val="28"/>
          <w:highlight w:val="none"/>
          <w:u w:val="single"/>
        </w:rPr>
        <w:t xml:space="preserve">日  </w:t>
      </w:r>
    </w:p>
    <w:p w14:paraId="3303CCFA">
      <w:pPr>
        <w:tabs>
          <w:tab w:val="left" w:leader="underscore" w:pos="7560"/>
        </w:tabs>
        <w:spacing w:line="360" w:lineRule="auto"/>
        <w:ind w:firstLine="0" w:firstLineChars="0"/>
        <w:rPr>
          <w:rFonts w:hint="eastAsia" w:ascii="宋体" w:hAnsi="宋体" w:cs="宋体"/>
          <w:bCs/>
          <w:color w:val="auto"/>
          <w:sz w:val="28"/>
          <w:szCs w:val="28"/>
          <w:highlight w:val="none"/>
        </w:rPr>
      </w:pPr>
      <w:r>
        <w:rPr>
          <w:rFonts w:hint="eastAsia" w:ascii="宋体" w:hAnsi="宋体" w:cs="宋体"/>
          <w:bCs/>
          <w:color w:val="auto"/>
          <w:sz w:val="28"/>
          <w:szCs w:val="28"/>
          <w:highlight w:val="none"/>
        </w:rPr>
        <w:t>签订地点：</w:t>
      </w:r>
      <w:r>
        <w:rPr>
          <w:rFonts w:hint="eastAsia" w:ascii="宋体" w:hAnsi="宋体" w:cs="宋体"/>
          <w:bCs/>
          <w:color w:val="auto"/>
          <w:sz w:val="28"/>
          <w:szCs w:val="28"/>
          <w:highlight w:val="none"/>
          <w:u w:val="single"/>
        </w:rPr>
        <w:t xml:space="preserve">  广东省广州市  </w:t>
      </w:r>
    </w:p>
    <w:p w14:paraId="65BEB5C5">
      <w:pPr>
        <w:spacing w:line="360" w:lineRule="auto"/>
        <w:rPr>
          <w:rFonts w:hint="eastAsia" w:ascii="宋体" w:hAnsi="宋体" w:eastAsia="宋体" w:cs="宋体"/>
          <w:color w:val="auto"/>
          <w:highlight w:val="none"/>
          <w:lang w:eastAsia="zh-CN"/>
        </w:rPr>
        <w:sectPr>
          <w:type w:val="continuous"/>
          <w:pgSz w:w="11910" w:h="16840"/>
          <w:pgMar w:top="1440" w:right="1474" w:bottom="1440" w:left="1587" w:header="0" w:footer="1196" w:gutter="0"/>
          <w:cols w:space="0" w:num="1"/>
          <w:rtlGutter w:val="0"/>
          <w:docGrid w:linePitch="0" w:charSpace="0"/>
        </w:sectPr>
      </w:pPr>
    </w:p>
    <w:p w14:paraId="7D7813FA">
      <w:pPr>
        <w:spacing w:before="42"/>
        <w:ind w:left="83" w:right="323"/>
        <w:jc w:val="center"/>
        <w:rPr>
          <w:rFonts w:hint="eastAsia"/>
          <w:b/>
          <w:color w:val="auto"/>
          <w:sz w:val="36"/>
          <w:highlight w:val="none"/>
          <w:lang w:eastAsia="zh-CN"/>
        </w:rPr>
      </w:pPr>
      <w:bookmarkStart w:id="0" w:name="_bookmark0"/>
      <w:bookmarkEnd w:id="0"/>
      <w:r>
        <w:rPr>
          <w:rFonts w:hint="eastAsia"/>
          <w:b/>
          <w:color w:val="auto"/>
          <w:sz w:val="36"/>
          <w:highlight w:val="none"/>
          <w:lang w:eastAsia="zh-CN"/>
        </w:rPr>
        <w:t>目 录</w:t>
      </w:r>
    </w:p>
    <w:sdt>
      <w:sdtPr>
        <w:rPr>
          <w:rFonts w:hint="eastAsia" w:ascii="宋体" w:hAnsi="宋体" w:eastAsia="宋体" w:cs="宋体"/>
          <w:color w:val="auto"/>
          <w:highlight w:val="none"/>
        </w:rPr>
        <w:id w:val="1801642830"/>
        <w:docPartObj>
          <w:docPartGallery w:val="Table of Contents"/>
          <w:docPartUnique/>
        </w:docPartObj>
      </w:sdtPr>
      <w:sdtEndPr>
        <w:rPr>
          <w:rFonts w:hint="eastAsia" w:ascii="宋体" w:hAnsi="宋体" w:eastAsia="宋体" w:cs="宋体"/>
          <w:color w:val="auto"/>
          <w:highlight w:val="none"/>
        </w:rPr>
      </w:sdtEndPr>
      <w:sdtContent>
        <w:p w14:paraId="148302E9">
          <w:pPr>
            <w:pStyle w:val="13"/>
            <w:tabs>
              <w:tab w:val="right" w:leader="dot" w:pos="8295"/>
            </w:tabs>
            <w:spacing w:before="323"/>
            <w:rPr>
              <w:rFonts w:hint="eastAsia"/>
              <w:b w:val="0"/>
              <w:bCs w:val="0"/>
              <w:color w:val="auto"/>
              <w:sz w:val="28"/>
              <w:szCs w:val="28"/>
              <w:highlight w:val="none"/>
              <w:lang w:eastAsia="zh-CN"/>
            </w:rPr>
          </w:pPr>
          <w:r>
            <w:rPr>
              <w:rFonts w:hint="eastAsia"/>
              <w:b w:val="0"/>
              <w:bCs w:val="0"/>
              <w:color w:val="auto"/>
              <w:sz w:val="28"/>
              <w:szCs w:val="28"/>
              <w:highlight w:val="none"/>
            </w:rPr>
            <w:fldChar w:fldCharType="begin"/>
          </w:r>
          <w:r>
            <w:rPr>
              <w:rFonts w:hint="eastAsia"/>
              <w:b w:val="0"/>
              <w:bCs w:val="0"/>
              <w:color w:val="auto"/>
              <w:sz w:val="28"/>
              <w:szCs w:val="28"/>
              <w:highlight w:val="none"/>
            </w:rPr>
            <w:instrText xml:space="preserve"> HYPERLINK \l "_bookmark0" </w:instrText>
          </w:r>
          <w:r>
            <w:rPr>
              <w:rFonts w:hint="eastAsia"/>
              <w:b w:val="0"/>
              <w:bCs w:val="0"/>
              <w:color w:val="auto"/>
              <w:sz w:val="28"/>
              <w:szCs w:val="28"/>
              <w:highlight w:val="none"/>
            </w:rPr>
            <w:fldChar w:fldCharType="separate"/>
          </w:r>
          <w:r>
            <w:rPr>
              <w:rFonts w:hint="eastAsia"/>
              <w:b w:val="0"/>
              <w:bCs w:val="0"/>
              <w:color w:val="auto"/>
              <w:sz w:val="28"/>
              <w:szCs w:val="28"/>
              <w:highlight w:val="none"/>
              <w:lang w:eastAsia="zh-CN"/>
            </w:rPr>
            <w:t>第一部分</w:t>
          </w:r>
          <w:r>
            <w:rPr>
              <w:rFonts w:hint="eastAsia"/>
              <w:b w:val="0"/>
              <w:bCs w:val="0"/>
              <w:color w:val="auto"/>
              <w:spacing w:val="1"/>
              <w:sz w:val="28"/>
              <w:szCs w:val="28"/>
              <w:highlight w:val="none"/>
              <w:lang w:eastAsia="zh-CN"/>
            </w:rPr>
            <w:t xml:space="preserve"> </w:t>
          </w:r>
          <w:r>
            <w:rPr>
              <w:rFonts w:hint="eastAsia"/>
              <w:b w:val="0"/>
              <w:bCs w:val="0"/>
              <w:color w:val="auto"/>
              <w:sz w:val="28"/>
              <w:szCs w:val="28"/>
              <w:highlight w:val="none"/>
              <w:lang w:eastAsia="zh-CN"/>
            </w:rPr>
            <w:t>保险协议书</w:t>
          </w:r>
          <w:r>
            <w:rPr>
              <w:rFonts w:hint="eastAsia"/>
              <w:b w:val="0"/>
              <w:bCs w:val="0"/>
              <w:color w:val="auto"/>
              <w:sz w:val="28"/>
              <w:szCs w:val="28"/>
              <w:highlight w:val="none"/>
              <w:lang w:eastAsia="zh-CN"/>
            </w:rPr>
            <w:tab/>
          </w:r>
          <w:r>
            <w:rPr>
              <w:rFonts w:hint="eastAsia"/>
              <w:b w:val="0"/>
              <w:bCs w:val="0"/>
              <w:color w:val="auto"/>
              <w:sz w:val="28"/>
              <w:szCs w:val="28"/>
              <w:highlight w:val="none"/>
              <w:lang w:eastAsia="zh-CN"/>
            </w:rPr>
            <w:t>2</w:t>
          </w:r>
          <w:r>
            <w:rPr>
              <w:rFonts w:hint="eastAsia"/>
              <w:b w:val="0"/>
              <w:bCs w:val="0"/>
              <w:color w:val="auto"/>
              <w:sz w:val="28"/>
              <w:szCs w:val="28"/>
              <w:highlight w:val="none"/>
              <w:lang w:eastAsia="zh-CN"/>
            </w:rPr>
            <w:fldChar w:fldCharType="end"/>
          </w:r>
        </w:p>
        <w:p w14:paraId="7D9E1F06">
          <w:pPr>
            <w:pStyle w:val="13"/>
            <w:tabs>
              <w:tab w:val="right" w:leader="dot" w:pos="8293"/>
            </w:tabs>
            <w:ind w:right="250"/>
            <w:rPr>
              <w:rFonts w:hint="eastAsia"/>
              <w:b w:val="0"/>
              <w:bCs w:val="0"/>
              <w:color w:val="auto"/>
              <w:sz w:val="28"/>
              <w:szCs w:val="28"/>
              <w:highlight w:val="none"/>
              <w:lang w:eastAsia="zh-CN"/>
            </w:rPr>
          </w:pPr>
          <w:r>
            <w:rPr>
              <w:rFonts w:hint="eastAsia"/>
              <w:b w:val="0"/>
              <w:bCs w:val="0"/>
              <w:color w:val="auto"/>
              <w:sz w:val="28"/>
              <w:szCs w:val="28"/>
              <w:highlight w:val="none"/>
            </w:rPr>
            <w:fldChar w:fldCharType="begin"/>
          </w:r>
          <w:r>
            <w:rPr>
              <w:rFonts w:hint="eastAsia"/>
              <w:b w:val="0"/>
              <w:bCs w:val="0"/>
              <w:color w:val="auto"/>
              <w:sz w:val="28"/>
              <w:szCs w:val="28"/>
              <w:highlight w:val="none"/>
            </w:rPr>
            <w:instrText xml:space="preserve"> HYPERLINK \l "_bookmark1" </w:instrText>
          </w:r>
          <w:r>
            <w:rPr>
              <w:rFonts w:hint="eastAsia"/>
              <w:b w:val="0"/>
              <w:bCs w:val="0"/>
              <w:color w:val="auto"/>
              <w:sz w:val="28"/>
              <w:szCs w:val="28"/>
              <w:highlight w:val="none"/>
            </w:rPr>
            <w:fldChar w:fldCharType="separate"/>
          </w:r>
          <w:r>
            <w:rPr>
              <w:rFonts w:hint="eastAsia"/>
              <w:b w:val="0"/>
              <w:bCs w:val="0"/>
              <w:color w:val="auto"/>
              <w:sz w:val="28"/>
              <w:szCs w:val="28"/>
              <w:highlight w:val="none"/>
              <w:lang w:eastAsia="zh-CN"/>
            </w:rPr>
            <w:t>第二部分</w:t>
          </w:r>
          <w:r>
            <w:rPr>
              <w:rFonts w:hint="eastAsia"/>
              <w:b w:val="0"/>
              <w:bCs w:val="0"/>
              <w:color w:val="auto"/>
              <w:spacing w:val="1"/>
              <w:sz w:val="28"/>
              <w:szCs w:val="28"/>
              <w:highlight w:val="none"/>
              <w:lang w:eastAsia="zh-CN"/>
            </w:rPr>
            <w:t xml:space="preserve"> </w:t>
          </w:r>
          <w:r>
            <w:rPr>
              <w:rFonts w:hint="eastAsia"/>
              <w:b w:val="0"/>
              <w:bCs w:val="0"/>
              <w:color w:val="auto"/>
              <w:sz w:val="28"/>
              <w:szCs w:val="28"/>
              <w:highlight w:val="none"/>
              <w:lang w:eastAsia="zh-CN"/>
            </w:rPr>
            <w:t>保险条款</w:t>
          </w:r>
          <w:r>
            <w:rPr>
              <w:rFonts w:hint="eastAsia"/>
              <w:b w:val="0"/>
              <w:bCs w:val="0"/>
              <w:color w:val="auto"/>
              <w:sz w:val="28"/>
              <w:szCs w:val="28"/>
              <w:highlight w:val="none"/>
              <w:lang w:eastAsia="zh-CN"/>
            </w:rPr>
            <w:tab/>
          </w:r>
          <w:r>
            <w:rPr>
              <w:rFonts w:hint="eastAsia"/>
              <w:b w:val="0"/>
              <w:bCs w:val="0"/>
              <w:color w:val="auto"/>
              <w:sz w:val="28"/>
              <w:szCs w:val="28"/>
              <w:highlight w:val="none"/>
              <w:lang w:val="en-US" w:eastAsia="zh-CN"/>
            </w:rPr>
            <w:t>1</w:t>
          </w:r>
          <w:r>
            <w:rPr>
              <w:rFonts w:hint="eastAsia"/>
              <w:b w:val="0"/>
              <w:bCs w:val="0"/>
              <w:color w:val="auto"/>
              <w:sz w:val="28"/>
              <w:szCs w:val="28"/>
              <w:highlight w:val="none"/>
              <w:lang w:eastAsia="zh-CN"/>
            </w:rPr>
            <w:fldChar w:fldCharType="end"/>
          </w:r>
          <w:r>
            <w:rPr>
              <w:rFonts w:hint="eastAsia" w:ascii="宋体" w:hAnsi="宋体" w:eastAsia="宋体" w:cs="宋体"/>
              <w:b w:val="0"/>
              <w:bCs w:val="0"/>
              <w:color w:val="auto"/>
              <w:sz w:val="28"/>
              <w:szCs w:val="28"/>
              <w:highlight w:val="none"/>
              <w:lang w:val="en-US" w:eastAsia="zh-CN"/>
            </w:rPr>
            <w:t>5</w:t>
          </w:r>
        </w:p>
        <w:p w14:paraId="60DEBD17">
          <w:pPr>
            <w:pStyle w:val="13"/>
            <w:tabs>
              <w:tab w:val="right" w:leader="dot" w:pos="8295"/>
            </w:tabs>
            <w:rPr>
              <w:rFonts w:hint="eastAsia"/>
              <w:color w:val="auto"/>
              <w:highlight w:val="none"/>
              <w:lang w:eastAsia="zh-CN"/>
            </w:rPr>
          </w:pPr>
          <w:r>
            <w:rPr>
              <w:rFonts w:hint="eastAsia"/>
              <w:b w:val="0"/>
              <w:bCs w:val="0"/>
              <w:color w:val="auto"/>
              <w:sz w:val="28"/>
              <w:szCs w:val="28"/>
              <w:highlight w:val="none"/>
            </w:rPr>
            <w:fldChar w:fldCharType="begin"/>
          </w:r>
          <w:r>
            <w:rPr>
              <w:rFonts w:hint="eastAsia"/>
              <w:b w:val="0"/>
              <w:bCs w:val="0"/>
              <w:color w:val="auto"/>
              <w:sz w:val="28"/>
              <w:szCs w:val="28"/>
              <w:highlight w:val="none"/>
            </w:rPr>
            <w:instrText xml:space="preserve"> HYPERLINK \l "_bookmark2" </w:instrText>
          </w:r>
          <w:r>
            <w:rPr>
              <w:rFonts w:hint="eastAsia"/>
              <w:b w:val="0"/>
              <w:bCs w:val="0"/>
              <w:color w:val="auto"/>
              <w:sz w:val="28"/>
              <w:szCs w:val="28"/>
              <w:highlight w:val="none"/>
            </w:rPr>
            <w:fldChar w:fldCharType="separate"/>
          </w:r>
          <w:r>
            <w:rPr>
              <w:rFonts w:hint="eastAsia"/>
              <w:b w:val="0"/>
              <w:bCs w:val="0"/>
              <w:color w:val="auto"/>
              <w:sz w:val="28"/>
              <w:szCs w:val="28"/>
              <w:highlight w:val="none"/>
              <w:lang w:eastAsia="zh-CN"/>
            </w:rPr>
            <w:t>第三部分</w:t>
          </w:r>
          <w:r>
            <w:rPr>
              <w:rFonts w:hint="eastAsia"/>
              <w:b w:val="0"/>
              <w:bCs w:val="0"/>
              <w:color w:val="auto"/>
              <w:spacing w:val="1"/>
              <w:sz w:val="28"/>
              <w:szCs w:val="28"/>
              <w:highlight w:val="none"/>
              <w:lang w:eastAsia="zh-CN"/>
            </w:rPr>
            <w:t xml:space="preserve"> </w:t>
          </w:r>
          <w:r>
            <w:rPr>
              <w:rFonts w:hint="eastAsia"/>
              <w:b w:val="0"/>
              <w:bCs w:val="0"/>
              <w:color w:val="auto"/>
              <w:sz w:val="28"/>
              <w:szCs w:val="28"/>
              <w:highlight w:val="none"/>
              <w:lang w:eastAsia="zh-CN"/>
            </w:rPr>
            <w:t>附件</w:t>
          </w:r>
          <w:r>
            <w:rPr>
              <w:rFonts w:hint="eastAsia"/>
              <w:b w:val="0"/>
              <w:bCs w:val="0"/>
              <w:color w:val="auto"/>
              <w:sz w:val="28"/>
              <w:szCs w:val="28"/>
              <w:highlight w:val="none"/>
              <w:lang w:eastAsia="zh-CN"/>
            </w:rPr>
            <w:tab/>
          </w:r>
          <w:r>
            <w:rPr>
              <w:rFonts w:hint="eastAsia"/>
              <w:b w:val="0"/>
              <w:bCs w:val="0"/>
              <w:color w:val="auto"/>
              <w:sz w:val="28"/>
              <w:szCs w:val="28"/>
              <w:highlight w:val="none"/>
              <w:lang w:val="en-US" w:eastAsia="zh-CN"/>
            </w:rPr>
            <w:t>2</w:t>
          </w:r>
          <w:r>
            <w:rPr>
              <w:rFonts w:hint="eastAsia"/>
              <w:b w:val="0"/>
              <w:bCs w:val="0"/>
              <w:color w:val="auto"/>
              <w:sz w:val="28"/>
              <w:szCs w:val="28"/>
              <w:highlight w:val="none"/>
              <w:lang w:eastAsia="zh-CN"/>
            </w:rPr>
            <w:fldChar w:fldCharType="end"/>
          </w:r>
          <w:r>
            <w:rPr>
              <w:rFonts w:hint="eastAsia" w:ascii="宋体" w:hAnsi="宋体" w:eastAsia="宋体" w:cs="宋体"/>
              <w:b w:val="0"/>
              <w:bCs w:val="0"/>
              <w:color w:val="auto"/>
              <w:sz w:val="28"/>
              <w:szCs w:val="28"/>
              <w:highlight w:val="none"/>
              <w:lang w:val="en-US" w:eastAsia="zh-CN"/>
            </w:rPr>
            <w:t>4</w:t>
          </w:r>
        </w:p>
      </w:sdtContent>
    </w:sdt>
    <w:p w14:paraId="6F7F18A0">
      <w:pPr>
        <w:rPr>
          <w:rFonts w:hint="eastAsia" w:ascii="宋体" w:hAnsi="宋体" w:eastAsia="宋体" w:cs="宋体"/>
          <w:color w:val="auto"/>
          <w:highlight w:val="none"/>
          <w:lang w:eastAsia="zh-CN"/>
        </w:rPr>
        <w:sectPr>
          <w:footerReference r:id="rId3" w:type="default"/>
          <w:pgSz w:w="11910" w:h="16840"/>
          <w:pgMar w:top="1440" w:right="1474" w:bottom="1440" w:left="1587" w:header="0" w:footer="1196" w:gutter="0"/>
          <w:pgNumType w:start="1"/>
          <w:cols w:space="0" w:num="1"/>
          <w:rtlGutter w:val="0"/>
          <w:docGrid w:linePitch="0" w:charSpace="0"/>
        </w:sectPr>
      </w:pPr>
    </w:p>
    <w:p w14:paraId="3B16553D">
      <w:pPr>
        <w:pStyle w:val="2"/>
        <w:adjustRightInd w:val="0"/>
        <w:snapToGrid w:val="0"/>
        <w:spacing w:before="0" w:line="360" w:lineRule="auto"/>
        <w:rPr>
          <w:rFonts w:hint="eastAsia"/>
          <w:color w:val="auto"/>
          <w:highlight w:val="none"/>
          <w:lang w:eastAsia="zh-CN"/>
        </w:rPr>
      </w:pPr>
      <w:bookmarkStart w:id="1" w:name="第一部分_保险协议书"/>
      <w:bookmarkEnd w:id="1"/>
      <w:r>
        <w:rPr>
          <w:rFonts w:hint="eastAsia"/>
          <w:color w:val="auto"/>
          <w:highlight w:val="none"/>
          <w:lang w:eastAsia="zh-CN"/>
        </w:rPr>
        <w:t>第一部分 保险协议书</w:t>
      </w:r>
    </w:p>
    <w:p w14:paraId="6F8D2931">
      <w:pPr>
        <w:pStyle w:val="8"/>
        <w:adjustRightInd w:val="0"/>
        <w:snapToGrid w:val="0"/>
        <w:spacing w:before="0" w:line="360" w:lineRule="auto"/>
        <w:ind w:right="235"/>
        <w:rPr>
          <w:rFonts w:hint="eastAsia"/>
          <w:color w:val="auto"/>
          <w:highlight w:val="none"/>
          <w:lang w:eastAsia="zh-CN"/>
        </w:rPr>
      </w:pPr>
      <w:r>
        <w:rPr>
          <w:rFonts w:hint="eastAsia"/>
          <w:color w:val="auto"/>
          <w:highlight w:val="none"/>
          <w:lang w:eastAsia="zh-CN"/>
        </w:rPr>
        <w:t>为了提升住宅建筑质量，保障住宅所有权人的合法权益，根据</w:t>
      </w:r>
      <w:r>
        <w:rPr>
          <w:rFonts w:hint="eastAsia"/>
          <w:color w:val="auto"/>
          <w:highlight w:val="none"/>
        </w:rPr>
        <w:t>《中华人民共和国建筑法》《中华人民共和国保险法》《中华人民共和国民法典》等法律法规，结合《广东省建设工程质量管理条例》《广州市优化营商环境条例》《广州市房屋建筑和市政基础设施工程质量管理办法》</w:t>
      </w:r>
      <w:r>
        <w:rPr>
          <w:rFonts w:hint="eastAsia"/>
          <w:color w:val="auto"/>
          <w:highlight w:val="none"/>
          <w:lang w:eastAsia="zh-CN"/>
        </w:rPr>
        <w:t xml:space="preserve">《关于印发&lt; </w:t>
      </w:r>
      <w:r>
        <w:rPr>
          <w:rFonts w:hint="eastAsia"/>
          <w:color w:val="auto"/>
          <w:spacing w:val="-3"/>
          <w:highlight w:val="none"/>
          <w:lang w:eastAsia="zh-CN"/>
        </w:rPr>
        <w:t>广州市住宅工程质量潜在缺陷保险管理办法&gt;的通知》</w:t>
      </w:r>
      <w:r>
        <w:rPr>
          <w:rFonts w:hint="eastAsia"/>
          <w:color w:val="auto"/>
          <w:highlight w:val="none"/>
          <w:lang w:eastAsia="zh-CN"/>
        </w:rPr>
        <w:t>（</w:t>
      </w:r>
      <w:r>
        <w:rPr>
          <w:rFonts w:hint="eastAsia"/>
          <w:color w:val="auto"/>
          <w:spacing w:val="-6"/>
          <w:highlight w:val="none"/>
          <w:lang w:eastAsia="zh-CN"/>
        </w:rPr>
        <w:t>穗建质〔</w:t>
      </w:r>
      <w:r>
        <w:rPr>
          <w:rFonts w:hint="eastAsia"/>
          <w:color w:val="auto"/>
          <w:highlight w:val="none"/>
          <w:lang w:eastAsia="zh-CN"/>
        </w:rPr>
        <w:t>202</w:t>
      </w:r>
      <w:r>
        <w:rPr>
          <w:rFonts w:hint="eastAsia"/>
          <w:color w:val="auto"/>
          <w:highlight w:val="none"/>
          <w:lang w:val="en-US" w:eastAsia="zh-CN"/>
        </w:rPr>
        <w:t>5</w:t>
      </w:r>
      <w:r>
        <w:rPr>
          <w:rFonts w:hint="eastAsia"/>
          <w:color w:val="auto"/>
          <w:spacing w:val="-25"/>
          <w:highlight w:val="none"/>
          <w:lang w:eastAsia="zh-CN"/>
        </w:rPr>
        <w:t>〕</w:t>
      </w:r>
      <w:r>
        <w:rPr>
          <w:rFonts w:hint="eastAsia"/>
          <w:color w:val="auto"/>
          <w:highlight w:val="none"/>
          <w:lang w:val="en-US" w:eastAsia="zh-CN"/>
        </w:rPr>
        <w:t>71</w:t>
      </w:r>
      <w:r>
        <w:rPr>
          <w:rFonts w:hint="eastAsia"/>
          <w:color w:val="auto"/>
          <w:highlight w:val="none"/>
          <w:lang w:eastAsia="zh-CN"/>
        </w:rPr>
        <w:t>号）</w:t>
      </w:r>
      <w:r>
        <w:rPr>
          <w:rFonts w:hint="eastAsia"/>
          <w:color w:val="auto"/>
          <w:spacing w:val="-4"/>
          <w:highlight w:val="none"/>
          <w:lang w:eastAsia="zh-CN"/>
        </w:rPr>
        <w:t>的有关规定，投保人</w:t>
      </w:r>
      <w:r>
        <w:rPr>
          <w:rFonts w:hint="eastAsia"/>
          <w:color w:val="auto"/>
          <w:spacing w:val="-4"/>
          <w:highlight w:val="none"/>
          <w:u w:val="single"/>
          <w:lang w:val="en-US" w:eastAsia="zh-CN"/>
        </w:rPr>
        <w:t>广州市增城区公共建设项目管理服务中心</w:t>
      </w:r>
      <w:r>
        <w:rPr>
          <w:rFonts w:hint="eastAsia"/>
          <w:color w:val="auto"/>
          <w:spacing w:val="-4"/>
          <w:highlight w:val="none"/>
          <w:lang w:eastAsia="zh-CN"/>
        </w:rPr>
        <w:t>对负责实施建设的</w:t>
      </w:r>
      <w:r>
        <w:rPr>
          <w:rFonts w:hint="eastAsia"/>
          <w:color w:val="auto"/>
          <w:spacing w:val="-4"/>
          <w:highlight w:val="none"/>
          <w:u w:val="single"/>
          <w:lang w:val="en-US" w:eastAsia="zh-CN"/>
        </w:rPr>
        <w:t>广州市增城区仙村镇碧潭村城中村改造项目碧潭新社区工程</w:t>
      </w:r>
      <w:r>
        <w:rPr>
          <w:rFonts w:hint="eastAsia"/>
          <w:color w:val="auto"/>
          <w:spacing w:val="-4"/>
          <w:highlight w:val="none"/>
          <w:u w:val="none"/>
          <w:lang w:eastAsia="zh-CN"/>
        </w:rPr>
        <w:t>（</w:t>
      </w:r>
      <w:r>
        <w:rPr>
          <w:rFonts w:hint="eastAsia"/>
          <w:color w:val="auto"/>
          <w:spacing w:val="-12"/>
          <w:highlight w:val="none"/>
          <w:lang w:eastAsia="zh-CN"/>
        </w:rPr>
        <w:t>以下简称“本项目”</w:t>
      </w:r>
      <w:r>
        <w:rPr>
          <w:rFonts w:hint="eastAsia"/>
          <w:color w:val="auto"/>
          <w:highlight w:val="none"/>
          <w:lang w:eastAsia="zh-CN"/>
        </w:rPr>
        <w:t>）住宅工程质量潜在缺陷保险进行投保。</w:t>
      </w:r>
    </w:p>
    <w:p w14:paraId="125B06AF">
      <w:pPr>
        <w:pStyle w:val="8"/>
        <w:adjustRightInd w:val="0"/>
        <w:snapToGrid w:val="0"/>
        <w:spacing w:before="0" w:line="360" w:lineRule="auto"/>
        <w:ind w:right="357"/>
        <w:rPr>
          <w:rFonts w:hint="eastAsia"/>
          <w:color w:val="auto"/>
          <w:highlight w:val="none"/>
          <w:lang w:eastAsia="zh-CN"/>
        </w:rPr>
      </w:pPr>
      <w:r>
        <w:rPr>
          <w:rFonts w:hint="eastAsia"/>
          <w:color w:val="auto"/>
          <w:spacing w:val="-9"/>
          <w:highlight w:val="none"/>
          <w:lang w:eastAsia="zh-CN"/>
        </w:rPr>
        <w:t>投保人经公开</w:t>
      </w:r>
      <w:r>
        <w:rPr>
          <w:rFonts w:hint="eastAsia"/>
          <w:color w:val="auto"/>
          <w:spacing w:val="-9"/>
          <w:highlight w:val="none"/>
          <w:lang w:val="en-US" w:eastAsia="zh-CN"/>
        </w:rPr>
        <w:t>招标</w:t>
      </w:r>
      <w:r>
        <w:rPr>
          <w:rFonts w:hint="eastAsia"/>
          <w:color w:val="auto"/>
          <w:spacing w:val="-9"/>
          <w:highlight w:val="none"/>
          <w:lang w:eastAsia="zh-CN"/>
        </w:rPr>
        <w:t>，确定保险人</w:t>
      </w:r>
      <w:r>
        <w:rPr>
          <w:rFonts w:hint="eastAsia"/>
          <w:color w:val="auto"/>
          <w:spacing w:val="-9"/>
          <w:highlight w:val="none"/>
          <w:u w:val="single"/>
          <w:lang w:val="en-US" w:eastAsia="zh-CN"/>
        </w:rPr>
        <w:t xml:space="preserve">                                        </w:t>
      </w:r>
      <w:r>
        <w:rPr>
          <w:rFonts w:hint="eastAsia"/>
          <w:color w:val="auto"/>
          <w:spacing w:val="-9"/>
          <w:highlight w:val="none"/>
          <w:lang w:eastAsia="zh-CN"/>
        </w:rPr>
        <w:t>作为本项目的主承保公司。双方本着友好协</w:t>
      </w:r>
      <w:r>
        <w:rPr>
          <w:rFonts w:hint="eastAsia"/>
          <w:color w:val="auto"/>
          <w:highlight w:val="none"/>
          <w:lang w:eastAsia="zh-CN"/>
        </w:rPr>
        <w:t>商、平等互利的原则，达成如下协议：</w:t>
      </w:r>
    </w:p>
    <w:p w14:paraId="577A45B9">
      <w:pPr>
        <w:pStyle w:val="5"/>
        <w:adjustRightInd w:val="0"/>
        <w:snapToGrid w:val="0"/>
        <w:spacing w:before="0" w:line="360" w:lineRule="auto"/>
        <w:ind w:left="0" w:right="330" w:firstLine="470" w:firstLineChars="200"/>
        <w:rPr>
          <w:rFonts w:hint="eastAsia"/>
          <w:color w:val="auto"/>
          <w:highlight w:val="none"/>
          <w:lang w:eastAsia="zh-CN"/>
        </w:rPr>
      </w:pPr>
      <w:r>
        <w:rPr>
          <w:rFonts w:hint="eastAsia"/>
          <w:color w:val="auto"/>
          <w:spacing w:val="3"/>
          <w:w w:val="95"/>
          <w:highlight w:val="none"/>
          <w:lang w:eastAsia="zh-CN"/>
        </w:rPr>
        <w:t>一、下列文件应作为本项目保险合同的组成部分，并均具有法律效力，合</w:t>
      </w:r>
      <w:r>
        <w:rPr>
          <w:rFonts w:hint="eastAsia"/>
          <w:color w:val="auto"/>
          <w:spacing w:val="3"/>
          <w:highlight w:val="none"/>
          <w:lang w:eastAsia="zh-CN"/>
        </w:rPr>
        <w:t>同文件应是互为解释，互为说明，除合同另有约定外，解释的优先顺序如下：</w:t>
      </w:r>
    </w:p>
    <w:p w14:paraId="099A1504">
      <w:pPr>
        <w:pStyle w:val="22"/>
        <w:numPr>
          <w:ilvl w:val="0"/>
          <w:numId w:val="1"/>
        </w:numPr>
        <w:tabs>
          <w:tab w:val="left" w:pos="1201"/>
        </w:tabs>
        <w:adjustRightInd w:val="0"/>
        <w:snapToGrid w:val="0"/>
        <w:spacing w:before="0" w:line="360" w:lineRule="auto"/>
        <w:ind w:left="119" w:right="360" w:firstLine="482"/>
        <w:rPr>
          <w:rFonts w:hint="eastAsia"/>
          <w:color w:val="auto"/>
          <w:sz w:val="24"/>
          <w:highlight w:val="none"/>
          <w:lang w:eastAsia="zh-CN"/>
        </w:rPr>
      </w:pPr>
      <w:r>
        <w:rPr>
          <w:rFonts w:hint="eastAsia"/>
          <w:color w:val="auto"/>
          <w:sz w:val="24"/>
          <w:highlight w:val="none"/>
          <w:lang w:eastAsia="zh-CN"/>
        </w:rPr>
        <w:t>履行本合同的相关补充协议（</w:t>
      </w:r>
      <w:r>
        <w:rPr>
          <w:rFonts w:hint="eastAsia"/>
          <w:color w:val="auto"/>
          <w:spacing w:val="-1"/>
          <w:sz w:val="24"/>
          <w:highlight w:val="none"/>
          <w:lang w:eastAsia="zh-CN"/>
        </w:rPr>
        <w:t>含工程洽商记录、会议纪要、变更、现</w:t>
      </w:r>
      <w:r>
        <w:rPr>
          <w:rFonts w:hint="eastAsia"/>
          <w:color w:val="auto"/>
          <w:sz w:val="24"/>
          <w:highlight w:val="none"/>
          <w:lang w:eastAsia="zh-CN"/>
        </w:rPr>
        <w:t>场签证、索赔和合同价款调整报告等修正文件）；</w:t>
      </w:r>
    </w:p>
    <w:p w14:paraId="6FD72972">
      <w:pPr>
        <w:pStyle w:val="22"/>
        <w:numPr>
          <w:ilvl w:val="0"/>
          <w:numId w:val="1"/>
        </w:numPr>
        <w:tabs>
          <w:tab w:val="left" w:pos="1201"/>
        </w:tabs>
        <w:adjustRightInd w:val="0"/>
        <w:snapToGrid w:val="0"/>
        <w:spacing w:before="0" w:line="360" w:lineRule="auto"/>
        <w:ind w:left="119" w:firstLine="482"/>
        <w:rPr>
          <w:rFonts w:hint="eastAsia"/>
          <w:color w:val="auto"/>
          <w:sz w:val="24"/>
          <w:highlight w:val="none"/>
        </w:rPr>
      </w:pPr>
      <w:r>
        <w:rPr>
          <w:rFonts w:hint="eastAsia"/>
          <w:color w:val="auto"/>
          <w:sz w:val="24"/>
          <w:highlight w:val="none"/>
        </w:rPr>
        <w:t>保险协议书；</w:t>
      </w:r>
    </w:p>
    <w:p w14:paraId="0517312F">
      <w:pPr>
        <w:pStyle w:val="22"/>
        <w:numPr>
          <w:ilvl w:val="0"/>
          <w:numId w:val="1"/>
        </w:numPr>
        <w:tabs>
          <w:tab w:val="left" w:pos="1201"/>
        </w:tabs>
        <w:adjustRightInd w:val="0"/>
        <w:snapToGrid w:val="0"/>
        <w:spacing w:before="0" w:line="360" w:lineRule="auto"/>
        <w:ind w:left="119" w:firstLine="482"/>
        <w:rPr>
          <w:rFonts w:hint="eastAsia"/>
          <w:color w:val="auto"/>
          <w:sz w:val="24"/>
          <w:highlight w:val="none"/>
        </w:rPr>
      </w:pPr>
      <w:r>
        <w:rPr>
          <w:rFonts w:hint="eastAsia"/>
          <w:color w:val="auto"/>
          <w:sz w:val="24"/>
          <w:highlight w:val="none"/>
          <w:lang w:val="en-US" w:eastAsia="zh-CN"/>
        </w:rPr>
        <w:t>中标</w:t>
      </w:r>
      <w:r>
        <w:rPr>
          <w:rFonts w:hint="eastAsia"/>
          <w:color w:val="auto"/>
          <w:sz w:val="24"/>
          <w:highlight w:val="none"/>
        </w:rPr>
        <w:t>通知书；</w:t>
      </w:r>
    </w:p>
    <w:p w14:paraId="0071D7C7">
      <w:pPr>
        <w:pStyle w:val="22"/>
        <w:numPr>
          <w:ilvl w:val="0"/>
          <w:numId w:val="1"/>
        </w:numPr>
        <w:tabs>
          <w:tab w:val="left" w:pos="1201"/>
        </w:tabs>
        <w:adjustRightInd w:val="0"/>
        <w:snapToGrid w:val="0"/>
        <w:spacing w:before="0" w:line="360" w:lineRule="auto"/>
        <w:ind w:left="119" w:firstLine="482"/>
        <w:rPr>
          <w:rFonts w:hint="eastAsia"/>
          <w:color w:val="auto"/>
          <w:sz w:val="24"/>
          <w:highlight w:val="none"/>
          <w:lang w:eastAsia="zh-CN"/>
        </w:rPr>
      </w:pPr>
      <w:r>
        <w:rPr>
          <w:rFonts w:hint="eastAsia"/>
          <w:color w:val="auto"/>
          <w:sz w:val="24"/>
          <w:highlight w:val="none"/>
          <w:lang w:eastAsia="zh-CN"/>
        </w:rPr>
        <w:t>投标文件（含保险方案、报价书等）；</w:t>
      </w:r>
    </w:p>
    <w:p w14:paraId="705AEA4C">
      <w:pPr>
        <w:pStyle w:val="22"/>
        <w:numPr>
          <w:ilvl w:val="0"/>
          <w:numId w:val="1"/>
        </w:numPr>
        <w:tabs>
          <w:tab w:val="left" w:pos="1201"/>
        </w:tabs>
        <w:adjustRightInd w:val="0"/>
        <w:snapToGrid w:val="0"/>
        <w:spacing w:before="0" w:line="360" w:lineRule="auto"/>
        <w:ind w:left="119" w:firstLine="482"/>
        <w:rPr>
          <w:rFonts w:hint="eastAsia"/>
          <w:color w:val="auto"/>
          <w:sz w:val="24"/>
          <w:highlight w:val="none"/>
        </w:rPr>
      </w:pPr>
      <w:r>
        <w:rPr>
          <w:rFonts w:hint="eastAsia"/>
          <w:color w:val="auto"/>
          <w:sz w:val="24"/>
          <w:highlight w:val="none"/>
        </w:rPr>
        <w:t>保险条款；</w:t>
      </w:r>
    </w:p>
    <w:p w14:paraId="682B9FEC">
      <w:pPr>
        <w:pStyle w:val="22"/>
        <w:numPr>
          <w:ilvl w:val="0"/>
          <w:numId w:val="1"/>
        </w:numPr>
        <w:tabs>
          <w:tab w:val="left" w:pos="1201"/>
        </w:tabs>
        <w:adjustRightInd w:val="0"/>
        <w:snapToGrid w:val="0"/>
        <w:spacing w:before="0" w:line="360" w:lineRule="auto"/>
        <w:ind w:left="119" w:firstLine="482"/>
        <w:rPr>
          <w:rFonts w:hint="eastAsia"/>
          <w:color w:val="auto"/>
          <w:sz w:val="24"/>
          <w:highlight w:val="none"/>
        </w:rPr>
      </w:pPr>
      <w:r>
        <w:rPr>
          <w:rFonts w:hint="eastAsia"/>
          <w:color w:val="auto"/>
          <w:sz w:val="24"/>
          <w:highlight w:val="none"/>
        </w:rPr>
        <w:t>保险单；</w:t>
      </w:r>
    </w:p>
    <w:p w14:paraId="1666E31B">
      <w:pPr>
        <w:pStyle w:val="22"/>
        <w:numPr>
          <w:ilvl w:val="0"/>
          <w:numId w:val="1"/>
        </w:numPr>
        <w:tabs>
          <w:tab w:val="left" w:pos="1201"/>
        </w:tabs>
        <w:adjustRightInd w:val="0"/>
        <w:snapToGrid w:val="0"/>
        <w:spacing w:before="0" w:line="360" w:lineRule="auto"/>
        <w:ind w:left="119" w:firstLine="482"/>
        <w:rPr>
          <w:rFonts w:hint="eastAsia"/>
          <w:color w:val="auto"/>
          <w:sz w:val="24"/>
          <w:highlight w:val="none"/>
        </w:rPr>
      </w:pPr>
      <w:r>
        <w:rPr>
          <w:rFonts w:hint="eastAsia"/>
          <w:color w:val="auto"/>
          <w:sz w:val="24"/>
          <w:highlight w:val="none"/>
          <w:lang w:val="en-US" w:eastAsia="zh-CN"/>
        </w:rPr>
        <w:t>招标</w:t>
      </w:r>
      <w:r>
        <w:rPr>
          <w:rFonts w:hint="eastAsia"/>
          <w:color w:val="auto"/>
          <w:sz w:val="24"/>
          <w:highlight w:val="none"/>
        </w:rPr>
        <w:t>文件；</w:t>
      </w:r>
    </w:p>
    <w:p w14:paraId="12953249">
      <w:pPr>
        <w:pStyle w:val="22"/>
        <w:numPr>
          <w:ilvl w:val="0"/>
          <w:numId w:val="1"/>
        </w:numPr>
        <w:tabs>
          <w:tab w:val="left" w:pos="1201"/>
        </w:tabs>
        <w:adjustRightInd w:val="0"/>
        <w:snapToGrid w:val="0"/>
        <w:spacing w:before="0" w:line="360" w:lineRule="auto"/>
        <w:ind w:left="119" w:firstLine="482"/>
        <w:rPr>
          <w:rFonts w:hint="eastAsia"/>
          <w:color w:val="auto"/>
          <w:sz w:val="24"/>
          <w:highlight w:val="none"/>
        </w:rPr>
      </w:pPr>
      <w:r>
        <w:rPr>
          <w:rFonts w:hint="eastAsia"/>
          <w:color w:val="auto"/>
          <w:sz w:val="24"/>
          <w:highlight w:val="none"/>
        </w:rPr>
        <w:t>其他文件（如有）。</w:t>
      </w:r>
    </w:p>
    <w:p w14:paraId="7CD5D40A">
      <w:pPr>
        <w:pStyle w:val="8"/>
        <w:adjustRightInd w:val="0"/>
        <w:snapToGrid w:val="0"/>
        <w:spacing w:before="0" w:line="360" w:lineRule="auto"/>
        <w:ind w:left="119" w:right="357" w:firstLine="482"/>
        <w:jc w:val="both"/>
        <w:rPr>
          <w:rFonts w:hint="eastAsia"/>
          <w:color w:val="auto"/>
          <w:highlight w:val="none"/>
          <w:lang w:eastAsia="zh-CN"/>
        </w:rPr>
      </w:pPr>
      <w:r>
        <w:rPr>
          <w:rFonts w:hint="eastAsia"/>
          <w:color w:val="auto"/>
          <w:spacing w:val="-7"/>
          <w:highlight w:val="none"/>
          <w:lang w:eastAsia="zh-CN"/>
        </w:rPr>
        <w:t>上述文件应认为是互为补充和解释的，若保险条款与保险协议书或附加条款</w:t>
      </w:r>
      <w:r>
        <w:rPr>
          <w:rFonts w:hint="eastAsia"/>
          <w:color w:val="auto"/>
          <w:spacing w:val="-10"/>
          <w:highlight w:val="none"/>
          <w:lang w:eastAsia="zh-CN"/>
        </w:rPr>
        <w:t>冲突，保险协议书及附加条款效力优先。上述文件的优先性，以上面所列顺序在</w:t>
      </w:r>
      <w:r>
        <w:rPr>
          <w:rFonts w:hint="eastAsia"/>
          <w:color w:val="auto"/>
          <w:highlight w:val="none"/>
          <w:lang w:eastAsia="zh-CN"/>
        </w:rPr>
        <w:t>前为准，若仍有不明确之处，以时间在后者为准。</w:t>
      </w:r>
    </w:p>
    <w:p w14:paraId="562F804C">
      <w:pPr>
        <w:pStyle w:val="8"/>
        <w:adjustRightInd w:val="0"/>
        <w:snapToGrid w:val="0"/>
        <w:spacing w:before="0" w:line="360" w:lineRule="auto"/>
        <w:ind w:right="357"/>
        <w:jc w:val="both"/>
        <w:rPr>
          <w:rFonts w:hint="default"/>
          <w:b/>
          <w:bCs/>
          <w:color w:val="auto"/>
          <w:highlight w:val="none"/>
          <w:lang w:val="en-US" w:eastAsia="zh-CN"/>
        </w:rPr>
      </w:pPr>
      <w:r>
        <w:rPr>
          <w:rFonts w:hint="eastAsia"/>
          <w:b/>
          <w:bCs/>
          <w:color w:val="auto"/>
          <w:highlight w:val="none"/>
          <w:lang w:eastAsia="zh-CN"/>
        </w:rPr>
        <w:t>二、</w:t>
      </w:r>
      <w:r>
        <w:rPr>
          <w:rFonts w:hint="eastAsia"/>
          <w:b/>
          <w:bCs/>
          <w:color w:val="auto"/>
          <w:highlight w:val="none"/>
          <w:lang w:val="en-US" w:eastAsia="zh-CN"/>
        </w:rPr>
        <w:t>保险标的概况</w:t>
      </w:r>
    </w:p>
    <w:p w14:paraId="4BF35C0D">
      <w:pPr>
        <w:widowControl/>
        <w:spacing w:line="360" w:lineRule="auto"/>
        <w:ind w:firstLine="480" w:firstLineChars="200"/>
        <w:jc w:val="left"/>
        <w:rPr>
          <w:rFonts w:hint="eastAsia" w:ascii="宋体" w:hAnsi="宋体" w:eastAsia="宋体" w:cs="宋体"/>
          <w:b w:val="0"/>
          <w:bCs w:val="0"/>
          <w:color w:val="auto"/>
          <w:kern w:val="0"/>
          <w:sz w:val="24"/>
          <w:szCs w:val="24"/>
          <w:highlight w:val="none"/>
          <w:u w:val="single"/>
          <w:lang w:val="en-US" w:eastAsia="zh-CN" w:bidi="ar-SA"/>
        </w:rPr>
      </w:pPr>
      <w:r>
        <w:rPr>
          <w:rFonts w:hint="eastAsia" w:ascii="宋体" w:hAnsi="宋体" w:eastAsia="宋体" w:cs="宋体"/>
          <w:b w:val="0"/>
          <w:bCs w:val="0"/>
          <w:color w:val="auto"/>
          <w:kern w:val="0"/>
          <w:sz w:val="24"/>
          <w:szCs w:val="24"/>
          <w:highlight w:val="none"/>
          <w:u w:val="single"/>
          <w:lang w:val="en-US" w:eastAsia="zh-CN" w:bidi="ar-SA"/>
        </w:rPr>
        <w:t>项目总用地面积82999.67㎡，其中规划建设用地面积56734.64㎡，其他用地面积26265.03㎡。拟新建28栋住宅（含配电房、物业管理、村委会、消防控制室、长者食堂等配套建筑）。工程总工期约为550日历天，最终以施工总承包合同约定为准。（项目建设规模及指标最终以政府相关部门批复及投保人选定方案为准）。</w:t>
      </w:r>
    </w:p>
    <w:p w14:paraId="19AD9C62">
      <w:pPr>
        <w:adjustRightInd w:val="0"/>
        <w:snapToGrid w:val="0"/>
        <w:spacing w:before="0" w:line="360" w:lineRule="auto"/>
        <w:ind w:left="0" w:right="2785" w:firstLine="482" w:firstLineChars="200"/>
        <w:rPr>
          <w:rFonts w:hint="eastAsia"/>
          <w:b/>
          <w:color w:val="auto"/>
          <w:sz w:val="24"/>
          <w:highlight w:val="none"/>
          <w:lang w:eastAsia="zh-CN"/>
        </w:rPr>
      </w:pPr>
      <w:r>
        <w:rPr>
          <w:rFonts w:hint="eastAsia"/>
          <w:b/>
          <w:color w:val="auto"/>
          <w:sz w:val="24"/>
          <w:highlight w:val="none"/>
          <w:lang w:eastAsia="zh-CN"/>
        </w:rPr>
        <w:t>三、投</w:t>
      </w:r>
      <w:r>
        <w:rPr>
          <w:rFonts w:hint="eastAsia"/>
          <w:b/>
          <w:color w:val="auto"/>
          <w:sz w:val="24"/>
          <w:highlight w:val="none"/>
          <w:lang w:val="en-US" w:eastAsia="zh-CN"/>
        </w:rPr>
        <w:t>保</w:t>
      </w:r>
      <w:r>
        <w:rPr>
          <w:rFonts w:hint="eastAsia"/>
          <w:b/>
          <w:color w:val="auto"/>
          <w:sz w:val="24"/>
          <w:highlight w:val="none"/>
          <w:lang w:eastAsia="zh-CN"/>
        </w:rPr>
        <w:t>人、被保险人和保险人信息</w:t>
      </w:r>
    </w:p>
    <w:p w14:paraId="0BB210DE">
      <w:pPr>
        <w:pStyle w:val="22"/>
        <w:numPr>
          <w:ilvl w:val="-1"/>
          <w:numId w:val="0"/>
        </w:numPr>
        <w:tabs>
          <w:tab w:val="left" w:pos="1080"/>
        </w:tabs>
        <w:autoSpaceDE/>
        <w:autoSpaceDN/>
        <w:adjustRightInd w:val="0"/>
        <w:snapToGrid w:val="0"/>
        <w:spacing w:before="0" w:line="360" w:lineRule="auto"/>
        <w:ind w:left="0" w:firstLine="480" w:firstLineChars="200"/>
        <w:jc w:val="left"/>
        <w:rPr>
          <w:rFonts w:hint="eastAsia"/>
          <w:color w:val="auto"/>
          <w:sz w:val="24"/>
          <w:highlight w:val="none"/>
          <w:lang w:eastAsia="zh-CN"/>
        </w:rPr>
      </w:pPr>
      <w:r>
        <w:rPr>
          <w:rFonts w:hint="eastAsia"/>
          <w:color w:val="auto"/>
          <w:sz w:val="24"/>
          <w:highlight w:val="none"/>
          <w:lang w:val="en-US" w:eastAsia="zh-CN"/>
        </w:rPr>
        <w:t xml:space="preserve">3.1 </w:t>
      </w:r>
      <w:r>
        <w:rPr>
          <w:rFonts w:hint="eastAsia"/>
          <w:color w:val="auto"/>
          <w:sz w:val="24"/>
          <w:highlight w:val="none"/>
          <w:lang w:eastAsia="zh-CN"/>
        </w:rPr>
        <w:t>投保人：广州市增城区公共建设项目管理服务中心</w:t>
      </w:r>
    </w:p>
    <w:p w14:paraId="339D08A1">
      <w:pPr>
        <w:pStyle w:val="22"/>
        <w:numPr>
          <w:ilvl w:val="-1"/>
          <w:numId w:val="0"/>
        </w:numPr>
        <w:tabs>
          <w:tab w:val="left" w:pos="1080"/>
        </w:tabs>
        <w:adjustRightInd w:val="0"/>
        <w:snapToGrid w:val="0"/>
        <w:spacing w:before="0" w:line="360" w:lineRule="auto"/>
        <w:ind w:left="0" w:firstLine="480" w:firstLineChars="200"/>
        <w:jc w:val="both"/>
        <w:rPr>
          <w:rFonts w:hint="eastAsia"/>
          <w:color w:val="auto"/>
          <w:sz w:val="24"/>
          <w:highlight w:val="none"/>
          <w:lang w:eastAsia="zh-CN"/>
        </w:rPr>
      </w:pPr>
      <w:r>
        <w:rPr>
          <w:rFonts w:hint="eastAsia"/>
          <w:color w:val="auto"/>
          <w:sz w:val="24"/>
          <w:highlight w:val="none"/>
          <w:lang w:val="en-US" w:eastAsia="zh-CN"/>
        </w:rPr>
        <w:t xml:space="preserve">3.2 </w:t>
      </w:r>
      <w:r>
        <w:rPr>
          <w:rFonts w:hint="eastAsia"/>
          <w:color w:val="auto"/>
          <w:sz w:val="24"/>
          <w:highlight w:val="none"/>
          <w:lang w:eastAsia="zh-CN"/>
        </w:rPr>
        <w:t>被保险人：</w:t>
      </w:r>
      <w:r>
        <w:rPr>
          <w:rFonts w:hint="eastAsia" w:ascii="宋体" w:hAnsi="宋体" w:cs="宋体"/>
          <w:color w:val="auto"/>
          <w:sz w:val="24"/>
          <w:szCs w:val="24"/>
          <w:highlight w:val="none"/>
        </w:rPr>
        <w:t>建筑物所有权人</w:t>
      </w:r>
    </w:p>
    <w:p w14:paraId="09C85F36">
      <w:pPr>
        <w:pStyle w:val="8"/>
        <w:spacing w:line="360" w:lineRule="auto"/>
        <w:ind w:left="0" w:leftChars="0" w:firstLine="480" w:firstLineChars="200"/>
        <w:rPr>
          <w:rFonts w:hint="eastAsia" w:ascii="宋体" w:hAnsi="宋体"/>
          <w:color w:val="auto"/>
          <w:spacing w:val="-11"/>
          <w:sz w:val="24"/>
          <w:szCs w:val="24"/>
          <w:highlight w:val="none"/>
          <w:u w:val="none"/>
          <w:lang w:eastAsia="zh-CN"/>
        </w:rPr>
      </w:pPr>
      <w:r>
        <w:rPr>
          <w:rFonts w:hint="eastAsia"/>
          <w:color w:val="auto"/>
          <w:sz w:val="24"/>
          <w:highlight w:val="none"/>
          <w:lang w:val="en-US" w:eastAsia="zh-CN"/>
        </w:rPr>
        <w:t xml:space="preserve">3.3 </w:t>
      </w:r>
      <w:r>
        <w:rPr>
          <w:rFonts w:hint="eastAsia"/>
          <w:color w:val="auto"/>
          <w:spacing w:val="-11"/>
          <w:sz w:val="24"/>
          <w:highlight w:val="none"/>
          <w:lang w:eastAsia="zh-CN"/>
        </w:rPr>
        <w:t>保险人：</w:t>
      </w:r>
      <w:r>
        <w:rPr>
          <w:rFonts w:hint="eastAsia"/>
          <w:color w:val="auto"/>
          <w:spacing w:val="-11"/>
          <w:sz w:val="24"/>
          <w:highlight w:val="none"/>
          <w:u w:val="single"/>
          <w:lang w:val="en-US" w:eastAsia="zh-CN"/>
        </w:rPr>
        <w:t xml:space="preserve">                       </w:t>
      </w:r>
      <w:r>
        <w:rPr>
          <w:rFonts w:hint="eastAsia"/>
          <w:color w:val="auto"/>
          <w:spacing w:val="-11"/>
          <w:sz w:val="24"/>
          <w:highlight w:val="none"/>
          <w:lang w:val="en-US" w:eastAsia="zh-CN"/>
        </w:rPr>
        <w:t xml:space="preserve"> </w:t>
      </w:r>
      <w:r>
        <w:rPr>
          <w:rFonts w:hint="eastAsia"/>
          <w:color w:val="auto"/>
          <w:spacing w:val="-11"/>
          <w:sz w:val="24"/>
          <w:highlight w:val="none"/>
          <w:lang w:eastAsia="zh-CN"/>
        </w:rPr>
        <w:t>，保险人作为本项目主承保公司。</w:t>
      </w:r>
      <w:r>
        <w:rPr>
          <w:rFonts w:hint="eastAsia" w:ascii="宋体" w:hAnsi="宋体"/>
          <w:color w:val="auto"/>
          <w:spacing w:val="-11"/>
          <w:sz w:val="24"/>
          <w:szCs w:val="24"/>
          <w:highlight w:val="none"/>
          <w:u w:val="none"/>
          <w:lang w:eastAsia="zh-CN"/>
        </w:rPr>
        <w:t>本项目住宅工程质量潜在缺陷保险采取共保模式，共保体由1家主承保公司和不少于2家从保公司组成</w:t>
      </w:r>
      <w:r>
        <w:rPr>
          <w:rFonts w:hint="eastAsia"/>
          <w:color w:val="auto"/>
          <w:spacing w:val="-11"/>
          <w:sz w:val="24"/>
          <w:szCs w:val="24"/>
          <w:highlight w:val="none"/>
          <w:u w:val="none"/>
          <w:lang w:eastAsia="zh-CN"/>
        </w:rPr>
        <w:t>。</w:t>
      </w:r>
      <w:r>
        <w:rPr>
          <w:rFonts w:hint="eastAsia" w:ascii="宋体" w:hAnsi="宋体"/>
          <w:color w:val="auto"/>
          <w:spacing w:val="-11"/>
          <w:sz w:val="24"/>
          <w:szCs w:val="24"/>
          <w:highlight w:val="none"/>
          <w:u w:val="none"/>
          <w:lang w:eastAsia="zh-CN"/>
        </w:rPr>
        <w:t>共保体由</w:t>
      </w:r>
      <w:r>
        <w:rPr>
          <w:rFonts w:hint="eastAsia"/>
          <w:color w:val="auto"/>
          <w:spacing w:val="-11"/>
          <w:sz w:val="24"/>
          <w:szCs w:val="24"/>
          <w:highlight w:val="none"/>
          <w:u w:val="none"/>
          <w:lang w:eastAsia="zh-CN"/>
        </w:rPr>
        <w:t>保险人</w:t>
      </w:r>
      <w:r>
        <w:rPr>
          <w:rFonts w:hint="eastAsia" w:ascii="宋体" w:hAnsi="宋体"/>
          <w:color w:val="auto"/>
          <w:spacing w:val="-11"/>
          <w:sz w:val="24"/>
          <w:szCs w:val="24"/>
          <w:highlight w:val="none"/>
          <w:u w:val="none"/>
          <w:lang w:eastAsia="zh-CN"/>
        </w:rPr>
        <w:t>按</w:t>
      </w:r>
      <w:r>
        <w:rPr>
          <w:rFonts w:hint="eastAsia"/>
          <w:color w:val="auto"/>
          <w:spacing w:val="-11"/>
          <w:sz w:val="24"/>
          <w:szCs w:val="24"/>
          <w:highlight w:val="none"/>
          <w:u w:val="none"/>
          <w:lang w:eastAsia="zh-CN"/>
        </w:rPr>
        <w:t>《</w:t>
      </w:r>
      <w:r>
        <w:rPr>
          <w:rFonts w:hint="eastAsia" w:ascii="宋体" w:hAnsi="宋体"/>
          <w:color w:val="auto"/>
          <w:spacing w:val="-11"/>
          <w:sz w:val="24"/>
          <w:szCs w:val="24"/>
          <w:highlight w:val="none"/>
          <w:u w:val="none"/>
          <w:lang w:eastAsia="zh-CN"/>
        </w:rPr>
        <w:t>广州市住宅工程质量潜在缺陷保险管理办法</w:t>
      </w:r>
      <w:r>
        <w:rPr>
          <w:rFonts w:hint="eastAsia"/>
          <w:color w:val="auto"/>
          <w:spacing w:val="-11"/>
          <w:sz w:val="24"/>
          <w:szCs w:val="24"/>
          <w:highlight w:val="none"/>
          <w:u w:val="none"/>
          <w:lang w:eastAsia="zh-CN"/>
        </w:rPr>
        <w:t>》</w:t>
      </w:r>
      <w:r>
        <w:rPr>
          <w:rFonts w:hint="eastAsia" w:ascii="宋体" w:hAnsi="宋体"/>
          <w:color w:val="auto"/>
          <w:spacing w:val="-11"/>
          <w:sz w:val="24"/>
          <w:szCs w:val="24"/>
          <w:highlight w:val="none"/>
          <w:u w:val="none"/>
          <w:lang w:eastAsia="zh-CN"/>
        </w:rPr>
        <w:t>（穗建质〔202</w:t>
      </w:r>
      <w:r>
        <w:rPr>
          <w:rFonts w:hint="eastAsia"/>
          <w:color w:val="auto"/>
          <w:spacing w:val="-11"/>
          <w:sz w:val="24"/>
          <w:szCs w:val="24"/>
          <w:highlight w:val="none"/>
          <w:u w:val="none"/>
          <w:lang w:val="en-US" w:eastAsia="zh-CN"/>
        </w:rPr>
        <w:t>5</w:t>
      </w:r>
      <w:r>
        <w:rPr>
          <w:rFonts w:hint="eastAsia" w:ascii="宋体" w:hAnsi="宋体"/>
          <w:color w:val="auto"/>
          <w:spacing w:val="-11"/>
          <w:sz w:val="24"/>
          <w:szCs w:val="24"/>
          <w:highlight w:val="none"/>
          <w:u w:val="none"/>
          <w:lang w:eastAsia="zh-CN"/>
        </w:rPr>
        <w:t>〕</w:t>
      </w:r>
      <w:r>
        <w:rPr>
          <w:rFonts w:hint="eastAsia"/>
          <w:color w:val="auto"/>
          <w:spacing w:val="-11"/>
          <w:sz w:val="24"/>
          <w:szCs w:val="24"/>
          <w:highlight w:val="none"/>
          <w:u w:val="none"/>
          <w:lang w:val="en-US" w:eastAsia="zh-CN"/>
        </w:rPr>
        <w:t>71</w:t>
      </w:r>
      <w:r>
        <w:rPr>
          <w:rFonts w:hint="eastAsia" w:ascii="宋体" w:hAnsi="宋体"/>
          <w:color w:val="auto"/>
          <w:spacing w:val="-11"/>
          <w:sz w:val="24"/>
          <w:szCs w:val="24"/>
          <w:highlight w:val="none"/>
          <w:u w:val="none"/>
          <w:lang w:eastAsia="zh-CN"/>
        </w:rPr>
        <w:t>号）</w:t>
      </w:r>
      <w:r>
        <w:rPr>
          <w:rFonts w:hint="eastAsia"/>
          <w:color w:val="auto"/>
          <w:spacing w:val="-11"/>
          <w:sz w:val="24"/>
          <w:szCs w:val="24"/>
          <w:highlight w:val="none"/>
          <w:u w:val="none"/>
          <w:lang w:eastAsia="zh-CN"/>
        </w:rPr>
        <w:t>、</w:t>
      </w:r>
      <w:r>
        <w:rPr>
          <w:rFonts w:hint="eastAsia" w:ascii="宋体" w:hAnsi="宋体"/>
          <w:color w:val="auto"/>
          <w:spacing w:val="-11"/>
          <w:sz w:val="24"/>
          <w:szCs w:val="24"/>
          <w:highlight w:val="none"/>
          <w:u w:val="none"/>
          <w:lang w:eastAsia="zh-CN"/>
        </w:rPr>
        <w:t>《关于印发&lt;广州市住宅工程质量潜在缺陷保险暂行办法实施细则的通知》（穗建质〔2020〕436号）第五条“住宅工程质量潜在缺陷保采取共保模式”的要求，选择具有相应资质及类似项目经验的从保公司组建共保体，以签订共保协议的形式明确各自在项目上的承保份额、权利义务</w:t>
      </w:r>
      <w:r>
        <w:rPr>
          <w:rFonts w:hint="eastAsia"/>
          <w:color w:val="auto"/>
          <w:spacing w:val="-11"/>
          <w:sz w:val="24"/>
          <w:szCs w:val="24"/>
          <w:highlight w:val="none"/>
          <w:u w:val="none"/>
          <w:lang w:eastAsia="zh-CN"/>
        </w:rPr>
        <w:t>。</w:t>
      </w:r>
      <w:r>
        <w:rPr>
          <w:rFonts w:hint="eastAsia"/>
          <w:color w:val="auto"/>
          <w:spacing w:val="-11"/>
          <w:sz w:val="24"/>
          <w:szCs w:val="24"/>
          <w:highlight w:val="none"/>
          <w:u w:val="none"/>
          <w:lang w:val="en-US" w:eastAsia="zh-CN"/>
        </w:rPr>
        <w:t>其中主承保公司份额不得低于50%，保险人须向投保人提交一份共保协议复印件备案。本项目共保体</w:t>
      </w:r>
      <w:r>
        <w:rPr>
          <w:rFonts w:hint="eastAsia"/>
          <w:color w:val="auto"/>
          <w:sz w:val="24"/>
          <w:highlight w:val="none"/>
          <w:lang w:eastAsia="zh-CN"/>
        </w:rPr>
        <w:t>具体信息如下表：</w:t>
      </w:r>
    </w:p>
    <w:tbl>
      <w:tblPr>
        <w:tblStyle w:val="17"/>
        <w:tblpPr w:leftFromText="180" w:rightFromText="180" w:vertAnchor="text" w:horzAnchor="page" w:tblpX="1799" w:tblpY="1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22"/>
        <w:gridCol w:w="4677"/>
        <w:gridCol w:w="1497"/>
      </w:tblGrid>
      <w:tr w14:paraId="7E3E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2122" w:type="dxa"/>
          </w:tcPr>
          <w:p w14:paraId="7F7FE054">
            <w:pPr>
              <w:pStyle w:val="23"/>
              <w:spacing w:before="80"/>
              <w:ind w:left="440" w:right="429"/>
              <w:rPr>
                <w:rFonts w:hint="eastAsia"/>
                <w:b/>
                <w:color w:val="auto"/>
                <w:sz w:val="24"/>
                <w:highlight w:val="none"/>
              </w:rPr>
            </w:pPr>
            <w:r>
              <w:rPr>
                <w:rFonts w:hint="eastAsia"/>
                <w:b/>
                <w:color w:val="auto"/>
                <w:sz w:val="24"/>
                <w:highlight w:val="none"/>
              </w:rPr>
              <w:t>共保体</w:t>
            </w:r>
          </w:p>
        </w:tc>
        <w:tc>
          <w:tcPr>
            <w:tcW w:w="4677" w:type="dxa"/>
          </w:tcPr>
          <w:p w14:paraId="21E64FC7">
            <w:pPr>
              <w:pStyle w:val="23"/>
              <w:spacing w:before="80"/>
              <w:ind w:left="1596" w:right="1585"/>
              <w:rPr>
                <w:rFonts w:hint="eastAsia"/>
                <w:b/>
                <w:color w:val="auto"/>
                <w:sz w:val="24"/>
                <w:highlight w:val="none"/>
              </w:rPr>
            </w:pPr>
            <w:r>
              <w:rPr>
                <w:rFonts w:hint="eastAsia"/>
                <w:b/>
                <w:color w:val="auto"/>
                <w:sz w:val="24"/>
                <w:highlight w:val="none"/>
              </w:rPr>
              <w:t>保险公司名称</w:t>
            </w:r>
          </w:p>
        </w:tc>
        <w:tc>
          <w:tcPr>
            <w:tcW w:w="1497" w:type="dxa"/>
          </w:tcPr>
          <w:p w14:paraId="13411F11">
            <w:pPr>
              <w:pStyle w:val="23"/>
              <w:spacing w:before="80"/>
              <w:ind w:left="487" w:right="477"/>
              <w:rPr>
                <w:rFonts w:hint="eastAsia"/>
                <w:b/>
                <w:color w:val="auto"/>
                <w:sz w:val="24"/>
                <w:highlight w:val="none"/>
              </w:rPr>
            </w:pPr>
            <w:r>
              <w:rPr>
                <w:rFonts w:hint="eastAsia"/>
                <w:b/>
                <w:color w:val="auto"/>
                <w:sz w:val="24"/>
                <w:highlight w:val="none"/>
              </w:rPr>
              <w:t>份额</w:t>
            </w:r>
          </w:p>
        </w:tc>
      </w:tr>
      <w:tr w14:paraId="20D0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2122" w:type="dxa"/>
          </w:tcPr>
          <w:p w14:paraId="242421D9">
            <w:pPr>
              <w:pStyle w:val="23"/>
              <w:spacing w:before="82"/>
              <w:ind w:left="438" w:right="430"/>
              <w:rPr>
                <w:rFonts w:hint="eastAsia"/>
                <w:color w:val="auto"/>
                <w:sz w:val="24"/>
                <w:highlight w:val="none"/>
              </w:rPr>
            </w:pPr>
            <w:r>
              <w:rPr>
                <w:rFonts w:hint="eastAsia"/>
                <w:color w:val="auto"/>
                <w:sz w:val="24"/>
                <w:highlight w:val="none"/>
              </w:rPr>
              <w:t>主承保公司</w:t>
            </w:r>
          </w:p>
        </w:tc>
        <w:tc>
          <w:tcPr>
            <w:tcW w:w="4677" w:type="dxa"/>
            <w:vAlign w:val="center"/>
          </w:tcPr>
          <w:p w14:paraId="3800C3CD">
            <w:pPr>
              <w:keepNext w:val="0"/>
              <w:keepLines w:val="0"/>
              <w:widowControl/>
              <w:suppressLineNumbers w:val="0"/>
              <w:jc w:val="center"/>
              <w:textAlignment w:val="center"/>
              <w:rPr>
                <w:rFonts w:hint="eastAsia" w:ascii="宋体"/>
                <w:color w:val="auto"/>
                <w:highlight w:val="none"/>
              </w:rPr>
            </w:pPr>
          </w:p>
        </w:tc>
        <w:tc>
          <w:tcPr>
            <w:tcW w:w="1497" w:type="dxa"/>
            <w:vAlign w:val="center"/>
          </w:tcPr>
          <w:p w14:paraId="73EB1A87">
            <w:pPr>
              <w:keepNext w:val="0"/>
              <w:keepLines w:val="0"/>
              <w:widowControl/>
              <w:suppressLineNumbers w:val="0"/>
              <w:jc w:val="center"/>
              <w:textAlignment w:val="center"/>
              <w:rPr>
                <w:rFonts w:hint="eastAsia"/>
                <w:color w:val="auto"/>
                <w:sz w:val="24"/>
                <w:highlight w:val="none"/>
              </w:rPr>
            </w:pPr>
          </w:p>
        </w:tc>
      </w:tr>
      <w:tr w14:paraId="5388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2122" w:type="dxa"/>
            <w:vAlign w:val="center"/>
          </w:tcPr>
          <w:p w14:paraId="18D90F95">
            <w:pPr>
              <w:keepNext w:val="0"/>
              <w:keepLines w:val="0"/>
              <w:widowControl/>
              <w:suppressLineNumbers w:val="0"/>
              <w:jc w:val="center"/>
              <w:textAlignment w:val="center"/>
              <w:rPr>
                <w:rFonts w:hint="eastAsia"/>
                <w:color w:val="auto"/>
                <w:sz w:val="24"/>
                <w:highlight w:val="none"/>
              </w:rPr>
            </w:pPr>
            <w:r>
              <w:rPr>
                <w:rFonts w:hint="eastAsia" w:ascii="宋体" w:hAnsi="宋体" w:eastAsia="宋体" w:cs="宋体"/>
                <w:i w:val="0"/>
                <w:iCs w:val="0"/>
                <w:color w:val="auto"/>
                <w:kern w:val="0"/>
                <w:sz w:val="22"/>
                <w:szCs w:val="22"/>
                <w:highlight w:val="none"/>
                <w:u w:val="none"/>
                <w:lang w:val="en-US" w:eastAsia="zh-CN" w:bidi="ar"/>
              </w:rPr>
              <w:t>从保公司1</w:t>
            </w:r>
          </w:p>
        </w:tc>
        <w:tc>
          <w:tcPr>
            <w:tcW w:w="4677" w:type="dxa"/>
            <w:vAlign w:val="center"/>
          </w:tcPr>
          <w:p w14:paraId="6FA2F413">
            <w:pPr>
              <w:keepNext w:val="0"/>
              <w:keepLines w:val="0"/>
              <w:widowControl/>
              <w:suppressLineNumbers w:val="0"/>
              <w:jc w:val="center"/>
              <w:textAlignment w:val="center"/>
              <w:rPr>
                <w:rFonts w:hint="eastAsia" w:ascii="宋体"/>
                <w:color w:val="auto"/>
                <w:highlight w:val="none"/>
              </w:rPr>
            </w:pPr>
          </w:p>
        </w:tc>
        <w:tc>
          <w:tcPr>
            <w:tcW w:w="1497" w:type="dxa"/>
            <w:vAlign w:val="center"/>
          </w:tcPr>
          <w:p w14:paraId="78696694">
            <w:pPr>
              <w:keepNext w:val="0"/>
              <w:keepLines w:val="0"/>
              <w:widowControl/>
              <w:suppressLineNumbers w:val="0"/>
              <w:jc w:val="center"/>
              <w:textAlignment w:val="center"/>
              <w:rPr>
                <w:rFonts w:hint="eastAsia"/>
                <w:color w:val="auto"/>
                <w:sz w:val="24"/>
                <w:highlight w:val="none"/>
              </w:rPr>
            </w:pPr>
          </w:p>
        </w:tc>
      </w:tr>
      <w:tr w14:paraId="33926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2122" w:type="dxa"/>
            <w:vAlign w:val="center"/>
          </w:tcPr>
          <w:p w14:paraId="7D98646B">
            <w:pPr>
              <w:keepNext w:val="0"/>
              <w:keepLines w:val="0"/>
              <w:widowControl/>
              <w:suppressLineNumbers w:val="0"/>
              <w:jc w:val="center"/>
              <w:textAlignment w:val="center"/>
              <w:rPr>
                <w:rFonts w:hint="eastAsia"/>
                <w:color w:val="auto"/>
                <w:sz w:val="24"/>
                <w:highlight w:val="none"/>
              </w:rPr>
            </w:pPr>
            <w:r>
              <w:rPr>
                <w:rFonts w:hint="eastAsia" w:ascii="宋体" w:hAnsi="宋体" w:eastAsia="宋体" w:cs="宋体"/>
                <w:i w:val="0"/>
                <w:iCs w:val="0"/>
                <w:color w:val="auto"/>
                <w:kern w:val="0"/>
                <w:sz w:val="22"/>
                <w:szCs w:val="22"/>
                <w:highlight w:val="none"/>
                <w:u w:val="none"/>
                <w:lang w:val="en-US" w:eastAsia="zh-CN" w:bidi="ar"/>
              </w:rPr>
              <w:t>从保公司2</w:t>
            </w:r>
          </w:p>
        </w:tc>
        <w:tc>
          <w:tcPr>
            <w:tcW w:w="4677" w:type="dxa"/>
            <w:vAlign w:val="center"/>
          </w:tcPr>
          <w:p w14:paraId="3CE67FED">
            <w:pPr>
              <w:keepNext w:val="0"/>
              <w:keepLines w:val="0"/>
              <w:widowControl/>
              <w:suppressLineNumbers w:val="0"/>
              <w:jc w:val="center"/>
              <w:textAlignment w:val="center"/>
              <w:rPr>
                <w:rFonts w:hint="eastAsia" w:ascii="宋体"/>
                <w:color w:val="auto"/>
                <w:highlight w:val="none"/>
              </w:rPr>
            </w:pPr>
          </w:p>
        </w:tc>
        <w:tc>
          <w:tcPr>
            <w:tcW w:w="1497" w:type="dxa"/>
            <w:vAlign w:val="center"/>
          </w:tcPr>
          <w:p w14:paraId="67613681">
            <w:pPr>
              <w:keepNext w:val="0"/>
              <w:keepLines w:val="0"/>
              <w:widowControl/>
              <w:suppressLineNumbers w:val="0"/>
              <w:jc w:val="center"/>
              <w:textAlignment w:val="center"/>
              <w:rPr>
                <w:rFonts w:hint="eastAsia"/>
                <w:color w:val="auto"/>
                <w:sz w:val="24"/>
                <w:highlight w:val="none"/>
              </w:rPr>
            </w:pPr>
          </w:p>
        </w:tc>
      </w:tr>
    </w:tbl>
    <w:p w14:paraId="58ED1ABC">
      <w:pPr>
        <w:pStyle w:val="22"/>
        <w:numPr>
          <w:ilvl w:val="0"/>
          <w:numId w:val="0"/>
        </w:numPr>
        <w:tabs>
          <w:tab w:val="left" w:pos="1080"/>
        </w:tabs>
        <w:adjustRightInd w:val="0"/>
        <w:snapToGrid w:val="0"/>
        <w:spacing w:line="360" w:lineRule="auto"/>
        <w:ind w:left="0" w:right="357" w:firstLine="480" w:firstLineChars="200"/>
        <w:jc w:val="both"/>
        <w:rPr>
          <w:rFonts w:hint="eastAsia"/>
          <w:color w:val="auto"/>
          <w:highlight w:val="none"/>
          <w:lang w:eastAsia="zh-CN"/>
        </w:rPr>
      </w:pPr>
      <w:r>
        <w:rPr>
          <w:rFonts w:hint="eastAsia" w:ascii="宋体" w:hAnsi="宋体" w:eastAsia="宋体" w:cs="宋体"/>
          <w:i w:val="0"/>
          <w:iCs w:val="0"/>
          <w:caps w:val="0"/>
          <w:color w:val="auto"/>
          <w:spacing w:val="0"/>
          <w:sz w:val="24"/>
          <w:szCs w:val="24"/>
          <w:highlight w:val="none"/>
          <w:shd w:val="clear"/>
        </w:rPr>
        <w:t>保险人应提供的具体服务内容包括但不限于：(1)提供风险管理服务，包括但不限于风险评估、风险控制建议和定期检查；(2)提供快速理赔服务，确保在接到报案后及时响应并处理</w:t>
      </w:r>
      <w:r>
        <w:rPr>
          <w:rFonts w:hint="eastAsia" w:cs="宋体"/>
          <w:i w:val="0"/>
          <w:iCs w:val="0"/>
          <w:caps w:val="0"/>
          <w:color w:val="auto"/>
          <w:spacing w:val="0"/>
          <w:sz w:val="24"/>
          <w:szCs w:val="24"/>
          <w:highlight w:val="none"/>
          <w:shd w:val="clear"/>
          <w:lang w:eastAsia="zh-CN"/>
        </w:rPr>
        <w:t>，</w:t>
      </w:r>
      <w:r>
        <w:rPr>
          <w:rFonts w:hint="eastAsia" w:cs="宋体"/>
          <w:i w:val="0"/>
          <w:iCs w:val="0"/>
          <w:caps w:val="0"/>
          <w:color w:val="auto"/>
          <w:spacing w:val="0"/>
          <w:sz w:val="24"/>
          <w:szCs w:val="24"/>
          <w:highlight w:val="none"/>
          <w:shd w:val="clear"/>
          <w:lang w:val="en-US" w:eastAsia="zh-CN"/>
        </w:rPr>
        <w:t>并及时作出理赔</w:t>
      </w:r>
      <w:r>
        <w:rPr>
          <w:rFonts w:hint="eastAsia" w:ascii="宋体" w:hAnsi="宋体" w:eastAsia="宋体" w:cs="宋体"/>
          <w:i w:val="0"/>
          <w:iCs w:val="0"/>
          <w:caps w:val="0"/>
          <w:color w:val="auto"/>
          <w:spacing w:val="0"/>
          <w:sz w:val="24"/>
          <w:szCs w:val="24"/>
          <w:highlight w:val="none"/>
          <w:shd w:val="clear"/>
        </w:rPr>
        <w:t>；(3)提供专业的技术支持，确保在保险责任期内对潜在缺陷进行有效管理和修复。</w:t>
      </w:r>
      <w:r>
        <w:rPr>
          <w:rFonts w:hint="eastAsia"/>
          <w:color w:val="auto"/>
          <w:spacing w:val="-6"/>
          <w:sz w:val="24"/>
          <w:highlight w:val="none"/>
          <w:lang w:eastAsia="zh-CN"/>
        </w:rPr>
        <w:t>各公司应严格按照</w:t>
      </w:r>
      <w:r>
        <w:rPr>
          <w:rFonts w:hint="eastAsia"/>
          <w:color w:val="auto"/>
          <w:sz w:val="24"/>
          <w:highlight w:val="none"/>
          <w:lang w:eastAsia="zh-CN"/>
        </w:rPr>
        <w:t>保险合同的约定承担保险责任，</w:t>
      </w:r>
      <w:r>
        <w:rPr>
          <w:rFonts w:hint="eastAsia" w:ascii="宋体" w:hAnsi="宋体" w:eastAsia="宋体" w:cs="宋体"/>
          <w:color w:val="auto"/>
          <w:sz w:val="24"/>
          <w:szCs w:val="24"/>
          <w:highlight w:val="none"/>
          <w:u w:val="none"/>
          <w:lang w:val="en-US" w:eastAsia="zh-CN"/>
        </w:rPr>
        <w:t>主承保公司对保单承担直接管理责任，负责对参与共保的其他</w:t>
      </w:r>
      <w:r>
        <w:rPr>
          <w:rFonts w:hint="eastAsia" w:cs="宋体"/>
          <w:color w:val="auto"/>
          <w:sz w:val="24"/>
          <w:szCs w:val="24"/>
          <w:highlight w:val="none"/>
          <w:u w:val="none"/>
          <w:lang w:val="en-US" w:eastAsia="zh-CN"/>
        </w:rPr>
        <w:t>保险人</w:t>
      </w:r>
      <w:r>
        <w:rPr>
          <w:rFonts w:hint="eastAsia" w:ascii="宋体" w:hAnsi="宋体" w:eastAsia="宋体" w:cs="宋体"/>
          <w:color w:val="auto"/>
          <w:sz w:val="24"/>
          <w:szCs w:val="24"/>
          <w:highlight w:val="none"/>
          <w:u w:val="none"/>
          <w:lang w:val="en-US" w:eastAsia="zh-CN"/>
        </w:rPr>
        <w:t>和风险管理机构进行合规管理，并依法承担其他共保公司或风险管理机构违规行为的连带责任</w:t>
      </w:r>
      <w:r>
        <w:rPr>
          <w:rFonts w:hint="eastAsia"/>
          <w:color w:val="auto"/>
          <w:sz w:val="24"/>
          <w:highlight w:val="none"/>
          <w:lang w:eastAsia="zh-CN"/>
        </w:rPr>
        <w:t>。</w:t>
      </w:r>
    </w:p>
    <w:p w14:paraId="62589D9B">
      <w:pPr>
        <w:pStyle w:val="5"/>
        <w:adjustRightInd w:val="0"/>
        <w:snapToGrid w:val="0"/>
        <w:spacing w:line="360" w:lineRule="auto"/>
        <w:ind w:left="0" w:firstLine="482" w:firstLineChars="200"/>
        <w:rPr>
          <w:rFonts w:hint="eastAsia" w:eastAsia="宋体"/>
          <w:color w:val="auto"/>
          <w:highlight w:val="none"/>
          <w:lang w:eastAsia="zh-CN"/>
        </w:rPr>
      </w:pPr>
      <w:r>
        <w:rPr>
          <w:rFonts w:hint="eastAsia"/>
          <w:color w:val="auto"/>
          <w:highlight w:val="none"/>
        </w:rPr>
        <w:t>四、投保险种</w:t>
      </w:r>
    </w:p>
    <w:p w14:paraId="6D288496">
      <w:pPr>
        <w:pStyle w:val="8"/>
        <w:adjustRightInd w:val="0"/>
        <w:snapToGrid w:val="0"/>
        <w:spacing w:before="0" w:line="360" w:lineRule="auto"/>
        <w:ind w:left="0" w:firstLine="480" w:firstLineChars="200"/>
        <w:rPr>
          <w:rFonts w:hint="eastAsia"/>
          <w:color w:val="auto"/>
          <w:highlight w:val="none"/>
          <w:lang w:eastAsia="zh-CN"/>
        </w:rPr>
      </w:pPr>
      <w:r>
        <w:rPr>
          <w:rFonts w:hint="eastAsia"/>
          <w:color w:val="auto"/>
          <w:sz w:val="24"/>
          <w:szCs w:val="24"/>
          <w:highlight w:val="none"/>
          <w:u w:val="none"/>
          <w:lang w:eastAsia="zh-CN"/>
        </w:rPr>
        <w:t>本项目</w:t>
      </w:r>
      <w:r>
        <w:rPr>
          <w:rFonts w:hint="eastAsia" w:ascii="宋体" w:hAnsi="宋体" w:eastAsia="宋体"/>
          <w:color w:val="auto"/>
          <w:sz w:val="24"/>
          <w:szCs w:val="24"/>
          <w:highlight w:val="none"/>
          <w:u w:val="none"/>
          <w:lang w:eastAsia="zh-CN"/>
        </w:rPr>
        <w:t>住宅工程质量潜在缺陷保险采取共保模式承保，承保实</w:t>
      </w:r>
      <w:r>
        <w:rPr>
          <w:rFonts w:hint="eastAsia"/>
          <w:color w:val="auto"/>
          <w:sz w:val="24"/>
          <w:szCs w:val="24"/>
          <w:highlight w:val="none"/>
          <w:u w:val="none"/>
          <w:lang w:eastAsia="zh-CN"/>
        </w:rPr>
        <w:t>行</w:t>
      </w:r>
      <w:r>
        <w:rPr>
          <w:rFonts w:hint="eastAsia" w:ascii="宋体" w:hAnsi="宋体" w:eastAsia="宋体"/>
          <w:color w:val="auto"/>
          <w:sz w:val="24"/>
          <w:szCs w:val="24"/>
          <w:highlight w:val="none"/>
          <w:u w:val="none"/>
          <w:lang w:eastAsia="zh-CN"/>
        </w:rPr>
        <w:t>统一保险条款、统一保险费率、统一理赔服务、统一信息平台</w:t>
      </w:r>
      <w:r>
        <w:rPr>
          <w:rFonts w:hint="eastAsia"/>
          <w:color w:val="auto"/>
          <w:sz w:val="24"/>
          <w:szCs w:val="24"/>
          <w:highlight w:val="none"/>
          <w:u w:val="none"/>
          <w:lang w:eastAsia="zh-CN"/>
        </w:rPr>
        <w:t>；本</w:t>
      </w:r>
      <w:r>
        <w:rPr>
          <w:rFonts w:hint="eastAsia" w:ascii="宋体" w:hAnsi="宋体" w:eastAsia="宋体"/>
          <w:color w:val="auto"/>
          <w:sz w:val="24"/>
          <w:szCs w:val="24"/>
          <w:highlight w:val="none"/>
          <w:u w:val="none"/>
          <w:lang w:eastAsia="zh-CN"/>
        </w:rPr>
        <w:t>项目作为一个保险标的，出具一份保险单，保险合同涵盖的范围包括投保的住宅工程和同一物业管理区域内的其他建筑物，</w:t>
      </w:r>
      <w:r>
        <w:rPr>
          <w:rFonts w:hint="eastAsia"/>
          <w:color w:val="auto"/>
          <w:sz w:val="24"/>
          <w:szCs w:val="24"/>
          <w:highlight w:val="none"/>
          <w:u w:val="none"/>
          <w:lang w:eastAsia="zh-CN"/>
        </w:rPr>
        <w:t>保险</w:t>
      </w:r>
      <w:r>
        <w:rPr>
          <w:rFonts w:hint="eastAsia" w:ascii="宋体" w:hAnsi="宋体" w:eastAsia="宋体"/>
          <w:color w:val="auto"/>
          <w:sz w:val="24"/>
          <w:szCs w:val="24"/>
          <w:highlight w:val="none"/>
          <w:u w:val="none"/>
          <w:lang w:eastAsia="zh-CN"/>
        </w:rPr>
        <w:t>人在该保单项下承担的最大赔偿限额为保单记载的保险金额</w:t>
      </w:r>
      <w:r>
        <w:rPr>
          <w:rFonts w:hint="eastAsia"/>
          <w:color w:val="auto"/>
          <w:sz w:val="24"/>
          <w:szCs w:val="24"/>
          <w:highlight w:val="none"/>
          <w:u w:val="none"/>
          <w:lang w:eastAsia="zh-CN"/>
        </w:rPr>
        <w:t>。</w:t>
      </w:r>
      <w:r>
        <w:rPr>
          <w:rFonts w:hint="eastAsia"/>
          <w:color w:val="auto"/>
          <w:highlight w:val="none"/>
          <w:lang w:eastAsia="zh-CN"/>
        </w:rPr>
        <w:t>投保人向保险人投保住宅工程质量潜在缺陷保险，投保内容如下：</w:t>
      </w:r>
    </w:p>
    <w:p w14:paraId="2B9FF6AC">
      <w:pPr>
        <w:pStyle w:val="22"/>
        <w:numPr>
          <w:ilvl w:val="-1"/>
          <w:numId w:val="0"/>
        </w:numPr>
        <w:tabs>
          <w:tab w:val="left" w:pos="1080"/>
        </w:tabs>
        <w:adjustRightInd w:val="0"/>
        <w:snapToGrid w:val="0"/>
        <w:spacing w:before="0" w:line="360" w:lineRule="auto"/>
        <w:ind w:left="0" w:firstLine="480" w:firstLineChars="200"/>
        <w:jc w:val="both"/>
        <w:rPr>
          <w:rFonts w:hint="eastAsia"/>
          <w:color w:val="auto"/>
          <w:sz w:val="24"/>
          <w:highlight w:val="none"/>
          <w:lang w:eastAsia="zh-CN"/>
        </w:rPr>
      </w:pPr>
      <w:r>
        <w:rPr>
          <w:rFonts w:hint="eastAsia"/>
          <w:color w:val="auto"/>
          <w:sz w:val="24"/>
          <w:highlight w:val="none"/>
          <w:lang w:eastAsia="zh-CN"/>
        </w:rPr>
        <w:t>（</w:t>
      </w:r>
      <w:r>
        <w:rPr>
          <w:rFonts w:hint="eastAsia"/>
          <w:color w:val="auto"/>
          <w:sz w:val="24"/>
          <w:highlight w:val="none"/>
          <w:lang w:val="en-US" w:eastAsia="zh-CN"/>
        </w:rPr>
        <w:t>一</w:t>
      </w:r>
      <w:r>
        <w:rPr>
          <w:rFonts w:hint="eastAsia"/>
          <w:color w:val="auto"/>
          <w:sz w:val="24"/>
          <w:highlight w:val="none"/>
          <w:lang w:eastAsia="zh-CN"/>
        </w:rPr>
        <w:t>）地基基础和主体结构工程：</w:t>
      </w:r>
    </w:p>
    <w:p w14:paraId="4E9E16D1">
      <w:pPr>
        <w:pStyle w:val="22"/>
        <w:numPr>
          <w:ilvl w:val="-1"/>
          <w:numId w:val="0"/>
        </w:numPr>
        <w:tabs>
          <w:tab w:val="left" w:pos="1201"/>
        </w:tabs>
        <w:adjustRightInd w:val="0"/>
        <w:snapToGrid w:val="0"/>
        <w:spacing w:before="0" w:line="360" w:lineRule="auto"/>
        <w:ind w:left="0" w:firstLine="480" w:firstLineChars="200"/>
        <w:rPr>
          <w:rFonts w:hint="eastAsia"/>
          <w:color w:val="auto"/>
          <w:sz w:val="24"/>
          <w:highlight w:val="none"/>
        </w:rPr>
      </w:pPr>
      <w:r>
        <w:rPr>
          <w:rFonts w:hint="eastAsia"/>
          <w:color w:val="auto"/>
          <w:sz w:val="24"/>
          <w:highlight w:val="none"/>
          <w:lang w:val="en-US" w:eastAsia="zh-CN"/>
        </w:rPr>
        <w:t>1.</w:t>
      </w:r>
      <w:r>
        <w:rPr>
          <w:rFonts w:hint="eastAsia"/>
          <w:color w:val="auto"/>
          <w:sz w:val="24"/>
          <w:highlight w:val="none"/>
        </w:rPr>
        <w:t>整体或局部倒塌；</w:t>
      </w:r>
    </w:p>
    <w:p w14:paraId="6E3F6DAE">
      <w:pPr>
        <w:pStyle w:val="22"/>
        <w:numPr>
          <w:ilvl w:val="-1"/>
          <w:numId w:val="0"/>
        </w:numPr>
        <w:tabs>
          <w:tab w:val="left" w:pos="1201"/>
        </w:tabs>
        <w:adjustRightInd w:val="0"/>
        <w:snapToGrid w:val="0"/>
        <w:spacing w:before="0" w:line="360" w:lineRule="auto"/>
        <w:ind w:left="0" w:firstLine="480" w:firstLineChars="200"/>
        <w:rPr>
          <w:rFonts w:hint="eastAsia"/>
          <w:color w:val="auto"/>
          <w:sz w:val="24"/>
          <w:highlight w:val="none"/>
          <w:lang w:eastAsia="zh-CN"/>
        </w:rPr>
      </w:pPr>
      <w:r>
        <w:rPr>
          <w:rFonts w:hint="eastAsia"/>
          <w:color w:val="auto"/>
          <w:sz w:val="24"/>
          <w:highlight w:val="none"/>
          <w:lang w:val="en-US" w:eastAsia="zh-CN"/>
        </w:rPr>
        <w:t>2.</w:t>
      </w:r>
      <w:r>
        <w:rPr>
          <w:rFonts w:hint="eastAsia"/>
          <w:color w:val="auto"/>
          <w:sz w:val="24"/>
          <w:highlight w:val="none"/>
          <w:lang w:eastAsia="zh-CN"/>
        </w:rPr>
        <w:t>地基产生超出设计规范允许的不均匀沉降；</w:t>
      </w:r>
    </w:p>
    <w:p w14:paraId="579C06C6">
      <w:pPr>
        <w:pStyle w:val="22"/>
        <w:numPr>
          <w:ilvl w:val="-1"/>
          <w:numId w:val="0"/>
        </w:numPr>
        <w:tabs>
          <w:tab w:val="left" w:pos="1201"/>
        </w:tabs>
        <w:adjustRightInd w:val="0"/>
        <w:snapToGrid w:val="0"/>
        <w:spacing w:before="0" w:line="360" w:lineRule="auto"/>
        <w:ind w:left="0" w:firstLine="480" w:firstLineChars="200"/>
        <w:rPr>
          <w:rFonts w:hint="eastAsia"/>
          <w:color w:val="auto"/>
          <w:sz w:val="24"/>
          <w:highlight w:val="none"/>
          <w:lang w:eastAsia="zh-CN"/>
        </w:rPr>
      </w:pPr>
      <w:r>
        <w:rPr>
          <w:rFonts w:hint="eastAsia"/>
          <w:color w:val="auto"/>
          <w:sz w:val="24"/>
          <w:highlight w:val="none"/>
          <w:lang w:val="en-US" w:eastAsia="zh-CN"/>
        </w:rPr>
        <w:t>3.</w:t>
      </w:r>
      <w:r>
        <w:rPr>
          <w:rFonts w:hint="eastAsia"/>
          <w:color w:val="auto"/>
          <w:sz w:val="24"/>
          <w:highlight w:val="none"/>
          <w:lang w:eastAsia="zh-CN"/>
        </w:rPr>
        <w:t>基础和主体结构部位出现影响结构安全的裂缝、变形、破损、断裂；</w:t>
      </w:r>
    </w:p>
    <w:p w14:paraId="00052750">
      <w:pPr>
        <w:pStyle w:val="22"/>
        <w:numPr>
          <w:ilvl w:val="-1"/>
          <w:numId w:val="0"/>
        </w:numPr>
        <w:tabs>
          <w:tab w:val="left" w:pos="1201"/>
        </w:tabs>
        <w:autoSpaceDE/>
        <w:autoSpaceDN/>
        <w:adjustRightInd w:val="0"/>
        <w:snapToGrid w:val="0"/>
        <w:spacing w:before="0" w:line="360" w:lineRule="auto"/>
        <w:ind w:left="0" w:leftChars="0" w:right="363" w:firstLine="476" w:firstLineChars="200"/>
        <w:rPr>
          <w:rFonts w:hint="eastAsia"/>
          <w:color w:val="auto"/>
          <w:sz w:val="24"/>
          <w:highlight w:val="none"/>
          <w:lang w:eastAsia="zh-CN"/>
        </w:rPr>
      </w:pPr>
      <w:r>
        <w:rPr>
          <w:rFonts w:hint="eastAsia"/>
          <w:color w:val="auto"/>
          <w:spacing w:val="-1"/>
          <w:sz w:val="24"/>
          <w:highlight w:val="none"/>
          <w:lang w:val="en-US" w:eastAsia="zh-CN"/>
        </w:rPr>
        <w:t>4.</w:t>
      </w:r>
      <w:r>
        <w:rPr>
          <w:rFonts w:hint="eastAsia"/>
          <w:color w:val="auto"/>
          <w:spacing w:val="-1"/>
          <w:sz w:val="24"/>
          <w:highlight w:val="none"/>
          <w:lang w:eastAsia="zh-CN"/>
        </w:rPr>
        <w:t>阳台、雨蓬、挑檐、空调板等悬挑构件出现影响使用安全的裂缝、变</w:t>
      </w:r>
      <w:r>
        <w:rPr>
          <w:rFonts w:hint="eastAsia"/>
          <w:color w:val="auto"/>
          <w:sz w:val="24"/>
          <w:highlight w:val="none"/>
          <w:lang w:eastAsia="zh-CN"/>
        </w:rPr>
        <w:t>形、破损、断裂；</w:t>
      </w:r>
    </w:p>
    <w:p w14:paraId="5D847F5A">
      <w:pPr>
        <w:pStyle w:val="22"/>
        <w:numPr>
          <w:ilvl w:val="-1"/>
          <w:numId w:val="0"/>
        </w:numPr>
        <w:tabs>
          <w:tab w:val="left" w:pos="1201"/>
        </w:tabs>
        <w:autoSpaceDE/>
        <w:autoSpaceDN/>
        <w:adjustRightInd w:val="0"/>
        <w:snapToGrid w:val="0"/>
        <w:spacing w:before="0" w:line="360" w:lineRule="auto"/>
        <w:ind w:left="0" w:right="363" w:firstLine="480" w:firstLineChars="200"/>
        <w:rPr>
          <w:rFonts w:hint="eastAsia"/>
          <w:color w:val="auto"/>
          <w:sz w:val="24"/>
          <w:highlight w:val="none"/>
          <w:lang w:eastAsia="zh-CN"/>
        </w:rPr>
      </w:pPr>
      <w:r>
        <w:rPr>
          <w:rFonts w:hint="eastAsia"/>
          <w:color w:val="auto"/>
          <w:sz w:val="24"/>
          <w:highlight w:val="none"/>
          <w:lang w:val="en-US" w:eastAsia="zh-CN"/>
        </w:rPr>
        <w:t>5.</w:t>
      </w:r>
      <w:r>
        <w:rPr>
          <w:rFonts w:hint="eastAsia" w:ascii="宋体" w:hAnsi="宋体" w:eastAsia="宋体" w:cs="宋体"/>
          <w:color w:val="auto"/>
          <w:spacing w:val="-1"/>
          <w:sz w:val="24"/>
          <w:szCs w:val="22"/>
          <w:highlight w:val="none"/>
          <w:lang w:eastAsia="zh-CN"/>
        </w:rPr>
        <w:t>外墙结构坍塌、脱落等影响使用安全的质量缺陷</w:t>
      </w:r>
      <w:r>
        <w:rPr>
          <w:rFonts w:hint="eastAsia"/>
          <w:color w:val="auto"/>
          <w:sz w:val="24"/>
          <w:highlight w:val="none"/>
          <w:lang w:eastAsia="zh-CN"/>
        </w:rPr>
        <w:t>；</w:t>
      </w:r>
    </w:p>
    <w:p w14:paraId="425B60BD">
      <w:pPr>
        <w:pStyle w:val="22"/>
        <w:numPr>
          <w:ilvl w:val="-1"/>
          <w:numId w:val="0"/>
        </w:numPr>
        <w:tabs>
          <w:tab w:val="left" w:pos="1201"/>
        </w:tabs>
        <w:adjustRightInd w:val="0"/>
        <w:snapToGrid w:val="0"/>
        <w:spacing w:before="0" w:line="360" w:lineRule="auto"/>
        <w:ind w:left="0" w:right="360" w:firstLine="476" w:firstLineChars="200"/>
        <w:rPr>
          <w:rFonts w:hint="eastAsia"/>
          <w:color w:val="auto"/>
          <w:sz w:val="24"/>
          <w:highlight w:val="none"/>
          <w:lang w:eastAsia="zh-CN"/>
        </w:rPr>
      </w:pPr>
      <w:r>
        <w:rPr>
          <w:rFonts w:hint="eastAsia"/>
          <w:color w:val="auto"/>
          <w:spacing w:val="-1"/>
          <w:sz w:val="24"/>
          <w:highlight w:val="none"/>
          <w:lang w:val="en-US" w:eastAsia="zh-CN"/>
        </w:rPr>
        <w:t>6.</w:t>
      </w:r>
      <w:r>
        <w:rPr>
          <w:rFonts w:hint="eastAsia"/>
          <w:color w:val="auto"/>
          <w:spacing w:val="-1"/>
          <w:sz w:val="24"/>
          <w:highlight w:val="none"/>
          <w:lang w:eastAsia="zh-CN"/>
        </w:rPr>
        <w:t>其他地基基础和主体结构部位出现的影响结构安全的工程质量潜在缺</w:t>
      </w:r>
      <w:r>
        <w:rPr>
          <w:rFonts w:hint="eastAsia"/>
          <w:color w:val="auto"/>
          <w:sz w:val="24"/>
          <w:highlight w:val="none"/>
          <w:lang w:eastAsia="zh-CN"/>
        </w:rPr>
        <w:t>陷。</w:t>
      </w:r>
    </w:p>
    <w:p w14:paraId="44EB1AD0">
      <w:pPr>
        <w:pStyle w:val="22"/>
        <w:numPr>
          <w:ilvl w:val="-1"/>
          <w:numId w:val="0"/>
        </w:numPr>
        <w:tabs>
          <w:tab w:val="left" w:pos="1080"/>
        </w:tabs>
        <w:adjustRightInd w:val="0"/>
        <w:snapToGrid w:val="0"/>
        <w:spacing w:before="0" w:line="360" w:lineRule="auto"/>
        <w:ind w:left="0" w:firstLine="480" w:firstLineChars="200"/>
        <w:rPr>
          <w:rFonts w:hint="eastAsia"/>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二</w:t>
      </w:r>
      <w:r>
        <w:rPr>
          <w:rFonts w:hint="eastAsia"/>
          <w:color w:val="auto"/>
          <w:sz w:val="24"/>
          <w:highlight w:val="none"/>
          <w:lang w:eastAsia="zh-CN"/>
        </w:rPr>
        <w:t>）</w:t>
      </w:r>
      <w:r>
        <w:rPr>
          <w:rFonts w:hint="eastAsia"/>
          <w:color w:val="auto"/>
          <w:sz w:val="24"/>
          <w:highlight w:val="none"/>
        </w:rPr>
        <w:t>保温</w:t>
      </w:r>
      <w:r>
        <w:rPr>
          <w:rFonts w:hint="eastAsia"/>
          <w:color w:val="auto"/>
          <w:sz w:val="24"/>
          <w:highlight w:val="none"/>
          <w:lang w:val="en-US" w:eastAsia="zh-CN"/>
        </w:rPr>
        <w:t>和</w:t>
      </w:r>
      <w:r>
        <w:rPr>
          <w:rFonts w:hint="eastAsia"/>
          <w:color w:val="auto"/>
          <w:sz w:val="24"/>
          <w:highlight w:val="none"/>
        </w:rPr>
        <w:t>防水工程：</w:t>
      </w:r>
    </w:p>
    <w:p w14:paraId="038CF333">
      <w:pPr>
        <w:pStyle w:val="22"/>
        <w:numPr>
          <w:ilvl w:val="-1"/>
          <w:numId w:val="0"/>
        </w:numPr>
        <w:tabs>
          <w:tab w:val="left" w:pos="1201"/>
        </w:tabs>
        <w:adjustRightInd w:val="0"/>
        <w:snapToGrid w:val="0"/>
        <w:spacing w:before="0" w:line="360" w:lineRule="auto"/>
        <w:ind w:left="0" w:firstLine="480" w:firstLineChars="200"/>
        <w:rPr>
          <w:rFonts w:hint="eastAsia"/>
          <w:color w:val="auto"/>
          <w:sz w:val="24"/>
          <w:highlight w:val="none"/>
          <w:lang w:eastAsia="zh-CN"/>
        </w:rPr>
      </w:pPr>
      <w:r>
        <w:rPr>
          <w:rFonts w:hint="eastAsia"/>
          <w:color w:val="auto"/>
          <w:sz w:val="24"/>
          <w:highlight w:val="none"/>
          <w:lang w:val="en-US" w:eastAsia="zh-CN"/>
        </w:rPr>
        <w:t>1.</w:t>
      </w:r>
      <w:r>
        <w:rPr>
          <w:rFonts w:hint="eastAsia"/>
          <w:color w:val="auto"/>
          <w:sz w:val="24"/>
          <w:highlight w:val="none"/>
          <w:lang w:eastAsia="zh-CN"/>
        </w:rPr>
        <w:t>围护结构的保温层破损、脱落；</w:t>
      </w:r>
    </w:p>
    <w:p w14:paraId="177B316E">
      <w:pPr>
        <w:pStyle w:val="22"/>
        <w:numPr>
          <w:ilvl w:val="-1"/>
          <w:numId w:val="0"/>
        </w:numPr>
        <w:tabs>
          <w:tab w:val="left" w:pos="1201"/>
        </w:tabs>
        <w:adjustRightInd w:val="0"/>
        <w:snapToGrid w:val="0"/>
        <w:spacing w:before="0" w:line="360" w:lineRule="auto"/>
        <w:ind w:left="0" w:firstLine="480" w:firstLineChars="200"/>
        <w:rPr>
          <w:rFonts w:hint="eastAsia"/>
          <w:color w:val="auto"/>
          <w:sz w:val="24"/>
          <w:highlight w:val="none"/>
          <w:lang w:eastAsia="zh-CN"/>
        </w:rPr>
      </w:pPr>
      <w:r>
        <w:rPr>
          <w:rFonts w:hint="eastAsia"/>
          <w:color w:val="auto"/>
          <w:sz w:val="24"/>
          <w:highlight w:val="none"/>
          <w:lang w:val="en-US" w:eastAsia="zh-CN"/>
        </w:rPr>
        <w:t>2.</w:t>
      </w:r>
      <w:r>
        <w:rPr>
          <w:rFonts w:hint="eastAsia"/>
          <w:color w:val="auto"/>
          <w:sz w:val="24"/>
          <w:highlight w:val="none"/>
          <w:lang w:eastAsia="zh-CN"/>
        </w:rPr>
        <w:t>地下、屋面、厕浴间防水渗漏；</w:t>
      </w:r>
    </w:p>
    <w:p w14:paraId="707A967C">
      <w:pPr>
        <w:pStyle w:val="22"/>
        <w:numPr>
          <w:ilvl w:val="-1"/>
          <w:numId w:val="0"/>
        </w:numPr>
        <w:tabs>
          <w:tab w:val="left" w:pos="1201"/>
        </w:tabs>
        <w:adjustRightInd w:val="0"/>
        <w:snapToGrid w:val="0"/>
        <w:spacing w:before="0" w:line="360" w:lineRule="auto"/>
        <w:ind w:left="0" w:firstLine="480" w:firstLineChars="200"/>
        <w:rPr>
          <w:rFonts w:hint="eastAsia"/>
          <w:color w:val="auto"/>
          <w:sz w:val="24"/>
          <w:highlight w:val="none"/>
          <w:lang w:eastAsia="zh-CN"/>
        </w:rPr>
      </w:pPr>
      <w:r>
        <w:rPr>
          <w:rFonts w:hint="eastAsia"/>
          <w:color w:val="auto"/>
          <w:sz w:val="24"/>
          <w:highlight w:val="none"/>
          <w:lang w:val="en-US" w:eastAsia="zh-CN"/>
        </w:rPr>
        <w:t>3.</w:t>
      </w:r>
      <w:r>
        <w:rPr>
          <w:rFonts w:hint="eastAsia"/>
          <w:color w:val="auto"/>
          <w:sz w:val="24"/>
          <w:highlight w:val="none"/>
          <w:lang w:eastAsia="zh-CN"/>
        </w:rPr>
        <w:t>外墙（包括外窗与外墙交接处）渗漏；</w:t>
      </w:r>
    </w:p>
    <w:p w14:paraId="7611D098">
      <w:pPr>
        <w:pStyle w:val="22"/>
        <w:numPr>
          <w:ilvl w:val="-1"/>
          <w:numId w:val="0"/>
        </w:numPr>
        <w:tabs>
          <w:tab w:val="left" w:pos="1201"/>
        </w:tabs>
        <w:adjustRightInd w:val="0"/>
        <w:snapToGrid w:val="0"/>
        <w:spacing w:before="0" w:line="360" w:lineRule="auto"/>
        <w:ind w:left="0" w:firstLine="480" w:firstLineChars="200"/>
        <w:rPr>
          <w:rFonts w:hint="eastAsia"/>
          <w:color w:val="auto"/>
          <w:sz w:val="24"/>
          <w:highlight w:val="none"/>
          <w:lang w:eastAsia="zh-CN"/>
        </w:rPr>
      </w:pPr>
      <w:r>
        <w:rPr>
          <w:rFonts w:hint="eastAsia"/>
          <w:color w:val="auto"/>
          <w:sz w:val="24"/>
          <w:highlight w:val="none"/>
          <w:lang w:val="en-US" w:eastAsia="zh-CN"/>
        </w:rPr>
        <w:t>4.</w:t>
      </w:r>
      <w:r>
        <w:rPr>
          <w:rFonts w:hint="eastAsia"/>
          <w:color w:val="auto"/>
          <w:sz w:val="24"/>
          <w:highlight w:val="none"/>
          <w:lang w:eastAsia="zh-CN"/>
        </w:rPr>
        <w:t>其他有防水要求的部位渗漏。</w:t>
      </w:r>
    </w:p>
    <w:p w14:paraId="1BBBD439">
      <w:pPr>
        <w:pStyle w:val="22"/>
        <w:numPr>
          <w:ilvl w:val="0"/>
          <w:numId w:val="2"/>
        </w:numPr>
        <w:tabs>
          <w:tab w:val="left" w:pos="1080"/>
        </w:tabs>
        <w:adjustRightInd w:val="0"/>
        <w:snapToGrid w:val="0"/>
        <w:spacing w:before="0" w:line="360" w:lineRule="auto"/>
        <w:ind w:left="0" w:firstLine="480" w:firstLineChars="200"/>
        <w:rPr>
          <w:rFonts w:hint="eastAsia"/>
          <w:color w:val="auto"/>
          <w:sz w:val="24"/>
          <w:highlight w:val="none"/>
          <w:lang w:eastAsia="zh-CN"/>
        </w:rPr>
      </w:pPr>
      <w:r>
        <w:rPr>
          <w:rFonts w:hint="eastAsia"/>
          <w:color w:val="auto"/>
          <w:sz w:val="24"/>
          <w:highlight w:val="none"/>
          <w:lang w:eastAsia="zh-CN"/>
        </w:rPr>
        <w:t>装修与安装工程：</w:t>
      </w:r>
    </w:p>
    <w:p w14:paraId="5144EEE7">
      <w:pPr>
        <w:pStyle w:val="22"/>
        <w:numPr>
          <w:ilvl w:val="-1"/>
          <w:numId w:val="0"/>
        </w:numPr>
        <w:tabs>
          <w:tab w:val="left" w:pos="1201"/>
        </w:tabs>
        <w:adjustRightInd w:val="0"/>
        <w:snapToGrid w:val="0"/>
        <w:spacing w:before="0" w:line="360" w:lineRule="auto"/>
        <w:ind w:left="0" w:firstLine="480" w:firstLineChars="200"/>
        <w:rPr>
          <w:rFonts w:hint="eastAsia"/>
          <w:color w:val="auto"/>
          <w:sz w:val="24"/>
          <w:highlight w:val="none"/>
          <w:lang w:eastAsia="zh-CN"/>
        </w:rPr>
      </w:pPr>
      <w:r>
        <w:rPr>
          <w:rFonts w:hint="eastAsia"/>
          <w:color w:val="auto"/>
          <w:sz w:val="24"/>
          <w:highlight w:val="none"/>
          <w:lang w:val="en-US" w:eastAsia="zh-CN"/>
        </w:rPr>
        <w:t>1.</w:t>
      </w:r>
      <w:r>
        <w:rPr>
          <w:rFonts w:hint="eastAsia"/>
          <w:color w:val="auto"/>
          <w:sz w:val="24"/>
          <w:highlight w:val="none"/>
          <w:lang w:eastAsia="zh-CN"/>
        </w:rPr>
        <w:t>建筑装饰装修工程（含外墙饰面、幕墙、门窗等质量缺陷）；</w:t>
      </w:r>
    </w:p>
    <w:p w14:paraId="73B0B397">
      <w:pPr>
        <w:pStyle w:val="22"/>
        <w:numPr>
          <w:ilvl w:val="-1"/>
          <w:numId w:val="0"/>
        </w:numPr>
        <w:tabs>
          <w:tab w:val="left" w:pos="1201"/>
        </w:tabs>
        <w:adjustRightInd w:val="0"/>
        <w:snapToGrid w:val="0"/>
        <w:spacing w:before="0" w:line="360" w:lineRule="auto"/>
        <w:ind w:left="0" w:firstLine="480" w:firstLineChars="200"/>
        <w:rPr>
          <w:rFonts w:hint="eastAsia"/>
          <w:color w:val="auto"/>
          <w:sz w:val="24"/>
          <w:highlight w:val="none"/>
          <w:lang w:eastAsia="zh-CN"/>
        </w:rPr>
      </w:pPr>
      <w:r>
        <w:rPr>
          <w:rFonts w:hint="eastAsia"/>
          <w:color w:val="auto"/>
          <w:sz w:val="24"/>
          <w:highlight w:val="none"/>
          <w:lang w:val="en-US" w:eastAsia="zh-CN"/>
        </w:rPr>
        <w:t>2.</w:t>
      </w:r>
      <w:r>
        <w:rPr>
          <w:rFonts w:hint="eastAsia"/>
          <w:color w:val="auto"/>
          <w:sz w:val="24"/>
          <w:highlight w:val="none"/>
          <w:lang w:eastAsia="zh-CN"/>
        </w:rPr>
        <w:t>建筑给水排水及供暖工程；</w:t>
      </w:r>
    </w:p>
    <w:p w14:paraId="30F4BF30">
      <w:pPr>
        <w:pStyle w:val="22"/>
        <w:numPr>
          <w:ilvl w:val="-1"/>
          <w:numId w:val="0"/>
        </w:numPr>
        <w:tabs>
          <w:tab w:val="left" w:pos="1201"/>
        </w:tabs>
        <w:adjustRightInd w:val="0"/>
        <w:snapToGrid w:val="0"/>
        <w:spacing w:before="0" w:line="360" w:lineRule="auto"/>
        <w:ind w:left="0" w:firstLine="480" w:firstLineChars="200"/>
        <w:rPr>
          <w:rFonts w:hint="eastAsia"/>
          <w:color w:val="auto"/>
          <w:sz w:val="24"/>
          <w:highlight w:val="none"/>
          <w:lang w:eastAsia="zh-CN"/>
        </w:rPr>
      </w:pPr>
      <w:r>
        <w:rPr>
          <w:rFonts w:hint="eastAsia"/>
          <w:color w:val="auto"/>
          <w:sz w:val="24"/>
          <w:highlight w:val="none"/>
          <w:lang w:val="en-US" w:eastAsia="zh-CN"/>
        </w:rPr>
        <w:t>3.</w:t>
      </w:r>
      <w:r>
        <w:rPr>
          <w:rFonts w:hint="eastAsia"/>
          <w:color w:val="auto"/>
          <w:sz w:val="24"/>
          <w:highlight w:val="none"/>
          <w:lang w:eastAsia="zh-CN"/>
        </w:rPr>
        <w:t>通风与空调工程；</w:t>
      </w:r>
    </w:p>
    <w:p w14:paraId="0379DB1F">
      <w:pPr>
        <w:pStyle w:val="22"/>
        <w:numPr>
          <w:ilvl w:val="-1"/>
          <w:numId w:val="0"/>
        </w:numPr>
        <w:tabs>
          <w:tab w:val="left" w:pos="1020"/>
        </w:tabs>
        <w:adjustRightInd w:val="0"/>
        <w:snapToGrid w:val="0"/>
        <w:spacing w:before="0" w:line="360" w:lineRule="auto"/>
        <w:ind w:left="0" w:right="0" w:firstLine="480" w:firstLineChars="200"/>
        <w:jc w:val="both"/>
        <w:rPr>
          <w:rFonts w:hint="eastAsia"/>
          <w:b w:val="0"/>
          <w:color w:val="auto"/>
          <w:sz w:val="24"/>
          <w:highlight w:val="none"/>
          <w:lang w:eastAsia="zh-CN"/>
        </w:rPr>
      </w:pPr>
      <w:r>
        <w:rPr>
          <w:rFonts w:hint="eastAsia"/>
          <w:color w:val="auto"/>
          <w:sz w:val="24"/>
          <w:highlight w:val="none"/>
          <w:lang w:val="en-US" w:eastAsia="zh-CN"/>
        </w:rPr>
        <w:t>4.</w:t>
      </w:r>
      <w:r>
        <w:rPr>
          <w:rFonts w:hint="eastAsia"/>
          <w:color w:val="auto"/>
          <w:sz w:val="24"/>
          <w:highlight w:val="none"/>
          <w:lang w:eastAsia="zh-CN"/>
        </w:rPr>
        <w:t>建筑电气工程。</w:t>
      </w:r>
    </w:p>
    <w:p w14:paraId="061D202A">
      <w:pPr>
        <w:adjustRightInd w:val="0"/>
        <w:snapToGrid w:val="0"/>
        <w:spacing w:before="0" w:line="360" w:lineRule="auto"/>
        <w:ind w:left="0" w:right="5907" w:firstLine="482" w:firstLineChars="200"/>
        <w:rPr>
          <w:rFonts w:hint="eastAsia"/>
          <w:b/>
          <w:color w:val="auto"/>
          <w:sz w:val="24"/>
          <w:highlight w:val="none"/>
          <w:lang w:eastAsia="zh-CN"/>
        </w:rPr>
      </w:pPr>
      <w:r>
        <w:rPr>
          <w:rFonts w:hint="eastAsia"/>
          <w:b/>
          <w:color w:val="auto"/>
          <w:sz w:val="24"/>
          <w:highlight w:val="none"/>
          <w:lang w:eastAsia="zh-CN"/>
        </w:rPr>
        <w:t>五、保险期限</w:t>
      </w:r>
    </w:p>
    <w:p w14:paraId="72862269">
      <w:pPr>
        <w:pStyle w:val="8"/>
        <w:adjustRightInd w:val="0"/>
        <w:snapToGrid w:val="0"/>
        <w:spacing w:before="0" w:line="360" w:lineRule="auto"/>
        <w:ind w:left="0" w:right="357" w:firstLine="464" w:firstLineChars="200"/>
        <w:jc w:val="both"/>
        <w:rPr>
          <w:rFonts w:hint="eastAsia"/>
          <w:color w:val="auto"/>
          <w:highlight w:val="none"/>
          <w:lang w:eastAsia="zh-CN"/>
        </w:rPr>
      </w:pPr>
      <w:r>
        <w:rPr>
          <w:rFonts w:hint="eastAsia"/>
          <w:color w:val="auto"/>
          <w:spacing w:val="-4"/>
          <w:highlight w:val="none"/>
          <w:lang w:eastAsia="zh-CN"/>
        </w:rPr>
        <w:t>保险人应在取得</w:t>
      </w:r>
      <w:r>
        <w:rPr>
          <w:rFonts w:hint="eastAsia"/>
          <w:color w:val="auto"/>
          <w:spacing w:val="-4"/>
          <w:highlight w:val="none"/>
          <w:lang w:val="en-US" w:eastAsia="zh-CN"/>
        </w:rPr>
        <w:t>中标</w:t>
      </w:r>
      <w:r>
        <w:rPr>
          <w:rFonts w:hint="eastAsia"/>
          <w:color w:val="auto"/>
          <w:spacing w:val="-4"/>
          <w:highlight w:val="none"/>
          <w:lang w:eastAsia="zh-CN"/>
        </w:rPr>
        <w:t>通知书之日</w:t>
      </w:r>
      <w:r>
        <w:rPr>
          <w:rFonts w:hint="eastAsia" w:ascii="宋体" w:hAnsi="宋体" w:cs="宋体"/>
          <w:color w:val="auto"/>
          <w:sz w:val="24"/>
          <w:szCs w:val="24"/>
          <w:highlight w:val="none"/>
          <w:lang w:val="en-US" w:eastAsia="zh-CN"/>
        </w:rPr>
        <w:t>或</w:t>
      </w:r>
      <w:r>
        <w:rPr>
          <w:rFonts w:hint="eastAsia" w:cs="宋体"/>
          <w:color w:val="auto"/>
          <w:sz w:val="24"/>
          <w:szCs w:val="24"/>
          <w:highlight w:val="none"/>
          <w:lang w:val="en-US" w:eastAsia="zh-CN"/>
        </w:rPr>
        <w:t>投保</w:t>
      </w:r>
      <w:r>
        <w:rPr>
          <w:rFonts w:hint="eastAsia" w:ascii="宋体" w:hAnsi="宋体" w:cs="宋体"/>
          <w:color w:val="auto"/>
          <w:sz w:val="24"/>
          <w:szCs w:val="24"/>
          <w:highlight w:val="none"/>
          <w:lang w:val="en-US" w:eastAsia="zh-CN"/>
        </w:rPr>
        <w:t>人提供完整投保资料之日（两者以后者为准）</w:t>
      </w:r>
      <w:r>
        <w:rPr>
          <w:rFonts w:hint="eastAsia"/>
          <w:color w:val="auto"/>
          <w:spacing w:val="-4"/>
          <w:highlight w:val="none"/>
          <w:lang w:eastAsia="zh-CN"/>
        </w:rPr>
        <w:t xml:space="preserve">起 </w:t>
      </w:r>
      <w:r>
        <w:rPr>
          <w:rFonts w:hint="eastAsia"/>
          <w:color w:val="auto"/>
          <w:highlight w:val="none"/>
          <w:lang w:eastAsia="zh-CN"/>
        </w:rPr>
        <w:t>10</w:t>
      </w:r>
      <w:r>
        <w:rPr>
          <w:rFonts w:hint="eastAsia"/>
          <w:color w:val="auto"/>
          <w:spacing w:val="-9"/>
          <w:highlight w:val="none"/>
          <w:lang w:eastAsia="zh-CN"/>
        </w:rPr>
        <w:t xml:space="preserve"> 日内向投保人出具正式保险单，住宅工程质量潜在缺陷</w:t>
      </w:r>
      <w:r>
        <w:rPr>
          <w:rFonts w:hint="eastAsia"/>
          <w:color w:val="auto"/>
          <w:spacing w:val="-6"/>
          <w:highlight w:val="none"/>
          <w:lang w:eastAsia="zh-CN"/>
        </w:rPr>
        <w:t>保险的保险期限自保险单生效之日起，包括工程建设期、缺陷责任期以及保险</w:t>
      </w:r>
      <w:r>
        <w:rPr>
          <w:rFonts w:hint="eastAsia"/>
          <w:color w:val="auto"/>
          <w:highlight w:val="none"/>
          <w:lang w:eastAsia="zh-CN"/>
        </w:rPr>
        <w:t>责任期间三个阶段，分别为：</w:t>
      </w:r>
    </w:p>
    <w:p w14:paraId="649C826B">
      <w:pPr>
        <w:pStyle w:val="22"/>
        <w:numPr>
          <w:ilvl w:val="-1"/>
          <w:numId w:val="0"/>
        </w:numPr>
        <w:tabs>
          <w:tab w:val="left" w:pos="1020"/>
        </w:tabs>
        <w:adjustRightInd w:val="0"/>
        <w:snapToGrid w:val="0"/>
        <w:spacing w:before="0" w:line="360" w:lineRule="auto"/>
        <w:ind w:left="0" w:firstLine="480" w:firstLineChars="200"/>
        <w:jc w:val="both"/>
        <w:rPr>
          <w:rFonts w:hint="eastAsia"/>
          <w:color w:val="auto"/>
          <w:sz w:val="24"/>
          <w:highlight w:val="none"/>
          <w:lang w:eastAsia="zh-CN"/>
        </w:rPr>
      </w:pPr>
      <w:r>
        <w:rPr>
          <w:rFonts w:hint="eastAsia"/>
          <w:color w:val="auto"/>
          <w:sz w:val="24"/>
          <w:highlight w:val="none"/>
          <w:lang w:eastAsia="zh-CN"/>
        </w:rPr>
        <w:t>（</w:t>
      </w:r>
      <w:r>
        <w:rPr>
          <w:rFonts w:hint="eastAsia"/>
          <w:color w:val="auto"/>
          <w:sz w:val="24"/>
          <w:highlight w:val="none"/>
          <w:lang w:val="en-US" w:eastAsia="zh-CN"/>
        </w:rPr>
        <w:t>一</w:t>
      </w:r>
      <w:r>
        <w:rPr>
          <w:rFonts w:hint="eastAsia"/>
          <w:color w:val="auto"/>
          <w:sz w:val="24"/>
          <w:highlight w:val="none"/>
          <w:lang w:eastAsia="zh-CN"/>
        </w:rPr>
        <w:t>）工程建设期自保险单生效之日起算至工程竣工验收合格之日止。</w:t>
      </w:r>
    </w:p>
    <w:p w14:paraId="3B684969">
      <w:pPr>
        <w:pStyle w:val="22"/>
        <w:numPr>
          <w:ilvl w:val="-1"/>
          <w:numId w:val="0"/>
        </w:numPr>
        <w:tabs>
          <w:tab w:val="left" w:pos="1020"/>
        </w:tabs>
        <w:autoSpaceDE/>
        <w:autoSpaceDN/>
        <w:adjustRightInd w:val="0"/>
        <w:snapToGrid w:val="0"/>
        <w:spacing w:before="0" w:line="360" w:lineRule="auto"/>
        <w:ind w:left="0" w:firstLine="480" w:firstLineChars="200"/>
        <w:rPr>
          <w:rFonts w:hint="eastAsia"/>
          <w:color w:val="auto"/>
          <w:sz w:val="24"/>
          <w:highlight w:val="none"/>
          <w:lang w:eastAsia="zh-CN"/>
        </w:rPr>
      </w:pPr>
      <w:r>
        <w:rPr>
          <w:rFonts w:hint="eastAsia"/>
          <w:color w:val="auto"/>
          <w:sz w:val="24"/>
          <w:highlight w:val="none"/>
          <w:lang w:eastAsia="zh-CN"/>
        </w:rPr>
        <w:t>（</w:t>
      </w:r>
      <w:r>
        <w:rPr>
          <w:rFonts w:hint="eastAsia"/>
          <w:color w:val="auto"/>
          <w:sz w:val="24"/>
          <w:highlight w:val="none"/>
          <w:lang w:val="en-US" w:eastAsia="zh-CN"/>
        </w:rPr>
        <w:t>二</w:t>
      </w:r>
      <w:r>
        <w:rPr>
          <w:rFonts w:hint="eastAsia"/>
          <w:color w:val="auto"/>
          <w:sz w:val="24"/>
          <w:highlight w:val="none"/>
          <w:lang w:eastAsia="zh-CN"/>
        </w:rPr>
        <w:t>）缺陷责任期自工程竣工验收合格之日起算，期限为两年。</w:t>
      </w:r>
    </w:p>
    <w:p w14:paraId="1EF07209">
      <w:pPr>
        <w:pStyle w:val="8"/>
        <w:adjustRightInd w:val="0"/>
        <w:snapToGrid w:val="0"/>
        <w:spacing w:before="0" w:line="360" w:lineRule="auto"/>
        <w:ind w:left="0" w:right="357" w:firstLine="464" w:firstLineChars="200"/>
        <w:jc w:val="both"/>
        <w:rPr>
          <w:rFonts w:hint="eastAsia" w:ascii="宋体" w:hAnsi="宋体" w:eastAsia="宋体" w:cs="宋体"/>
          <w:color w:val="auto"/>
          <w:spacing w:val="-4"/>
          <w:sz w:val="24"/>
          <w:highlight w:val="none"/>
          <w:lang w:eastAsia="zh-CN"/>
        </w:rPr>
      </w:pP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lang w:val="en-US" w:eastAsia="zh-CN"/>
        </w:rPr>
        <w:t>三</w:t>
      </w:r>
      <w:r>
        <w:rPr>
          <w:rFonts w:hint="eastAsia" w:ascii="宋体" w:hAnsi="宋体" w:eastAsia="宋体" w:cs="宋体"/>
          <w:color w:val="auto"/>
          <w:spacing w:val="-4"/>
          <w:sz w:val="24"/>
          <w:highlight w:val="none"/>
          <w:lang w:eastAsia="zh-CN"/>
        </w:rPr>
        <w:t>）保险责任期：自缺陷责任期结束之日起算，其中：</w:t>
      </w:r>
    </w:p>
    <w:p w14:paraId="41D3B667">
      <w:pPr>
        <w:pStyle w:val="8"/>
        <w:adjustRightInd w:val="0"/>
        <w:snapToGrid w:val="0"/>
        <w:spacing w:before="0" w:line="360" w:lineRule="auto"/>
        <w:ind w:left="0" w:right="357" w:firstLine="464" w:firstLineChars="200"/>
        <w:jc w:val="both"/>
        <w:rPr>
          <w:rFonts w:hint="eastAsia" w:ascii="宋体" w:hAnsi="宋体" w:eastAsia="宋体" w:cs="宋体"/>
          <w:color w:val="auto"/>
          <w:spacing w:val="-4"/>
          <w:sz w:val="24"/>
          <w:highlight w:val="none"/>
          <w:lang w:eastAsia="zh-CN"/>
        </w:rPr>
      </w:pPr>
      <w:r>
        <w:rPr>
          <w:rFonts w:hint="eastAsia" w:cs="宋体"/>
          <w:color w:val="auto"/>
          <w:spacing w:val="-4"/>
          <w:sz w:val="24"/>
          <w:highlight w:val="none"/>
          <w:lang w:eastAsia="zh-CN"/>
        </w:rPr>
        <w:t>1</w:t>
      </w:r>
      <w:r>
        <w:rPr>
          <w:rFonts w:hint="eastAsia" w:cs="宋体"/>
          <w:color w:val="auto"/>
          <w:spacing w:val="-4"/>
          <w:sz w:val="24"/>
          <w:highlight w:val="none"/>
          <w:lang w:val="en-US" w:eastAsia="zh-CN"/>
        </w:rPr>
        <w:t>.</w:t>
      </w:r>
      <w:r>
        <w:rPr>
          <w:rFonts w:hint="eastAsia" w:ascii="宋体" w:hAnsi="宋体" w:eastAsia="宋体" w:cs="宋体"/>
          <w:color w:val="auto"/>
          <w:spacing w:val="-4"/>
          <w:sz w:val="24"/>
          <w:highlight w:val="none"/>
          <w:lang w:eastAsia="zh-CN"/>
        </w:rPr>
        <w:t>地基基础和主体结构工程保险责任期为 10 年；</w:t>
      </w:r>
    </w:p>
    <w:p w14:paraId="46AFAE98">
      <w:pPr>
        <w:pStyle w:val="8"/>
        <w:adjustRightInd w:val="0"/>
        <w:snapToGrid w:val="0"/>
        <w:spacing w:before="0" w:line="360" w:lineRule="auto"/>
        <w:ind w:left="0" w:right="357" w:firstLine="464" w:firstLineChars="200"/>
        <w:jc w:val="both"/>
        <w:rPr>
          <w:rFonts w:hint="eastAsia" w:ascii="宋体" w:hAnsi="宋体" w:eastAsia="宋体" w:cs="宋体"/>
          <w:color w:val="auto"/>
          <w:spacing w:val="-4"/>
          <w:sz w:val="24"/>
          <w:highlight w:val="none"/>
          <w:lang w:eastAsia="zh-CN"/>
        </w:rPr>
      </w:pPr>
      <w:r>
        <w:rPr>
          <w:rFonts w:hint="eastAsia" w:cs="宋体"/>
          <w:color w:val="auto"/>
          <w:spacing w:val="-4"/>
          <w:sz w:val="24"/>
          <w:highlight w:val="none"/>
          <w:lang w:eastAsia="zh-CN"/>
        </w:rPr>
        <w:t>2</w:t>
      </w:r>
      <w:r>
        <w:rPr>
          <w:rFonts w:hint="eastAsia" w:cs="宋体"/>
          <w:color w:val="auto"/>
          <w:spacing w:val="-4"/>
          <w:sz w:val="24"/>
          <w:highlight w:val="none"/>
          <w:lang w:val="en-US" w:eastAsia="zh-CN"/>
        </w:rPr>
        <w:t>.</w:t>
      </w:r>
      <w:r>
        <w:rPr>
          <w:rFonts w:hint="eastAsia" w:ascii="宋体" w:hAnsi="宋体" w:eastAsia="宋体" w:cs="宋体"/>
          <w:color w:val="auto"/>
          <w:spacing w:val="-4"/>
          <w:sz w:val="24"/>
          <w:highlight w:val="none"/>
          <w:lang w:eastAsia="zh-CN"/>
        </w:rPr>
        <w:t>保温和防水工程保险责任期为 5 年；</w:t>
      </w:r>
    </w:p>
    <w:p w14:paraId="0A12270E">
      <w:pPr>
        <w:pStyle w:val="8"/>
        <w:adjustRightInd w:val="0"/>
        <w:snapToGrid w:val="0"/>
        <w:spacing w:before="0" w:line="360" w:lineRule="auto"/>
        <w:ind w:left="0" w:right="357" w:firstLine="464" w:firstLineChars="200"/>
        <w:jc w:val="both"/>
        <w:rPr>
          <w:rFonts w:hint="eastAsia" w:ascii="宋体" w:hAnsi="宋体" w:eastAsia="宋体" w:cs="宋体"/>
          <w:color w:val="auto"/>
          <w:spacing w:val="-4"/>
          <w:sz w:val="24"/>
          <w:highlight w:val="none"/>
          <w:lang w:eastAsia="zh-CN"/>
        </w:rPr>
      </w:pPr>
      <w:r>
        <w:rPr>
          <w:rFonts w:hint="eastAsia" w:cs="宋体"/>
          <w:color w:val="auto"/>
          <w:spacing w:val="-4"/>
          <w:sz w:val="24"/>
          <w:highlight w:val="none"/>
          <w:lang w:eastAsia="zh-CN"/>
        </w:rPr>
        <w:t>3</w:t>
      </w:r>
      <w:r>
        <w:rPr>
          <w:rFonts w:hint="eastAsia" w:cs="宋体"/>
          <w:color w:val="auto"/>
          <w:spacing w:val="-4"/>
          <w:sz w:val="24"/>
          <w:highlight w:val="none"/>
          <w:lang w:val="en-US" w:eastAsia="zh-CN"/>
        </w:rPr>
        <w:t>.</w:t>
      </w:r>
      <w:r>
        <w:rPr>
          <w:rFonts w:hint="eastAsia" w:ascii="宋体" w:hAnsi="宋体" w:eastAsia="宋体" w:cs="宋体"/>
          <w:color w:val="auto"/>
          <w:spacing w:val="-4"/>
          <w:sz w:val="24"/>
          <w:highlight w:val="none"/>
          <w:lang w:eastAsia="zh-CN"/>
        </w:rPr>
        <w:t>装修与安装工程（包括建筑装饰装修工程、建筑给水排水及供暖工程、通风与空调工程、建筑电气工程）保险责任期为 2 年。</w:t>
      </w:r>
    </w:p>
    <w:p w14:paraId="661A371C">
      <w:pPr>
        <w:keepNext w:val="0"/>
        <w:keepLines w:val="0"/>
        <w:pageBreakBefore w:val="0"/>
        <w:widowControl w:val="0"/>
        <w:kinsoku/>
        <w:wordWrap/>
        <w:overflowPunct/>
        <w:topLinePunct w:val="0"/>
        <w:autoSpaceDE/>
        <w:autoSpaceDN/>
        <w:bidi w:val="0"/>
        <w:adjustRightInd w:val="0"/>
        <w:snapToGrid w:val="0"/>
        <w:spacing w:line="360" w:lineRule="auto"/>
        <w:ind w:firstLine="464" w:firstLineChars="200"/>
        <w:textAlignment w:val="auto"/>
        <w:rPr>
          <w:rFonts w:hint="eastAsia" w:ascii="宋体" w:hAnsi="宋体" w:eastAsia="宋体" w:cs="宋体"/>
          <w:color w:val="auto"/>
          <w:spacing w:val="-4"/>
          <w:sz w:val="24"/>
          <w:highlight w:val="none"/>
          <w:lang w:eastAsia="zh-CN"/>
        </w:rPr>
      </w:pPr>
      <w:r>
        <w:rPr>
          <w:rFonts w:hint="eastAsia" w:ascii="宋体" w:hAnsi="宋体" w:cs="宋体"/>
          <w:color w:val="auto"/>
          <w:spacing w:val="-4"/>
          <w:sz w:val="24"/>
          <w:szCs w:val="22"/>
          <w:highlight w:val="none"/>
          <w:lang w:eastAsia="zh-CN"/>
        </w:rPr>
        <w:t>保险期限的具体时间由投保人和保险</w:t>
      </w:r>
      <w:r>
        <w:rPr>
          <w:rFonts w:hint="eastAsia" w:cs="宋体"/>
          <w:color w:val="auto"/>
          <w:spacing w:val="-4"/>
          <w:sz w:val="24"/>
          <w:szCs w:val="22"/>
          <w:highlight w:val="none"/>
          <w:lang w:eastAsia="zh-CN"/>
        </w:rPr>
        <w:t>人</w:t>
      </w:r>
      <w:r>
        <w:rPr>
          <w:rFonts w:hint="eastAsia" w:ascii="宋体" w:hAnsi="宋体" w:cs="宋体"/>
          <w:color w:val="auto"/>
          <w:spacing w:val="-4"/>
          <w:sz w:val="24"/>
          <w:szCs w:val="22"/>
          <w:highlight w:val="none"/>
          <w:lang w:eastAsia="zh-CN"/>
        </w:rPr>
        <w:t>根据上述规定和建设工程的实际情况据实确定。</w:t>
      </w:r>
      <w:r>
        <w:rPr>
          <w:rFonts w:hint="eastAsia" w:ascii="宋体" w:hAnsi="宋体" w:eastAsia="宋体" w:cs="宋体"/>
          <w:color w:val="auto"/>
          <w:spacing w:val="-4"/>
          <w:sz w:val="24"/>
          <w:highlight w:val="none"/>
          <w:lang w:eastAsia="zh-CN"/>
        </w:rPr>
        <w:t>若政府主管部门发布文件更新对保险期限的要求，以新发布的保险期限要求为准。</w:t>
      </w:r>
    </w:p>
    <w:p w14:paraId="086EE30F">
      <w:pPr>
        <w:keepNext w:val="0"/>
        <w:keepLines w:val="0"/>
        <w:pageBreakBefore w:val="0"/>
        <w:widowControl w:val="0"/>
        <w:kinsoku/>
        <w:wordWrap/>
        <w:overflowPunct/>
        <w:topLinePunct w:val="0"/>
        <w:autoSpaceDE/>
        <w:autoSpaceDN/>
        <w:bidi w:val="0"/>
        <w:adjustRightInd w:val="0"/>
        <w:snapToGrid w:val="0"/>
        <w:spacing w:line="360" w:lineRule="auto"/>
        <w:ind w:firstLine="466" w:firstLineChars="200"/>
        <w:textAlignment w:val="auto"/>
        <w:rPr>
          <w:rFonts w:hint="eastAsia" w:ascii="宋体" w:hAnsi="宋体" w:eastAsia="宋体" w:cs="宋体"/>
          <w:b/>
          <w:bCs/>
          <w:color w:val="auto"/>
          <w:spacing w:val="-4"/>
          <w:sz w:val="24"/>
          <w:highlight w:val="none"/>
          <w:lang w:val="en-US" w:eastAsia="zh-CN"/>
        </w:rPr>
      </w:pPr>
      <w:r>
        <w:rPr>
          <w:rFonts w:hint="eastAsia" w:ascii="宋体" w:hAnsi="宋体" w:eastAsia="宋体" w:cs="宋体"/>
          <w:b/>
          <w:bCs/>
          <w:color w:val="auto"/>
          <w:spacing w:val="-4"/>
          <w:sz w:val="24"/>
          <w:highlight w:val="none"/>
          <w:lang w:val="en-US" w:eastAsia="zh-CN"/>
        </w:rPr>
        <w:t>六、工作</w:t>
      </w:r>
      <w:r>
        <w:rPr>
          <w:rFonts w:hint="eastAsia" w:cs="宋体"/>
          <w:b/>
          <w:bCs/>
          <w:color w:val="auto"/>
          <w:spacing w:val="-4"/>
          <w:sz w:val="24"/>
          <w:highlight w:val="none"/>
          <w:lang w:val="en-US" w:eastAsia="zh-CN"/>
        </w:rPr>
        <w:t>及成果</w:t>
      </w:r>
      <w:r>
        <w:rPr>
          <w:rFonts w:hint="eastAsia" w:ascii="宋体" w:hAnsi="宋体" w:eastAsia="宋体" w:cs="宋体"/>
          <w:b/>
          <w:bCs/>
          <w:color w:val="auto"/>
          <w:spacing w:val="-4"/>
          <w:sz w:val="24"/>
          <w:highlight w:val="none"/>
          <w:lang w:val="en-US" w:eastAsia="zh-CN"/>
        </w:rPr>
        <w:t>要求</w:t>
      </w:r>
    </w:p>
    <w:p w14:paraId="75EEFE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（一）</w:t>
      </w:r>
      <w:r>
        <w:rPr>
          <w:rFonts w:hint="eastAsia" w:cs="宋体"/>
          <w:color w:val="auto"/>
          <w:sz w:val="24"/>
          <w:szCs w:val="24"/>
          <w:highlight w:val="none"/>
          <w:u w:val="none"/>
          <w:lang w:val="en-US" w:eastAsia="zh-CN"/>
        </w:rPr>
        <w:t>保险人</w:t>
      </w:r>
      <w:r>
        <w:rPr>
          <w:rFonts w:hint="eastAsia" w:ascii="宋体" w:hAnsi="宋体" w:eastAsia="宋体" w:cs="宋体"/>
          <w:color w:val="auto"/>
          <w:sz w:val="24"/>
          <w:szCs w:val="24"/>
          <w:highlight w:val="none"/>
          <w:u w:val="none"/>
          <w:lang w:val="en-US" w:eastAsia="zh-CN"/>
        </w:rPr>
        <w:t>应当严格执行国家金融监督管理总局保险条款和保险费率管理有关要求。</w:t>
      </w:r>
    </w:p>
    <w:p w14:paraId="572E221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如本合同涉及原保险条款未涵盖内容而需要</w:t>
      </w:r>
      <w:r>
        <w:rPr>
          <w:rFonts w:hint="eastAsia" w:cs="宋体"/>
          <w:color w:val="auto"/>
          <w:sz w:val="24"/>
          <w:szCs w:val="24"/>
          <w:highlight w:val="none"/>
          <w:u w:val="none"/>
          <w:lang w:val="en-US" w:eastAsia="zh-CN"/>
        </w:rPr>
        <w:t>保险人</w:t>
      </w:r>
      <w:r>
        <w:rPr>
          <w:rFonts w:hint="eastAsia" w:ascii="宋体" w:hAnsi="宋体" w:eastAsia="宋体" w:cs="宋体"/>
          <w:color w:val="auto"/>
          <w:sz w:val="24"/>
          <w:szCs w:val="24"/>
          <w:highlight w:val="none"/>
          <w:u w:val="none"/>
          <w:lang w:val="en-US" w:eastAsia="zh-CN"/>
        </w:rPr>
        <w:t>变更报备的，保险人应按行业监管要求、在相应期限内完成变更报备</w:t>
      </w:r>
      <w:r>
        <w:rPr>
          <w:rFonts w:hint="eastAsia"/>
          <w:color w:val="auto"/>
          <w:sz w:val="24"/>
          <w:szCs w:val="24"/>
          <w:highlight w:val="none"/>
          <w:u w:val="none"/>
          <w:lang w:val="en-US" w:eastAsia="zh-CN"/>
        </w:rPr>
        <w:t>。</w:t>
      </w:r>
    </w:p>
    <w:p w14:paraId="55A6915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（二）</w:t>
      </w:r>
      <w:r>
        <w:rPr>
          <w:rFonts w:hint="eastAsia" w:cs="宋体"/>
          <w:color w:val="auto"/>
          <w:sz w:val="24"/>
          <w:szCs w:val="24"/>
          <w:highlight w:val="none"/>
          <w:u w:val="none"/>
          <w:lang w:val="en-US" w:eastAsia="zh-CN"/>
        </w:rPr>
        <w:t>保险人</w:t>
      </w:r>
      <w:r>
        <w:rPr>
          <w:rFonts w:hint="eastAsia" w:ascii="宋体" w:hAnsi="宋体" w:eastAsia="宋体" w:cs="宋体"/>
          <w:color w:val="auto"/>
          <w:sz w:val="24"/>
          <w:szCs w:val="24"/>
          <w:highlight w:val="none"/>
          <w:u w:val="none"/>
          <w:lang w:val="en-US" w:eastAsia="zh-CN"/>
        </w:rPr>
        <w:t>不得向其他任何单位或个人给予或承诺给予与潜在缺陷保险业务相关的费用。</w:t>
      </w:r>
    </w:p>
    <w:p w14:paraId="67E67180">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color w:val="auto"/>
          <w:sz w:val="24"/>
          <w:szCs w:val="24"/>
          <w:highlight w:val="none"/>
          <w:lang w:val="en-US" w:eastAsia="zh-CN"/>
        </w:rPr>
      </w:pPr>
      <w:r>
        <w:rPr>
          <w:rFonts w:hint="eastAsia" w:ascii="宋体" w:hAnsi="宋体" w:eastAsia="宋体" w:cs="宋体"/>
          <w:color w:val="auto"/>
          <w:sz w:val="24"/>
          <w:szCs w:val="24"/>
          <w:highlight w:val="none"/>
          <w:u w:val="none"/>
          <w:lang w:val="en-US" w:eastAsia="zh-CN"/>
        </w:rPr>
        <w:t>（三）</w:t>
      </w:r>
      <w:r>
        <w:rPr>
          <w:rFonts w:hint="eastAsia" w:ascii="宋体" w:hAnsi="宋体" w:cs="宋体"/>
          <w:color w:val="auto"/>
          <w:sz w:val="24"/>
          <w:szCs w:val="24"/>
          <w:highlight w:val="none"/>
          <w:u w:val="none"/>
          <w:lang w:val="en-US" w:eastAsia="zh-CN"/>
        </w:rPr>
        <w:t>保险人</w:t>
      </w:r>
      <w:r>
        <w:rPr>
          <w:rFonts w:hint="eastAsia" w:ascii="宋体" w:hAnsi="宋体" w:eastAsia="宋体" w:cs="宋体"/>
          <w:color w:val="auto"/>
          <w:sz w:val="24"/>
          <w:szCs w:val="24"/>
          <w:highlight w:val="none"/>
          <w:u w:val="none"/>
          <w:lang w:val="en-US" w:eastAsia="zh-CN"/>
        </w:rPr>
        <w:t>应当建立潜在缺陷保险信息平台，将承保信息、工程质量风险评估信息和理赔信息等录入该信息平台，对风险管理、出险理赔情况进行统计分析，并与住房城乡建设行政部门、保险监管部门实现信息共享。</w:t>
      </w:r>
    </w:p>
    <w:p w14:paraId="1937B2B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color w:val="auto"/>
          <w:kern w:val="2"/>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rPr>
        <w:t>（四）</w:t>
      </w:r>
      <w:r>
        <w:rPr>
          <w:rFonts w:hint="eastAsia" w:cs="宋体"/>
          <w:b w:val="0"/>
          <w:color w:val="auto"/>
          <w:kern w:val="2"/>
          <w:sz w:val="24"/>
          <w:szCs w:val="24"/>
          <w:highlight w:val="none"/>
          <w:u w:val="none"/>
          <w:lang w:val="en-US" w:eastAsia="zh-CN" w:bidi="ar-SA"/>
        </w:rPr>
        <w:t>保险人</w:t>
      </w:r>
      <w:r>
        <w:rPr>
          <w:rFonts w:hint="eastAsia" w:ascii="宋体" w:hAnsi="宋体" w:eastAsia="宋体" w:cs="宋体"/>
          <w:b w:val="0"/>
          <w:color w:val="auto"/>
          <w:kern w:val="2"/>
          <w:sz w:val="24"/>
          <w:szCs w:val="24"/>
          <w:highlight w:val="none"/>
          <w:u w:val="none"/>
          <w:lang w:val="en-US" w:eastAsia="zh-CN" w:bidi="ar-SA"/>
        </w:rPr>
        <w:t>应当按不低于20%的比例参与分户验收，参与竣工验收，并提出质量评估意见。</w:t>
      </w:r>
    </w:p>
    <w:p w14:paraId="73E4BFC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（五）</w:t>
      </w:r>
      <w:r>
        <w:rPr>
          <w:rFonts w:hint="eastAsia" w:cs="宋体"/>
          <w:color w:val="auto"/>
          <w:sz w:val="24"/>
          <w:szCs w:val="24"/>
          <w:highlight w:val="none"/>
          <w:u w:val="none"/>
          <w:lang w:val="en-US" w:eastAsia="zh-CN"/>
        </w:rPr>
        <w:t>保险人</w:t>
      </w:r>
      <w:r>
        <w:rPr>
          <w:rFonts w:hint="eastAsia" w:ascii="宋体" w:hAnsi="宋体" w:eastAsia="宋体" w:cs="宋体"/>
          <w:color w:val="auto"/>
          <w:sz w:val="24"/>
          <w:szCs w:val="24"/>
          <w:highlight w:val="none"/>
          <w:u w:val="none"/>
          <w:lang w:val="en-US" w:eastAsia="zh-CN"/>
        </w:rPr>
        <w:t>应当建立便捷的理赔流程，受理</w:t>
      </w:r>
      <w:r>
        <w:rPr>
          <w:rFonts w:hint="eastAsia" w:cs="宋体"/>
          <w:color w:val="auto"/>
          <w:sz w:val="24"/>
          <w:szCs w:val="24"/>
          <w:highlight w:val="none"/>
          <w:u w:val="none"/>
          <w:lang w:val="en-US" w:eastAsia="zh-CN"/>
        </w:rPr>
        <w:t>建筑物所有权人或索赔权益人</w:t>
      </w:r>
      <w:r>
        <w:rPr>
          <w:rFonts w:hint="eastAsia" w:ascii="宋体" w:hAnsi="宋体" w:eastAsia="宋体" w:cs="宋体"/>
          <w:color w:val="auto"/>
          <w:sz w:val="24"/>
          <w:szCs w:val="24"/>
          <w:highlight w:val="none"/>
          <w:u w:val="none"/>
          <w:lang w:val="en-US" w:eastAsia="zh-CN"/>
        </w:rPr>
        <w:t>的理赔申请，组织现场勘察和维修</w:t>
      </w:r>
      <w:r>
        <w:rPr>
          <w:rFonts w:hint="eastAsia" w:cs="宋体"/>
          <w:color w:val="auto"/>
          <w:sz w:val="24"/>
          <w:szCs w:val="24"/>
          <w:highlight w:val="none"/>
          <w:u w:val="none"/>
          <w:lang w:val="en-US" w:eastAsia="zh-CN"/>
        </w:rPr>
        <w:t>。</w:t>
      </w:r>
    </w:p>
    <w:p w14:paraId="41A248B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sz w:val="24"/>
          <w:szCs w:val="24"/>
          <w:highlight w:val="none"/>
          <w:lang w:val="en-US" w:eastAsia="zh-CN"/>
        </w:rPr>
      </w:pPr>
      <w:r>
        <w:rPr>
          <w:rFonts w:hint="eastAsia" w:ascii="宋体" w:hAnsi="宋体" w:eastAsia="宋体" w:cs="宋体"/>
          <w:color w:val="auto"/>
          <w:sz w:val="24"/>
          <w:szCs w:val="24"/>
          <w:highlight w:val="none"/>
          <w:u w:val="none"/>
          <w:lang w:val="en-US" w:eastAsia="zh-CN"/>
        </w:rPr>
        <w:t>（六）主承保公司应有独立的潜在缺陷保险业务管理部门，充足的建筑、法律、风控人员，对潜在缺陷保险业务进行全过程集中管理。除风险管理费、税费、按保费比例分担的运营管理费用和适当的员工个人绩效外，不得设置其他展业费用、销售费用、部门奖励费用、中介费用等费用。不得设定潜在缺陷保险保费规模目标或将潜在缺陷保险保费纳入业务机构考核范围。</w:t>
      </w:r>
    </w:p>
    <w:p w14:paraId="4F08881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（七）主承保公司对保单承担直接管理责任，负责对参与共保的其他</w:t>
      </w:r>
      <w:r>
        <w:rPr>
          <w:rFonts w:hint="eastAsia" w:cs="宋体"/>
          <w:color w:val="auto"/>
          <w:sz w:val="24"/>
          <w:szCs w:val="24"/>
          <w:highlight w:val="none"/>
          <w:u w:val="none"/>
          <w:lang w:val="en-US" w:eastAsia="zh-CN"/>
        </w:rPr>
        <w:t>保险人</w:t>
      </w:r>
      <w:r>
        <w:rPr>
          <w:rFonts w:hint="eastAsia" w:ascii="宋体" w:hAnsi="宋体" w:eastAsia="宋体" w:cs="宋体"/>
          <w:color w:val="auto"/>
          <w:sz w:val="24"/>
          <w:szCs w:val="24"/>
          <w:highlight w:val="none"/>
          <w:u w:val="none"/>
          <w:lang w:val="en-US" w:eastAsia="zh-CN"/>
        </w:rPr>
        <w:t>和风险管理机构进行合规管理，并依法承担其他共保公司或风险管理机构违规行为的连带责任。</w:t>
      </w:r>
    </w:p>
    <w:p w14:paraId="168E7B5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八）主承保公司应在收到潜在缺陷保险全额保费后出具正式保单及发票;不得以减少建筑面积、剔除装修费用等方式缩小承保范围降低保额，不得违反规定使用保险条款和保险费率，不得套取费用进行不正当竞争。</w:t>
      </w:r>
    </w:p>
    <w:p w14:paraId="2AB71380">
      <w:pPr>
        <w:autoSpaceDE/>
        <w:autoSpaceDN/>
        <w:adjustRightInd w:val="0"/>
        <w:snapToGrid w:val="0"/>
        <w:spacing w:line="360" w:lineRule="auto"/>
        <w:ind w:left="120" w:right="237" w:firstLine="480" w:firstLineChars="200"/>
        <w:rPr>
          <w:rFonts w:hint="eastAsia" w:ascii="宋体" w:hAnsi="宋体" w:eastAsia="宋体" w:cs="宋体"/>
          <w:color w:val="auto"/>
          <w:spacing w:val="-4"/>
          <w:sz w:val="24"/>
          <w:highlight w:val="none"/>
          <w:lang w:eastAsia="zh-CN"/>
        </w:rPr>
      </w:pPr>
      <w:r>
        <w:rPr>
          <w:rFonts w:hint="eastAsia" w:ascii="宋体" w:hAnsi="宋体" w:eastAsia="宋体" w:cs="宋体"/>
          <w:color w:val="auto"/>
          <w:sz w:val="24"/>
          <w:szCs w:val="24"/>
          <w:highlight w:val="none"/>
          <w:u w:val="none"/>
          <w:lang w:val="en-US" w:eastAsia="zh-CN"/>
        </w:rPr>
        <w:t>（九）</w:t>
      </w:r>
      <w:r>
        <w:rPr>
          <w:rFonts w:hint="eastAsia" w:ascii="宋体" w:hAnsi="宋体" w:eastAsia="宋体" w:cs="宋体"/>
          <w:b w:val="0"/>
          <w:color w:val="auto"/>
          <w:kern w:val="2"/>
          <w:sz w:val="24"/>
          <w:szCs w:val="24"/>
          <w:highlight w:val="none"/>
          <w:u w:val="none"/>
          <w:lang w:val="en-US" w:eastAsia="zh-CN" w:bidi="ar-SA"/>
        </w:rPr>
        <w:t>住宅工程质量潜在缺陷</w:t>
      </w:r>
      <w:r>
        <w:rPr>
          <w:rFonts w:hint="eastAsia" w:ascii="宋体" w:hAnsi="宋体" w:eastAsia="宋体" w:cs="宋体"/>
          <w:color w:val="auto"/>
          <w:sz w:val="24"/>
          <w:szCs w:val="24"/>
          <w:highlight w:val="none"/>
          <w:u w:val="none"/>
          <w:lang w:val="en-US" w:eastAsia="zh-CN"/>
        </w:rPr>
        <w:t>保险合同签订后，</w:t>
      </w:r>
      <w:r>
        <w:rPr>
          <w:rFonts w:hint="eastAsia" w:cs="宋体"/>
          <w:color w:val="auto"/>
          <w:sz w:val="24"/>
          <w:szCs w:val="24"/>
          <w:highlight w:val="none"/>
          <w:u w:val="none"/>
          <w:lang w:val="en-US" w:eastAsia="zh-CN"/>
        </w:rPr>
        <w:t>保险人</w:t>
      </w:r>
      <w:r>
        <w:rPr>
          <w:rFonts w:hint="eastAsia" w:ascii="宋体" w:hAnsi="宋体" w:eastAsia="宋体" w:cs="宋体"/>
          <w:color w:val="auto"/>
          <w:sz w:val="24"/>
          <w:szCs w:val="24"/>
          <w:highlight w:val="none"/>
          <w:u w:val="none"/>
          <w:lang w:val="en-US" w:eastAsia="zh-CN"/>
        </w:rPr>
        <w:t>应当及时委托建设工程质量风险管理机构(简称“TIS”机构)实施风险管理:</w:t>
      </w:r>
      <w:r>
        <w:rPr>
          <w:rFonts w:hint="eastAsia" w:cs="宋体"/>
          <w:color w:val="auto"/>
          <w:sz w:val="24"/>
          <w:szCs w:val="24"/>
          <w:highlight w:val="none"/>
          <w:u w:val="none"/>
          <w:lang w:val="en-US" w:eastAsia="zh-CN"/>
        </w:rPr>
        <w:t>保险人</w:t>
      </w:r>
      <w:r>
        <w:rPr>
          <w:rFonts w:hint="eastAsia" w:ascii="宋体" w:hAnsi="宋体" w:eastAsia="宋体" w:cs="宋体"/>
          <w:color w:val="auto"/>
          <w:sz w:val="24"/>
          <w:szCs w:val="24"/>
          <w:highlight w:val="none"/>
          <w:u w:val="none"/>
          <w:lang w:val="en-US" w:eastAsia="zh-CN"/>
        </w:rPr>
        <w:t>应当与“TIS”机构签订书面委托合同</w:t>
      </w:r>
      <w:r>
        <w:rPr>
          <w:rFonts w:hint="eastAsia"/>
          <w:snapToGrid/>
          <w:color w:val="auto"/>
          <w:spacing w:val="0"/>
          <w:kern w:val="0"/>
          <w:sz w:val="24"/>
          <w:szCs w:val="24"/>
          <w:highlight w:val="none"/>
          <w:u w:val="none"/>
          <w:lang w:eastAsia="zh-CN"/>
        </w:rPr>
        <w:t>（相应委托合同</w:t>
      </w:r>
      <w:r>
        <w:rPr>
          <w:rFonts w:hint="eastAsia"/>
          <w:snapToGrid/>
          <w:color w:val="auto"/>
          <w:spacing w:val="0"/>
          <w:kern w:val="0"/>
          <w:sz w:val="24"/>
          <w:szCs w:val="24"/>
          <w:highlight w:val="none"/>
          <w:u w:val="none"/>
          <w:lang w:val="en-US" w:eastAsia="zh-CN"/>
        </w:rPr>
        <w:t>提交一份复印件给</w:t>
      </w:r>
      <w:r>
        <w:rPr>
          <w:rFonts w:hint="eastAsia"/>
          <w:snapToGrid/>
          <w:color w:val="auto"/>
          <w:spacing w:val="0"/>
          <w:kern w:val="0"/>
          <w:sz w:val="24"/>
          <w:szCs w:val="24"/>
          <w:highlight w:val="none"/>
          <w:u w:val="none"/>
          <w:lang w:eastAsia="zh-CN"/>
        </w:rPr>
        <w:t>投保人备案）</w:t>
      </w:r>
      <w:r>
        <w:rPr>
          <w:rFonts w:hint="eastAsia" w:ascii="宋体" w:hAnsi="宋体" w:eastAsia="宋体" w:cs="宋体"/>
          <w:color w:val="auto"/>
          <w:sz w:val="24"/>
          <w:szCs w:val="24"/>
          <w:highlight w:val="none"/>
          <w:u w:val="none"/>
          <w:lang w:val="en-US" w:eastAsia="zh-CN"/>
        </w:rPr>
        <w:t>，依法约定双方的权利和义务</w:t>
      </w:r>
      <w:r>
        <w:rPr>
          <w:rFonts w:hint="eastAsia" w:cs="宋体"/>
          <w:color w:val="auto"/>
          <w:sz w:val="24"/>
          <w:szCs w:val="24"/>
          <w:highlight w:val="none"/>
          <w:u w:val="none"/>
          <w:lang w:val="en-US" w:eastAsia="zh-CN"/>
        </w:rPr>
        <w:t>（对</w:t>
      </w:r>
      <w:r>
        <w:rPr>
          <w:rFonts w:hint="eastAsia" w:ascii="宋体" w:hAnsi="宋体" w:eastAsia="宋体" w:cs="宋体"/>
          <w:color w:val="auto"/>
          <w:sz w:val="24"/>
          <w:szCs w:val="24"/>
          <w:highlight w:val="none"/>
          <w:u w:val="none"/>
          <w:lang w:val="en-US" w:eastAsia="zh-CN"/>
        </w:rPr>
        <w:t>“TIS”机构</w:t>
      </w:r>
      <w:r>
        <w:rPr>
          <w:rFonts w:hint="eastAsia" w:cs="宋体"/>
          <w:color w:val="auto"/>
          <w:sz w:val="24"/>
          <w:szCs w:val="24"/>
          <w:highlight w:val="none"/>
          <w:u w:val="none"/>
          <w:lang w:val="en-US" w:eastAsia="zh-CN"/>
        </w:rPr>
        <w:t>的相关要求见本合同第七条约定）</w:t>
      </w:r>
      <w:r>
        <w:rPr>
          <w:rFonts w:hint="eastAsia" w:ascii="宋体" w:hAnsi="宋体" w:eastAsia="宋体" w:cs="宋体"/>
          <w:color w:val="auto"/>
          <w:sz w:val="24"/>
          <w:szCs w:val="24"/>
          <w:highlight w:val="none"/>
          <w:u w:val="none"/>
          <w:lang w:val="en-US" w:eastAsia="zh-CN"/>
        </w:rPr>
        <w:t>。“TIS”机构不得与该工程参建单位存在关联关系，不得直接或间接参与该工程的勘察、设计、施工、监理和材料供应等工作。确保“TIS”机构在工作中客观、中立，并对所获悉的一切信息、资料承担保密义务。若“TIS”机构给投保人及项目造成损失的，保险人应对“TIS”机构的赔偿义务承担无限连带保证责任。</w:t>
      </w:r>
    </w:p>
    <w:p w14:paraId="004909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cs="宋体"/>
          <w:color w:val="auto"/>
          <w:sz w:val="24"/>
          <w:szCs w:val="24"/>
          <w:highlight w:val="none"/>
          <w:u w:val="none"/>
          <w:lang w:val="en-US" w:eastAsia="zh-CN"/>
        </w:rPr>
        <w:t>（十）</w:t>
      </w:r>
      <w:r>
        <w:rPr>
          <w:rFonts w:hint="eastAsia" w:ascii="宋体" w:hAnsi="宋体" w:eastAsia="宋体" w:cs="宋体"/>
          <w:color w:val="auto"/>
          <w:sz w:val="24"/>
          <w:szCs w:val="24"/>
          <w:highlight w:val="none"/>
          <w:u w:val="none"/>
          <w:lang w:val="en-US" w:eastAsia="zh-CN"/>
        </w:rPr>
        <w:t>成果提供</w:t>
      </w:r>
    </w:p>
    <w:p w14:paraId="7E86F0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lang w:val="en-US" w:eastAsia="zh-CN"/>
        </w:rPr>
        <w:t>保险</w:t>
      </w:r>
      <w:r>
        <w:rPr>
          <w:rFonts w:hint="eastAsia" w:cs="宋体"/>
          <w:color w:val="auto"/>
          <w:sz w:val="24"/>
          <w:szCs w:val="24"/>
          <w:highlight w:val="none"/>
          <w:u w:val="none"/>
          <w:lang w:val="en-US" w:eastAsia="zh-CN"/>
        </w:rPr>
        <w:t>人</w:t>
      </w:r>
      <w:r>
        <w:rPr>
          <w:rFonts w:hint="eastAsia" w:ascii="宋体" w:hAnsi="宋体" w:eastAsia="宋体" w:cs="宋体"/>
          <w:color w:val="auto"/>
          <w:sz w:val="24"/>
          <w:szCs w:val="24"/>
          <w:highlight w:val="none"/>
          <w:u w:val="none"/>
          <w:lang w:val="en-US" w:eastAsia="zh-CN"/>
        </w:rPr>
        <w:t>应当制定工程质量风险评估实施方案、保险告知书、保险理赔应急预案等，经</w:t>
      </w:r>
      <w:r>
        <w:rPr>
          <w:rFonts w:hint="eastAsia" w:cs="宋体"/>
          <w:color w:val="auto"/>
          <w:sz w:val="24"/>
          <w:szCs w:val="24"/>
          <w:highlight w:val="none"/>
          <w:u w:val="none"/>
          <w:lang w:val="en-US" w:eastAsia="zh-CN"/>
        </w:rPr>
        <w:t>投保人</w:t>
      </w:r>
      <w:r>
        <w:rPr>
          <w:rFonts w:hint="eastAsia" w:ascii="宋体" w:hAnsi="宋体" w:eastAsia="宋体" w:cs="宋体"/>
          <w:color w:val="auto"/>
          <w:sz w:val="24"/>
          <w:szCs w:val="24"/>
          <w:highlight w:val="none"/>
          <w:u w:val="none"/>
          <w:lang w:val="en-US" w:eastAsia="zh-CN"/>
        </w:rPr>
        <w:t>确认后，作为保险合同的附件。</w:t>
      </w:r>
    </w:p>
    <w:p w14:paraId="16BB1C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val="en-US" w:eastAsia="zh-CN"/>
        </w:rPr>
        <w:t>工程质量风险评估实施方案，应包括具体实施工程质量风险评估的机构及其人员情况，工程质量风险评估的具体实施范围、实施计划、关键节点、重点工序，需要</w:t>
      </w:r>
      <w:r>
        <w:rPr>
          <w:rFonts w:hint="eastAsia" w:cs="宋体"/>
          <w:color w:val="auto"/>
          <w:sz w:val="24"/>
          <w:szCs w:val="24"/>
          <w:highlight w:val="none"/>
          <w:u w:val="none"/>
          <w:lang w:val="en-US" w:eastAsia="zh-CN"/>
        </w:rPr>
        <w:t>投保人</w:t>
      </w:r>
      <w:r>
        <w:rPr>
          <w:rFonts w:hint="eastAsia" w:ascii="宋体" w:hAnsi="宋体" w:eastAsia="宋体" w:cs="宋体"/>
          <w:color w:val="auto"/>
          <w:sz w:val="24"/>
          <w:szCs w:val="24"/>
          <w:highlight w:val="none"/>
          <w:u w:val="none"/>
          <w:lang w:val="en-US" w:eastAsia="zh-CN"/>
        </w:rPr>
        <w:t>配合的具体事项和通知义务等。</w:t>
      </w:r>
    </w:p>
    <w:p w14:paraId="045B1D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lang w:val="en-US" w:eastAsia="zh-CN"/>
        </w:rPr>
        <w:t>工程质量潜在缺陷保险告知书内容包括保险标的、保险责任和责任免除、保险期间和保险责任开始时间、违约责任和争议处理、保险理赔流程、负责保险理赔工作的部门及其联系方式、</w:t>
      </w:r>
      <w:r>
        <w:rPr>
          <w:rFonts w:hint="eastAsia" w:cs="宋体"/>
          <w:color w:val="auto"/>
          <w:sz w:val="24"/>
          <w:szCs w:val="24"/>
          <w:highlight w:val="none"/>
          <w:u w:val="none"/>
          <w:lang w:val="en-US" w:eastAsia="zh-CN"/>
        </w:rPr>
        <w:t>保险人</w:t>
      </w:r>
      <w:r>
        <w:rPr>
          <w:rFonts w:hint="eastAsia" w:ascii="宋体" w:hAnsi="宋体" w:eastAsia="宋体" w:cs="宋体"/>
          <w:color w:val="auto"/>
          <w:sz w:val="24"/>
          <w:szCs w:val="24"/>
          <w:highlight w:val="none"/>
          <w:u w:val="none"/>
          <w:lang w:val="en-US" w:eastAsia="zh-CN"/>
        </w:rPr>
        <w:t>变更通知义务等。</w:t>
      </w:r>
    </w:p>
    <w:p w14:paraId="73667607">
      <w:pPr>
        <w:pStyle w:val="22"/>
        <w:numPr>
          <w:ilvl w:val="1"/>
          <w:numId w:val="0"/>
        </w:numPr>
        <w:tabs>
          <w:tab w:val="left" w:pos="1080"/>
        </w:tabs>
        <w:adjustRightInd w:val="0"/>
        <w:snapToGrid w:val="0"/>
        <w:spacing w:before="0" w:line="360" w:lineRule="auto"/>
        <w:ind w:left="0" w:right="237" w:firstLine="480" w:firstLineChars="200"/>
        <w:jc w:val="both"/>
        <w:rPr>
          <w:rFonts w:hint="eastAsia"/>
          <w:color w:val="auto"/>
          <w:highlight w:val="none"/>
          <w:lang w:val="en-US" w:eastAsia="zh-CN"/>
        </w:rPr>
      </w:pPr>
      <w:r>
        <w:rPr>
          <w:rFonts w:hint="eastAsia"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lang w:val="en-US" w:eastAsia="zh-CN"/>
        </w:rPr>
        <w:t>保险理赔应急预案应明确保险理赔应急预案启动的具体情形、应急流程和采取的应急措施等。</w:t>
      </w:r>
    </w:p>
    <w:p w14:paraId="5B66AF57">
      <w:pPr>
        <w:pStyle w:val="5"/>
        <w:adjustRightInd w:val="0"/>
        <w:snapToGrid w:val="0"/>
        <w:spacing w:before="0" w:line="360" w:lineRule="auto"/>
        <w:ind w:left="0" w:firstLine="482" w:firstLineChars="200"/>
        <w:rPr>
          <w:rFonts w:hint="eastAsia"/>
          <w:color w:val="auto"/>
          <w:highlight w:val="none"/>
          <w:lang w:eastAsia="zh-CN"/>
        </w:rPr>
      </w:pPr>
      <w:r>
        <w:rPr>
          <w:rFonts w:hint="eastAsia"/>
          <w:color w:val="auto"/>
          <w:highlight w:val="none"/>
          <w:lang w:val="en-US" w:eastAsia="zh-CN"/>
        </w:rPr>
        <w:t>七</w:t>
      </w:r>
      <w:r>
        <w:rPr>
          <w:rFonts w:hint="eastAsia"/>
          <w:color w:val="auto"/>
          <w:highlight w:val="none"/>
          <w:lang w:eastAsia="zh-CN"/>
        </w:rPr>
        <w:t>、风险管理机构（简称“TIS”机构）</w:t>
      </w:r>
    </w:p>
    <w:p w14:paraId="3185152C">
      <w:pPr>
        <w:pStyle w:val="22"/>
        <w:numPr>
          <w:ilvl w:val="-1"/>
          <w:numId w:val="0"/>
        </w:numPr>
        <w:tabs>
          <w:tab w:val="left" w:pos="1080"/>
        </w:tabs>
        <w:adjustRightInd w:val="0"/>
        <w:snapToGrid w:val="0"/>
        <w:spacing w:before="0" w:line="360" w:lineRule="auto"/>
        <w:ind w:left="0" w:firstLine="480" w:firstLineChars="200"/>
        <w:jc w:val="both"/>
        <w:rPr>
          <w:rFonts w:hint="eastAsia"/>
          <w:color w:val="auto"/>
          <w:sz w:val="24"/>
          <w:highlight w:val="none"/>
          <w:lang w:eastAsia="zh-CN"/>
        </w:rPr>
      </w:pPr>
      <w:r>
        <w:rPr>
          <w:rFonts w:hint="eastAsia"/>
          <w:color w:val="auto"/>
          <w:sz w:val="24"/>
          <w:highlight w:val="none"/>
          <w:lang w:eastAsia="zh-CN"/>
        </w:rPr>
        <w:t>（</w:t>
      </w:r>
      <w:r>
        <w:rPr>
          <w:rFonts w:hint="eastAsia"/>
          <w:color w:val="auto"/>
          <w:sz w:val="24"/>
          <w:highlight w:val="none"/>
          <w:lang w:val="en-US" w:eastAsia="zh-CN"/>
        </w:rPr>
        <w:t>一</w:t>
      </w:r>
      <w:r>
        <w:rPr>
          <w:rFonts w:hint="eastAsia"/>
          <w:color w:val="auto"/>
          <w:sz w:val="24"/>
          <w:highlight w:val="none"/>
          <w:lang w:eastAsia="zh-CN"/>
        </w:rPr>
        <w:t>）风险管理机构：</w:t>
      </w:r>
      <w:r>
        <w:rPr>
          <w:rFonts w:hint="eastAsia" w:ascii="宋体" w:hAnsi="宋体" w:eastAsia="宋体"/>
          <w:snapToGrid/>
          <w:color w:val="auto"/>
          <w:spacing w:val="0"/>
          <w:kern w:val="0"/>
          <w:sz w:val="24"/>
          <w:szCs w:val="24"/>
          <w:highlight w:val="none"/>
          <w:u w:val="none"/>
          <w:lang w:eastAsia="zh-CN"/>
        </w:rPr>
        <w:t>保险人</w:t>
      </w:r>
      <w:r>
        <w:rPr>
          <w:rFonts w:hint="eastAsia"/>
          <w:snapToGrid/>
          <w:color w:val="auto"/>
          <w:spacing w:val="0"/>
          <w:kern w:val="0"/>
          <w:sz w:val="24"/>
          <w:szCs w:val="24"/>
          <w:highlight w:val="none"/>
          <w:u w:val="none"/>
          <w:lang w:eastAsia="zh-CN"/>
        </w:rPr>
        <w:t>委托</w:t>
      </w:r>
      <w:r>
        <w:rPr>
          <w:rFonts w:hint="eastAsia" w:ascii="宋体" w:hAnsi="宋体" w:eastAsia="宋体"/>
          <w:snapToGrid/>
          <w:color w:val="auto"/>
          <w:spacing w:val="0"/>
          <w:kern w:val="0"/>
          <w:sz w:val="24"/>
          <w:szCs w:val="24"/>
          <w:highlight w:val="none"/>
          <w:u w:val="none"/>
          <w:lang w:eastAsia="zh-CN"/>
        </w:rPr>
        <w:t>符合相关资质要求的“TIS”机构</w:t>
      </w:r>
      <w:r>
        <w:rPr>
          <w:rFonts w:hint="eastAsia"/>
          <w:snapToGrid/>
          <w:color w:val="auto"/>
          <w:spacing w:val="0"/>
          <w:kern w:val="0"/>
          <w:sz w:val="24"/>
          <w:szCs w:val="24"/>
          <w:highlight w:val="none"/>
          <w:u w:val="none"/>
          <w:lang w:eastAsia="zh-CN"/>
        </w:rPr>
        <w:t>（相应委托合同</w:t>
      </w:r>
      <w:r>
        <w:rPr>
          <w:rFonts w:hint="eastAsia"/>
          <w:snapToGrid/>
          <w:color w:val="auto"/>
          <w:spacing w:val="0"/>
          <w:kern w:val="0"/>
          <w:sz w:val="24"/>
          <w:szCs w:val="24"/>
          <w:highlight w:val="none"/>
          <w:u w:val="none"/>
          <w:lang w:val="en-US" w:eastAsia="zh-CN"/>
        </w:rPr>
        <w:t>提交一份复印件给</w:t>
      </w:r>
      <w:r>
        <w:rPr>
          <w:rFonts w:hint="eastAsia"/>
          <w:snapToGrid/>
          <w:color w:val="auto"/>
          <w:spacing w:val="0"/>
          <w:kern w:val="0"/>
          <w:sz w:val="24"/>
          <w:szCs w:val="24"/>
          <w:highlight w:val="none"/>
          <w:u w:val="none"/>
          <w:lang w:eastAsia="zh-CN"/>
        </w:rPr>
        <w:t>投保人备案），</w:t>
      </w:r>
      <w:r>
        <w:rPr>
          <w:rFonts w:hint="eastAsia" w:ascii="宋体" w:hAnsi="宋体" w:eastAsia="宋体"/>
          <w:snapToGrid/>
          <w:color w:val="auto"/>
          <w:spacing w:val="0"/>
          <w:kern w:val="0"/>
          <w:sz w:val="24"/>
          <w:szCs w:val="24"/>
          <w:highlight w:val="none"/>
          <w:u w:val="none"/>
          <w:lang w:eastAsia="zh-CN"/>
        </w:rPr>
        <w:t>落实对“TIS”机构的管理责任</w:t>
      </w:r>
      <w:r>
        <w:rPr>
          <w:rFonts w:hint="eastAsia"/>
          <w:snapToGrid/>
          <w:color w:val="auto"/>
          <w:spacing w:val="0"/>
          <w:kern w:val="0"/>
          <w:sz w:val="24"/>
          <w:szCs w:val="24"/>
          <w:highlight w:val="none"/>
          <w:u w:val="none"/>
          <w:lang w:eastAsia="zh-CN"/>
        </w:rPr>
        <w:t>；</w:t>
      </w:r>
      <w:r>
        <w:rPr>
          <w:rFonts w:hint="eastAsia" w:ascii="宋体" w:hAnsi="宋体" w:eastAsia="宋体"/>
          <w:snapToGrid/>
          <w:color w:val="auto"/>
          <w:spacing w:val="0"/>
          <w:kern w:val="0"/>
          <w:sz w:val="24"/>
          <w:szCs w:val="24"/>
          <w:highlight w:val="none"/>
          <w:u w:val="none"/>
          <w:lang w:eastAsia="zh-CN"/>
        </w:rPr>
        <w:t>“TIS”机构</w:t>
      </w:r>
      <w:r>
        <w:rPr>
          <w:rFonts w:hint="eastAsia"/>
          <w:snapToGrid/>
          <w:color w:val="auto"/>
          <w:spacing w:val="0"/>
          <w:kern w:val="0"/>
          <w:sz w:val="24"/>
          <w:szCs w:val="24"/>
          <w:highlight w:val="none"/>
          <w:u w:val="none"/>
          <w:lang w:eastAsia="zh-CN"/>
        </w:rPr>
        <w:t>应</w:t>
      </w:r>
      <w:r>
        <w:rPr>
          <w:rFonts w:hint="eastAsia" w:ascii="宋体" w:hAnsi="宋体" w:eastAsia="宋体"/>
          <w:snapToGrid/>
          <w:color w:val="auto"/>
          <w:kern w:val="0"/>
          <w:sz w:val="24"/>
          <w:szCs w:val="24"/>
          <w:highlight w:val="none"/>
          <w:u w:val="none"/>
          <w:lang w:eastAsia="zh-CN"/>
        </w:rPr>
        <w:t>按照</w:t>
      </w:r>
      <w:r>
        <w:rPr>
          <w:rFonts w:hint="eastAsia"/>
          <w:snapToGrid/>
          <w:color w:val="auto"/>
          <w:kern w:val="0"/>
          <w:sz w:val="24"/>
          <w:szCs w:val="24"/>
          <w:highlight w:val="none"/>
          <w:u w:val="none"/>
          <w:lang w:eastAsia="zh-CN"/>
        </w:rPr>
        <w:t>《</w:t>
      </w:r>
      <w:r>
        <w:rPr>
          <w:rFonts w:hint="eastAsia"/>
          <w:color w:val="auto"/>
          <w:spacing w:val="0"/>
          <w:sz w:val="24"/>
          <w:szCs w:val="24"/>
          <w:highlight w:val="none"/>
          <w:u w:val="none"/>
          <w:lang w:eastAsia="zh-CN"/>
        </w:rPr>
        <w:t>广州市住宅工程质量潜在缺陷保险管理办法》</w:t>
      </w:r>
      <w:r>
        <w:rPr>
          <w:rFonts w:hint="eastAsia" w:ascii="宋体" w:hAnsi="宋体" w:eastAsia="宋体"/>
          <w:snapToGrid/>
          <w:color w:val="auto"/>
          <w:kern w:val="0"/>
          <w:sz w:val="24"/>
          <w:szCs w:val="24"/>
          <w:highlight w:val="none"/>
          <w:u w:val="none"/>
          <w:lang w:eastAsia="zh-CN"/>
        </w:rPr>
        <w:t>要求</w:t>
      </w:r>
      <w:r>
        <w:rPr>
          <w:rFonts w:hint="eastAsia"/>
          <w:color w:val="auto"/>
          <w:spacing w:val="0"/>
          <w:sz w:val="24"/>
          <w:szCs w:val="24"/>
          <w:highlight w:val="none"/>
          <w:u w:val="none"/>
          <w:lang w:eastAsia="zh-CN"/>
        </w:rPr>
        <w:t>及与保险人合同约定对本项目</w:t>
      </w:r>
      <w:r>
        <w:rPr>
          <w:rFonts w:hint="eastAsia"/>
          <w:snapToGrid/>
          <w:color w:val="auto"/>
          <w:kern w:val="0"/>
          <w:sz w:val="24"/>
          <w:szCs w:val="24"/>
          <w:highlight w:val="none"/>
          <w:u w:val="none"/>
          <w:lang w:eastAsia="zh-CN"/>
        </w:rPr>
        <w:t>实施风险管理</w:t>
      </w:r>
      <w:r>
        <w:rPr>
          <w:rFonts w:hint="eastAsia"/>
          <w:color w:val="auto"/>
          <w:sz w:val="24"/>
          <w:highlight w:val="none"/>
          <w:lang w:eastAsia="zh-CN"/>
        </w:rPr>
        <w:t>。</w:t>
      </w:r>
    </w:p>
    <w:p w14:paraId="32FF4A74">
      <w:pPr>
        <w:pStyle w:val="22"/>
        <w:numPr>
          <w:ilvl w:val="-1"/>
          <w:numId w:val="0"/>
        </w:numPr>
        <w:tabs>
          <w:tab w:val="left" w:pos="1080"/>
        </w:tabs>
        <w:adjustRightInd w:val="0"/>
        <w:snapToGrid w:val="0"/>
        <w:spacing w:before="0" w:line="360" w:lineRule="auto"/>
        <w:ind w:left="0" w:firstLine="480" w:firstLineChars="200"/>
        <w:rPr>
          <w:rFonts w:hint="eastAsia"/>
          <w:color w:val="auto"/>
          <w:sz w:val="24"/>
          <w:highlight w:val="none"/>
          <w:lang w:eastAsia="zh-CN"/>
        </w:rPr>
      </w:pPr>
      <w:r>
        <w:rPr>
          <w:rFonts w:hint="eastAsia"/>
          <w:color w:val="auto"/>
          <w:sz w:val="24"/>
          <w:highlight w:val="none"/>
          <w:lang w:eastAsia="zh-CN"/>
        </w:rPr>
        <w:t>（</w:t>
      </w:r>
      <w:r>
        <w:rPr>
          <w:rFonts w:hint="eastAsia"/>
          <w:color w:val="auto"/>
          <w:sz w:val="24"/>
          <w:highlight w:val="none"/>
          <w:lang w:val="en-US" w:eastAsia="zh-CN"/>
        </w:rPr>
        <w:t>二</w:t>
      </w:r>
      <w:r>
        <w:rPr>
          <w:rFonts w:hint="eastAsia"/>
          <w:color w:val="auto"/>
          <w:sz w:val="24"/>
          <w:highlight w:val="none"/>
          <w:lang w:eastAsia="zh-CN"/>
        </w:rPr>
        <w:t>）进场时间：</w:t>
      </w:r>
      <w:r>
        <w:rPr>
          <w:rFonts w:hint="eastAsia" w:ascii="宋体" w:hAnsi="宋体" w:eastAsia="宋体"/>
          <w:snapToGrid/>
          <w:color w:val="auto"/>
          <w:kern w:val="0"/>
          <w:sz w:val="24"/>
          <w:szCs w:val="24"/>
          <w:highlight w:val="none"/>
          <w:u w:val="none"/>
          <w:lang w:eastAsia="zh-CN"/>
        </w:rPr>
        <w:t>保险人出具保险单后按照</w:t>
      </w:r>
      <w:r>
        <w:rPr>
          <w:rFonts w:hint="eastAsia"/>
          <w:snapToGrid/>
          <w:color w:val="auto"/>
          <w:kern w:val="0"/>
          <w:sz w:val="24"/>
          <w:szCs w:val="24"/>
          <w:highlight w:val="none"/>
          <w:u w:val="none"/>
          <w:lang w:eastAsia="zh-CN"/>
        </w:rPr>
        <w:t>《</w:t>
      </w:r>
      <w:r>
        <w:rPr>
          <w:rFonts w:hint="eastAsia"/>
          <w:color w:val="auto"/>
          <w:spacing w:val="0"/>
          <w:sz w:val="24"/>
          <w:szCs w:val="24"/>
          <w:highlight w:val="none"/>
          <w:u w:val="none"/>
          <w:lang w:eastAsia="zh-CN"/>
        </w:rPr>
        <w:t>广州市住宅工程质量潜在缺陷保险管理办法》</w:t>
      </w:r>
      <w:r>
        <w:rPr>
          <w:rFonts w:hint="eastAsia" w:ascii="宋体" w:hAnsi="宋体" w:eastAsia="宋体"/>
          <w:snapToGrid/>
          <w:color w:val="auto"/>
          <w:kern w:val="0"/>
          <w:sz w:val="24"/>
          <w:szCs w:val="24"/>
          <w:highlight w:val="none"/>
          <w:u w:val="none"/>
          <w:lang w:eastAsia="zh-CN"/>
        </w:rPr>
        <w:t>要求安排风险管理机构进场</w:t>
      </w:r>
      <w:r>
        <w:rPr>
          <w:rFonts w:hint="eastAsia"/>
          <w:color w:val="auto"/>
          <w:sz w:val="24"/>
          <w:highlight w:val="none"/>
          <w:lang w:eastAsia="zh-CN"/>
        </w:rPr>
        <w:t>。</w:t>
      </w:r>
    </w:p>
    <w:p w14:paraId="48DED734">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color w:val="auto"/>
          <w:spacing w:val="-2"/>
          <w:sz w:val="24"/>
          <w:highlight w:val="none"/>
          <w:lang w:val="en-US" w:eastAsia="zh-CN"/>
        </w:rPr>
      </w:pPr>
      <w:r>
        <w:rPr>
          <w:rFonts w:hint="eastAsia"/>
          <w:color w:val="auto"/>
          <w:spacing w:val="-2"/>
          <w:sz w:val="24"/>
          <w:highlight w:val="none"/>
          <w:lang w:eastAsia="zh-CN"/>
        </w:rPr>
        <w:t>（</w:t>
      </w:r>
      <w:r>
        <w:rPr>
          <w:rFonts w:hint="eastAsia"/>
          <w:color w:val="auto"/>
          <w:spacing w:val="-2"/>
          <w:sz w:val="24"/>
          <w:highlight w:val="none"/>
          <w:lang w:val="en-US" w:eastAsia="zh-CN"/>
        </w:rPr>
        <w:t>三</w:t>
      </w:r>
      <w:r>
        <w:rPr>
          <w:rFonts w:hint="eastAsia"/>
          <w:color w:val="auto"/>
          <w:spacing w:val="-2"/>
          <w:sz w:val="24"/>
          <w:highlight w:val="none"/>
          <w:lang w:eastAsia="zh-CN"/>
        </w:rPr>
        <w:t>）</w:t>
      </w:r>
      <w:r>
        <w:rPr>
          <w:rFonts w:hint="eastAsia"/>
          <w:color w:val="auto"/>
          <w:spacing w:val="-2"/>
          <w:sz w:val="24"/>
          <w:highlight w:val="none"/>
          <w:lang w:val="en-US" w:eastAsia="zh-CN"/>
        </w:rPr>
        <w:t>具体要求</w:t>
      </w:r>
    </w:p>
    <w:p w14:paraId="4FC371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1.提供项目质量安全巡查评估服务</w:t>
      </w:r>
    </w:p>
    <w:p w14:paraId="59540B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质量巡查</w:t>
      </w:r>
      <w:r>
        <w:rPr>
          <w:rFonts w:hint="eastAsia" w:ascii="宋体" w:hAnsi="宋体" w:eastAsia="宋体"/>
          <w:color w:val="auto"/>
          <w:sz w:val="24"/>
          <w:szCs w:val="24"/>
          <w:highlight w:val="none"/>
        </w:rPr>
        <w:t>评估时间及频次</w:t>
      </w:r>
    </w:p>
    <w:p w14:paraId="4F2263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①</w:t>
      </w:r>
      <w:r>
        <w:rPr>
          <w:rFonts w:hint="eastAsia" w:ascii="宋体" w:hAnsi="宋体" w:eastAsia="宋体"/>
          <w:color w:val="auto"/>
          <w:sz w:val="24"/>
          <w:szCs w:val="24"/>
          <w:highlight w:val="none"/>
        </w:rPr>
        <w:t>在服务周期内，对项目每年进行</w:t>
      </w:r>
      <w:r>
        <w:rPr>
          <w:rFonts w:hint="eastAsia" w:ascii="宋体" w:hAnsi="宋体" w:eastAsia="宋体"/>
          <w:color w:val="auto"/>
          <w:sz w:val="24"/>
          <w:szCs w:val="24"/>
          <w:highlight w:val="none"/>
          <w:lang w:val="en-US" w:eastAsia="zh-CN"/>
        </w:rPr>
        <w:t>不少于</w:t>
      </w:r>
      <w:r>
        <w:rPr>
          <w:rFonts w:hint="eastAsia" w:ascii="宋体" w:hAnsi="宋体" w:eastAsia="宋体"/>
          <w:color w:val="auto"/>
          <w:sz w:val="24"/>
          <w:szCs w:val="24"/>
          <w:highlight w:val="none"/>
        </w:rPr>
        <w:t>三次</w:t>
      </w:r>
      <w:r>
        <w:rPr>
          <w:rFonts w:hint="eastAsia" w:ascii="宋体" w:hAnsi="宋体" w:eastAsia="宋体"/>
          <w:color w:val="auto"/>
          <w:sz w:val="24"/>
          <w:szCs w:val="24"/>
          <w:highlight w:val="none"/>
          <w:lang w:val="en-US" w:eastAsia="zh-CN"/>
        </w:rPr>
        <w:t>质量</w:t>
      </w:r>
      <w:r>
        <w:rPr>
          <w:rFonts w:hint="eastAsia" w:ascii="宋体" w:hAnsi="宋体" w:eastAsia="宋体"/>
          <w:color w:val="auto"/>
          <w:sz w:val="24"/>
          <w:szCs w:val="24"/>
          <w:highlight w:val="none"/>
        </w:rPr>
        <w:t>评估，项目</w:t>
      </w:r>
      <w:r>
        <w:rPr>
          <w:rFonts w:hint="eastAsia" w:ascii="宋体" w:hAnsi="宋体" w:eastAsia="宋体"/>
          <w:color w:val="auto"/>
          <w:sz w:val="24"/>
          <w:szCs w:val="24"/>
          <w:highlight w:val="none"/>
          <w:lang w:val="en-US" w:eastAsia="zh-CN"/>
        </w:rPr>
        <w:t>必须</w:t>
      </w:r>
      <w:r>
        <w:rPr>
          <w:rFonts w:hint="eastAsia" w:ascii="宋体" w:hAnsi="宋体" w:eastAsia="宋体"/>
          <w:color w:val="auto"/>
          <w:sz w:val="24"/>
          <w:szCs w:val="24"/>
          <w:highlight w:val="none"/>
        </w:rPr>
        <w:t>包含</w:t>
      </w:r>
      <w:r>
        <w:rPr>
          <w:rFonts w:hint="eastAsia" w:ascii="宋体" w:hAnsi="宋体" w:eastAsia="宋体"/>
          <w:color w:val="auto"/>
          <w:sz w:val="24"/>
          <w:szCs w:val="24"/>
          <w:highlight w:val="none"/>
          <w:lang w:val="en-US" w:eastAsia="zh-CN"/>
        </w:rPr>
        <w:t>不少于</w:t>
      </w:r>
      <w:r>
        <w:rPr>
          <w:rFonts w:hint="eastAsia" w:ascii="宋体" w:hAnsi="宋体" w:eastAsia="宋体"/>
          <w:color w:val="auto"/>
          <w:sz w:val="24"/>
          <w:szCs w:val="24"/>
          <w:highlight w:val="none"/>
        </w:rPr>
        <w:t>6次过程评估及2次交付评估，</w:t>
      </w:r>
      <w:r>
        <w:rPr>
          <w:rFonts w:hint="eastAsia" w:ascii="宋体" w:hAnsi="宋体" w:eastAsia="宋体"/>
          <w:color w:val="auto"/>
          <w:sz w:val="24"/>
          <w:szCs w:val="24"/>
          <w:highlight w:val="none"/>
          <w:lang w:val="en-US" w:eastAsia="zh-CN"/>
        </w:rPr>
        <w:t>项目</w:t>
      </w:r>
      <w:r>
        <w:rPr>
          <w:rFonts w:hint="eastAsia" w:ascii="宋体" w:hAnsi="宋体" w:eastAsia="宋体"/>
          <w:color w:val="auto"/>
          <w:sz w:val="24"/>
          <w:szCs w:val="24"/>
          <w:highlight w:val="none"/>
        </w:rPr>
        <w:t>工程建设期</w:t>
      </w:r>
      <w:r>
        <w:rPr>
          <w:rFonts w:hint="eastAsia" w:ascii="宋体" w:hAnsi="宋体" w:eastAsia="宋体"/>
          <w:color w:val="auto"/>
          <w:sz w:val="24"/>
          <w:szCs w:val="24"/>
          <w:highlight w:val="none"/>
          <w:lang w:val="en-US" w:eastAsia="zh-CN"/>
        </w:rPr>
        <w:t>内总计评估频次不少于11次</w:t>
      </w:r>
      <w:r>
        <w:rPr>
          <w:rFonts w:hint="eastAsia" w:ascii="宋体" w:hAnsi="宋体" w:eastAsia="宋体"/>
          <w:color w:val="auto"/>
          <w:sz w:val="24"/>
          <w:szCs w:val="24"/>
          <w:highlight w:val="none"/>
        </w:rPr>
        <w:t>。</w:t>
      </w:r>
      <w:r>
        <w:rPr>
          <w:rFonts w:hint="eastAsia"/>
          <w:color w:val="auto"/>
          <w:sz w:val="24"/>
          <w:szCs w:val="24"/>
          <w:highlight w:val="none"/>
          <w:lang w:val="en-US" w:eastAsia="zh-CN"/>
        </w:rPr>
        <w:t>投保人</w:t>
      </w:r>
      <w:r>
        <w:rPr>
          <w:rFonts w:hint="eastAsia" w:ascii="宋体" w:hAnsi="宋体" w:eastAsia="宋体"/>
          <w:color w:val="auto"/>
          <w:sz w:val="24"/>
          <w:szCs w:val="24"/>
          <w:highlight w:val="none"/>
          <w:lang w:val="en-US" w:eastAsia="zh-CN"/>
        </w:rPr>
        <w:t>有权指定评估</w:t>
      </w:r>
      <w:r>
        <w:rPr>
          <w:rFonts w:hint="eastAsia" w:ascii="宋体" w:hAnsi="宋体" w:eastAsia="宋体"/>
          <w:color w:val="auto"/>
          <w:sz w:val="24"/>
          <w:szCs w:val="24"/>
          <w:highlight w:val="none"/>
        </w:rPr>
        <w:t>具体时间及地点。</w:t>
      </w:r>
    </w:p>
    <w:p w14:paraId="421009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②</w:t>
      </w:r>
      <w:r>
        <w:rPr>
          <w:rFonts w:hint="eastAsia" w:ascii="宋体" w:hAnsi="宋体" w:eastAsia="宋体"/>
          <w:color w:val="auto"/>
          <w:sz w:val="24"/>
          <w:szCs w:val="24"/>
          <w:highlight w:val="none"/>
        </w:rPr>
        <w:t>每</w:t>
      </w:r>
      <w:r>
        <w:rPr>
          <w:rFonts w:hint="eastAsia" w:ascii="宋体" w:hAnsi="宋体" w:eastAsia="宋体"/>
          <w:color w:val="auto"/>
          <w:sz w:val="24"/>
          <w:szCs w:val="24"/>
          <w:highlight w:val="none"/>
          <w:lang w:val="en-US" w:eastAsia="zh-CN"/>
        </w:rPr>
        <w:t>次</w:t>
      </w:r>
      <w:r>
        <w:rPr>
          <w:rFonts w:hint="eastAsia" w:ascii="宋体" w:hAnsi="宋体" w:eastAsia="宋体"/>
          <w:color w:val="auto"/>
          <w:sz w:val="24"/>
          <w:szCs w:val="24"/>
          <w:highlight w:val="none"/>
        </w:rPr>
        <w:t>评估时间不少于1天，评估服务人员在评估期间不得从事其他工作。</w:t>
      </w:r>
    </w:p>
    <w:p w14:paraId="037AE5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安全巡查评估时间及频次</w:t>
      </w:r>
    </w:p>
    <w:p w14:paraId="588A01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val="en-US" w:eastAsia="zh-CN"/>
        </w:rPr>
        <w:t>①</w:t>
      </w:r>
      <w:r>
        <w:rPr>
          <w:rFonts w:hint="eastAsia" w:ascii="宋体" w:hAnsi="宋体" w:eastAsia="宋体"/>
          <w:color w:val="auto"/>
          <w:sz w:val="24"/>
          <w:szCs w:val="24"/>
          <w:highlight w:val="none"/>
          <w:lang w:val="en-US" w:eastAsia="zh-CN"/>
        </w:rPr>
        <w:t>在服务周期内，对项目每年进行不少于四次安全评估，项目</w:t>
      </w:r>
      <w:r>
        <w:rPr>
          <w:rFonts w:hint="eastAsia" w:ascii="宋体" w:hAnsi="宋体" w:eastAsia="宋体"/>
          <w:color w:val="auto"/>
          <w:sz w:val="24"/>
          <w:szCs w:val="24"/>
          <w:highlight w:val="none"/>
        </w:rPr>
        <w:t>工程建设期</w:t>
      </w:r>
      <w:r>
        <w:rPr>
          <w:rFonts w:hint="eastAsia" w:ascii="宋体" w:hAnsi="宋体" w:eastAsia="宋体"/>
          <w:color w:val="auto"/>
          <w:sz w:val="24"/>
          <w:szCs w:val="24"/>
          <w:highlight w:val="none"/>
          <w:lang w:val="en-US" w:eastAsia="zh-CN"/>
        </w:rPr>
        <w:t>内总计评估频次不少于为11次。</w:t>
      </w:r>
      <w:r>
        <w:rPr>
          <w:rFonts w:hint="eastAsia"/>
          <w:color w:val="auto"/>
          <w:sz w:val="24"/>
          <w:szCs w:val="24"/>
          <w:highlight w:val="none"/>
          <w:lang w:val="en-US" w:eastAsia="zh-CN"/>
        </w:rPr>
        <w:t>投保人</w:t>
      </w:r>
      <w:r>
        <w:rPr>
          <w:rFonts w:hint="eastAsia" w:ascii="宋体" w:hAnsi="宋体" w:eastAsia="宋体"/>
          <w:color w:val="auto"/>
          <w:sz w:val="24"/>
          <w:szCs w:val="24"/>
          <w:highlight w:val="none"/>
          <w:lang w:val="en-US" w:eastAsia="zh-CN"/>
        </w:rPr>
        <w:t>有权指定评估</w:t>
      </w:r>
      <w:r>
        <w:rPr>
          <w:rFonts w:hint="eastAsia" w:ascii="宋体" w:hAnsi="宋体" w:eastAsia="宋体"/>
          <w:color w:val="auto"/>
          <w:sz w:val="24"/>
          <w:szCs w:val="24"/>
          <w:highlight w:val="none"/>
        </w:rPr>
        <w:t>具体时间及地点。</w:t>
      </w:r>
    </w:p>
    <w:p w14:paraId="4A9F91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②</w:t>
      </w:r>
      <w:r>
        <w:rPr>
          <w:rFonts w:hint="eastAsia" w:ascii="宋体" w:hAnsi="宋体" w:eastAsia="宋体"/>
          <w:color w:val="auto"/>
          <w:sz w:val="24"/>
          <w:szCs w:val="24"/>
          <w:highlight w:val="none"/>
        </w:rPr>
        <w:t>每个在建项目的评估时间不少于1天，评估服务人员在评估期间不得从事其他工作。</w:t>
      </w:r>
    </w:p>
    <w:p w14:paraId="4490D0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）评估服务团队配置要求</w:t>
      </w:r>
    </w:p>
    <w:p w14:paraId="7622C3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val="en-US" w:eastAsia="zh-CN"/>
        </w:rPr>
        <w:t>①</w:t>
      </w:r>
      <w:r>
        <w:rPr>
          <w:rFonts w:hint="eastAsia" w:ascii="宋体" w:hAnsi="宋体" w:eastAsia="宋体"/>
          <w:color w:val="auto"/>
          <w:sz w:val="24"/>
          <w:szCs w:val="24"/>
          <w:highlight w:val="none"/>
          <w:lang w:val="en-US" w:eastAsia="zh-CN"/>
        </w:rPr>
        <w:t>质量</w:t>
      </w:r>
      <w:r>
        <w:rPr>
          <w:rFonts w:hint="eastAsia" w:ascii="宋体" w:hAnsi="宋体" w:eastAsia="宋体"/>
          <w:color w:val="auto"/>
          <w:sz w:val="24"/>
          <w:szCs w:val="24"/>
          <w:highlight w:val="none"/>
        </w:rPr>
        <w:t>过程评估</w:t>
      </w:r>
      <w:r>
        <w:rPr>
          <w:rFonts w:hint="eastAsia" w:ascii="宋体" w:hAnsi="宋体" w:eastAsia="宋体"/>
          <w:color w:val="auto"/>
          <w:sz w:val="24"/>
          <w:szCs w:val="24"/>
          <w:highlight w:val="none"/>
          <w:lang w:val="en-US" w:eastAsia="zh-CN"/>
        </w:rPr>
        <w:t>组</w:t>
      </w:r>
      <w:r>
        <w:rPr>
          <w:rFonts w:hint="eastAsia" w:ascii="宋体" w:hAnsi="宋体" w:eastAsia="宋体"/>
          <w:color w:val="auto"/>
          <w:sz w:val="24"/>
          <w:szCs w:val="24"/>
          <w:highlight w:val="none"/>
        </w:rPr>
        <w:t>≥4人，</w:t>
      </w:r>
      <w:r>
        <w:rPr>
          <w:rFonts w:hint="eastAsia" w:ascii="宋体" w:hAnsi="宋体" w:eastAsia="宋体"/>
          <w:color w:val="auto"/>
          <w:sz w:val="24"/>
          <w:szCs w:val="24"/>
          <w:highlight w:val="none"/>
          <w:lang w:val="en-US" w:eastAsia="zh-CN"/>
        </w:rPr>
        <w:t>质量</w:t>
      </w:r>
      <w:r>
        <w:rPr>
          <w:rFonts w:hint="eastAsia" w:ascii="宋体" w:hAnsi="宋体" w:eastAsia="宋体"/>
          <w:color w:val="auto"/>
          <w:sz w:val="24"/>
          <w:szCs w:val="24"/>
          <w:highlight w:val="none"/>
        </w:rPr>
        <w:t>交付评估</w:t>
      </w:r>
      <w:r>
        <w:rPr>
          <w:rFonts w:hint="eastAsia" w:ascii="宋体" w:hAnsi="宋体" w:eastAsia="宋体"/>
          <w:color w:val="auto"/>
          <w:sz w:val="24"/>
          <w:szCs w:val="24"/>
          <w:highlight w:val="none"/>
          <w:lang w:val="en-US" w:eastAsia="zh-CN"/>
        </w:rPr>
        <w:t>组</w:t>
      </w:r>
      <w:r>
        <w:rPr>
          <w:rFonts w:hint="eastAsia" w:ascii="宋体" w:hAnsi="宋体" w:eastAsia="宋体"/>
          <w:color w:val="auto"/>
          <w:sz w:val="24"/>
          <w:szCs w:val="24"/>
          <w:highlight w:val="none"/>
        </w:rPr>
        <w:t>≥6人</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安全评估组</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人。</w:t>
      </w:r>
    </w:p>
    <w:p w14:paraId="406ABF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②</w:t>
      </w:r>
      <w:r>
        <w:rPr>
          <w:rFonts w:hint="eastAsia" w:ascii="宋体" w:hAnsi="宋体" w:eastAsia="宋体"/>
          <w:color w:val="auto"/>
          <w:sz w:val="24"/>
          <w:szCs w:val="24"/>
          <w:highlight w:val="none"/>
        </w:rPr>
        <w:t>评估组长需具备中级工程师或以上职称或一级建造师执业资格。</w:t>
      </w:r>
    </w:p>
    <w:p w14:paraId="136101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val="en-US" w:eastAsia="zh-CN"/>
        </w:rPr>
        <w:t>③</w:t>
      </w:r>
      <w:r>
        <w:rPr>
          <w:rFonts w:hint="eastAsia" w:ascii="宋体" w:hAnsi="宋体" w:eastAsia="宋体"/>
          <w:color w:val="auto"/>
          <w:sz w:val="24"/>
          <w:szCs w:val="24"/>
          <w:highlight w:val="none"/>
          <w:lang w:val="en-US" w:eastAsia="zh-CN"/>
        </w:rPr>
        <w:t>安全</w:t>
      </w:r>
      <w:r>
        <w:rPr>
          <w:rFonts w:hint="eastAsia" w:ascii="宋体" w:hAnsi="宋体" w:eastAsia="宋体"/>
          <w:color w:val="auto"/>
          <w:sz w:val="24"/>
          <w:szCs w:val="24"/>
          <w:highlight w:val="none"/>
        </w:rPr>
        <w:t>评估组须单独配置不少于1名评估人员专门负责安全文明专项评估事宜，其不得同时承担其他评估任务，且须具有不少于4年房地产开发项目现场施工安全管理经验，熟悉施工现场安全管理、国家法律法规、行业规范标准。</w:t>
      </w:r>
    </w:p>
    <w:p w14:paraId="2A287F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④</w:t>
      </w:r>
      <w:r>
        <w:rPr>
          <w:rFonts w:hint="eastAsia" w:cs="宋体"/>
          <w:color w:val="auto"/>
          <w:sz w:val="24"/>
          <w:szCs w:val="24"/>
          <w:highlight w:val="none"/>
          <w:u w:val="none"/>
          <w:lang w:val="en-US" w:eastAsia="zh-CN"/>
        </w:rPr>
        <w:t>“TIS”机构</w:t>
      </w:r>
      <w:r>
        <w:rPr>
          <w:rFonts w:hint="eastAsia" w:ascii="宋体" w:hAnsi="宋体" w:eastAsia="宋体"/>
          <w:color w:val="auto"/>
          <w:sz w:val="24"/>
          <w:szCs w:val="24"/>
          <w:highlight w:val="none"/>
        </w:rPr>
        <w:t>需在</w:t>
      </w:r>
      <w:r>
        <w:rPr>
          <w:rFonts w:hint="eastAsia" w:ascii="宋体" w:hAnsi="宋体" w:eastAsia="宋体"/>
          <w:color w:val="auto"/>
          <w:sz w:val="24"/>
          <w:szCs w:val="24"/>
          <w:highlight w:val="none"/>
          <w:lang w:val="en-US" w:eastAsia="zh-CN"/>
        </w:rPr>
        <w:t>保险公司委托</w:t>
      </w:r>
      <w:r>
        <w:rPr>
          <w:rFonts w:hint="eastAsia" w:ascii="宋体" w:hAnsi="宋体" w:eastAsia="宋体"/>
          <w:color w:val="auto"/>
          <w:sz w:val="24"/>
          <w:szCs w:val="24"/>
          <w:highlight w:val="none"/>
        </w:rPr>
        <w:t xml:space="preserve">阶段明确评估服务团队，提交符合要求的评估人员名单。 </w:t>
      </w:r>
    </w:p>
    <w:p w14:paraId="4EE842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w:t>
      </w:r>
      <w:r>
        <w:rPr>
          <w:rFonts w:hint="eastAsia"/>
          <w:color w:val="auto"/>
          <w:sz w:val="24"/>
          <w:szCs w:val="24"/>
          <w:highlight w:val="none"/>
          <w:lang w:val="en-US" w:eastAsia="zh-CN"/>
        </w:rPr>
        <w:t>4</w:t>
      </w:r>
      <w:r>
        <w:rPr>
          <w:rFonts w:hint="eastAsia" w:ascii="宋体" w:hAnsi="宋体" w:eastAsia="宋体"/>
          <w:color w:val="auto"/>
          <w:sz w:val="24"/>
          <w:szCs w:val="24"/>
          <w:highlight w:val="none"/>
        </w:rPr>
        <w:t>）评估组织</w:t>
      </w:r>
    </w:p>
    <w:p w14:paraId="7D430D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①</w:t>
      </w:r>
      <w:r>
        <w:rPr>
          <w:rFonts w:hint="eastAsia" w:ascii="宋体" w:hAnsi="宋体" w:eastAsia="宋体"/>
          <w:color w:val="auto"/>
          <w:sz w:val="24"/>
          <w:szCs w:val="24"/>
          <w:highlight w:val="none"/>
        </w:rPr>
        <w:t>每轮次评估前</w:t>
      </w: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个工作日，需上报评估组成员报</w:t>
      </w:r>
      <w:r>
        <w:rPr>
          <w:rFonts w:hint="eastAsia"/>
          <w:color w:val="auto"/>
          <w:sz w:val="24"/>
          <w:szCs w:val="24"/>
          <w:highlight w:val="none"/>
          <w:lang w:eastAsia="zh-CN"/>
        </w:rPr>
        <w:t>投保人</w:t>
      </w:r>
      <w:r>
        <w:rPr>
          <w:rFonts w:hint="eastAsia" w:ascii="宋体" w:hAnsi="宋体" w:eastAsia="宋体"/>
          <w:color w:val="auto"/>
          <w:sz w:val="24"/>
          <w:szCs w:val="24"/>
          <w:highlight w:val="none"/>
        </w:rPr>
        <w:t>同意。不得擅自更换评估组负责人；评估组其他人员则可由酌情调整，但需</w:t>
      </w:r>
      <w:r>
        <w:rPr>
          <w:rFonts w:hint="eastAsia"/>
          <w:color w:val="auto"/>
          <w:sz w:val="24"/>
          <w:szCs w:val="24"/>
          <w:highlight w:val="none"/>
          <w:lang w:eastAsia="zh-CN"/>
        </w:rPr>
        <w:t>投保人</w:t>
      </w:r>
      <w:r>
        <w:rPr>
          <w:rFonts w:hint="eastAsia" w:ascii="宋体" w:hAnsi="宋体" w:eastAsia="宋体"/>
          <w:color w:val="auto"/>
          <w:sz w:val="24"/>
          <w:szCs w:val="24"/>
          <w:highlight w:val="none"/>
        </w:rPr>
        <w:t>认可。</w:t>
      </w:r>
    </w:p>
    <w:p w14:paraId="5D1259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②</w:t>
      </w:r>
      <w:r>
        <w:rPr>
          <w:rFonts w:hint="eastAsia" w:ascii="宋体" w:hAnsi="宋体" w:eastAsia="宋体"/>
          <w:color w:val="auto"/>
          <w:sz w:val="24"/>
          <w:szCs w:val="24"/>
          <w:highlight w:val="none"/>
        </w:rPr>
        <w:t>评估工作设备：评估组应自行准备笔记本电脑、激光测距仪、数码相机等设备。不便携带的工具（2m靠尺、阴阳角尺、电锤、塔尺、卷尺、激光标线仪等）由</w:t>
      </w:r>
      <w:r>
        <w:rPr>
          <w:rFonts w:hint="eastAsia"/>
          <w:color w:val="auto"/>
          <w:sz w:val="24"/>
          <w:szCs w:val="24"/>
          <w:highlight w:val="none"/>
          <w:lang w:eastAsia="zh-CN"/>
        </w:rPr>
        <w:t>投保人</w:t>
      </w:r>
      <w:r>
        <w:rPr>
          <w:rFonts w:hint="eastAsia" w:ascii="宋体" w:hAnsi="宋体" w:eastAsia="宋体"/>
          <w:color w:val="auto"/>
          <w:sz w:val="24"/>
          <w:szCs w:val="24"/>
          <w:highlight w:val="none"/>
        </w:rPr>
        <w:t>在项目现场提供。</w:t>
      </w:r>
    </w:p>
    <w:p w14:paraId="489EA3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w:t>
      </w:r>
      <w:r>
        <w:rPr>
          <w:rFonts w:hint="eastAsia"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lang w:val="en-US" w:eastAsia="zh-CN"/>
        </w:rPr>
        <w:t>）评估成果</w:t>
      </w:r>
    </w:p>
    <w:p w14:paraId="496E10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项目评估完成后3个工作日内，须根据巡查技术要求，对质量、安全巡查情况分别提出整改意见和总结分析。评估成果应按项目形成评估工作日志，以文字、图像、录像相结合的形式，记录施工现场质量安全隐患排查工作中重要或特殊的情况；评估整改意见须以书面形式提出，须明确质量隐患具体部位、内容及整改时限，待整改完成后分别形成质量、安全评估总结报告。报告主要内容包括不限于以下：</w:t>
      </w:r>
    </w:p>
    <w:p w14:paraId="60AA87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①现阶段的质量安全生产状态分析；</w:t>
      </w:r>
    </w:p>
    <w:p w14:paraId="417AD9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②巡查发现项和发现项的类别统计分析；</w:t>
      </w:r>
    </w:p>
    <w:p w14:paraId="0E3C5A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③各巡查要点间的横向和纵向对比；</w:t>
      </w:r>
    </w:p>
    <w:p w14:paraId="7D6247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④巡查项目关键及高风险问题描述</w:t>
      </w:r>
      <w:r>
        <w:rPr>
          <w:rFonts w:hint="eastAsia" w:cs="宋体"/>
          <w:color w:val="auto"/>
          <w:sz w:val="24"/>
          <w:szCs w:val="24"/>
          <w:highlight w:val="none"/>
          <w:u w:val="none"/>
          <w:lang w:val="en-US" w:eastAsia="zh-CN"/>
        </w:rPr>
        <w:t>；</w:t>
      </w:r>
    </w:p>
    <w:p w14:paraId="13049E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⑤巡查项目整改反馈情况汇总；</w:t>
      </w:r>
    </w:p>
    <w:p w14:paraId="40D4BB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⑥对巡查项目的优秀安全文明措施、优秀工艺工法进行汇总；</w:t>
      </w:r>
    </w:p>
    <w:p w14:paraId="794EAE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⑦对于巡查项目存在的问题，提出改进建议和措施</w:t>
      </w:r>
      <w:r>
        <w:rPr>
          <w:rFonts w:hint="eastAsia" w:cs="宋体"/>
          <w:color w:val="auto"/>
          <w:sz w:val="24"/>
          <w:szCs w:val="24"/>
          <w:highlight w:val="none"/>
          <w:u w:val="none"/>
          <w:lang w:val="en-US" w:eastAsia="zh-CN"/>
        </w:rPr>
        <w:t>。</w:t>
      </w:r>
    </w:p>
    <w:p w14:paraId="0DA5C2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w:t>
      </w:r>
      <w:r>
        <w:rPr>
          <w:rFonts w:hint="eastAsia"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）评估总结</w:t>
      </w:r>
    </w:p>
    <w:p w14:paraId="511337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①每轮次评估完成后5个工作日内，</w:t>
      </w:r>
      <w:r>
        <w:rPr>
          <w:rFonts w:hint="eastAsia" w:cs="宋体"/>
          <w:color w:val="auto"/>
          <w:sz w:val="24"/>
          <w:szCs w:val="24"/>
          <w:highlight w:val="none"/>
          <w:u w:val="none"/>
          <w:lang w:val="en-US" w:eastAsia="zh-CN"/>
        </w:rPr>
        <w:t>“TIS”机构</w:t>
      </w:r>
      <w:r>
        <w:rPr>
          <w:rFonts w:hint="eastAsia" w:ascii="宋体" w:hAnsi="宋体" w:eastAsia="宋体" w:cs="宋体"/>
          <w:color w:val="auto"/>
          <w:sz w:val="24"/>
          <w:szCs w:val="24"/>
          <w:highlight w:val="none"/>
          <w:u w:val="none"/>
          <w:lang w:val="en-US" w:eastAsia="zh-CN"/>
        </w:rPr>
        <w:t>需编写质量安全评估报告及总结汇报PPT，指导并监督</w:t>
      </w:r>
      <w:r>
        <w:rPr>
          <w:rFonts w:hint="eastAsia" w:cs="宋体"/>
          <w:color w:val="auto"/>
          <w:sz w:val="24"/>
          <w:szCs w:val="24"/>
          <w:highlight w:val="none"/>
          <w:u w:val="none"/>
          <w:lang w:val="en-US" w:eastAsia="zh-CN"/>
        </w:rPr>
        <w:t>投保人</w:t>
      </w:r>
      <w:r>
        <w:rPr>
          <w:rFonts w:hint="eastAsia" w:ascii="宋体" w:hAnsi="宋体" w:eastAsia="宋体" w:cs="宋体"/>
          <w:color w:val="auto"/>
          <w:sz w:val="24"/>
          <w:szCs w:val="24"/>
          <w:highlight w:val="none"/>
          <w:u w:val="none"/>
          <w:lang w:val="en-US" w:eastAsia="zh-CN"/>
        </w:rPr>
        <w:t>在建项目做好质量安全隐患排查工作。</w:t>
      </w:r>
    </w:p>
    <w:p w14:paraId="456B70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②</w:t>
      </w:r>
      <w:r>
        <w:rPr>
          <w:rFonts w:hint="eastAsia" w:cs="宋体"/>
          <w:color w:val="auto"/>
          <w:sz w:val="24"/>
          <w:szCs w:val="24"/>
          <w:highlight w:val="none"/>
          <w:u w:val="none"/>
          <w:lang w:val="en-US" w:eastAsia="zh-CN"/>
        </w:rPr>
        <w:t>“TIS”机构</w:t>
      </w:r>
      <w:r>
        <w:rPr>
          <w:rFonts w:hint="eastAsia" w:ascii="宋体" w:hAnsi="宋体" w:eastAsia="宋体" w:cs="宋体"/>
          <w:color w:val="auto"/>
          <w:sz w:val="24"/>
          <w:szCs w:val="24"/>
          <w:highlight w:val="none"/>
          <w:u w:val="none"/>
          <w:lang w:val="en-US" w:eastAsia="zh-CN"/>
        </w:rPr>
        <w:t>负责指导督促在建项目周期性巡查和专项检查等检查中所发现的质量安全隐患整改复查工作，做到巡查所发现质量隐患整改闭合100%。</w:t>
      </w:r>
    </w:p>
    <w:p w14:paraId="7F8B3A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③</w:t>
      </w:r>
      <w:r>
        <w:rPr>
          <w:rFonts w:hint="eastAsia" w:cs="宋体"/>
          <w:color w:val="auto"/>
          <w:sz w:val="24"/>
          <w:szCs w:val="24"/>
          <w:highlight w:val="none"/>
          <w:u w:val="none"/>
          <w:lang w:val="en-US" w:eastAsia="zh-CN"/>
        </w:rPr>
        <w:t>“TIS”机构</w:t>
      </w:r>
      <w:r>
        <w:rPr>
          <w:rFonts w:hint="eastAsia" w:ascii="宋体" w:hAnsi="宋体" w:eastAsia="宋体" w:cs="宋体"/>
          <w:color w:val="auto"/>
          <w:sz w:val="24"/>
          <w:szCs w:val="24"/>
          <w:highlight w:val="none"/>
          <w:u w:val="none"/>
          <w:lang w:val="en-US" w:eastAsia="zh-CN"/>
        </w:rPr>
        <w:t>需协助</w:t>
      </w:r>
      <w:r>
        <w:rPr>
          <w:rFonts w:hint="eastAsia" w:cs="宋体"/>
          <w:color w:val="auto"/>
          <w:sz w:val="24"/>
          <w:szCs w:val="24"/>
          <w:highlight w:val="none"/>
          <w:u w:val="none"/>
          <w:lang w:val="en-US" w:eastAsia="zh-CN"/>
        </w:rPr>
        <w:t>投保人</w:t>
      </w:r>
      <w:r>
        <w:rPr>
          <w:rFonts w:hint="eastAsia" w:ascii="宋体" w:hAnsi="宋体" w:eastAsia="宋体" w:cs="宋体"/>
          <w:color w:val="auto"/>
          <w:sz w:val="24"/>
          <w:szCs w:val="24"/>
          <w:highlight w:val="none"/>
          <w:u w:val="none"/>
          <w:lang w:val="en-US" w:eastAsia="zh-CN"/>
        </w:rPr>
        <w:t>召开季度、年度质量安全总结会，并编写质量安全巡查工作年度总结报告。</w:t>
      </w:r>
    </w:p>
    <w:p w14:paraId="714E2C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④</w:t>
      </w:r>
      <w:r>
        <w:rPr>
          <w:rFonts w:hint="eastAsia" w:cs="宋体"/>
          <w:color w:val="auto"/>
          <w:sz w:val="24"/>
          <w:szCs w:val="24"/>
          <w:highlight w:val="none"/>
          <w:u w:val="none"/>
          <w:lang w:val="en-US" w:eastAsia="zh-CN"/>
        </w:rPr>
        <w:t>“TIS”机构</w:t>
      </w:r>
      <w:r>
        <w:rPr>
          <w:rFonts w:hint="eastAsia" w:ascii="宋体" w:hAnsi="宋体" w:eastAsia="宋体" w:cs="宋体"/>
          <w:color w:val="auto"/>
          <w:sz w:val="24"/>
          <w:szCs w:val="24"/>
          <w:highlight w:val="none"/>
          <w:u w:val="none"/>
          <w:lang w:val="en-US" w:eastAsia="zh-CN"/>
        </w:rPr>
        <w:t>应参与重大质量事故处理等调查工作</w:t>
      </w:r>
      <w:r>
        <w:rPr>
          <w:rFonts w:hint="eastAsia" w:cs="宋体"/>
          <w:color w:val="auto"/>
          <w:sz w:val="24"/>
          <w:szCs w:val="24"/>
          <w:highlight w:val="none"/>
          <w:u w:val="none"/>
          <w:lang w:val="en-US" w:eastAsia="zh-CN"/>
        </w:rPr>
        <w:t>。</w:t>
      </w:r>
    </w:p>
    <w:p w14:paraId="5D8543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⑤评估体系及内容，在服务过程中根据</w:t>
      </w:r>
      <w:r>
        <w:rPr>
          <w:rFonts w:hint="eastAsia" w:cs="宋体"/>
          <w:color w:val="auto"/>
          <w:sz w:val="24"/>
          <w:szCs w:val="24"/>
          <w:highlight w:val="none"/>
          <w:u w:val="none"/>
          <w:lang w:val="en-US" w:eastAsia="zh-CN"/>
        </w:rPr>
        <w:t>投保人</w:t>
      </w:r>
      <w:r>
        <w:rPr>
          <w:rFonts w:hint="eastAsia" w:ascii="宋体" w:hAnsi="宋体" w:eastAsia="宋体" w:cs="宋体"/>
          <w:color w:val="auto"/>
          <w:sz w:val="24"/>
          <w:szCs w:val="24"/>
          <w:highlight w:val="none"/>
          <w:u w:val="none"/>
          <w:lang w:val="en-US" w:eastAsia="zh-CN"/>
        </w:rPr>
        <w:t>实际工作需求进行调整优化，需接受</w:t>
      </w:r>
      <w:r>
        <w:rPr>
          <w:rFonts w:hint="eastAsia" w:cs="宋体"/>
          <w:color w:val="auto"/>
          <w:sz w:val="24"/>
          <w:szCs w:val="24"/>
          <w:highlight w:val="none"/>
          <w:u w:val="none"/>
          <w:lang w:val="en-US" w:eastAsia="zh-CN"/>
        </w:rPr>
        <w:t>投保人</w:t>
      </w:r>
      <w:r>
        <w:rPr>
          <w:rFonts w:hint="eastAsia" w:ascii="宋体" w:hAnsi="宋体" w:eastAsia="宋体" w:cs="宋体"/>
          <w:color w:val="auto"/>
          <w:sz w:val="24"/>
          <w:szCs w:val="24"/>
          <w:highlight w:val="none"/>
          <w:u w:val="none"/>
          <w:lang w:val="en-US" w:eastAsia="zh-CN"/>
        </w:rPr>
        <w:t>要求不断完善评价方法、评测指标、评测表格和实测工具。</w:t>
      </w:r>
    </w:p>
    <w:p w14:paraId="70E45B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w:t>
      </w:r>
      <w:r>
        <w:rPr>
          <w:rFonts w:hint="eastAsia" w:cs="宋体"/>
          <w:color w:val="auto"/>
          <w:sz w:val="24"/>
          <w:szCs w:val="24"/>
          <w:highlight w:val="none"/>
          <w:u w:val="none"/>
          <w:lang w:val="en-US" w:eastAsia="zh-CN"/>
        </w:rPr>
        <w:t>7</w:t>
      </w:r>
      <w:r>
        <w:rPr>
          <w:rFonts w:hint="eastAsia" w:ascii="宋体" w:hAnsi="宋体" w:eastAsia="宋体" w:cs="宋体"/>
          <w:color w:val="auto"/>
          <w:sz w:val="24"/>
          <w:szCs w:val="24"/>
          <w:highlight w:val="none"/>
          <w:u w:val="none"/>
          <w:lang w:val="en-US" w:eastAsia="zh-CN"/>
        </w:rPr>
        <w:t>）其他要求</w:t>
      </w:r>
    </w:p>
    <w:p w14:paraId="58DA2B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①</w:t>
      </w:r>
      <w:r>
        <w:rPr>
          <w:rFonts w:hint="eastAsia" w:cs="宋体"/>
          <w:color w:val="auto"/>
          <w:sz w:val="24"/>
          <w:szCs w:val="24"/>
          <w:highlight w:val="none"/>
          <w:u w:val="none"/>
          <w:lang w:val="en-US" w:eastAsia="zh-CN"/>
        </w:rPr>
        <w:t>“TIS”机构</w:t>
      </w:r>
      <w:r>
        <w:rPr>
          <w:rFonts w:hint="eastAsia" w:ascii="宋体" w:hAnsi="宋体" w:eastAsia="宋体" w:cs="宋体"/>
          <w:color w:val="auto"/>
          <w:sz w:val="24"/>
          <w:szCs w:val="24"/>
          <w:highlight w:val="none"/>
          <w:u w:val="none"/>
          <w:lang w:val="en-US" w:eastAsia="zh-CN"/>
        </w:rPr>
        <w:t>所提供的服务应符合国家的有关法律法规和标准的规定。</w:t>
      </w:r>
    </w:p>
    <w:p w14:paraId="0E8B44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②</w:t>
      </w:r>
      <w:r>
        <w:rPr>
          <w:rFonts w:hint="eastAsia" w:cs="宋体"/>
          <w:color w:val="auto"/>
          <w:sz w:val="24"/>
          <w:szCs w:val="24"/>
          <w:highlight w:val="none"/>
          <w:u w:val="none"/>
          <w:lang w:val="en-US" w:eastAsia="zh-CN"/>
        </w:rPr>
        <w:t>“TIS”机构</w:t>
      </w:r>
      <w:r>
        <w:rPr>
          <w:rFonts w:hint="eastAsia" w:ascii="宋体" w:hAnsi="宋体" w:eastAsia="宋体" w:cs="宋体"/>
          <w:color w:val="auto"/>
          <w:sz w:val="24"/>
          <w:szCs w:val="24"/>
          <w:highlight w:val="none"/>
          <w:u w:val="none"/>
          <w:lang w:val="en-US" w:eastAsia="zh-CN"/>
        </w:rPr>
        <w:t>须每年提供至少四次有关质量或安全提升主题的企业内部培训。</w:t>
      </w:r>
    </w:p>
    <w:p w14:paraId="068ABF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③</w:t>
      </w:r>
      <w:r>
        <w:rPr>
          <w:rFonts w:hint="eastAsia" w:cs="宋体"/>
          <w:color w:val="auto"/>
          <w:sz w:val="24"/>
          <w:szCs w:val="24"/>
          <w:highlight w:val="none"/>
          <w:u w:val="none"/>
          <w:lang w:val="en-US" w:eastAsia="zh-CN"/>
        </w:rPr>
        <w:t>“TIS”机构</w:t>
      </w:r>
      <w:r>
        <w:rPr>
          <w:rFonts w:hint="eastAsia" w:ascii="宋体" w:hAnsi="宋体" w:eastAsia="宋体" w:cs="宋体"/>
          <w:color w:val="auto"/>
          <w:sz w:val="24"/>
          <w:szCs w:val="24"/>
          <w:highlight w:val="none"/>
          <w:u w:val="none"/>
          <w:lang w:val="en-US" w:eastAsia="zh-CN"/>
        </w:rPr>
        <w:t>须按要求分享行业有关指标数据信息，分享行业内先进成功经验及资源等</w:t>
      </w:r>
      <w:r>
        <w:rPr>
          <w:rFonts w:hint="eastAsia" w:cs="宋体"/>
          <w:color w:val="auto"/>
          <w:sz w:val="24"/>
          <w:szCs w:val="24"/>
          <w:highlight w:val="none"/>
          <w:u w:val="none"/>
          <w:lang w:val="en-US" w:eastAsia="zh-CN"/>
        </w:rPr>
        <w:t>。</w:t>
      </w:r>
    </w:p>
    <w:p w14:paraId="0EFBA3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④</w:t>
      </w:r>
      <w:r>
        <w:rPr>
          <w:rFonts w:hint="eastAsia" w:cs="宋体"/>
          <w:color w:val="auto"/>
          <w:sz w:val="24"/>
          <w:szCs w:val="24"/>
          <w:highlight w:val="none"/>
          <w:u w:val="none"/>
          <w:lang w:val="en-US" w:eastAsia="zh-CN"/>
        </w:rPr>
        <w:t>“TIS”机构</w:t>
      </w:r>
      <w:r>
        <w:rPr>
          <w:rFonts w:hint="eastAsia" w:ascii="宋体" w:hAnsi="宋体" w:eastAsia="宋体" w:cs="宋体"/>
          <w:color w:val="auto"/>
          <w:sz w:val="24"/>
          <w:szCs w:val="24"/>
          <w:highlight w:val="none"/>
          <w:u w:val="none"/>
          <w:lang w:val="en-US" w:eastAsia="zh-CN"/>
        </w:rPr>
        <w:t>须配合</w:t>
      </w:r>
      <w:r>
        <w:rPr>
          <w:rFonts w:hint="eastAsia" w:cs="宋体"/>
          <w:color w:val="auto"/>
          <w:sz w:val="24"/>
          <w:szCs w:val="24"/>
          <w:highlight w:val="none"/>
          <w:u w:val="none"/>
          <w:lang w:val="en-US" w:eastAsia="zh-CN"/>
        </w:rPr>
        <w:t>投保人</w:t>
      </w:r>
      <w:r>
        <w:rPr>
          <w:rFonts w:hint="eastAsia" w:ascii="宋体" w:hAnsi="宋体" w:eastAsia="宋体" w:cs="宋体"/>
          <w:color w:val="auto"/>
          <w:sz w:val="24"/>
          <w:szCs w:val="24"/>
          <w:highlight w:val="none"/>
          <w:u w:val="none"/>
          <w:lang w:val="en-US" w:eastAsia="zh-CN"/>
        </w:rPr>
        <w:t>编制有关企业工程管理和安全管理的标准与制度文件，积极为</w:t>
      </w:r>
      <w:r>
        <w:rPr>
          <w:rFonts w:hint="eastAsia" w:cs="宋体"/>
          <w:color w:val="auto"/>
          <w:sz w:val="24"/>
          <w:szCs w:val="24"/>
          <w:highlight w:val="none"/>
          <w:u w:val="none"/>
          <w:lang w:val="en-US" w:eastAsia="zh-CN"/>
        </w:rPr>
        <w:t>投保人</w:t>
      </w:r>
      <w:r>
        <w:rPr>
          <w:rFonts w:hint="eastAsia" w:ascii="宋体" w:hAnsi="宋体" w:eastAsia="宋体" w:cs="宋体"/>
          <w:color w:val="auto"/>
          <w:sz w:val="24"/>
          <w:szCs w:val="24"/>
          <w:highlight w:val="none"/>
          <w:u w:val="none"/>
          <w:lang w:val="en-US" w:eastAsia="zh-CN"/>
        </w:rPr>
        <w:t>的质量安全管理任务和专项工作提供技术支持。</w:t>
      </w:r>
    </w:p>
    <w:p w14:paraId="69CB09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⑤</w:t>
      </w:r>
      <w:r>
        <w:rPr>
          <w:rFonts w:hint="eastAsia" w:cs="宋体"/>
          <w:color w:val="auto"/>
          <w:sz w:val="24"/>
          <w:szCs w:val="24"/>
          <w:highlight w:val="none"/>
          <w:u w:val="none"/>
          <w:lang w:val="en-US" w:eastAsia="zh-CN"/>
        </w:rPr>
        <w:t>“TIS”机构</w:t>
      </w:r>
      <w:r>
        <w:rPr>
          <w:rFonts w:hint="eastAsia" w:ascii="宋体" w:hAnsi="宋体" w:eastAsia="宋体" w:cs="宋体"/>
          <w:color w:val="auto"/>
          <w:sz w:val="24"/>
          <w:szCs w:val="24"/>
          <w:highlight w:val="none"/>
          <w:u w:val="none"/>
          <w:lang w:val="en-US" w:eastAsia="zh-CN"/>
        </w:rPr>
        <w:t>应保证组建具有丰富的工程质量安全巡查评价工作经验的技术人员所组成的工作团队；</w:t>
      </w:r>
      <w:r>
        <w:rPr>
          <w:rFonts w:hint="eastAsia" w:cs="宋体"/>
          <w:color w:val="auto"/>
          <w:sz w:val="24"/>
          <w:szCs w:val="24"/>
          <w:highlight w:val="none"/>
          <w:u w:val="none"/>
          <w:lang w:val="en-US" w:eastAsia="zh-CN"/>
        </w:rPr>
        <w:t>“TIS”机构</w:t>
      </w:r>
      <w:r>
        <w:rPr>
          <w:rFonts w:hint="eastAsia" w:ascii="宋体" w:hAnsi="宋体" w:eastAsia="宋体" w:cs="宋体"/>
          <w:color w:val="auto"/>
          <w:sz w:val="24"/>
          <w:szCs w:val="24"/>
          <w:highlight w:val="none"/>
          <w:u w:val="none"/>
          <w:lang w:val="en-US" w:eastAsia="zh-CN"/>
        </w:rPr>
        <w:t>应保证咨询团队人员的稳定性，若因特殊原因需临时替换或变更咨询人员时需征得</w:t>
      </w:r>
      <w:r>
        <w:rPr>
          <w:rFonts w:hint="eastAsia" w:cs="宋体"/>
          <w:color w:val="auto"/>
          <w:sz w:val="24"/>
          <w:szCs w:val="24"/>
          <w:highlight w:val="none"/>
          <w:u w:val="none"/>
          <w:lang w:val="en-US" w:eastAsia="zh-CN"/>
        </w:rPr>
        <w:t>投保人</w:t>
      </w:r>
      <w:r>
        <w:rPr>
          <w:rFonts w:hint="eastAsia" w:ascii="宋体" w:hAnsi="宋体" w:eastAsia="宋体" w:cs="宋体"/>
          <w:color w:val="auto"/>
          <w:sz w:val="24"/>
          <w:szCs w:val="24"/>
          <w:highlight w:val="none"/>
          <w:u w:val="none"/>
          <w:lang w:val="en-US" w:eastAsia="zh-CN"/>
        </w:rPr>
        <w:t>代表的同意。人员如不称职，</w:t>
      </w:r>
      <w:r>
        <w:rPr>
          <w:rFonts w:hint="eastAsia" w:cs="宋体"/>
          <w:color w:val="auto"/>
          <w:sz w:val="24"/>
          <w:szCs w:val="24"/>
          <w:highlight w:val="none"/>
          <w:u w:val="none"/>
          <w:lang w:val="en-US" w:eastAsia="zh-CN"/>
        </w:rPr>
        <w:t>投保人</w:t>
      </w:r>
      <w:r>
        <w:rPr>
          <w:rFonts w:hint="eastAsia" w:ascii="宋体" w:hAnsi="宋体" w:eastAsia="宋体" w:cs="宋体"/>
          <w:color w:val="auto"/>
          <w:sz w:val="24"/>
          <w:szCs w:val="24"/>
          <w:highlight w:val="none"/>
          <w:u w:val="none"/>
          <w:lang w:val="en-US" w:eastAsia="zh-CN"/>
        </w:rPr>
        <w:t>有权提出更换。</w:t>
      </w:r>
    </w:p>
    <w:p w14:paraId="62EF9D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⑥</w:t>
      </w:r>
      <w:r>
        <w:rPr>
          <w:rFonts w:hint="eastAsia" w:cs="宋体"/>
          <w:color w:val="auto"/>
          <w:sz w:val="24"/>
          <w:szCs w:val="24"/>
          <w:highlight w:val="none"/>
          <w:u w:val="none"/>
          <w:lang w:val="en-US" w:eastAsia="zh-CN"/>
        </w:rPr>
        <w:t>“TIS”机构</w:t>
      </w:r>
      <w:r>
        <w:rPr>
          <w:rFonts w:hint="eastAsia" w:ascii="宋体" w:hAnsi="宋体" w:eastAsia="宋体" w:cs="宋体"/>
          <w:color w:val="auto"/>
          <w:sz w:val="24"/>
          <w:szCs w:val="24"/>
          <w:highlight w:val="none"/>
          <w:u w:val="none"/>
          <w:lang w:val="en-US" w:eastAsia="zh-CN"/>
        </w:rPr>
        <w:t>指定固定的有丰富项目管理经验人员为本项目的项目负责人，代表</w:t>
      </w:r>
      <w:r>
        <w:rPr>
          <w:rFonts w:hint="eastAsia" w:cs="宋体"/>
          <w:color w:val="auto"/>
          <w:sz w:val="24"/>
          <w:szCs w:val="24"/>
          <w:highlight w:val="none"/>
          <w:u w:val="none"/>
          <w:lang w:val="en-US" w:eastAsia="zh-CN"/>
        </w:rPr>
        <w:t>保险人</w:t>
      </w:r>
      <w:r>
        <w:rPr>
          <w:rFonts w:hint="eastAsia" w:ascii="宋体" w:hAnsi="宋体" w:eastAsia="宋体" w:cs="宋体"/>
          <w:color w:val="auto"/>
          <w:sz w:val="24"/>
          <w:szCs w:val="24"/>
          <w:highlight w:val="none"/>
          <w:u w:val="none"/>
          <w:lang w:val="en-US" w:eastAsia="zh-CN"/>
        </w:rPr>
        <w:t>对本工程评估服务工作负责，并接受和贯彻</w:t>
      </w:r>
      <w:r>
        <w:rPr>
          <w:rFonts w:hint="eastAsia" w:cs="宋体"/>
          <w:color w:val="auto"/>
          <w:sz w:val="24"/>
          <w:szCs w:val="24"/>
          <w:highlight w:val="none"/>
          <w:u w:val="none"/>
          <w:lang w:val="en-US" w:eastAsia="zh-CN"/>
        </w:rPr>
        <w:t>投保人</w:t>
      </w:r>
      <w:r>
        <w:rPr>
          <w:rFonts w:hint="eastAsia" w:ascii="宋体" w:hAnsi="宋体" w:eastAsia="宋体" w:cs="宋体"/>
          <w:color w:val="auto"/>
          <w:sz w:val="24"/>
          <w:szCs w:val="24"/>
          <w:highlight w:val="none"/>
          <w:u w:val="none"/>
          <w:lang w:val="en-US" w:eastAsia="zh-CN"/>
        </w:rPr>
        <w:t>的指示，按时向</w:t>
      </w:r>
      <w:r>
        <w:rPr>
          <w:rFonts w:hint="eastAsia" w:cs="宋体"/>
          <w:color w:val="auto"/>
          <w:sz w:val="24"/>
          <w:szCs w:val="24"/>
          <w:highlight w:val="none"/>
          <w:u w:val="none"/>
          <w:lang w:val="en-US" w:eastAsia="zh-CN"/>
        </w:rPr>
        <w:t>投保人</w:t>
      </w:r>
      <w:r>
        <w:rPr>
          <w:rFonts w:hint="eastAsia" w:ascii="宋体" w:hAnsi="宋体" w:eastAsia="宋体" w:cs="宋体"/>
          <w:color w:val="auto"/>
          <w:sz w:val="24"/>
          <w:szCs w:val="24"/>
          <w:highlight w:val="none"/>
          <w:u w:val="none"/>
          <w:lang w:val="en-US" w:eastAsia="zh-CN"/>
        </w:rPr>
        <w:t>呈交评价报告。</w:t>
      </w:r>
    </w:p>
    <w:p w14:paraId="3B061B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⑦</w:t>
      </w:r>
      <w:r>
        <w:rPr>
          <w:rFonts w:hint="eastAsia" w:cs="宋体"/>
          <w:color w:val="auto"/>
          <w:sz w:val="24"/>
          <w:szCs w:val="24"/>
          <w:highlight w:val="none"/>
          <w:u w:val="none"/>
          <w:lang w:val="en-US" w:eastAsia="zh-CN"/>
        </w:rPr>
        <w:t>“TIS”机构</w:t>
      </w:r>
      <w:r>
        <w:rPr>
          <w:rFonts w:hint="eastAsia" w:ascii="宋体" w:hAnsi="宋体" w:eastAsia="宋体" w:cs="宋体"/>
          <w:color w:val="auto"/>
          <w:sz w:val="24"/>
          <w:szCs w:val="24"/>
          <w:highlight w:val="none"/>
          <w:u w:val="none"/>
          <w:lang w:val="en-US" w:eastAsia="zh-CN"/>
        </w:rPr>
        <w:t>所提供的建议、请示、报告和通知均应采用书面形式。</w:t>
      </w:r>
    </w:p>
    <w:p w14:paraId="5F47F8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⑧</w:t>
      </w:r>
      <w:r>
        <w:rPr>
          <w:rFonts w:hint="eastAsia" w:cs="宋体"/>
          <w:color w:val="auto"/>
          <w:sz w:val="24"/>
          <w:szCs w:val="24"/>
          <w:highlight w:val="none"/>
          <w:u w:val="none"/>
          <w:lang w:val="en-US" w:eastAsia="zh-CN"/>
        </w:rPr>
        <w:t>“TIS”机构</w:t>
      </w:r>
      <w:r>
        <w:rPr>
          <w:rFonts w:hint="eastAsia" w:ascii="宋体" w:hAnsi="宋体" w:eastAsia="宋体" w:cs="宋体"/>
          <w:color w:val="auto"/>
          <w:sz w:val="24"/>
          <w:szCs w:val="24"/>
          <w:highlight w:val="none"/>
          <w:u w:val="none"/>
          <w:lang w:val="en-US" w:eastAsia="zh-CN"/>
        </w:rPr>
        <w:t>应对现场检查人员进行安全教育，确保检查人员具备识别危险源的能力，规避危险源，保障自身安全。</w:t>
      </w:r>
      <w:r>
        <w:rPr>
          <w:rFonts w:hint="eastAsia" w:cs="宋体"/>
          <w:color w:val="auto"/>
          <w:sz w:val="24"/>
          <w:szCs w:val="24"/>
          <w:highlight w:val="none"/>
          <w:u w:val="none"/>
          <w:lang w:val="en-US" w:eastAsia="zh-CN"/>
        </w:rPr>
        <w:t>“TIS”机构</w:t>
      </w:r>
      <w:r>
        <w:rPr>
          <w:rFonts w:hint="eastAsia" w:ascii="宋体" w:hAnsi="宋体" w:eastAsia="宋体" w:cs="宋体"/>
          <w:color w:val="auto"/>
          <w:sz w:val="24"/>
          <w:szCs w:val="24"/>
          <w:highlight w:val="none"/>
          <w:u w:val="none"/>
          <w:lang w:val="en-US" w:eastAsia="zh-CN"/>
        </w:rPr>
        <w:t>应为每位检查人员购买工伤保险或人身意外伤害险。在施工现场如因</w:t>
      </w:r>
      <w:r>
        <w:rPr>
          <w:rFonts w:hint="eastAsia" w:cs="宋体"/>
          <w:color w:val="auto"/>
          <w:sz w:val="24"/>
          <w:szCs w:val="24"/>
          <w:highlight w:val="none"/>
          <w:u w:val="none"/>
          <w:lang w:val="en-US" w:eastAsia="zh-CN"/>
        </w:rPr>
        <w:t>“TIS”机构</w:t>
      </w:r>
      <w:r>
        <w:rPr>
          <w:rFonts w:hint="eastAsia" w:ascii="宋体" w:hAnsi="宋体" w:eastAsia="宋体" w:cs="宋体"/>
          <w:color w:val="auto"/>
          <w:sz w:val="24"/>
          <w:szCs w:val="24"/>
          <w:highlight w:val="none"/>
          <w:u w:val="none"/>
          <w:lang w:val="en-US" w:eastAsia="zh-CN"/>
        </w:rPr>
        <w:t>检查人员违规操作、未遵守现场安全管理规定等原因造成的安全事故，</w:t>
      </w:r>
      <w:r>
        <w:rPr>
          <w:rFonts w:hint="eastAsia" w:cs="宋体"/>
          <w:color w:val="auto"/>
          <w:sz w:val="24"/>
          <w:szCs w:val="24"/>
          <w:highlight w:val="none"/>
          <w:u w:val="none"/>
          <w:lang w:val="en-US" w:eastAsia="zh-CN"/>
        </w:rPr>
        <w:t>“TIS”机构</w:t>
      </w:r>
      <w:r>
        <w:rPr>
          <w:rFonts w:hint="eastAsia" w:ascii="宋体" w:hAnsi="宋体" w:eastAsia="宋体" w:cs="宋体"/>
          <w:color w:val="auto"/>
          <w:sz w:val="24"/>
          <w:szCs w:val="24"/>
          <w:highlight w:val="none"/>
          <w:u w:val="none"/>
          <w:lang w:val="en-US" w:eastAsia="zh-CN"/>
        </w:rPr>
        <w:t>承担因自身违章和过失而造成事故的责任和因此而发生的费用。</w:t>
      </w:r>
    </w:p>
    <w:p w14:paraId="6271E8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⑨</w:t>
      </w:r>
      <w:r>
        <w:rPr>
          <w:rFonts w:hint="eastAsia" w:cs="宋体"/>
          <w:color w:val="auto"/>
          <w:sz w:val="24"/>
          <w:szCs w:val="24"/>
          <w:highlight w:val="none"/>
          <w:u w:val="none"/>
          <w:lang w:val="en-US" w:eastAsia="zh-CN"/>
        </w:rPr>
        <w:t>“TIS”机构</w:t>
      </w:r>
      <w:r>
        <w:rPr>
          <w:rFonts w:hint="eastAsia" w:ascii="宋体" w:hAnsi="宋体" w:eastAsia="宋体" w:cs="宋体"/>
          <w:color w:val="auto"/>
          <w:sz w:val="24"/>
          <w:szCs w:val="24"/>
          <w:highlight w:val="none"/>
          <w:u w:val="none"/>
          <w:lang w:val="en-US" w:eastAsia="zh-CN"/>
        </w:rPr>
        <w:t>必须保证评估检查评价的公正性，不得随意更改检查原始数据及评分结果。</w:t>
      </w:r>
    </w:p>
    <w:p w14:paraId="61C6E9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⑩</w:t>
      </w:r>
      <w:r>
        <w:rPr>
          <w:rFonts w:hint="eastAsia" w:cs="宋体"/>
          <w:color w:val="auto"/>
          <w:sz w:val="24"/>
          <w:szCs w:val="24"/>
          <w:highlight w:val="none"/>
          <w:u w:val="none"/>
          <w:lang w:val="en-US" w:eastAsia="zh-CN"/>
        </w:rPr>
        <w:t>“TIS”机构</w:t>
      </w:r>
      <w:r>
        <w:rPr>
          <w:rFonts w:hint="eastAsia" w:ascii="宋体" w:hAnsi="宋体" w:eastAsia="宋体" w:cs="宋体"/>
          <w:color w:val="auto"/>
          <w:sz w:val="24"/>
          <w:szCs w:val="24"/>
          <w:highlight w:val="none"/>
          <w:u w:val="none"/>
          <w:lang w:val="en-US" w:eastAsia="zh-CN"/>
        </w:rPr>
        <w:t>应独立完成评估服务工作；不得接受被检查项目参建单位的礼品馈赠、宴请及其它不当利益，若经</w:t>
      </w:r>
      <w:r>
        <w:rPr>
          <w:rFonts w:hint="eastAsia" w:cs="宋体"/>
          <w:color w:val="auto"/>
          <w:sz w:val="24"/>
          <w:szCs w:val="24"/>
          <w:highlight w:val="none"/>
          <w:u w:val="none"/>
          <w:lang w:val="en-US" w:eastAsia="zh-CN"/>
        </w:rPr>
        <w:t>投保人</w:t>
      </w:r>
      <w:r>
        <w:rPr>
          <w:rFonts w:hint="eastAsia" w:ascii="宋体" w:hAnsi="宋体" w:eastAsia="宋体" w:cs="宋体"/>
          <w:color w:val="auto"/>
          <w:sz w:val="24"/>
          <w:szCs w:val="24"/>
          <w:highlight w:val="none"/>
          <w:u w:val="none"/>
          <w:lang w:val="en-US" w:eastAsia="zh-CN"/>
        </w:rPr>
        <w:t>查证发生此类不当行为，</w:t>
      </w:r>
      <w:r>
        <w:rPr>
          <w:rFonts w:hint="eastAsia" w:cs="宋体"/>
          <w:color w:val="auto"/>
          <w:sz w:val="24"/>
          <w:szCs w:val="24"/>
          <w:highlight w:val="none"/>
          <w:u w:val="none"/>
          <w:lang w:val="en-US" w:eastAsia="zh-CN"/>
        </w:rPr>
        <w:t>投保人</w:t>
      </w:r>
      <w:r>
        <w:rPr>
          <w:rFonts w:hint="eastAsia" w:ascii="宋体" w:hAnsi="宋体" w:eastAsia="宋体" w:cs="宋体"/>
          <w:color w:val="auto"/>
          <w:sz w:val="24"/>
          <w:szCs w:val="24"/>
          <w:highlight w:val="none"/>
          <w:u w:val="none"/>
          <w:lang w:val="en-US" w:eastAsia="zh-CN"/>
        </w:rPr>
        <w:t>有权终止合同，并视情节移交有关监督部门。</w:t>
      </w:r>
    </w:p>
    <w:p w14:paraId="4C45E8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⑪</w:t>
      </w:r>
      <w:r>
        <w:rPr>
          <w:rFonts w:hint="eastAsia" w:cs="宋体"/>
          <w:color w:val="auto"/>
          <w:sz w:val="24"/>
          <w:szCs w:val="24"/>
          <w:highlight w:val="none"/>
          <w:u w:val="none"/>
          <w:lang w:val="en-US" w:eastAsia="zh-CN"/>
        </w:rPr>
        <w:t>“TIS”机构</w:t>
      </w:r>
      <w:r>
        <w:rPr>
          <w:rFonts w:hint="eastAsia" w:ascii="宋体" w:hAnsi="宋体" w:eastAsia="宋体" w:cs="宋体"/>
          <w:color w:val="auto"/>
          <w:sz w:val="24"/>
          <w:szCs w:val="24"/>
          <w:highlight w:val="none"/>
          <w:u w:val="none"/>
          <w:lang w:val="en-US" w:eastAsia="zh-CN"/>
        </w:rPr>
        <w:t>应对本项目管理、技术、经济资料保密，未经</w:t>
      </w:r>
      <w:r>
        <w:rPr>
          <w:rFonts w:hint="eastAsia" w:cs="宋体"/>
          <w:color w:val="auto"/>
          <w:sz w:val="24"/>
          <w:szCs w:val="24"/>
          <w:highlight w:val="none"/>
          <w:u w:val="none"/>
          <w:lang w:val="en-US" w:eastAsia="zh-CN"/>
        </w:rPr>
        <w:t>投保人</w:t>
      </w:r>
      <w:r>
        <w:rPr>
          <w:rFonts w:hint="eastAsia" w:ascii="宋体" w:hAnsi="宋体" w:eastAsia="宋体" w:cs="宋体"/>
          <w:color w:val="auto"/>
          <w:sz w:val="24"/>
          <w:szCs w:val="24"/>
          <w:highlight w:val="none"/>
          <w:u w:val="none"/>
          <w:lang w:val="en-US" w:eastAsia="zh-CN"/>
        </w:rPr>
        <w:t>书面许可不得泄露给第三方。</w:t>
      </w:r>
    </w:p>
    <w:p w14:paraId="1F4371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s="宋体"/>
          <w:color w:val="auto"/>
          <w:sz w:val="24"/>
          <w:szCs w:val="24"/>
          <w:highlight w:val="none"/>
          <w:u w:val="none"/>
          <w:lang w:val="en-US" w:eastAsia="zh-CN"/>
        </w:rPr>
        <w:t>⑫</w:t>
      </w:r>
      <w:r>
        <w:rPr>
          <w:rFonts w:hint="eastAsia" w:cs="宋体"/>
          <w:color w:val="auto"/>
          <w:sz w:val="24"/>
          <w:szCs w:val="24"/>
          <w:highlight w:val="none"/>
          <w:u w:val="none"/>
          <w:lang w:val="en-US" w:eastAsia="zh-CN"/>
        </w:rPr>
        <w:t>“TIS”机构</w:t>
      </w:r>
      <w:r>
        <w:rPr>
          <w:rFonts w:hint="eastAsia" w:ascii="宋体" w:hAnsi="宋体" w:eastAsia="宋体"/>
          <w:color w:val="auto"/>
          <w:sz w:val="24"/>
          <w:szCs w:val="24"/>
          <w:highlight w:val="none"/>
          <w:lang w:val="en-US" w:eastAsia="zh-CN"/>
        </w:rPr>
        <w:t>应在进场后7天内上报项目质量安全评估专项方案，详细说明评估体系及检查标准，方案报</w:t>
      </w:r>
      <w:r>
        <w:rPr>
          <w:rFonts w:hint="eastAsia"/>
          <w:color w:val="auto"/>
          <w:sz w:val="24"/>
          <w:szCs w:val="24"/>
          <w:highlight w:val="none"/>
          <w:lang w:val="en-US" w:eastAsia="zh-CN"/>
        </w:rPr>
        <w:t>投保人</w:t>
      </w:r>
      <w:r>
        <w:rPr>
          <w:rFonts w:hint="eastAsia" w:ascii="宋体" w:hAnsi="宋体" w:eastAsia="宋体"/>
          <w:color w:val="auto"/>
          <w:sz w:val="24"/>
          <w:szCs w:val="24"/>
          <w:highlight w:val="none"/>
          <w:lang w:val="en-US" w:eastAsia="zh-CN"/>
        </w:rPr>
        <w:t>审批同意后方可执行。</w:t>
      </w:r>
    </w:p>
    <w:p w14:paraId="7EB018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.大型设备检测工作</w:t>
      </w:r>
    </w:p>
    <w:p w14:paraId="5E7BCB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（1）检测频次及数量</w:t>
      </w:r>
    </w:p>
    <w:p w14:paraId="4F340B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在服务周期内，对项目所有的塔吊、施工电梯、附着式升降脚手架每季度全覆盖一次安全检测。</w:t>
      </w:r>
      <w:r>
        <w:rPr>
          <w:rFonts w:hint="eastAsia" w:ascii="宋体" w:hAnsi="宋体" w:eastAsia="宋体"/>
          <w:color w:val="auto"/>
          <w:sz w:val="24"/>
          <w:szCs w:val="24"/>
          <w:highlight w:val="none"/>
          <w:lang w:val="en-US" w:eastAsia="zh-CN"/>
        </w:rPr>
        <w:t>暂</w:t>
      </w:r>
      <w:r>
        <w:rPr>
          <w:rFonts w:hint="eastAsia" w:ascii="宋体" w:hAnsi="宋体" w:eastAsia="宋体"/>
          <w:color w:val="auto"/>
          <w:sz w:val="24"/>
          <w:szCs w:val="24"/>
          <w:highlight w:val="none"/>
        </w:rPr>
        <w:t>计</w:t>
      </w:r>
      <w:r>
        <w:rPr>
          <w:rFonts w:hint="eastAsia"/>
          <w:color w:val="auto"/>
          <w:sz w:val="24"/>
          <w:szCs w:val="24"/>
          <w:highlight w:val="none"/>
          <w:u w:val="single"/>
          <w:lang w:val="en-US" w:eastAsia="zh-CN"/>
        </w:rPr>
        <w:t>3</w:t>
      </w:r>
      <w:r>
        <w:rPr>
          <w:rFonts w:hint="eastAsia" w:ascii="宋体" w:hAnsi="宋体" w:eastAsia="宋体"/>
          <w:color w:val="auto"/>
          <w:sz w:val="24"/>
          <w:szCs w:val="24"/>
          <w:highlight w:val="none"/>
          <w:lang w:val="en-US" w:eastAsia="zh-CN"/>
        </w:rPr>
        <w:t>台</w:t>
      </w:r>
      <w:r>
        <w:rPr>
          <w:rFonts w:hint="eastAsia" w:ascii="宋体" w:hAnsi="宋体" w:eastAsia="宋体"/>
          <w:color w:val="auto"/>
          <w:sz w:val="24"/>
          <w:szCs w:val="24"/>
          <w:highlight w:val="none"/>
        </w:rPr>
        <w:t>塔吊、</w:t>
      </w:r>
      <w:r>
        <w:rPr>
          <w:rFonts w:hint="eastAsia"/>
          <w:color w:val="auto"/>
          <w:sz w:val="24"/>
          <w:szCs w:val="24"/>
          <w:highlight w:val="none"/>
          <w:u w:val="single"/>
          <w:lang w:val="en-US" w:eastAsia="zh-CN"/>
        </w:rPr>
        <w:t>6</w:t>
      </w:r>
      <w:r>
        <w:rPr>
          <w:rFonts w:hint="eastAsia" w:ascii="宋体" w:hAnsi="宋体" w:eastAsia="宋体"/>
          <w:color w:val="auto"/>
          <w:sz w:val="24"/>
          <w:szCs w:val="24"/>
          <w:highlight w:val="none"/>
          <w:lang w:val="en-US" w:eastAsia="zh-CN"/>
        </w:rPr>
        <w:t>台</w:t>
      </w:r>
      <w:r>
        <w:rPr>
          <w:rFonts w:hint="eastAsia" w:ascii="宋体" w:hAnsi="宋体" w:eastAsia="宋体"/>
          <w:color w:val="auto"/>
          <w:sz w:val="24"/>
          <w:szCs w:val="24"/>
          <w:highlight w:val="none"/>
        </w:rPr>
        <w:t>人货梯、</w:t>
      </w:r>
      <w:r>
        <w:rPr>
          <w:rFonts w:hint="eastAsia" w:ascii="宋体" w:hAnsi="宋体" w:eastAsia="宋体"/>
          <w:color w:val="auto"/>
          <w:sz w:val="24"/>
          <w:szCs w:val="24"/>
          <w:highlight w:val="none"/>
          <w:u w:val="none"/>
          <w:lang w:val="en-US" w:eastAsia="zh-CN"/>
        </w:rPr>
        <w:t xml:space="preserve">6 </w:t>
      </w:r>
      <w:r>
        <w:rPr>
          <w:rFonts w:hint="eastAsia" w:ascii="宋体" w:hAnsi="宋体" w:eastAsia="宋体"/>
          <w:color w:val="auto"/>
          <w:sz w:val="24"/>
          <w:szCs w:val="24"/>
          <w:highlight w:val="none"/>
          <w:lang w:val="en-US" w:eastAsia="zh-CN"/>
        </w:rPr>
        <w:t>台附着式升降脚手架</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最终以项目实际数量为准。</w:t>
      </w:r>
      <w:r>
        <w:rPr>
          <w:rFonts w:hint="eastAsia" w:ascii="宋体" w:hAnsi="宋体" w:eastAsia="宋体"/>
          <w:color w:val="auto"/>
          <w:sz w:val="24"/>
          <w:szCs w:val="24"/>
          <w:highlight w:val="none"/>
        </w:rPr>
        <w:t>每台设备在建期间</w:t>
      </w:r>
      <w:r>
        <w:rPr>
          <w:rFonts w:hint="eastAsia" w:ascii="宋体" w:hAnsi="宋体" w:eastAsia="宋体"/>
          <w:color w:val="auto"/>
          <w:sz w:val="24"/>
          <w:szCs w:val="24"/>
          <w:highlight w:val="none"/>
          <w:lang w:val="en-US" w:eastAsia="zh-CN"/>
        </w:rPr>
        <w:t>不少于</w:t>
      </w:r>
      <w:r>
        <w:rPr>
          <w:rFonts w:hint="eastAsia" w:ascii="宋体" w:hAnsi="宋体" w:eastAsia="宋体"/>
          <w:color w:val="auto"/>
          <w:sz w:val="24"/>
          <w:szCs w:val="24"/>
          <w:highlight w:val="none"/>
        </w:rPr>
        <w:t>检测6次。</w:t>
      </w:r>
    </w:p>
    <w:p w14:paraId="77C2D2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（2）检测内容及要求</w:t>
      </w:r>
    </w:p>
    <w:p w14:paraId="668B74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①</w:t>
      </w:r>
      <w:r>
        <w:rPr>
          <w:rFonts w:hint="eastAsia"/>
          <w:color w:val="auto"/>
          <w:sz w:val="24"/>
          <w:szCs w:val="24"/>
          <w:highlight w:val="none"/>
          <w:lang w:val="en-US" w:eastAsia="zh-CN"/>
        </w:rPr>
        <w:t>“TIS”机构</w:t>
      </w:r>
      <w:r>
        <w:rPr>
          <w:rFonts w:hint="eastAsia" w:ascii="宋体" w:hAnsi="宋体" w:eastAsia="宋体"/>
          <w:color w:val="auto"/>
          <w:sz w:val="24"/>
          <w:szCs w:val="24"/>
          <w:highlight w:val="none"/>
        </w:rPr>
        <w:t>需在每季度前提交检测计划报</w:t>
      </w:r>
      <w:r>
        <w:rPr>
          <w:rFonts w:hint="eastAsia"/>
          <w:color w:val="auto"/>
          <w:sz w:val="24"/>
          <w:szCs w:val="24"/>
          <w:highlight w:val="none"/>
          <w:lang w:eastAsia="zh-CN"/>
        </w:rPr>
        <w:t>投保人</w:t>
      </w:r>
      <w:r>
        <w:rPr>
          <w:rFonts w:hint="eastAsia" w:ascii="宋体" w:hAnsi="宋体" w:eastAsia="宋体"/>
          <w:color w:val="auto"/>
          <w:sz w:val="24"/>
          <w:szCs w:val="24"/>
          <w:highlight w:val="none"/>
        </w:rPr>
        <w:t>审核，并于检测前三个工作日通知项目。</w:t>
      </w:r>
    </w:p>
    <w:p w14:paraId="2E2A14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②</w:t>
      </w:r>
      <w:r>
        <w:rPr>
          <w:rFonts w:hint="eastAsia"/>
          <w:color w:val="auto"/>
          <w:sz w:val="24"/>
          <w:szCs w:val="24"/>
          <w:highlight w:val="none"/>
          <w:lang w:val="en-US" w:eastAsia="zh-CN"/>
        </w:rPr>
        <w:t>“TIS”机构</w:t>
      </w:r>
      <w:r>
        <w:rPr>
          <w:rFonts w:hint="eastAsia" w:ascii="宋体" w:hAnsi="宋体" w:eastAsia="宋体"/>
          <w:color w:val="auto"/>
          <w:sz w:val="24"/>
          <w:szCs w:val="24"/>
          <w:highlight w:val="none"/>
        </w:rPr>
        <w:t>对塔吊、施工电梯、附着式升降脚手架进行现场检测，并按照相关标准提交相关检测报告。</w:t>
      </w:r>
    </w:p>
    <w:p w14:paraId="6AFD05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③</w:t>
      </w:r>
      <w:r>
        <w:rPr>
          <w:rFonts w:hint="eastAsia" w:ascii="宋体" w:hAnsi="宋体" w:eastAsia="宋体"/>
          <w:color w:val="auto"/>
          <w:sz w:val="24"/>
          <w:szCs w:val="24"/>
          <w:highlight w:val="none"/>
        </w:rPr>
        <w:t>现场检测完成后，5个工作日内提供正式总结性检测报告，检测报告需提供一式两份。</w:t>
      </w:r>
    </w:p>
    <w:p w14:paraId="3212BF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④</w:t>
      </w:r>
      <w:r>
        <w:rPr>
          <w:rFonts w:hint="eastAsia" w:ascii="宋体" w:hAnsi="宋体" w:eastAsia="宋体"/>
          <w:color w:val="auto"/>
          <w:sz w:val="24"/>
          <w:szCs w:val="24"/>
          <w:highlight w:val="none"/>
        </w:rPr>
        <w:t>检测开始前需报现场监理单位批准，并由监理</w:t>
      </w:r>
      <w:r>
        <w:rPr>
          <w:rFonts w:hint="eastAsia" w:ascii="宋体" w:hAnsi="宋体" w:eastAsia="宋体"/>
          <w:color w:val="auto"/>
          <w:sz w:val="24"/>
          <w:szCs w:val="24"/>
          <w:highlight w:val="none"/>
          <w:lang w:val="en-US" w:eastAsia="zh-CN"/>
        </w:rPr>
        <w:t>单位</w:t>
      </w:r>
      <w:r>
        <w:rPr>
          <w:rFonts w:hint="eastAsia" w:ascii="宋体" w:hAnsi="宋体" w:eastAsia="宋体"/>
          <w:color w:val="auto"/>
          <w:sz w:val="24"/>
          <w:szCs w:val="24"/>
          <w:highlight w:val="none"/>
        </w:rPr>
        <w:t>下达开工通知书；检测需在监理</w:t>
      </w:r>
      <w:r>
        <w:rPr>
          <w:rFonts w:hint="eastAsia" w:ascii="宋体" w:hAnsi="宋体" w:eastAsia="宋体"/>
          <w:color w:val="auto"/>
          <w:sz w:val="24"/>
          <w:szCs w:val="24"/>
          <w:highlight w:val="none"/>
          <w:lang w:val="en-US" w:eastAsia="zh-CN"/>
        </w:rPr>
        <w:t>单位</w:t>
      </w:r>
      <w:r>
        <w:rPr>
          <w:rFonts w:hint="eastAsia" w:ascii="宋体" w:hAnsi="宋体" w:eastAsia="宋体"/>
          <w:color w:val="auto"/>
          <w:sz w:val="24"/>
          <w:szCs w:val="24"/>
          <w:highlight w:val="none"/>
        </w:rPr>
        <w:t>的见证下进行。</w:t>
      </w:r>
    </w:p>
    <w:p w14:paraId="7D4596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（3）其他要求</w:t>
      </w:r>
    </w:p>
    <w:p w14:paraId="5D78CC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①</w:t>
      </w:r>
      <w:r>
        <w:rPr>
          <w:rFonts w:hint="eastAsia"/>
          <w:color w:val="auto"/>
          <w:sz w:val="24"/>
          <w:szCs w:val="24"/>
          <w:highlight w:val="none"/>
          <w:lang w:val="en-US" w:eastAsia="zh-CN"/>
        </w:rPr>
        <w:t>“TIS”机构</w:t>
      </w:r>
      <w:r>
        <w:rPr>
          <w:rFonts w:hint="eastAsia" w:ascii="宋体" w:hAnsi="宋体" w:eastAsia="宋体"/>
          <w:color w:val="auto"/>
          <w:sz w:val="24"/>
          <w:szCs w:val="24"/>
          <w:highlight w:val="none"/>
        </w:rPr>
        <w:t>要对所有检测结果保密，涉及项目名称和</w:t>
      </w:r>
      <w:r>
        <w:rPr>
          <w:rFonts w:hint="eastAsia"/>
          <w:color w:val="auto"/>
          <w:sz w:val="24"/>
          <w:szCs w:val="24"/>
          <w:highlight w:val="none"/>
          <w:lang w:eastAsia="zh-CN"/>
        </w:rPr>
        <w:t>投保人</w:t>
      </w:r>
      <w:r>
        <w:rPr>
          <w:rFonts w:hint="eastAsia" w:ascii="宋体" w:hAnsi="宋体" w:eastAsia="宋体"/>
          <w:color w:val="auto"/>
          <w:sz w:val="24"/>
          <w:szCs w:val="24"/>
          <w:highlight w:val="none"/>
        </w:rPr>
        <w:t>名称保密，避免出现检测不合格对</w:t>
      </w:r>
      <w:r>
        <w:rPr>
          <w:rFonts w:hint="eastAsia"/>
          <w:color w:val="auto"/>
          <w:sz w:val="24"/>
          <w:szCs w:val="24"/>
          <w:highlight w:val="none"/>
          <w:lang w:eastAsia="zh-CN"/>
        </w:rPr>
        <w:t>投保人</w:t>
      </w:r>
      <w:r>
        <w:rPr>
          <w:rFonts w:hint="eastAsia" w:ascii="宋体" w:hAnsi="宋体" w:eastAsia="宋体"/>
          <w:color w:val="auto"/>
          <w:sz w:val="24"/>
          <w:szCs w:val="24"/>
          <w:highlight w:val="none"/>
        </w:rPr>
        <w:t>和本项目产生负面的影响。保证送检的保密性和检测结果的传播范围，检测过程留存相片或录制视频文件作证以备复查，按照公开、公平、公正和诚实信用原则，维护</w:t>
      </w:r>
      <w:r>
        <w:rPr>
          <w:rFonts w:hint="eastAsia"/>
          <w:color w:val="auto"/>
          <w:sz w:val="24"/>
          <w:szCs w:val="24"/>
          <w:highlight w:val="none"/>
          <w:lang w:eastAsia="zh-CN"/>
        </w:rPr>
        <w:t>投保人</w:t>
      </w:r>
      <w:r>
        <w:rPr>
          <w:rFonts w:hint="eastAsia" w:ascii="宋体" w:hAnsi="宋体" w:eastAsia="宋体"/>
          <w:color w:val="auto"/>
          <w:sz w:val="24"/>
          <w:szCs w:val="24"/>
          <w:highlight w:val="none"/>
        </w:rPr>
        <w:t>的合法权益。</w:t>
      </w:r>
    </w:p>
    <w:p w14:paraId="0D9E59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②</w:t>
      </w:r>
      <w:r>
        <w:rPr>
          <w:rFonts w:hint="eastAsia" w:ascii="宋体" w:hAnsi="宋体" w:eastAsia="宋体"/>
          <w:color w:val="auto"/>
          <w:sz w:val="24"/>
          <w:szCs w:val="24"/>
          <w:highlight w:val="none"/>
        </w:rPr>
        <w:t>如</w:t>
      </w:r>
      <w:r>
        <w:rPr>
          <w:rFonts w:hint="eastAsia"/>
          <w:color w:val="auto"/>
          <w:sz w:val="24"/>
          <w:szCs w:val="24"/>
          <w:highlight w:val="none"/>
          <w:lang w:eastAsia="zh-CN"/>
        </w:rPr>
        <w:t>投保人</w:t>
      </w:r>
      <w:r>
        <w:rPr>
          <w:rFonts w:hint="eastAsia" w:ascii="宋体" w:hAnsi="宋体" w:eastAsia="宋体"/>
          <w:color w:val="auto"/>
          <w:sz w:val="24"/>
          <w:szCs w:val="24"/>
          <w:highlight w:val="none"/>
        </w:rPr>
        <w:t>对检测结果提出要求时，</w:t>
      </w:r>
      <w:r>
        <w:rPr>
          <w:rFonts w:hint="eastAsia"/>
          <w:color w:val="auto"/>
          <w:sz w:val="24"/>
          <w:szCs w:val="24"/>
          <w:highlight w:val="none"/>
          <w:lang w:val="en-US" w:eastAsia="zh-CN"/>
        </w:rPr>
        <w:t>“TIS”机构</w:t>
      </w:r>
      <w:r>
        <w:rPr>
          <w:rFonts w:hint="eastAsia" w:ascii="宋体" w:hAnsi="宋体" w:eastAsia="宋体"/>
          <w:color w:val="auto"/>
          <w:sz w:val="24"/>
          <w:szCs w:val="24"/>
          <w:highlight w:val="none"/>
        </w:rPr>
        <w:t>须对所提交的检测成果或建议提供相应的依据或做出合理解释。</w:t>
      </w:r>
    </w:p>
    <w:p w14:paraId="369B7C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③</w:t>
      </w:r>
      <w:r>
        <w:rPr>
          <w:rFonts w:hint="eastAsia"/>
          <w:color w:val="auto"/>
          <w:sz w:val="24"/>
          <w:szCs w:val="24"/>
          <w:highlight w:val="none"/>
          <w:lang w:val="en-US" w:eastAsia="zh-CN"/>
        </w:rPr>
        <w:t>“TIS”机构</w:t>
      </w:r>
      <w:r>
        <w:rPr>
          <w:rFonts w:hint="eastAsia" w:ascii="宋体" w:hAnsi="宋体" w:eastAsia="宋体"/>
          <w:color w:val="auto"/>
          <w:sz w:val="24"/>
          <w:szCs w:val="24"/>
          <w:highlight w:val="none"/>
        </w:rPr>
        <w:t>必须确保所有到场检测人员持相应有效资质，并做好现场安全交底，确保检测过程安全进行。</w:t>
      </w:r>
    </w:p>
    <w:p w14:paraId="2B1FFB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④</w:t>
      </w:r>
      <w:r>
        <w:rPr>
          <w:rFonts w:hint="eastAsia"/>
          <w:color w:val="auto"/>
          <w:sz w:val="24"/>
          <w:szCs w:val="24"/>
          <w:highlight w:val="none"/>
          <w:lang w:val="en-US" w:eastAsia="zh-CN"/>
        </w:rPr>
        <w:t>“TIS”机构</w:t>
      </w:r>
      <w:r>
        <w:rPr>
          <w:rFonts w:hint="eastAsia" w:ascii="宋体" w:hAnsi="宋体" w:eastAsia="宋体"/>
          <w:color w:val="auto"/>
          <w:sz w:val="24"/>
          <w:szCs w:val="24"/>
          <w:highlight w:val="none"/>
          <w:lang w:val="en-US" w:eastAsia="zh-CN"/>
        </w:rPr>
        <w:t>进场前</w:t>
      </w:r>
      <w:r>
        <w:rPr>
          <w:rFonts w:hint="eastAsia" w:ascii="宋体" w:hAnsi="宋体" w:eastAsia="宋体"/>
          <w:color w:val="auto"/>
          <w:sz w:val="24"/>
          <w:szCs w:val="24"/>
          <w:highlight w:val="none"/>
        </w:rPr>
        <w:t>必须确认现场环境安全方可开始检测，由于未确认环境安全造成的一切事故及损失由</w:t>
      </w:r>
      <w:r>
        <w:rPr>
          <w:rFonts w:hint="eastAsia"/>
          <w:color w:val="auto"/>
          <w:sz w:val="24"/>
          <w:szCs w:val="24"/>
          <w:highlight w:val="none"/>
          <w:lang w:val="en-US" w:eastAsia="zh-CN"/>
        </w:rPr>
        <w:t>“TIS”机构</w:t>
      </w:r>
      <w:r>
        <w:rPr>
          <w:rFonts w:hint="eastAsia" w:ascii="宋体" w:hAnsi="宋体" w:eastAsia="宋体"/>
          <w:color w:val="auto"/>
          <w:sz w:val="24"/>
          <w:szCs w:val="24"/>
          <w:highlight w:val="none"/>
        </w:rPr>
        <w:t>负责。</w:t>
      </w:r>
    </w:p>
    <w:p w14:paraId="5B5E1E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⑤</w:t>
      </w:r>
      <w:r>
        <w:rPr>
          <w:rFonts w:hint="eastAsia"/>
          <w:color w:val="auto"/>
          <w:sz w:val="24"/>
          <w:szCs w:val="24"/>
          <w:highlight w:val="none"/>
          <w:lang w:val="en-US" w:eastAsia="zh-CN"/>
        </w:rPr>
        <w:t>“TIS”机构</w:t>
      </w:r>
      <w:r>
        <w:rPr>
          <w:rFonts w:hint="eastAsia" w:ascii="宋体" w:hAnsi="宋体" w:eastAsia="宋体"/>
          <w:color w:val="auto"/>
          <w:sz w:val="24"/>
          <w:szCs w:val="24"/>
          <w:highlight w:val="none"/>
        </w:rPr>
        <w:t>在检测过程中，若发现检测设备存在重大缺陷，应立即通知</w:t>
      </w:r>
      <w:r>
        <w:rPr>
          <w:rFonts w:hint="eastAsia"/>
          <w:color w:val="auto"/>
          <w:sz w:val="24"/>
          <w:szCs w:val="24"/>
          <w:highlight w:val="none"/>
          <w:lang w:eastAsia="zh-CN"/>
        </w:rPr>
        <w:t>投保人</w:t>
      </w:r>
      <w:r>
        <w:rPr>
          <w:rFonts w:hint="eastAsia" w:ascii="宋体" w:hAnsi="宋体" w:eastAsia="宋体"/>
          <w:color w:val="auto"/>
          <w:sz w:val="24"/>
          <w:szCs w:val="24"/>
          <w:highlight w:val="none"/>
        </w:rPr>
        <w:t>，无需等正式总结性检测报告提交。</w:t>
      </w:r>
    </w:p>
    <w:p w14:paraId="3D125671">
      <w:pPr>
        <w:autoSpaceDE/>
        <w:autoSpaceDN/>
        <w:adjustRightInd/>
        <w:snapToGrid/>
        <w:spacing w:before="3" w:line="360" w:lineRule="auto"/>
        <w:ind w:left="0" w:firstLine="480" w:firstLineChars="200"/>
        <w:rPr>
          <w:rFonts w:hint="eastAsia"/>
          <w:color w:val="auto"/>
          <w:highlight w:val="none"/>
          <w:lang w:val="en-US" w:eastAsia="zh-CN"/>
        </w:rPr>
      </w:pPr>
      <w:r>
        <w:rPr>
          <w:rFonts w:hint="eastAsia" w:ascii="宋体" w:hAnsi="宋体" w:eastAsia="宋体" w:cs="宋体"/>
          <w:color w:val="auto"/>
          <w:sz w:val="24"/>
          <w:szCs w:val="24"/>
          <w:highlight w:val="none"/>
        </w:rPr>
        <w:t>⑥</w:t>
      </w:r>
      <w:r>
        <w:rPr>
          <w:rFonts w:hint="eastAsia"/>
          <w:color w:val="auto"/>
          <w:sz w:val="24"/>
          <w:szCs w:val="24"/>
          <w:highlight w:val="none"/>
          <w:lang w:val="en-US" w:eastAsia="zh-CN"/>
        </w:rPr>
        <w:t>“TIS”机构</w:t>
      </w:r>
      <w:r>
        <w:rPr>
          <w:rFonts w:hint="eastAsia" w:ascii="宋体" w:hAnsi="宋体" w:eastAsia="宋体"/>
          <w:color w:val="auto"/>
          <w:sz w:val="24"/>
          <w:szCs w:val="24"/>
          <w:highlight w:val="none"/>
        </w:rPr>
        <w:t>应遵守</w:t>
      </w:r>
      <w:r>
        <w:rPr>
          <w:rFonts w:hint="eastAsia"/>
          <w:color w:val="auto"/>
          <w:sz w:val="24"/>
          <w:szCs w:val="24"/>
          <w:highlight w:val="none"/>
          <w:lang w:eastAsia="zh-CN"/>
        </w:rPr>
        <w:t>投保人</w:t>
      </w:r>
      <w:r>
        <w:rPr>
          <w:rFonts w:hint="eastAsia" w:ascii="宋体" w:hAnsi="宋体" w:eastAsia="宋体"/>
          <w:color w:val="auto"/>
          <w:sz w:val="24"/>
          <w:szCs w:val="24"/>
          <w:highlight w:val="none"/>
        </w:rPr>
        <w:t>及项目施工总承包单位的安全保卫及其他有关的规章制度，并承担检测水、电费用。</w:t>
      </w:r>
    </w:p>
    <w:p w14:paraId="0546FF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lang w:eastAsia="zh-CN"/>
        </w:rPr>
        <w:t>工艺赋能培训质量安全培训标准化培训</w:t>
      </w:r>
    </w:p>
    <w:p w14:paraId="466858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lang w:eastAsia="zh-CN"/>
        </w:rPr>
        <w:t>）服务要求</w:t>
      </w:r>
    </w:p>
    <w:p w14:paraId="74DEF4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①通过线上培训，提升个人知识和技能，了解项目质量各工序和关键节点标准执行、安全文明标准落地，引进行业优秀工艺工法，建立项目自身标准，提高项目整体水平。</w:t>
      </w:r>
    </w:p>
    <w:p w14:paraId="1F230C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②通过线下培训，对工程质量和生产安全主要问题的把控，帮助项目现场工程管理人员以及一线员工对施工工序中的常见问题和优秀做法有更深刻的理解及应用，提高集团和项目对工程质量和安全的管理能力。</w:t>
      </w:r>
    </w:p>
    <w:p w14:paraId="704730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eastAsia="zh-CN"/>
        </w:rPr>
        <w:t>成果要求：工程建设期内每年提供工艺赋能培训、质量培训、安全培训、标准化培训各不低于</w:t>
      </w:r>
      <w:r>
        <w:rPr>
          <w:rFonts w:hint="eastAsia" w:ascii="宋体" w:hAnsi="宋体" w:eastAsia="宋体" w:cs="宋体"/>
          <w:color w:val="auto"/>
          <w:sz w:val="24"/>
          <w:szCs w:val="24"/>
          <w:highlight w:val="none"/>
          <w:shd w:val="clear" w:color="auto" w:fill="auto"/>
          <w:lang w:val="en-US" w:eastAsia="zh-CN"/>
        </w:rPr>
        <w:t>2次。</w:t>
      </w:r>
    </w:p>
    <w:p w14:paraId="72A23B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lang w:eastAsia="zh-CN"/>
        </w:rPr>
        <w:t>应急救援预案演练</w:t>
      </w:r>
    </w:p>
    <w:p w14:paraId="29A89C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lang w:eastAsia="zh-CN"/>
        </w:rPr>
        <w:t>）服务要求</w:t>
      </w:r>
    </w:p>
    <w:p w14:paraId="0A2386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针对企业生产经营过程中存在的事故风险而预先设定的事故状况（包括事故发生的时间、地点、特征、波及范围以及变化趋势），指导企业并组织开展应急演练活动。同时根据AQ/T9009--2015相关要求对应急演练进行科学分析，客观评价，形成演练评估报告。</w:t>
      </w:r>
    </w:p>
    <w:p w14:paraId="053397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eastAsia="zh-CN"/>
        </w:rPr>
        <w:t>）成果说明：按照规范及</w:t>
      </w:r>
      <w:r>
        <w:rPr>
          <w:rFonts w:hint="eastAsia" w:cs="宋体"/>
          <w:color w:val="auto"/>
          <w:sz w:val="24"/>
          <w:szCs w:val="24"/>
          <w:highlight w:val="none"/>
          <w:shd w:val="clear" w:color="auto" w:fill="auto"/>
          <w:lang w:val="en-US" w:eastAsia="zh-CN"/>
        </w:rPr>
        <w:t>招标</w:t>
      </w:r>
      <w:r>
        <w:rPr>
          <w:rFonts w:hint="eastAsia" w:ascii="宋体" w:hAnsi="宋体" w:eastAsia="宋体" w:cs="宋体"/>
          <w:color w:val="auto"/>
          <w:sz w:val="24"/>
          <w:szCs w:val="24"/>
          <w:highlight w:val="none"/>
          <w:shd w:val="clear" w:color="auto" w:fill="auto"/>
          <w:lang w:val="en-US" w:eastAsia="zh-CN"/>
        </w:rPr>
        <w:t>人</w:t>
      </w:r>
      <w:r>
        <w:rPr>
          <w:rFonts w:hint="eastAsia" w:ascii="宋体" w:hAnsi="宋体" w:eastAsia="宋体" w:cs="宋体"/>
          <w:color w:val="auto"/>
          <w:sz w:val="24"/>
          <w:szCs w:val="24"/>
          <w:highlight w:val="none"/>
          <w:shd w:val="clear" w:color="auto" w:fill="auto"/>
          <w:lang w:eastAsia="zh-CN"/>
        </w:rPr>
        <w:t>要求，组织不少于</w:t>
      </w:r>
      <w:r>
        <w:rPr>
          <w:rFonts w:hint="eastAsia" w:ascii="宋体" w:hAnsi="宋体" w:eastAsia="宋体" w:cs="宋体"/>
          <w:color w:val="auto"/>
          <w:sz w:val="24"/>
          <w:szCs w:val="24"/>
          <w:highlight w:val="none"/>
          <w:shd w:val="clear" w:color="auto" w:fill="auto"/>
          <w:lang w:val="en-US" w:eastAsia="zh-CN"/>
        </w:rPr>
        <w:t>3次</w:t>
      </w:r>
      <w:r>
        <w:rPr>
          <w:rFonts w:hint="eastAsia" w:ascii="宋体" w:hAnsi="宋体" w:eastAsia="宋体" w:cs="宋体"/>
          <w:color w:val="auto"/>
          <w:sz w:val="24"/>
          <w:szCs w:val="24"/>
          <w:highlight w:val="none"/>
          <w:shd w:val="clear" w:color="auto" w:fill="auto"/>
          <w:lang w:eastAsia="zh-CN"/>
        </w:rPr>
        <w:t>应急救援演练活动，并提供相应的服务报告。</w:t>
      </w:r>
    </w:p>
    <w:p w14:paraId="7986C1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lang w:eastAsia="zh-CN"/>
        </w:rPr>
        <w:t>安全生产标准化建设</w:t>
      </w:r>
    </w:p>
    <w:p w14:paraId="752C4D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lang w:eastAsia="zh-CN"/>
        </w:rPr>
        <w:t>）服务要求</w:t>
      </w:r>
    </w:p>
    <w:p w14:paraId="54EF78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依据企业安全生产标准化规范（GB/T33000-2016）基本内容，指导企业建立并保持安全生产管理体系，全面管控生产经营活动各环节的安全生产与职业卫生工作，实现安全健康管理系统化、岗位操作行为规范化、设备设施本质安全化、作业环境器具定置化，并持续改进，完成落实企业安全生产主体责任的目标。</w:t>
      </w:r>
    </w:p>
    <w:p w14:paraId="3BC5D2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eastAsia="zh-CN"/>
        </w:rPr>
        <w:t>）成果说明：按照规范要求，完善企业安全生产标准化文件，并提供相应的服务报告。</w:t>
      </w:r>
    </w:p>
    <w:p w14:paraId="0B283A4E">
      <w:pPr>
        <w:pStyle w:val="5"/>
        <w:adjustRightInd w:val="0"/>
        <w:snapToGrid w:val="0"/>
        <w:spacing w:before="0" w:line="360" w:lineRule="auto"/>
        <w:ind w:left="0" w:firstLine="482" w:firstLineChars="200"/>
        <w:rPr>
          <w:rFonts w:hint="eastAsia"/>
          <w:color w:val="auto"/>
          <w:highlight w:val="none"/>
          <w:lang w:eastAsia="zh-CN"/>
        </w:rPr>
      </w:pPr>
      <w:r>
        <w:rPr>
          <w:rFonts w:hint="eastAsia"/>
          <w:color w:val="auto"/>
          <w:highlight w:val="none"/>
          <w:lang w:val="en-US" w:eastAsia="zh-CN"/>
        </w:rPr>
        <w:t>八</w:t>
      </w:r>
      <w:r>
        <w:rPr>
          <w:rFonts w:hint="eastAsia"/>
          <w:color w:val="auto"/>
          <w:highlight w:val="none"/>
          <w:lang w:eastAsia="zh-CN"/>
        </w:rPr>
        <w:t>、保险费、支付方式和结算方式</w:t>
      </w:r>
    </w:p>
    <w:p w14:paraId="7FECD19B">
      <w:pPr>
        <w:pStyle w:val="22"/>
        <w:numPr>
          <w:ilvl w:val="-1"/>
          <w:numId w:val="0"/>
        </w:numPr>
        <w:tabs>
          <w:tab w:val="left" w:pos="1080"/>
        </w:tabs>
        <w:adjustRightInd w:val="0"/>
        <w:snapToGrid w:val="0"/>
        <w:spacing w:before="0" w:line="360" w:lineRule="auto"/>
        <w:ind w:left="0" w:firstLine="480" w:firstLineChars="200"/>
        <w:jc w:val="left"/>
        <w:rPr>
          <w:rFonts w:hint="eastAsia"/>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一</w:t>
      </w:r>
      <w:r>
        <w:rPr>
          <w:rFonts w:hint="eastAsia"/>
          <w:color w:val="auto"/>
          <w:sz w:val="24"/>
          <w:highlight w:val="none"/>
          <w:lang w:eastAsia="zh-CN"/>
        </w:rPr>
        <w:t>）</w:t>
      </w:r>
      <w:r>
        <w:rPr>
          <w:rFonts w:hint="eastAsia"/>
          <w:color w:val="auto"/>
          <w:sz w:val="24"/>
          <w:highlight w:val="none"/>
        </w:rPr>
        <w:t>保险费</w:t>
      </w:r>
    </w:p>
    <w:p w14:paraId="57537245">
      <w:pPr>
        <w:pStyle w:val="8"/>
        <w:adjustRightInd w:val="0"/>
        <w:snapToGrid w:val="0"/>
        <w:spacing w:before="0" w:line="360" w:lineRule="auto"/>
        <w:ind w:left="0" w:leftChars="0" w:right="357" w:firstLine="464" w:firstLineChars="200"/>
        <w:jc w:val="left"/>
        <w:rPr>
          <w:rFonts w:hint="eastAsia"/>
          <w:color w:val="auto"/>
          <w:spacing w:val="-4"/>
          <w:highlight w:val="none"/>
          <w:lang w:val="en-US" w:eastAsia="zh-CN"/>
        </w:rPr>
      </w:pPr>
      <w:r>
        <w:rPr>
          <w:rFonts w:hint="eastAsia"/>
          <w:color w:val="auto"/>
          <w:spacing w:val="-4"/>
          <w:highlight w:val="none"/>
          <w:lang w:val="en-US" w:eastAsia="zh-CN"/>
        </w:rPr>
        <w:t>1.本</w:t>
      </w:r>
      <w:r>
        <w:rPr>
          <w:rFonts w:hint="eastAsia"/>
          <w:color w:val="auto"/>
          <w:spacing w:val="-4"/>
          <w:highlight w:val="none"/>
          <w:lang w:eastAsia="zh-CN"/>
        </w:rPr>
        <w:t>合同</w:t>
      </w:r>
      <w:r>
        <w:rPr>
          <w:rFonts w:hint="eastAsia"/>
          <w:color w:val="auto"/>
          <w:spacing w:val="-4"/>
          <w:highlight w:val="none"/>
          <w:lang w:val="en-US" w:eastAsia="zh-CN"/>
        </w:rPr>
        <w:t>暂定</w:t>
      </w:r>
      <w:r>
        <w:rPr>
          <w:rFonts w:hint="eastAsia"/>
          <w:color w:val="auto"/>
          <w:spacing w:val="-4"/>
          <w:highlight w:val="none"/>
          <w:lang w:eastAsia="zh-CN"/>
        </w:rPr>
        <w:t>价（含税）为：人民币大写：</w:t>
      </w:r>
      <w:r>
        <w:rPr>
          <w:rFonts w:hint="eastAsia"/>
          <w:color w:val="auto"/>
          <w:spacing w:val="-4"/>
          <w:highlight w:val="none"/>
          <w:lang w:val="en-US" w:eastAsia="zh-CN"/>
        </w:rPr>
        <w:t xml:space="preserve">           </w:t>
      </w:r>
      <w:r>
        <w:rPr>
          <w:rFonts w:hint="eastAsia"/>
          <w:color w:val="auto"/>
          <w:spacing w:val="-4"/>
          <w:highlight w:val="none"/>
          <w:lang w:eastAsia="zh-CN"/>
        </w:rPr>
        <w:t>（￥</w:t>
      </w:r>
      <w:r>
        <w:rPr>
          <w:rFonts w:hint="eastAsia"/>
          <w:color w:val="auto"/>
          <w:sz w:val="24"/>
          <w:highlight w:val="none"/>
          <w:u w:val="single"/>
          <w:lang w:val="en-US" w:eastAsia="zh-CN"/>
        </w:rPr>
        <w:t xml:space="preserve">       </w:t>
      </w:r>
      <w:r>
        <w:rPr>
          <w:rFonts w:hint="eastAsia"/>
          <w:color w:val="auto"/>
          <w:spacing w:val="-4"/>
          <w:highlight w:val="none"/>
          <w:lang w:eastAsia="zh-CN"/>
        </w:rPr>
        <w:t>），其中：不含税合同</w:t>
      </w:r>
      <w:r>
        <w:rPr>
          <w:rFonts w:hint="eastAsia"/>
          <w:color w:val="auto"/>
          <w:spacing w:val="-4"/>
          <w:highlight w:val="none"/>
          <w:lang w:val="en-US" w:eastAsia="zh-CN"/>
        </w:rPr>
        <w:t>暂定</w:t>
      </w:r>
      <w:r>
        <w:rPr>
          <w:rFonts w:hint="eastAsia"/>
          <w:color w:val="auto"/>
          <w:spacing w:val="-4"/>
          <w:highlight w:val="none"/>
          <w:lang w:eastAsia="zh-CN"/>
        </w:rPr>
        <w:t>价为人民币大写：</w:t>
      </w:r>
      <w:r>
        <w:rPr>
          <w:rFonts w:hint="eastAsia"/>
          <w:color w:val="auto"/>
          <w:spacing w:val="-4"/>
          <w:highlight w:val="none"/>
          <w:u w:val="single"/>
          <w:lang w:val="en-US" w:eastAsia="zh-CN"/>
        </w:rPr>
        <w:t xml:space="preserve">              </w:t>
      </w:r>
      <w:r>
        <w:rPr>
          <w:rFonts w:hint="eastAsia"/>
          <w:color w:val="auto"/>
          <w:spacing w:val="-4"/>
          <w:highlight w:val="none"/>
          <w:lang w:eastAsia="zh-CN"/>
        </w:rPr>
        <w:t>（￥</w:t>
      </w:r>
      <w:r>
        <w:rPr>
          <w:rFonts w:hint="eastAsia"/>
          <w:color w:val="auto"/>
          <w:sz w:val="24"/>
          <w:highlight w:val="none"/>
          <w:u w:val="single"/>
          <w:lang w:val="en-US" w:eastAsia="zh-CN"/>
        </w:rPr>
        <w:t xml:space="preserve">      </w:t>
      </w:r>
      <w:r>
        <w:rPr>
          <w:rFonts w:hint="eastAsia"/>
          <w:color w:val="auto"/>
          <w:spacing w:val="-4"/>
          <w:highlight w:val="none"/>
          <w:lang w:eastAsia="zh-CN"/>
        </w:rPr>
        <w:t>），增值税率为</w:t>
      </w:r>
      <w:r>
        <w:rPr>
          <w:rFonts w:hint="eastAsia"/>
          <w:color w:val="auto"/>
          <w:spacing w:val="-4"/>
          <w:highlight w:val="none"/>
          <w:u w:val="single"/>
          <w:lang w:val="en-US" w:eastAsia="zh-CN"/>
        </w:rPr>
        <w:t>6</w:t>
      </w:r>
      <w:r>
        <w:rPr>
          <w:rFonts w:hint="eastAsia"/>
          <w:color w:val="auto"/>
          <w:sz w:val="24"/>
          <w:highlight w:val="none"/>
          <w:u w:val="single"/>
          <w:lang w:eastAsia="zh-CN"/>
        </w:rPr>
        <w:t xml:space="preserve"> </w:t>
      </w:r>
      <w:r>
        <w:rPr>
          <w:rFonts w:hint="eastAsia"/>
          <w:color w:val="auto"/>
          <w:spacing w:val="-4"/>
          <w:highlight w:val="none"/>
          <w:lang w:eastAsia="zh-CN"/>
        </w:rPr>
        <w:t>%。</w:t>
      </w:r>
      <w:r>
        <w:rPr>
          <w:rFonts w:hint="eastAsia" w:ascii="宋体" w:hAnsi="宋体" w:cs="宋体"/>
          <w:b w:val="0"/>
          <w:bCs w:val="0"/>
          <w:color w:val="auto"/>
          <w:sz w:val="24"/>
          <w:highlight w:val="none"/>
        </w:rPr>
        <w:t>合同约定的总基准保险费率</w:t>
      </w:r>
      <w:r>
        <w:rPr>
          <w:rFonts w:hint="eastAsia" w:ascii="宋体" w:hAnsi="宋体" w:cs="宋体"/>
          <w:b w:val="0"/>
          <w:bCs w:val="0"/>
          <w:color w:val="auto"/>
          <w:sz w:val="24"/>
          <w:szCs w:val="24"/>
          <w:highlight w:val="none"/>
        </w:rPr>
        <w:t>为</w:t>
      </w:r>
      <w:r>
        <w:rPr>
          <w:rFonts w:hint="eastAsia"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rPr>
        <w:t>%</w:t>
      </w:r>
      <w:r>
        <w:rPr>
          <w:rFonts w:hint="eastAsia" w:ascii="宋体" w:hAnsi="宋体" w:cs="宋体"/>
          <w:color w:val="auto"/>
          <w:sz w:val="24"/>
          <w:szCs w:val="24"/>
          <w:highlight w:val="none"/>
        </w:rPr>
        <w:t>（在任何情况下不予上浮）</w:t>
      </w:r>
      <w:r>
        <w:rPr>
          <w:rFonts w:hint="eastAsia" w:cs="宋体"/>
          <w:color w:val="auto"/>
          <w:sz w:val="24"/>
          <w:szCs w:val="24"/>
          <w:highlight w:val="none"/>
          <w:lang w:eastAsia="zh-CN"/>
        </w:rPr>
        <w:t>。</w:t>
      </w:r>
      <w:r>
        <w:rPr>
          <w:rFonts w:hint="eastAsia" w:cs="宋体"/>
          <w:color w:val="auto"/>
          <w:sz w:val="24"/>
          <w:szCs w:val="24"/>
          <w:highlight w:val="none"/>
          <w:lang w:val="en-US" w:eastAsia="zh-CN"/>
        </w:rPr>
        <w:t>合同价款</w:t>
      </w:r>
      <w:r>
        <w:rPr>
          <w:rFonts w:hint="eastAsia"/>
          <w:color w:val="auto"/>
          <w:spacing w:val="-4"/>
          <w:highlight w:val="none"/>
          <w:lang w:val="en-US" w:eastAsia="zh-CN"/>
        </w:rPr>
        <w:t>组成见附件4《报价清单》，最终按本条第（三）款原则结算。</w:t>
      </w:r>
    </w:p>
    <w:p w14:paraId="35108361">
      <w:pPr>
        <w:pStyle w:val="8"/>
        <w:adjustRightInd w:val="0"/>
        <w:snapToGrid w:val="0"/>
        <w:spacing w:before="0" w:line="360" w:lineRule="auto"/>
        <w:ind w:left="0" w:right="357" w:firstLineChars="200"/>
        <w:jc w:val="left"/>
        <w:rPr>
          <w:rFonts w:hint="eastAsia"/>
          <w:color w:val="auto"/>
          <w:spacing w:val="-4"/>
          <w:highlight w:val="none"/>
          <w:lang w:eastAsia="zh-CN"/>
        </w:rPr>
      </w:pPr>
      <w:r>
        <w:rPr>
          <w:rFonts w:hint="eastAsia" w:ascii="宋体" w:hAnsi="宋体" w:cs="宋体"/>
          <w:color w:val="auto"/>
          <w:kern w:val="0"/>
          <w:sz w:val="24"/>
          <w:highlight w:val="none"/>
        </w:rPr>
        <w:t>本合同约定不含税价格不因国家税率变化而变化，若在合同履行期间，国家的税率调整</w:t>
      </w:r>
      <w:r>
        <w:rPr>
          <w:rFonts w:hint="eastAsia" w:ascii="宋体" w:hAnsi="宋体" w:eastAsia="宋体" w:cs="宋体"/>
          <w:color w:val="auto"/>
          <w:kern w:val="0"/>
          <w:sz w:val="24"/>
          <w:highlight w:val="none"/>
          <w:u w:val="none"/>
          <w:lang w:eastAsia="zh-CN"/>
        </w:rPr>
        <w:t>（</w:t>
      </w:r>
      <w:r>
        <w:rPr>
          <w:rFonts w:hint="eastAsia" w:ascii="宋体" w:hAnsi="宋体" w:eastAsia="宋体" w:cs="宋体"/>
          <w:i w:val="0"/>
          <w:iCs w:val="0"/>
          <w:caps w:val="0"/>
          <w:color w:val="auto"/>
          <w:spacing w:val="0"/>
          <w:kern w:val="0"/>
          <w:sz w:val="24"/>
          <w:szCs w:val="22"/>
          <w:highlight w:val="none"/>
          <w:u w:val="none"/>
          <w:shd w:val="clear"/>
        </w:rPr>
        <w:t>自国家税收法律法规或政策调整或地方税收政策改革之日起</w:t>
      </w:r>
      <w:r>
        <w:rPr>
          <w:rFonts w:hint="eastAsia" w:ascii="宋体" w:hAnsi="宋体" w:eastAsia="宋体" w:cs="宋体"/>
          <w:color w:val="auto"/>
          <w:kern w:val="0"/>
          <w:sz w:val="24"/>
          <w:highlight w:val="none"/>
          <w:u w:val="none"/>
          <w:lang w:eastAsia="zh-CN"/>
        </w:rPr>
        <w:t>）</w:t>
      </w:r>
      <w:r>
        <w:rPr>
          <w:rFonts w:hint="eastAsia" w:ascii="宋体" w:hAnsi="宋体" w:cs="宋体"/>
          <w:color w:val="auto"/>
          <w:kern w:val="0"/>
          <w:sz w:val="24"/>
          <w:highlight w:val="none"/>
          <w:u w:val="none"/>
        </w:rPr>
        <w:t>，则不含税价不变，价税合计（总价）相应调整，</w:t>
      </w:r>
      <w:r>
        <w:rPr>
          <w:rFonts w:hint="eastAsia" w:ascii="宋体" w:hAnsi="宋体" w:eastAsia="宋体" w:cs="宋体"/>
          <w:i w:val="0"/>
          <w:iCs w:val="0"/>
          <w:caps w:val="0"/>
          <w:color w:val="auto"/>
          <w:spacing w:val="0"/>
          <w:kern w:val="0"/>
          <w:sz w:val="24"/>
          <w:szCs w:val="22"/>
          <w:highlight w:val="none"/>
          <w:u w:val="none"/>
          <w:shd w:val="clear"/>
        </w:rPr>
        <w:t>未支付合同款项按最新税率计算并进行相应调整</w:t>
      </w:r>
      <w:r>
        <w:rPr>
          <w:rFonts w:hint="eastAsia"/>
          <w:color w:val="auto"/>
          <w:spacing w:val="-4"/>
          <w:highlight w:val="none"/>
          <w:lang w:eastAsia="zh-CN"/>
        </w:rPr>
        <w:t>。</w:t>
      </w:r>
    </w:p>
    <w:p w14:paraId="422B2DD5">
      <w:pPr>
        <w:pStyle w:val="22"/>
        <w:numPr>
          <w:ilvl w:val="0"/>
          <w:numId w:val="0"/>
        </w:numPr>
        <w:tabs>
          <w:tab w:val="left" w:pos="1080"/>
        </w:tabs>
        <w:adjustRightInd w:val="0"/>
        <w:snapToGrid w:val="0"/>
        <w:spacing w:before="0" w:line="360" w:lineRule="auto"/>
        <w:ind w:left="0" w:firstLine="480" w:firstLineChars="200"/>
        <w:jc w:val="both"/>
        <w:rPr>
          <w:rFonts w:hint="eastAsia"/>
          <w:color w:val="auto"/>
          <w:sz w:val="24"/>
          <w:highlight w:val="none"/>
          <w:lang w:eastAsia="zh-CN"/>
        </w:rPr>
      </w:pPr>
      <w:r>
        <w:rPr>
          <w:rFonts w:hint="eastAsia"/>
          <w:color w:val="auto"/>
          <w:sz w:val="24"/>
          <w:highlight w:val="none"/>
          <w:lang w:eastAsia="zh-CN"/>
        </w:rPr>
        <w:t>（</w:t>
      </w:r>
      <w:r>
        <w:rPr>
          <w:rFonts w:hint="eastAsia"/>
          <w:color w:val="auto"/>
          <w:sz w:val="24"/>
          <w:highlight w:val="none"/>
          <w:lang w:val="en-US" w:eastAsia="zh-CN"/>
        </w:rPr>
        <w:t>二</w:t>
      </w:r>
      <w:r>
        <w:rPr>
          <w:rFonts w:hint="eastAsia"/>
          <w:color w:val="auto"/>
          <w:sz w:val="24"/>
          <w:highlight w:val="none"/>
          <w:lang w:eastAsia="zh-CN"/>
        </w:rPr>
        <w:t>）</w:t>
      </w:r>
      <w:r>
        <w:rPr>
          <w:rFonts w:hint="eastAsia"/>
          <w:color w:val="auto"/>
          <w:sz w:val="24"/>
          <w:highlight w:val="none"/>
        </w:rPr>
        <w:t>支付方式</w:t>
      </w:r>
    </w:p>
    <w:p w14:paraId="530A7E9F">
      <w:pPr>
        <w:pStyle w:val="8"/>
        <w:adjustRightInd w:val="0"/>
        <w:snapToGrid w:val="0"/>
        <w:spacing w:before="0" w:line="360" w:lineRule="auto"/>
        <w:ind w:left="0" w:right="357" w:firstLineChars="200"/>
        <w:jc w:val="both"/>
        <w:rPr>
          <w:rFonts w:hint="eastAsia"/>
          <w:color w:val="auto"/>
          <w:spacing w:val="0"/>
          <w:highlight w:val="none"/>
          <w:lang w:val="en-US" w:eastAsia="zh-CN"/>
        </w:rPr>
      </w:pPr>
      <w:r>
        <w:rPr>
          <w:rFonts w:hint="eastAsia"/>
          <w:color w:val="auto"/>
          <w:spacing w:val="0"/>
          <w:highlight w:val="none"/>
          <w:lang w:val="en-US" w:eastAsia="zh-CN"/>
        </w:rPr>
        <w:t>1.</w:t>
      </w:r>
      <w:r>
        <w:rPr>
          <w:rFonts w:hint="eastAsia" w:ascii="宋体" w:hAnsi="宋体" w:eastAsia="宋体" w:cs="宋体"/>
          <w:color w:val="auto"/>
          <w:sz w:val="24"/>
          <w:szCs w:val="22"/>
          <w:highlight w:val="none"/>
          <w:u w:val="none"/>
        </w:rPr>
        <w:t>合同签订生效，保险人出具</w:t>
      </w:r>
      <w:r>
        <w:rPr>
          <w:rFonts w:hint="eastAsia" w:cs="宋体"/>
          <w:color w:val="auto"/>
          <w:sz w:val="24"/>
          <w:szCs w:val="22"/>
          <w:highlight w:val="none"/>
          <w:u w:val="none"/>
          <w:lang w:val="en-US" w:eastAsia="zh-CN"/>
        </w:rPr>
        <w:t>书面盖章的</w:t>
      </w:r>
      <w:r>
        <w:rPr>
          <w:rFonts w:hint="eastAsia" w:ascii="宋体" w:hAnsi="宋体" w:eastAsia="宋体" w:cs="宋体"/>
          <w:color w:val="auto"/>
          <w:sz w:val="24"/>
          <w:szCs w:val="22"/>
          <w:highlight w:val="none"/>
          <w:u w:val="none"/>
        </w:rPr>
        <w:t>投保单经投保人书面确认后20个工作日内，投保人一次性支付本合同暂定价，保险人在5个工作日内出具正式保险单并同时向投保人提交符合投保人要求的等额合法有效的增值税专用发票</w:t>
      </w:r>
      <w:r>
        <w:rPr>
          <w:rFonts w:hint="eastAsia"/>
          <w:color w:val="auto"/>
          <w:spacing w:val="0"/>
          <w:highlight w:val="none"/>
          <w:lang w:val="en-US" w:eastAsia="zh-CN"/>
        </w:rPr>
        <w:t>。</w:t>
      </w:r>
    </w:p>
    <w:p w14:paraId="5E7FE639">
      <w:pPr>
        <w:pStyle w:val="8"/>
        <w:numPr>
          <w:ilvl w:val="0"/>
          <w:numId w:val="0"/>
        </w:numPr>
        <w:adjustRightInd w:val="0"/>
        <w:snapToGrid w:val="0"/>
        <w:spacing w:before="0" w:line="360" w:lineRule="auto"/>
        <w:ind w:left="0" w:right="357" w:firstLine="480" w:firstLineChars="200"/>
        <w:jc w:val="both"/>
        <w:rPr>
          <w:rFonts w:hint="eastAsia"/>
          <w:color w:val="auto"/>
          <w:spacing w:val="-4"/>
          <w:highlight w:val="none"/>
          <w:lang w:eastAsia="zh-CN"/>
        </w:rPr>
      </w:pPr>
      <w:r>
        <w:rPr>
          <w:rFonts w:hint="eastAsia"/>
          <w:color w:val="auto"/>
          <w:spacing w:val="0"/>
          <w:highlight w:val="none"/>
          <w:lang w:val="en-US" w:eastAsia="zh-CN"/>
        </w:rPr>
        <w:t>2.</w:t>
      </w:r>
      <w:r>
        <w:rPr>
          <w:rFonts w:hint="eastAsia"/>
          <w:color w:val="auto"/>
          <w:spacing w:val="-4"/>
          <w:highlight w:val="none"/>
          <w:lang w:val="en-US" w:eastAsia="zh-CN"/>
        </w:rPr>
        <w:t>本项目保险范围内建筑安装施工合同结算审定并收到投保人书面通知之日起15日内</w:t>
      </w:r>
      <w:r>
        <w:rPr>
          <w:rFonts w:hint="eastAsia"/>
          <w:color w:val="auto"/>
          <w:spacing w:val="-4"/>
          <w:highlight w:val="none"/>
          <w:lang w:eastAsia="zh-CN"/>
        </w:rPr>
        <w:t>，</w:t>
      </w:r>
      <w:r>
        <w:rPr>
          <w:rFonts w:hint="eastAsia"/>
          <w:color w:val="auto"/>
          <w:spacing w:val="0"/>
          <w:highlight w:val="none"/>
          <w:lang w:val="en-US" w:eastAsia="zh-CN"/>
        </w:rPr>
        <w:t>保险人须向投保人</w:t>
      </w:r>
      <w:r>
        <w:rPr>
          <w:rFonts w:hint="eastAsia"/>
          <w:color w:val="auto"/>
          <w:spacing w:val="-4"/>
          <w:highlight w:val="none"/>
          <w:lang w:eastAsia="zh-CN"/>
        </w:rPr>
        <w:t>提交</w:t>
      </w:r>
      <w:r>
        <w:rPr>
          <w:rFonts w:hint="eastAsia"/>
          <w:color w:val="auto"/>
          <w:spacing w:val="-4"/>
          <w:highlight w:val="none"/>
          <w:lang w:val="en-US" w:eastAsia="zh-CN"/>
        </w:rPr>
        <w:t>保险服务合同结算书</w:t>
      </w:r>
      <w:r>
        <w:rPr>
          <w:rFonts w:hint="eastAsia"/>
          <w:color w:val="auto"/>
          <w:spacing w:val="-4"/>
          <w:highlight w:val="none"/>
          <w:lang w:eastAsia="zh-CN"/>
        </w:rPr>
        <w:t>，经投保人或</w:t>
      </w:r>
      <w:r>
        <w:rPr>
          <w:rFonts w:hint="eastAsia"/>
          <w:color w:val="auto"/>
          <w:spacing w:val="-4"/>
          <w:highlight w:val="none"/>
          <w:lang w:val="en-US" w:eastAsia="zh-CN"/>
        </w:rPr>
        <w:t>合同</w:t>
      </w:r>
      <w:r>
        <w:rPr>
          <w:rFonts w:hint="eastAsia"/>
          <w:color w:val="auto"/>
          <w:spacing w:val="-4"/>
          <w:highlight w:val="none"/>
          <w:lang w:eastAsia="zh-CN"/>
        </w:rPr>
        <w:t>结算终审单位审定后，</w:t>
      </w:r>
      <w:r>
        <w:rPr>
          <w:rFonts w:hint="eastAsia"/>
          <w:color w:val="auto"/>
          <w:spacing w:val="-4"/>
          <w:highlight w:val="none"/>
          <w:lang w:val="en-US" w:eastAsia="zh-CN"/>
        </w:rPr>
        <w:t>按保险服务</w:t>
      </w:r>
      <w:r>
        <w:rPr>
          <w:rFonts w:hint="eastAsia"/>
          <w:color w:val="auto"/>
          <w:spacing w:val="-4"/>
          <w:highlight w:val="none"/>
          <w:lang w:eastAsia="zh-CN"/>
        </w:rPr>
        <w:t>合同结算</w:t>
      </w:r>
      <w:r>
        <w:rPr>
          <w:rFonts w:hint="eastAsia"/>
          <w:color w:val="auto"/>
          <w:spacing w:val="-4"/>
          <w:highlight w:val="none"/>
          <w:lang w:val="en-US" w:eastAsia="zh-CN"/>
        </w:rPr>
        <w:t>审定价办理结算；保险人未按时向投保人提交保险服务合同结算书的，投保人有权单方面出具保险服务合同结算审定意见。保险服务</w:t>
      </w:r>
      <w:r>
        <w:rPr>
          <w:rFonts w:hint="eastAsia"/>
          <w:color w:val="auto"/>
          <w:sz w:val="24"/>
          <w:highlight w:val="none"/>
          <w:lang w:val="en-US" w:eastAsia="zh-CN"/>
        </w:rPr>
        <w:t>合同结算审定价小于合同暂定价时，</w:t>
      </w:r>
      <w:r>
        <w:rPr>
          <w:rFonts w:hint="eastAsia"/>
          <w:color w:val="auto"/>
          <w:spacing w:val="-4"/>
          <w:highlight w:val="none"/>
          <w:lang w:eastAsia="zh-CN"/>
        </w:rPr>
        <w:t>保险人应在收到投保人书面通知之日起30日内返还多收的款项</w:t>
      </w:r>
      <w:r>
        <w:rPr>
          <w:rFonts w:hint="eastAsia"/>
          <w:color w:val="auto"/>
          <w:spacing w:val="-4"/>
          <w:highlight w:val="none"/>
          <w:lang w:val="en-US" w:eastAsia="zh-CN"/>
        </w:rPr>
        <w:t>以及利息（自投保人支付合同暂定价之日起至保险人实际返还多收款项之日，以多收的款项为基数按一年期贷款市场报价利率计算利息）</w:t>
      </w:r>
      <w:r>
        <w:rPr>
          <w:rFonts w:hint="eastAsia"/>
          <w:color w:val="auto"/>
          <w:spacing w:val="-4"/>
          <w:highlight w:val="none"/>
          <w:lang w:eastAsia="zh-CN"/>
        </w:rPr>
        <w:t>，否则，投保人有权向保险人追索，保险人除应足额返还多收的款项及利息外，还应每天按多收款项总金额的</w:t>
      </w:r>
      <w:r>
        <w:rPr>
          <w:rFonts w:hint="eastAsia"/>
          <w:color w:val="auto"/>
          <w:spacing w:val="-4"/>
          <w:highlight w:val="none"/>
          <w:lang w:val="en-US" w:eastAsia="zh-CN"/>
        </w:rPr>
        <w:t>万分之三</w:t>
      </w:r>
      <w:r>
        <w:rPr>
          <w:rFonts w:hint="eastAsia"/>
          <w:color w:val="auto"/>
          <w:spacing w:val="-4"/>
          <w:highlight w:val="none"/>
          <w:lang w:eastAsia="zh-CN"/>
        </w:rPr>
        <w:t>向投保人支付违约金。</w:t>
      </w:r>
    </w:p>
    <w:p w14:paraId="0C8C2329">
      <w:pPr>
        <w:pStyle w:val="8"/>
        <w:adjustRightInd w:val="0"/>
        <w:snapToGrid w:val="0"/>
        <w:spacing w:before="0" w:line="360" w:lineRule="auto"/>
        <w:ind w:left="0" w:right="357" w:firstLine="480" w:firstLineChars="200"/>
        <w:jc w:val="both"/>
        <w:rPr>
          <w:rFonts w:hint="eastAsia"/>
          <w:color w:val="auto"/>
          <w:spacing w:val="-4"/>
          <w:highlight w:val="none"/>
          <w:lang w:eastAsia="zh-CN"/>
        </w:rPr>
      </w:pPr>
      <w:r>
        <w:rPr>
          <w:rFonts w:hint="eastAsia"/>
          <w:color w:val="auto"/>
          <w:spacing w:val="0"/>
          <w:highlight w:val="none"/>
          <w:lang w:eastAsia="zh-CN"/>
        </w:rPr>
        <w:t>3</w:t>
      </w:r>
      <w:r>
        <w:rPr>
          <w:rFonts w:hint="eastAsia"/>
          <w:color w:val="auto"/>
          <w:spacing w:val="-4"/>
          <w:highlight w:val="none"/>
          <w:lang w:val="en-US" w:eastAsia="zh-CN"/>
        </w:rPr>
        <w:t>.</w:t>
      </w:r>
      <w:r>
        <w:rPr>
          <w:rFonts w:hint="eastAsia"/>
          <w:color w:val="auto"/>
          <w:spacing w:val="-4"/>
          <w:highlight w:val="none"/>
          <w:lang w:eastAsia="zh-CN"/>
        </w:rPr>
        <w:t>投保人付款前，保险人均需按投保人财务管理制度办理书面支付申请手续，否则投保人有权顺延支付合同款项且不构成违约，保险人仍须按照本合同约定履行义务。</w:t>
      </w:r>
    </w:p>
    <w:p w14:paraId="6B542E0D">
      <w:pPr>
        <w:pStyle w:val="8"/>
        <w:adjustRightInd w:val="0"/>
        <w:snapToGrid w:val="0"/>
        <w:spacing w:before="0" w:line="360" w:lineRule="auto"/>
        <w:ind w:right="357"/>
        <w:jc w:val="both"/>
        <w:rPr>
          <w:rFonts w:hint="eastAsia"/>
          <w:color w:val="auto"/>
          <w:spacing w:val="-4"/>
          <w:highlight w:val="none"/>
          <w:lang w:eastAsia="zh-CN"/>
        </w:rPr>
      </w:pPr>
      <w:r>
        <w:rPr>
          <w:rFonts w:hint="eastAsia"/>
          <w:color w:val="auto"/>
          <w:spacing w:val="-4"/>
          <w:highlight w:val="none"/>
          <w:lang w:val="en-US" w:eastAsia="zh-CN"/>
        </w:rPr>
        <w:t>4.</w:t>
      </w:r>
      <w:r>
        <w:rPr>
          <w:rFonts w:hint="eastAsia"/>
          <w:color w:val="auto"/>
          <w:spacing w:val="-4"/>
          <w:highlight w:val="none"/>
          <w:lang w:eastAsia="zh-CN"/>
        </w:rPr>
        <w:t>因保险人提供的发票不规范、不合法引发的税务及其他一切法律责任由保险人承担，且保险人还应向投保人承担赔偿责任，包括但不限于承担相关税款、滞纳金、罚款及赔偿相关损失等。</w:t>
      </w:r>
    </w:p>
    <w:p w14:paraId="0B3B7C73">
      <w:pPr>
        <w:pStyle w:val="8"/>
        <w:adjustRightInd w:val="0"/>
        <w:snapToGrid w:val="0"/>
        <w:spacing w:before="0" w:line="360" w:lineRule="auto"/>
        <w:ind w:right="357"/>
        <w:jc w:val="both"/>
        <w:rPr>
          <w:rFonts w:hint="eastAsia"/>
          <w:color w:val="auto"/>
          <w:spacing w:val="-4"/>
          <w:highlight w:val="none"/>
          <w:lang w:eastAsia="zh-CN"/>
        </w:rPr>
      </w:pPr>
      <w:r>
        <w:rPr>
          <w:rFonts w:hint="eastAsia"/>
          <w:color w:val="auto"/>
          <w:spacing w:val="-4"/>
          <w:highlight w:val="none"/>
          <w:lang w:val="en-US" w:eastAsia="zh-CN"/>
        </w:rPr>
        <w:t>5.</w:t>
      </w:r>
      <w:r>
        <w:rPr>
          <w:rFonts w:hint="eastAsia"/>
          <w:color w:val="auto"/>
          <w:spacing w:val="-4"/>
          <w:highlight w:val="none"/>
          <w:lang w:eastAsia="zh-CN"/>
        </w:rPr>
        <w:t xml:space="preserve"> 如本项目资金来源涉及财政资金、专项债劵资金或其他政府专项资金的，则</w:t>
      </w:r>
      <w:r>
        <w:rPr>
          <w:rFonts w:hint="eastAsia"/>
          <w:color w:val="auto"/>
          <w:spacing w:val="-4"/>
          <w:highlight w:val="none"/>
          <w:lang w:val="en-US" w:eastAsia="zh-CN"/>
        </w:rPr>
        <w:t>投保人</w:t>
      </w:r>
      <w:r>
        <w:rPr>
          <w:rFonts w:hint="eastAsia"/>
          <w:color w:val="auto"/>
          <w:spacing w:val="-4"/>
          <w:highlight w:val="none"/>
          <w:lang w:eastAsia="zh-CN"/>
        </w:rPr>
        <w:t>向</w:t>
      </w:r>
      <w:r>
        <w:rPr>
          <w:rFonts w:hint="eastAsia"/>
          <w:color w:val="auto"/>
          <w:spacing w:val="-4"/>
          <w:highlight w:val="none"/>
          <w:lang w:val="en-US" w:eastAsia="zh-CN"/>
        </w:rPr>
        <w:t>保险人</w:t>
      </w:r>
      <w:r>
        <w:rPr>
          <w:rFonts w:hint="eastAsia"/>
          <w:color w:val="auto"/>
          <w:spacing w:val="-4"/>
          <w:highlight w:val="none"/>
          <w:lang w:eastAsia="zh-CN"/>
        </w:rPr>
        <w:t>支付条件还应包括前述资金获得政府或相关部门批准且拨付到位，若由于政府或相关部门审批、拨付资金未完成等非</w:t>
      </w:r>
      <w:r>
        <w:rPr>
          <w:rFonts w:hint="eastAsia"/>
          <w:color w:val="auto"/>
          <w:spacing w:val="-4"/>
          <w:highlight w:val="none"/>
          <w:lang w:val="en-US" w:eastAsia="zh-CN"/>
        </w:rPr>
        <w:t>投保人</w:t>
      </w:r>
      <w:r>
        <w:rPr>
          <w:rFonts w:hint="eastAsia"/>
          <w:color w:val="auto"/>
          <w:spacing w:val="-4"/>
          <w:highlight w:val="none"/>
          <w:lang w:eastAsia="zh-CN"/>
        </w:rPr>
        <w:t>原因导致</w:t>
      </w:r>
      <w:r>
        <w:rPr>
          <w:rFonts w:hint="eastAsia"/>
          <w:color w:val="auto"/>
          <w:spacing w:val="-4"/>
          <w:highlight w:val="none"/>
          <w:lang w:val="en-US" w:eastAsia="zh-CN"/>
        </w:rPr>
        <w:t>投保人</w:t>
      </w:r>
      <w:r>
        <w:rPr>
          <w:rFonts w:hint="eastAsia"/>
          <w:color w:val="auto"/>
          <w:spacing w:val="-4"/>
          <w:highlight w:val="none"/>
          <w:lang w:eastAsia="zh-CN"/>
        </w:rPr>
        <w:t>向</w:t>
      </w:r>
      <w:r>
        <w:rPr>
          <w:rFonts w:hint="eastAsia"/>
          <w:color w:val="auto"/>
          <w:spacing w:val="-4"/>
          <w:highlight w:val="none"/>
          <w:lang w:val="en-US" w:eastAsia="zh-CN"/>
        </w:rPr>
        <w:t>保险人</w:t>
      </w:r>
      <w:r>
        <w:rPr>
          <w:rFonts w:hint="eastAsia"/>
          <w:color w:val="auto"/>
          <w:spacing w:val="-4"/>
          <w:highlight w:val="none"/>
          <w:lang w:eastAsia="zh-CN"/>
        </w:rPr>
        <w:t>付款超过上述约定支付期限的，</w:t>
      </w:r>
      <w:r>
        <w:rPr>
          <w:rFonts w:hint="eastAsia"/>
          <w:color w:val="auto"/>
          <w:spacing w:val="-4"/>
          <w:highlight w:val="none"/>
          <w:lang w:val="en-US" w:eastAsia="zh-CN"/>
        </w:rPr>
        <w:t>投保人</w:t>
      </w:r>
      <w:r>
        <w:rPr>
          <w:rFonts w:hint="eastAsia"/>
          <w:color w:val="auto"/>
          <w:spacing w:val="-4"/>
          <w:highlight w:val="none"/>
          <w:lang w:eastAsia="zh-CN"/>
        </w:rPr>
        <w:t>不承担任何违约责任，且</w:t>
      </w:r>
      <w:r>
        <w:rPr>
          <w:rFonts w:hint="eastAsia"/>
          <w:color w:val="auto"/>
          <w:spacing w:val="-4"/>
          <w:highlight w:val="none"/>
          <w:lang w:val="en-US" w:eastAsia="zh-CN"/>
        </w:rPr>
        <w:t>保险人</w:t>
      </w:r>
      <w:r>
        <w:rPr>
          <w:rFonts w:hint="eastAsia"/>
          <w:color w:val="auto"/>
          <w:spacing w:val="-4"/>
          <w:highlight w:val="none"/>
          <w:lang w:eastAsia="zh-CN"/>
        </w:rPr>
        <w:t>仍须按本合同约定履行义务。</w:t>
      </w:r>
    </w:p>
    <w:p w14:paraId="591ABB97">
      <w:pPr>
        <w:pStyle w:val="8"/>
        <w:adjustRightInd w:val="0"/>
        <w:snapToGrid w:val="0"/>
        <w:spacing w:before="0" w:line="360" w:lineRule="auto"/>
        <w:ind w:right="357"/>
        <w:jc w:val="both"/>
        <w:rPr>
          <w:rFonts w:hint="eastAsia"/>
          <w:color w:val="auto"/>
          <w:spacing w:val="-4"/>
          <w:highlight w:val="none"/>
          <w:lang w:val="en-US" w:eastAsia="zh-CN"/>
        </w:rPr>
      </w:pPr>
      <w:r>
        <w:rPr>
          <w:rFonts w:hint="eastAsia"/>
          <w:color w:val="auto"/>
          <w:spacing w:val="-4"/>
          <w:highlight w:val="none"/>
          <w:lang w:val="en-US" w:eastAsia="zh-CN"/>
        </w:rPr>
        <w:t>6.如本项目建设资金为申请专项债券资金支付，为配合资金监管，保障政府专项债券资金支付款项的安全、有效使用，提高专项债券资金支付的透明度和规范性，保险人理解并同意其收款账户银行与项目申请政府专项债的投保人拨款账户银行保持一致。</w:t>
      </w:r>
    </w:p>
    <w:p w14:paraId="084EA389">
      <w:pPr>
        <w:pStyle w:val="22"/>
        <w:numPr>
          <w:ilvl w:val="-1"/>
          <w:numId w:val="0"/>
        </w:numPr>
        <w:tabs>
          <w:tab w:val="left" w:pos="1200"/>
        </w:tabs>
        <w:adjustRightInd w:val="0"/>
        <w:snapToGrid w:val="0"/>
        <w:spacing w:before="0" w:line="360" w:lineRule="auto"/>
        <w:ind w:left="0" w:leftChars="0" w:firstLine="424" w:firstLineChars="200"/>
        <w:jc w:val="both"/>
        <w:rPr>
          <w:rFonts w:hint="eastAsia"/>
          <w:color w:val="auto"/>
          <w:sz w:val="24"/>
          <w:highlight w:val="none"/>
          <w:lang w:val="en-US" w:eastAsia="zh-CN"/>
        </w:rPr>
      </w:pPr>
      <w:r>
        <w:rPr>
          <w:rFonts w:hint="eastAsia"/>
          <w:color w:val="auto"/>
          <w:spacing w:val="-4"/>
          <w:highlight w:val="none"/>
          <w:lang w:eastAsia="zh-CN"/>
        </w:rPr>
        <w:t>（</w:t>
      </w:r>
      <w:r>
        <w:rPr>
          <w:rFonts w:hint="eastAsia"/>
          <w:color w:val="auto"/>
          <w:spacing w:val="-4"/>
          <w:highlight w:val="none"/>
          <w:lang w:val="en-US" w:eastAsia="zh-CN"/>
        </w:rPr>
        <w:t>三</w:t>
      </w:r>
      <w:r>
        <w:rPr>
          <w:rFonts w:hint="eastAsia"/>
          <w:color w:val="auto"/>
          <w:spacing w:val="-4"/>
          <w:highlight w:val="none"/>
          <w:lang w:eastAsia="zh-CN"/>
        </w:rPr>
        <w:t>）</w:t>
      </w:r>
      <w:r>
        <w:rPr>
          <w:rFonts w:hint="eastAsia"/>
          <w:color w:val="auto"/>
          <w:sz w:val="24"/>
          <w:highlight w:val="none"/>
          <w:lang w:val="en-US" w:eastAsia="zh-CN"/>
        </w:rPr>
        <w:t>结算原则及结算方式</w:t>
      </w:r>
    </w:p>
    <w:p w14:paraId="1962B9F7">
      <w:pPr>
        <w:pStyle w:val="8"/>
        <w:adjustRightInd w:val="0"/>
        <w:snapToGrid w:val="0"/>
        <w:spacing w:before="0" w:line="360" w:lineRule="auto"/>
        <w:ind w:left="0" w:firstLineChars="200"/>
        <w:jc w:val="both"/>
        <w:rPr>
          <w:rFonts w:hint="default"/>
          <w:color w:val="auto"/>
          <w:sz w:val="24"/>
          <w:highlight w:val="none"/>
          <w:lang w:eastAsia="zh-CN"/>
        </w:rPr>
      </w:pPr>
      <w:r>
        <w:rPr>
          <w:rFonts w:hint="default"/>
          <w:color w:val="auto"/>
          <w:sz w:val="24"/>
          <w:highlight w:val="none"/>
          <w:lang w:val="en-US" w:eastAsia="zh-CN"/>
        </w:rPr>
        <w:t>本项目</w:t>
      </w:r>
      <w:r>
        <w:rPr>
          <w:rFonts w:hint="default"/>
          <w:color w:val="auto"/>
          <w:sz w:val="24"/>
          <w:highlight w:val="none"/>
          <w:lang w:eastAsia="zh-CN"/>
        </w:rPr>
        <w:t>保险范围内建筑安装施工合同结算</w:t>
      </w:r>
      <w:r>
        <w:rPr>
          <w:rFonts w:hint="eastAsia"/>
          <w:color w:val="auto"/>
          <w:sz w:val="24"/>
          <w:highlight w:val="none"/>
          <w:lang w:val="en-US" w:eastAsia="zh-CN"/>
        </w:rPr>
        <w:t>经有权终审部门</w:t>
      </w:r>
      <w:r>
        <w:rPr>
          <w:rFonts w:hint="default"/>
          <w:color w:val="auto"/>
          <w:sz w:val="24"/>
          <w:highlight w:val="none"/>
          <w:lang w:eastAsia="zh-CN"/>
        </w:rPr>
        <w:t>审定后，</w:t>
      </w:r>
      <w:r>
        <w:rPr>
          <w:rFonts w:hint="default"/>
          <w:color w:val="auto"/>
          <w:sz w:val="24"/>
          <w:highlight w:val="none"/>
          <w:lang w:val="en-US" w:eastAsia="zh-CN"/>
        </w:rPr>
        <w:t>以该施工合同</w:t>
      </w:r>
      <w:r>
        <w:rPr>
          <w:rFonts w:hint="eastAsia"/>
          <w:color w:val="auto"/>
          <w:sz w:val="24"/>
          <w:highlight w:val="none"/>
          <w:lang w:val="en-US" w:eastAsia="zh-CN"/>
        </w:rPr>
        <w:t>最终</w:t>
      </w:r>
      <w:r>
        <w:rPr>
          <w:rFonts w:hint="default"/>
          <w:color w:val="auto"/>
          <w:sz w:val="24"/>
          <w:highlight w:val="none"/>
          <w:lang w:eastAsia="zh-CN"/>
        </w:rPr>
        <w:t>结算</w:t>
      </w:r>
      <w:r>
        <w:rPr>
          <w:rFonts w:hint="default"/>
          <w:color w:val="auto"/>
          <w:sz w:val="24"/>
          <w:highlight w:val="none"/>
          <w:lang w:val="en-US" w:eastAsia="zh-CN"/>
        </w:rPr>
        <w:t>价</w:t>
      </w:r>
      <w:r>
        <w:rPr>
          <w:rFonts w:hint="default"/>
          <w:color w:val="auto"/>
          <w:sz w:val="24"/>
          <w:highlight w:val="none"/>
          <w:lang w:eastAsia="zh-CN"/>
        </w:rPr>
        <w:t>为</w:t>
      </w:r>
      <w:r>
        <w:rPr>
          <w:rFonts w:hint="eastAsia"/>
          <w:color w:val="auto"/>
          <w:sz w:val="24"/>
          <w:highlight w:val="none"/>
          <w:lang w:val="en-US" w:eastAsia="zh-CN"/>
        </w:rPr>
        <w:t>保险费</w:t>
      </w:r>
      <w:r>
        <w:rPr>
          <w:rFonts w:hint="default"/>
          <w:color w:val="auto"/>
          <w:sz w:val="24"/>
          <w:highlight w:val="none"/>
          <w:lang w:eastAsia="zh-CN"/>
        </w:rPr>
        <w:t>计算基</w:t>
      </w:r>
      <w:r>
        <w:rPr>
          <w:rFonts w:hint="default"/>
          <w:color w:val="auto"/>
          <w:sz w:val="24"/>
          <w:highlight w:val="none"/>
          <w:lang w:val="en-US" w:eastAsia="zh-CN"/>
        </w:rPr>
        <w:t>数</w:t>
      </w:r>
      <w:r>
        <w:rPr>
          <w:rFonts w:hint="default"/>
          <w:color w:val="auto"/>
          <w:sz w:val="24"/>
          <w:highlight w:val="none"/>
          <w:lang w:eastAsia="zh-CN"/>
        </w:rPr>
        <w:t>乘以合同约定保险费率得出的</w:t>
      </w:r>
      <w:r>
        <w:rPr>
          <w:rFonts w:hint="default"/>
          <w:color w:val="auto"/>
          <w:sz w:val="24"/>
          <w:highlight w:val="none"/>
          <w:lang w:val="en-US" w:eastAsia="zh-CN"/>
        </w:rPr>
        <w:t>保险费</w:t>
      </w:r>
      <w:r>
        <w:rPr>
          <w:rFonts w:hint="default"/>
          <w:color w:val="auto"/>
          <w:sz w:val="24"/>
          <w:highlight w:val="none"/>
          <w:lang w:eastAsia="zh-CN"/>
        </w:rPr>
        <w:t>金额，</w:t>
      </w:r>
      <w:r>
        <w:rPr>
          <w:rFonts w:hint="default"/>
          <w:color w:val="auto"/>
          <w:sz w:val="24"/>
          <w:highlight w:val="none"/>
          <w:lang w:val="en-US" w:eastAsia="zh-CN"/>
        </w:rPr>
        <w:t>与按照保险范围内项目</w:t>
      </w:r>
      <w:bookmarkStart w:id="16" w:name="_GoBack"/>
      <w:bookmarkEnd w:id="16"/>
      <w:r>
        <w:rPr>
          <w:rFonts w:hint="eastAsia"/>
          <w:color w:val="auto"/>
          <w:sz w:val="24"/>
          <w:highlight w:val="none"/>
          <w:lang w:val="en-US" w:eastAsia="zh-CN"/>
        </w:rPr>
        <w:t>竣工</w:t>
      </w:r>
      <w:r>
        <w:rPr>
          <w:rFonts w:hint="default"/>
          <w:color w:val="auto"/>
          <w:sz w:val="24"/>
          <w:highlight w:val="none"/>
          <w:lang w:val="en-US" w:eastAsia="zh-CN"/>
        </w:rPr>
        <w:t>验收的面积，根据</w:t>
      </w:r>
      <w:r>
        <w:rPr>
          <w:rFonts w:hint="default" w:eastAsia="宋体"/>
          <w:color w:val="auto"/>
          <w:sz w:val="24"/>
          <w:szCs w:val="24"/>
          <w:highlight w:val="none"/>
          <w:lang w:eastAsia="zh-CN"/>
        </w:rPr>
        <w:t>《广州市建设工程造价管理站关于发布广州市房屋建筑工程2024年度参考造价的通知》（穗建造价〔2024〕145号）建筑安装工程造价</w:t>
      </w:r>
      <w:r>
        <w:rPr>
          <w:rFonts w:hint="eastAsia"/>
          <w:color w:val="auto"/>
          <w:sz w:val="24"/>
          <w:szCs w:val="24"/>
          <w:highlight w:val="none"/>
          <w:lang w:val="en-US" w:eastAsia="zh-CN"/>
        </w:rPr>
        <w:t>的90</w:t>
      </w:r>
      <w:r>
        <w:rPr>
          <w:rFonts w:hint="default" w:eastAsia="宋体"/>
          <w:color w:val="auto"/>
          <w:sz w:val="24"/>
          <w:szCs w:val="24"/>
          <w:highlight w:val="none"/>
          <w:lang w:eastAsia="zh-CN"/>
        </w:rPr>
        <w:t>%为保</w:t>
      </w:r>
      <w:r>
        <w:rPr>
          <w:rFonts w:hint="eastAsia"/>
          <w:color w:val="auto"/>
          <w:sz w:val="24"/>
          <w:szCs w:val="24"/>
          <w:highlight w:val="none"/>
          <w:lang w:val="en-US" w:eastAsia="zh-CN"/>
        </w:rPr>
        <w:t>险</w:t>
      </w:r>
      <w:r>
        <w:rPr>
          <w:rFonts w:hint="default" w:eastAsia="宋体"/>
          <w:color w:val="auto"/>
          <w:sz w:val="24"/>
          <w:szCs w:val="24"/>
          <w:highlight w:val="none"/>
          <w:lang w:eastAsia="zh-CN"/>
        </w:rPr>
        <w:t>费计算基数</w:t>
      </w:r>
      <w:r>
        <w:rPr>
          <w:rFonts w:hint="default"/>
          <w:color w:val="auto"/>
          <w:sz w:val="24"/>
          <w:highlight w:val="none"/>
          <w:lang w:eastAsia="zh-CN"/>
        </w:rPr>
        <w:t>乘以合同约定保险费率得出的</w:t>
      </w:r>
      <w:r>
        <w:rPr>
          <w:rFonts w:hint="default"/>
          <w:color w:val="auto"/>
          <w:sz w:val="24"/>
          <w:highlight w:val="none"/>
          <w:lang w:val="en-US" w:eastAsia="zh-CN"/>
        </w:rPr>
        <w:t>保险</w:t>
      </w:r>
      <w:r>
        <w:rPr>
          <w:rFonts w:hint="eastAsia"/>
          <w:color w:val="auto"/>
          <w:sz w:val="24"/>
          <w:highlight w:val="none"/>
          <w:lang w:val="en-US" w:eastAsia="zh-CN"/>
        </w:rPr>
        <w:t>费</w:t>
      </w:r>
      <w:r>
        <w:rPr>
          <w:rFonts w:hint="default"/>
          <w:color w:val="auto"/>
          <w:sz w:val="24"/>
          <w:highlight w:val="none"/>
          <w:lang w:eastAsia="zh-CN"/>
        </w:rPr>
        <w:t>金额</w:t>
      </w:r>
      <w:r>
        <w:rPr>
          <w:rFonts w:hint="eastAsia"/>
          <w:color w:val="auto"/>
          <w:sz w:val="24"/>
          <w:highlight w:val="none"/>
          <w:lang w:eastAsia="zh-CN"/>
        </w:rPr>
        <w:t>、</w:t>
      </w:r>
      <w:r>
        <w:rPr>
          <w:rFonts w:hint="eastAsia"/>
          <w:color w:val="auto"/>
          <w:sz w:val="24"/>
          <w:highlight w:val="none"/>
          <w:lang w:val="en-US" w:eastAsia="zh-CN"/>
        </w:rPr>
        <w:t>本合同暂定价</w:t>
      </w:r>
      <w:r>
        <w:rPr>
          <w:rFonts w:hint="default"/>
          <w:color w:val="auto"/>
          <w:sz w:val="24"/>
          <w:highlight w:val="none"/>
          <w:lang w:val="en-US" w:eastAsia="zh-CN"/>
        </w:rPr>
        <w:t>对比</w:t>
      </w:r>
      <w:r>
        <w:rPr>
          <w:rFonts w:hint="default"/>
          <w:color w:val="auto"/>
          <w:sz w:val="24"/>
          <w:highlight w:val="none"/>
          <w:lang w:eastAsia="zh-CN"/>
        </w:rPr>
        <w:t>，</w:t>
      </w:r>
      <w:r>
        <w:rPr>
          <w:rFonts w:hint="default"/>
          <w:color w:val="auto"/>
          <w:sz w:val="24"/>
          <w:highlight w:val="none"/>
          <w:lang w:val="en-US" w:eastAsia="zh-CN"/>
        </w:rPr>
        <w:t>按</w:t>
      </w:r>
      <w:r>
        <w:rPr>
          <w:rFonts w:hint="eastAsia"/>
          <w:color w:val="auto"/>
          <w:sz w:val="24"/>
          <w:highlight w:val="none"/>
          <w:lang w:val="en-US" w:eastAsia="zh-CN"/>
        </w:rPr>
        <w:t>最</w:t>
      </w:r>
      <w:r>
        <w:rPr>
          <w:rFonts w:hint="default"/>
          <w:color w:val="auto"/>
          <w:sz w:val="24"/>
          <w:highlight w:val="none"/>
          <w:lang w:val="en-US" w:eastAsia="zh-CN"/>
        </w:rPr>
        <w:t>小</w:t>
      </w:r>
      <w:r>
        <w:rPr>
          <w:rFonts w:hint="eastAsia"/>
          <w:color w:val="auto"/>
          <w:sz w:val="24"/>
          <w:highlight w:val="none"/>
          <w:lang w:val="en-US" w:eastAsia="zh-CN"/>
        </w:rPr>
        <w:t>的</w:t>
      </w:r>
      <w:r>
        <w:rPr>
          <w:rFonts w:hint="default"/>
          <w:color w:val="auto"/>
          <w:sz w:val="24"/>
          <w:highlight w:val="none"/>
          <w:lang w:val="en-US" w:eastAsia="zh-CN"/>
        </w:rPr>
        <w:t>金额结算</w:t>
      </w:r>
      <w:r>
        <w:rPr>
          <w:rFonts w:hint="eastAsia"/>
          <w:color w:val="auto"/>
          <w:sz w:val="24"/>
          <w:highlight w:val="none"/>
          <w:lang w:val="en-US" w:eastAsia="zh-CN"/>
        </w:rPr>
        <w:t>。</w:t>
      </w:r>
      <w:r>
        <w:rPr>
          <w:rFonts w:hint="default"/>
          <w:color w:val="auto"/>
          <w:sz w:val="24"/>
          <w:highlight w:val="none"/>
          <w:lang w:val="en-US" w:eastAsia="zh-CN"/>
        </w:rPr>
        <w:t>最终结算金额不超</w:t>
      </w:r>
      <w:r>
        <w:rPr>
          <w:rFonts w:hint="eastAsia"/>
          <w:color w:val="auto"/>
          <w:sz w:val="24"/>
          <w:highlight w:val="none"/>
          <w:lang w:val="en-US" w:eastAsia="zh-CN"/>
        </w:rPr>
        <w:t>本合同</w:t>
      </w:r>
      <w:r>
        <w:rPr>
          <w:rFonts w:hint="default"/>
          <w:color w:val="auto"/>
          <w:sz w:val="24"/>
          <w:highlight w:val="none"/>
          <w:lang w:val="en-US" w:eastAsia="zh-CN"/>
        </w:rPr>
        <w:t>暂定</w:t>
      </w:r>
      <w:r>
        <w:rPr>
          <w:rFonts w:hint="eastAsia"/>
          <w:color w:val="auto"/>
          <w:sz w:val="24"/>
          <w:highlight w:val="none"/>
          <w:lang w:val="en-US" w:eastAsia="zh-CN"/>
        </w:rPr>
        <w:t>价</w:t>
      </w:r>
      <w:r>
        <w:rPr>
          <w:rFonts w:hint="default"/>
          <w:color w:val="auto"/>
          <w:sz w:val="24"/>
          <w:highlight w:val="none"/>
          <w:lang w:eastAsia="zh-CN"/>
        </w:rPr>
        <w:t>。</w:t>
      </w:r>
    </w:p>
    <w:p w14:paraId="2DB7DB48">
      <w:pPr>
        <w:pStyle w:val="8"/>
        <w:spacing w:line="360" w:lineRule="auto"/>
        <w:rPr>
          <w:rFonts w:hint="eastAsia"/>
          <w:color w:val="auto"/>
          <w:spacing w:val="0"/>
          <w:highlight w:val="none"/>
          <w:lang w:val="en-US" w:eastAsia="zh-CN"/>
        </w:rPr>
      </w:pPr>
      <w:r>
        <w:rPr>
          <w:rFonts w:hint="eastAsia" w:cs="宋体"/>
          <w:i w:val="0"/>
          <w:iCs w:val="0"/>
          <w:caps w:val="0"/>
          <w:color w:val="auto"/>
          <w:spacing w:val="0"/>
          <w:sz w:val="24"/>
          <w:szCs w:val="22"/>
          <w:highlight w:val="none"/>
          <w:u w:val="none"/>
          <w:shd w:val="clear"/>
          <w:lang w:val="en-US" w:eastAsia="zh-CN"/>
        </w:rPr>
        <w:t>本合同</w:t>
      </w:r>
      <w:r>
        <w:rPr>
          <w:rFonts w:hint="default" w:ascii="宋体" w:hAnsi="宋体" w:eastAsia="宋体" w:cs="宋体"/>
          <w:i w:val="0"/>
          <w:iCs w:val="0"/>
          <w:caps w:val="0"/>
          <w:color w:val="auto"/>
          <w:spacing w:val="0"/>
          <w:sz w:val="24"/>
          <w:szCs w:val="22"/>
          <w:highlight w:val="none"/>
          <w:u w:val="none"/>
          <w:shd w:val="clear"/>
        </w:rPr>
        <w:t>最终结算</w:t>
      </w:r>
      <w:r>
        <w:rPr>
          <w:rFonts w:hint="default" w:ascii="宋体" w:hAnsi="宋体" w:eastAsia="宋体" w:cs="宋体"/>
          <w:i w:val="0"/>
          <w:iCs w:val="0"/>
          <w:caps w:val="0"/>
          <w:color w:val="auto"/>
          <w:spacing w:val="0"/>
          <w:sz w:val="24"/>
          <w:szCs w:val="22"/>
          <w:highlight w:val="none"/>
          <w:u w:val="none"/>
          <w:shd w:val="clear"/>
          <w:lang w:val="en-US" w:eastAsia="zh-CN"/>
        </w:rPr>
        <w:t>价</w:t>
      </w:r>
      <w:r>
        <w:rPr>
          <w:rFonts w:hint="default" w:ascii="宋体" w:hAnsi="宋体" w:eastAsia="宋体" w:cs="宋体"/>
          <w:i w:val="0"/>
          <w:iCs w:val="0"/>
          <w:caps w:val="0"/>
          <w:color w:val="auto"/>
          <w:spacing w:val="0"/>
          <w:sz w:val="24"/>
          <w:szCs w:val="22"/>
          <w:highlight w:val="none"/>
          <w:u w:val="none"/>
          <w:shd w:val="clear"/>
        </w:rPr>
        <w:t>以</w:t>
      </w:r>
      <w:r>
        <w:rPr>
          <w:rFonts w:hint="default" w:cs="宋体"/>
          <w:i w:val="0"/>
          <w:iCs w:val="0"/>
          <w:caps w:val="0"/>
          <w:color w:val="auto"/>
          <w:spacing w:val="0"/>
          <w:sz w:val="24"/>
          <w:szCs w:val="22"/>
          <w:highlight w:val="none"/>
          <w:u w:val="none"/>
          <w:shd w:val="clear"/>
          <w:lang w:val="en-US" w:eastAsia="zh-CN"/>
        </w:rPr>
        <w:t>有权</w:t>
      </w:r>
      <w:r>
        <w:rPr>
          <w:rFonts w:hint="default" w:ascii="宋体" w:hAnsi="宋体" w:eastAsia="宋体" w:cs="宋体"/>
          <w:i w:val="0"/>
          <w:iCs w:val="0"/>
          <w:caps w:val="0"/>
          <w:color w:val="auto"/>
          <w:spacing w:val="0"/>
          <w:sz w:val="24"/>
          <w:szCs w:val="22"/>
          <w:highlight w:val="none"/>
          <w:u w:val="none"/>
          <w:shd w:val="clear"/>
        </w:rPr>
        <w:t>终审部门审定的结算</w:t>
      </w:r>
      <w:r>
        <w:rPr>
          <w:rFonts w:hint="default" w:ascii="宋体" w:hAnsi="宋体" w:eastAsia="宋体" w:cs="宋体"/>
          <w:i w:val="0"/>
          <w:iCs w:val="0"/>
          <w:caps w:val="0"/>
          <w:color w:val="auto"/>
          <w:spacing w:val="0"/>
          <w:sz w:val="24"/>
          <w:szCs w:val="22"/>
          <w:highlight w:val="none"/>
          <w:u w:val="none"/>
          <w:shd w:val="clear"/>
          <w:lang w:val="en-US" w:eastAsia="zh-CN"/>
        </w:rPr>
        <w:t>价</w:t>
      </w:r>
      <w:r>
        <w:rPr>
          <w:rFonts w:hint="default" w:ascii="宋体" w:hAnsi="宋体" w:eastAsia="宋体" w:cs="宋体"/>
          <w:i w:val="0"/>
          <w:iCs w:val="0"/>
          <w:caps w:val="0"/>
          <w:color w:val="auto"/>
          <w:spacing w:val="0"/>
          <w:sz w:val="24"/>
          <w:szCs w:val="22"/>
          <w:highlight w:val="none"/>
          <w:u w:val="none"/>
          <w:shd w:val="clear"/>
        </w:rPr>
        <w:t>为准</w:t>
      </w:r>
      <w:r>
        <w:rPr>
          <w:rFonts w:hint="default" w:cs="宋体"/>
          <w:i w:val="0"/>
          <w:iCs w:val="0"/>
          <w:caps w:val="0"/>
          <w:color w:val="auto"/>
          <w:spacing w:val="0"/>
          <w:sz w:val="24"/>
          <w:szCs w:val="22"/>
          <w:highlight w:val="none"/>
          <w:u w:val="none"/>
          <w:shd w:val="clear"/>
          <w:lang w:eastAsia="zh-CN"/>
        </w:rPr>
        <w:t>。</w:t>
      </w:r>
      <w:r>
        <w:rPr>
          <w:rFonts w:hint="default"/>
          <w:color w:val="auto"/>
          <w:sz w:val="24"/>
          <w:highlight w:val="none"/>
          <w:lang w:eastAsia="zh-CN"/>
        </w:rPr>
        <w:t>如政府行政主管部门对</w:t>
      </w:r>
      <w:r>
        <w:rPr>
          <w:rFonts w:hint="default"/>
          <w:color w:val="auto"/>
          <w:sz w:val="24"/>
          <w:highlight w:val="none"/>
          <w:lang w:val="en-US" w:eastAsia="zh-CN"/>
        </w:rPr>
        <w:t>住宅工程质量潜在</w:t>
      </w:r>
      <w:r>
        <w:rPr>
          <w:rFonts w:hint="default"/>
          <w:color w:val="auto"/>
          <w:sz w:val="24"/>
          <w:highlight w:val="none"/>
          <w:lang w:eastAsia="zh-CN"/>
        </w:rPr>
        <w:t>缺陷险保险费计算有更明确的指引或规定</w:t>
      </w:r>
      <w:r>
        <w:rPr>
          <w:rFonts w:hint="default"/>
          <w:color w:val="auto"/>
          <w:sz w:val="24"/>
          <w:highlight w:val="none"/>
          <w:lang w:val="en-US" w:eastAsia="zh-CN"/>
        </w:rPr>
        <w:t>的</w:t>
      </w:r>
      <w:r>
        <w:rPr>
          <w:rFonts w:hint="default"/>
          <w:color w:val="auto"/>
          <w:sz w:val="24"/>
          <w:highlight w:val="none"/>
          <w:lang w:eastAsia="zh-CN"/>
        </w:rPr>
        <w:t>，执行政府行政主管部门的相关规定。</w:t>
      </w:r>
    </w:p>
    <w:p w14:paraId="7C137C53">
      <w:pPr>
        <w:pStyle w:val="5"/>
        <w:adjustRightInd w:val="0"/>
        <w:snapToGrid w:val="0"/>
        <w:spacing w:before="0" w:line="360" w:lineRule="auto"/>
        <w:ind w:left="600"/>
        <w:rPr>
          <w:rFonts w:hint="eastAsia"/>
          <w:color w:val="auto"/>
          <w:highlight w:val="none"/>
          <w:lang w:eastAsia="zh-CN"/>
        </w:rPr>
      </w:pPr>
      <w:r>
        <w:rPr>
          <w:rFonts w:hint="eastAsia"/>
          <w:color w:val="auto"/>
          <w:highlight w:val="none"/>
          <w:lang w:val="en-US" w:eastAsia="zh-CN"/>
        </w:rPr>
        <w:t>九</w:t>
      </w:r>
      <w:r>
        <w:rPr>
          <w:rFonts w:hint="eastAsia"/>
          <w:color w:val="auto"/>
          <w:highlight w:val="none"/>
          <w:lang w:eastAsia="zh-CN"/>
        </w:rPr>
        <w:t>、特别约定</w:t>
      </w:r>
    </w:p>
    <w:p w14:paraId="7E61FA25">
      <w:pPr>
        <w:pStyle w:val="8"/>
        <w:adjustRightInd w:val="0"/>
        <w:snapToGrid w:val="0"/>
        <w:spacing w:before="0" w:line="360" w:lineRule="auto"/>
        <w:ind w:right="357"/>
        <w:jc w:val="both"/>
        <w:rPr>
          <w:rFonts w:hint="eastAsia"/>
          <w:color w:val="auto"/>
          <w:spacing w:val="-4"/>
          <w:highlight w:val="none"/>
          <w:lang w:eastAsia="zh-CN"/>
        </w:rPr>
      </w:pPr>
      <w:r>
        <w:rPr>
          <w:rFonts w:hint="eastAsia"/>
          <w:color w:val="auto"/>
          <w:spacing w:val="-4"/>
          <w:highlight w:val="none"/>
          <w:lang w:eastAsia="zh-CN"/>
        </w:rPr>
        <w:t>（</w:t>
      </w:r>
      <w:r>
        <w:rPr>
          <w:rFonts w:hint="eastAsia"/>
          <w:color w:val="auto"/>
          <w:spacing w:val="-4"/>
          <w:highlight w:val="none"/>
          <w:lang w:val="en-US" w:eastAsia="zh-CN"/>
        </w:rPr>
        <w:t>一</w:t>
      </w:r>
      <w:r>
        <w:rPr>
          <w:rFonts w:hint="eastAsia"/>
          <w:color w:val="auto"/>
          <w:spacing w:val="-4"/>
          <w:highlight w:val="none"/>
          <w:lang w:eastAsia="zh-CN"/>
        </w:rPr>
        <w:t>）免赔额：无。</w:t>
      </w:r>
    </w:p>
    <w:p w14:paraId="385ABB75">
      <w:pPr>
        <w:pStyle w:val="8"/>
        <w:adjustRightInd w:val="0"/>
        <w:snapToGrid w:val="0"/>
        <w:spacing w:before="0" w:line="360" w:lineRule="auto"/>
        <w:ind w:right="357"/>
        <w:jc w:val="both"/>
        <w:rPr>
          <w:rFonts w:hint="eastAsia"/>
          <w:color w:val="auto"/>
          <w:spacing w:val="-4"/>
          <w:highlight w:val="none"/>
          <w:lang w:eastAsia="zh-CN"/>
        </w:rPr>
      </w:pPr>
      <w:r>
        <w:rPr>
          <w:rFonts w:hint="eastAsia"/>
          <w:color w:val="auto"/>
          <w:spacing w:val="-4"/>
          <w:highlight w:val="none"/>
          <w:lang w:eastAsia="zh-CN"/>
        </w:rPr>
        <w:t>（二）对于保险条款中涉及的保险人解除合同的相关约定，需经双方协商一致后方可解除本保险合同。</w:t>
      </w:r>
    </w:p>
    <w:p w14:paraId="10394135">
      <w:pPr>
        <w:pStyle w:val="8"/>
        <w:adjustRightInd w:val="0"/>
        <w:snapToGrid w:val="0"/>
        <w:spacing w:before="0" w:line="360" w:lineRule="auto"/>
        <w:ind w:right="357"/>
        <w:jc w:val="both"/>
        <w:rPr>
          <w:rFonts w:hint="eastAsia"/>
          <w:color w:val="auto"/>
          <w:spacing w:val="-4"/>
          <w:highlight w:val="none"/>
          <w:lang w:eastAsia="zh-CN"/>
        </w:rPr>
      </w:pPr>
      <w:r>
        <w:rPr>
          <w:rFonts w:hint="eastAsia"/>
          <w:color w:val="auto"/>
          <w:spacing w:val="-4"/>
          <w:highlight w:val="none"/>
          <w:lang w:eastAsia="zh-CN"/>
        </w:rPr>
        <w:t>（三）投保人在签订合同后</w:t>
      </w:r>
      <w:r>
        <w:rPr>
          <w:rFonts w:hint="eastAsia"/>
          <w:color w:val="auto"/>
          <w:spacing w:val="-4"/>
          <w:highlight w:val="none"/>
          <w:u w:val="single"/>
          <w:lang w:eastAsia="zh-CN"/>
        </w:rPr>
        <w:t xml:space="preserve"> 3</w:t>
      </w:r>
      <w:r>
        <w:rPr>
          <w:rFonts w:hint="eastAsia"/>
          <w:color w:val="auto"/>
          <w:spacing w:val="-4"/>
          <w:highlight w:val="none"/>
          <w:u w:val="single"/>
          <w:lang w:val="en-US" w:eastAsia="zh-CN"/>
        </w:rPr>
        <w:t xml:space="preserve"> </w:t>
      </w:r>
      <w:r>
        <w:rPr>
          <w:rFonts w:hint="eastAsia"/>
          <w:color w:val="auto"/>
          <w:spacing w:val="-4"/>
          <w:highlight w:val="none"/>
          <w:lang w:eastAsia="zh-CN"/>
        </w:rPr>
        <w:t>天向保险人提供投保人的企业营业执照及资质证书、工程项目立项文件、工程造价文件、施工单位（设计单位、勘察单位、监理单位）企业信息及资质证书。</w:t>
      </w:r>
    </w:p>
    <w:p w14:paraId="54636329">
      <w:pPr>
        <w:pStyle w:val="8"/>
        <w:adjustRightInd w:val="0"/>
        <w:snapToGrid w:val="0"/>
        <w:spacing w:before="0" w:line="360" w:lineRule="auto"/>
        <w:ind w:right="357"/>
        <w:jc w:val="both"/>
        <w:rPr>
          <w:rStyle w:val="19"/>
          <w:rFonts w:hint="eastAsia" w:ascii="宋体" w:hAnsi="宋体" w:cs="宋体"/>
          <w:color w:val="auto"/>
          <w:spacing w:val="-4"/>
          <w:kern w:val="2"/>
          <w:highlight w:val="none"/>
          <w:lang w:eastAsia="zh-CN"/>
        </w:rPr>
      </w:pPr>
      <w:r>
        <w:rPr>
          <w:rFonts w:hint="eastAsia"/>
          <w:color w:val="auto"/>
          <w:spacing w:val="-4"/>
          <w:sz w:val="24"/>
          <w:szCs w:val="24"/>
          <w:highlight w:val="none"/>
          <w:lang w:eastAsia="zh-CN"/>
        </w:rPr>
        <w:t>（</w:t>
      </w:r>
      <w:r>
        <w:rPr>
          <w:rFonts w:hint="eastAsia"/>
          <w:color w:val="auto"/>
          <w:spacing w:val="-4"/>
          <w:sz w:val="24"/>
          <w:szCs w:val="24"/>
          <w:highlight w:val="none"/>
          <w:lang w:val="en-US" w:eastAsia="zh-CN"/>
        </w:rPr>
        <w:t>四</w:t>
      </w:r>
      <w:r>
        <w:rPr>
          <w:rFonts w:hint="eastAsia"/>
          <w:color w:val="auto"/>
          <w:spacing w:val="-4"/>
          <w:sz w:val="24"/>
          <w:szCs w:val="24"/>
          <w:highlight w:val="none"/>
          <w:lang w:eastAsia="zh-CN"/>
        </w:rPr>
        <w:t>）</w:t>
      </w:r>
      <w:r>
        <w:rPr>
          <w:rFonts w:hint="eastAsia"/>
          <w:color w:val="auto"/>
          <w:spacing w:val="-4"/>
          <w:highlight w:val="none"/>
          <w:lang w:eastAsia="zh-CN"/>
        </w:rPr>
        <w:t>投保人有权变更被保险人。该等变更无需取得保险人的同意，投保人仅需要书面通知保险</w:t>
      </w:r>
      <w:r>
        <w:rPr>
          <w:rStyle w:val="19"/>
          <w:rFonts w:hint="eastAsia" w:ascii="宋体" w:hAnsi="宋体" w:cs="宋体"/>
          <w:color w:val="auto"/>
          <w:spacing w:val="-4"/>
          <w:kern w:val="2"/>
          <w:highlight w:val="none"/>
          <w:lang w:eastAsia="zh-CN"/>
        </w:rPr>
        <w:t>人即生效。</w:t>
      </w:r>
    </w:p>
    <w:p w14:paraId="7483E5C3">
      <w:pPr>
        <w:adjustRightInd w:val="0"/>
        <w:snapToGrid w:val="0"/>
        <w:spacing w:before="0" w:line="360" w:lineRule="auto"/>
        <w:ind w:left="120" w:right="237" w:firstLine="480"/>
        <w:rPr>
          <w:rFonts w:hint="eastAsia"/>
          <w:b w:val="0"/>
          <w:color w:val="auto"/>
          <w:spacing w:val="-4"/>
          <w:sz w:val="24"/>
          <w:szCs w:val="24"/>
          <w:highlight w:val="none"/>
          <w:lang w:eastAsia="zh-CN"/>
        </w:rPr>
      </w:pPr>
      <w:r>
        <w:rPr>
          <w:rFonts w:hint="eastAsia"/>
          <w:b w:val="0"/>
          <w:bCs w:val="0"/>
          <w:color w:val="auto"/>
          <w:spacing w:val="-4"/>
          <w:sz w:val="24"/>
          <w:szCs w:val="24"/>
          <w:highlight w:val="none"/>
          <w:lang w:eastAsia="zh-CN"/>
        </w:rPr>
        <w:t>（</w:t>
      </w:r>
      <w:r>
        <w:rPr>
          <w:rFonts w:hint="eastAsia"/>
          <w:b w:val="0"/>
          <w:bCs w:val="0"/>
          <w:color w:val="auto"/>
          <w:spacing w:val="-4"/>
          <w:sz w:val="24"/>
          <w:szCs w:val="24"/>
          <w:highlight w:val="none"/>
          <w:lang w:val="en-US" w:eastAsia="zh-CN"/>
        </w:rPr>
        <w:t>五</w:t>
      </w:r>
      <w:r>
        <w:rPr>
          <w:rFonts w:hint="eastAsia"/>
          <w:b w:val="0"/>
          <w:bCs w:val="0"/>
          <w:color w:val="auto"/>
          <w:spacing w:val="-4"/>
          <w:sz w:val="24"/>
          <w:szCs w:val="24"/>
          <w:highlight w:val="none"/>
          <w:lang w:eastAsia="zh-CN"/>
        </w:rPr>
        <w:t>）</w:t>
      </w:r>
      <w:r>
        <w:rPr>
          <w:rFonts w:hint="eastAsia"/>
          <w:b w:val="0"/>
          <w:color w:val="auto"/>
          <w:spacing w:val="-4"/>
          <w:sz w:val="24"/>
          <w:szCs w:val="24"/>
          <w:highlight w:val="none"/>
          <w:lang w:eastAsia="zh-CN"/>
        </w:rPr>
        <w:t>保险条款第十九条修改为“</w:t>
      </w:r>
      <w:r>
        <w:rPr>
          <w:rFonts w:hint="eastAsia"/>
          <w:color w:val="auto"/>
          <w:spacing w:val="-4"/>
          <w:sz w:val="24"/>
          <w:szCs w:val="24"/>
          <w:highlight w:val="none"/>
          <w:lang w:eastAsia="zh-CN"/>
        </w:rPr>
        <w:t>投保人应在保险单载明的建设工程竣工验收合格后两个月内，向保险人提供工程竣工验收证明材料、《房屋建筑质量保证书》《房屋建筑使用说明书》。</w:t>
      </w:r>
      <w:r>
        <w:rPr>
          <w:rFonts w:hint="eastAsia"/>
          <w:color w:val="auto"/>
          <w:spacing w:val="-4"/>
          <w:sz w:val="24"/>
          <w:szCs w:val="24"/>
          <w:highlight w:val="none"/>
          <w:lang w:val="en-US" w:eastAsia="zh-CN"/>
        </w:rPr>
        <w:t>投保人应在</w:t>
      </w:r>
      <w:r>
        <w:rPr>
          <w:rFonts w:hint="eastAsia"/>
          <w:color w:val="auto"/>
          <w:spacing w:val="-4"/>
          <w:sz w:val="24"/>
          <w:szCs w:val="24"/>
          <w:highlight w:val="none"/>
          <w:lang w:eastAsia="zh-CN"/>
        </w:rPr>
        <w:t>竣工结算</w:t>
      </w:r>
      <w:r>
        <w:rPr>
          <w:rFonts w:hint="eastAsia"/>
          <w:color w:val="auto"/>
          <w:spacing w:val="-4"/>
          <w:sz w:val="24"/>
          <w:szCs w:val="24"/>
          <w:highlight w:val="none"/>
          <w:lang w:val="en-US" w:eastAsia="zh-CN"/>
        </w:rPr>
        <w:t>经有权审定部门审定</w:t>
      </w:r>
      <w:r>
        <w:rPr>
          <w:rFonts w:hint="eastAsia"/>
          <w:color w:val="auto"/>
          <w:spacing w:val="-4"/>
          <w:sz w:val="24"/>
          <w:szCs w:val="24"/>
          <w:highlight w:val="none"/>
          <w:lang w:eastAsia="zh-CN"/>
        </w:rPr>
        <w:t>后</w:t>
      </w:r>
      <w:r>
        <w:rPr>
          <w:rFonts w:hint="eastAsia"/>
          <w:color w:val="auto"/>
          <w:spacing w:val="-4"/>
          <w:sz w:val="24"/>
          <w:szCs w:val="24"/>
          <w:highlight w:val="none"/>
          <w:lang w:val="en-US" w:eastAsia="zh-CN"/>
        </w:rPr>
        <w:t>15日内向保险人</w:t>
      </w:r>
      <w:r>
        <w:rPr>
          <w:rFonts w:hint="eastAsia"/>
          <w:color w:val="auto"/>
          <w:spacing w:val="-4"/>
          <w:sz w:val="24"/>
          <w:szCs w:val="24"/>
          <w:highlight w:val="none"/>
          <w:lang w:eastAsia="zh-CN"/>
        </w:rPr>
        <w:t>提供竣工结算材料文件。若投保人无法或不提供前述文件， 保险人有权通知投保人解除本保险合同。</w:t>
      </w:r>
      <w:r>
        <w:rPr>
          <w:rFonts w:hint="eastAsia"/>
          <w:b w:val="0"/>
          <w:color w:val="auto"/>
          <w:spacing w:val="-4"/>
          <w:sz w:val="24"/>
          <w:szCs w:val="24"/>
          <w:highlight w:val="none"/>
          <w:lang w:eastAsia="zh-CN"/>
        </w:rPr>
        <w:t>”</w:t>
      </w:r>
    </w:p>
    <w:p w14:paraId="22044D78">
      <w:pPr>
        <w:pStyle w:val="5"/>
        <w:adjustRightInd w:val="0"/>
        <w:snapToGrid w:val="0"/>
        <w:spacing w:before="0" w:line="360" w:lineRule="auto"/>
        <w:ind w:left="600"/>
        <w:rPr>
          <w:rFonts w:hint="eastAsia"/>
          <w:color w:val="auto"/>
          <w:highlight w:val="none"/>
          <w:lang w:eastAsia="zh-CN"/>
        </w:rPr>
      </w:pPr>
      <w:r>
        <w:rPr>
          <w:rFonts w:hint="eastAsia"/>
          <w:color w:val="auto"/>
          <w:highlight w:val="none"/>
          <w:lang w:eastAsia="zh-CN"/>
        </w:rPr>
        <w:t>十、法律适用与争议解决</w:t>
      </w:r>
    </w:p>
    <w:p w14:paraId="67B9EFA5">
      <w:pPr>
        <w:pStyle w:val="8"/>
        <w:adjustRightInd w:val="0"/>
        <w:snapToGrid w:val="0"/>
        <w:spacing w:before="0" w:line="360" w:lineRule="auto"/>
        <w:ind w:right="357"/>
        <w:jc w:val="both"/>
        <w:rPr>
          <w:rFonts w:hint="eastAsia"/>
          <w:color w:val="auto"/>
          <w:spacing w:val="-4"/>
          <w:highlight w:val="none"/>
          <w:lang w:eastAsia="zh-CN"/>
        </w:rPr>
      </w:pPr>
      <w:r>
        <w:rPr>
          <w:rFonts w:hint="eastAsia"/>
          <w:color w:val="auto"/>
          <w:spacing w:val="-4"/>
          <w:highlight w:val="none"/>
          <w:lang w:eastAsia="zh-CN"/>
        </w:rPr>
        <w:t>（</w:t>
      </w:r>
      <w:r>
        <w:rPr>
          <w:rFonts w:hint="eastAsia"/>
          <w:color w:val="auto"/>
          <w:spacing w:val="-4"/>
          <w:highlight w:val="none"/>
          <w:lang w:val="en-US" w:eastAsia="zh-CN"/>
        </w:rPr>
        <w:t>一</w:t>
      </w:r>
      <w:r>
        <w:rPr>
          <w:rFonts w:hint="eastAsia"/>
          <w:color w:val="auto"/>
          <w:spacing w:val="-4"/>
          <w:highlight w:val="none"/>
          <w:lang w:eastAsia="zh-CN"/>
        </w:rPr>
        <w:t>）本合同的订立、生效、履行、解释、修改、争议解决和终止等事项适用中华人民共和国现行法律、法规及规章。</w:t>
      </w:r>
    </w:p>
    <w:p w14:paraId="7039FAA4">
      <w:pPr>
        <w:pStyle w:val="8"/>
        <w:adjustRightInd w:val="0"/>
        <w:snapToGrid w:val="0"/>
        <w:spacing w:before="0" w:line="360" w:lineRule="auto"/>
        <w:ind w:right="357"/>
        <w:jc w:val="both"/>
        <w:rPr>
          <w:rFonts w:hint="eastAsia"/>
          <w:color w:val="auto"/>
          <w:spacing w:val="-4"/>
          <w:highlight w:val="none"/>
          <w:lang w:eastAsia="zh-CN"/>
        </w:rPr>
      </w:pPr>
      <w:r>
        <w:rPr>
          <w:rFonts w:hint="eastAsia"/>
          <w:color w:val="auto"/>
          <w:spacing w:val="-4"/>
          <w:highlight w:val="none"/>
          <w:lang w:eastAsia="zh-CN"/>
        </w:rPr>
        <w:t>（</w:t>
      </w:r>
      <w:r>
        <w:rPr>
          <w:rFonts w:hint="eastAsia"/>
          <w:color w:val="auto"/>
          <w:spacing w:val="-4"/>
          <w:highlight w:val="none"/>
          <w:lang w:val="en-US" w:eastAsia="zh-CN"/>
        </w:rPr>
        <w:t>二</w:t>
      </w:r>
      <w:r>
        <w:rPr>
          <w:rFonts w:hint="eastAsia"/>
          <w:color w:val="auto"/>
          <w:spacing w:val="-4"/>
          <w:highlight w:val="none"/>
          <w:lang w:eastAsia="zh-CN"/>
        </w:rPr>
        <w:t>）因本合同而起或与本合同有关的任何争议，由双方协商解决。协商不成的，任何一方均有权将争议提交至</w:t>
      </w:r>
      <w:r>
        <w:rPr>
          <w:rFonts w:hint="eastAsia"/>
          <w:color w:val="auto"/>
          <w:spacing w:val="-4"/>
          <w:highlight w:val="none"/>
          <w:u w:val="none"/>
          <w:lang w:eastAsia="zh-CN"/>
        </w:rPr>
        <w:t>投保人住所地有管辖权</w:t>
      </w:r>
      <w:r>
        <w:rPr>
          <w:rFonts w:hint="eastAsia"/>
          <w:color w:val="auto"/>
          <w:spacing w:val="-4"/>
          <w:highlight w:val="none"/>
          <w:lang w:eastAsia="zh-CN"/>
        </w:rPr>
        <w:t>的人民法院通过诉讼解决。除非生效判决另有规定，双方为诉讼而实际支付的费用（包括但不限于诉讼费、保全费、保险费、律师费、执行费等）由败诉方承担。</w:t>
      </w:r>
    </w:p>
    <w:p w14:paraId="6EB7B0A5">
      <w:pPr>
        <w:pStyle w:val="8"/>
        <w:adjustRightInd w:val="0"/>
        <w:snapToGrid w:val="0"/>
        <w:spacing w:before="0" w:line="360" w:lineRule="auto"/>
        <w:ind w:right="357"/>
        <w:jc w:val="both"/>
        <w:rPr>
          <w:rFonts w:hint="eastAsia"/>
          <w:color w:val="auto"/>
          <w:spacing w:val="-4"/>
          <w:highlight w:val="none"/>
          <w:lang w:eastAsia="zh-CN"/>
        </w:rPr>
      </w:pPr>
      <w:r>
        <w:rPr>
          <w:rFonts w:hint="eastAsia"/>
          <w:color w:val="auto"/>
          <w:spacing w:val="-4"/>
          <w:highlight w:val="none"/>
          <w:lang w:eastAsia="zh-CN"/>
        </w:rPr>
        <w:t>（三）在诉讼过程中，除双方有争议正在进行诉讼的事项以外，各方应继续履行其他部分的义务。</w:t>
      </w:r>
    </w:p>
    <w:p w14:paraId="5F057119">
      <w:pPr>
        <w:pStyle w:val="8"/>
        <w:adjustRightInd w:val="0"/>
        <w:snapToGrid w:val="0"/>
        <w:spacing w:before="0" w:line="360" w:lineRule="auto"/>
        <w:ind w:right="357"/>
        <w:jc w:val="both"/>
        <w:rPr>
          <w:rFonts w:hint="eastAsia"/>
          <w:b/>
          <w:bCs/>
          <w:color w:val="auto"/>
          <w:spacing w:val="-4"/>
          <w:highlight w:val="none"/>
          <w:lang w:eastAsia="zh-CN"/>
        </w:rPr>
      </w:pPr>
      <w:r>
        <w:rPr>
          <w:rFonts w:hint="eastAsia"/>
          <w:b/>
          <w:bCs/>
          <w:color w:val="auto"/>
          <w:spacing w:val="-4"/>
          <w:highlight w:val="none"/>
          <w:lang w:eastAsia="zh-CN"/>
        </w:rPr>
        <w:t>十一、合同份数</w:t>
      </w:r>
    </w:p>
    <w:p w14:paraId="629F9A7C">
      <w:pPr>
        <w:pStyle w:val="8"/>
        <w:adjustRightInd w:val="0"/>
        <w:snapToGrid w:val="0"/>
        <w:spacing w:before="0" w:line="360" w:lineRule="auto"/>
        <w:ind w:right="357"/>
        <w:jc w:val="both"/>
        <w:rPr>
          <w:rFonts w:hint="eastAsia"/>
          <w:color w:val="auto"/>
          <w:spacing w:val="-4"/>
          <w:highlight w:val="none"/>
          <w:lang w:eastAsia="zh-CN"/>
        </w:rPr>
      </w:pPr>
      <w:r>
        <w:rPr>
          <w:rFonts w:hint="eastAsia"/>
          <w:color w:val="auto"/>
          <w:spacing w:val="-4"/>
          <w:highlight w:val="none"/>
          <w:lang w:eastAsia="zh-CN"/>
        </w:rPr>
        <w:t>本合同正本一式</w:t>
      </w:r>
      <w:r>
        <w:rPr>
          <w:rFonts w:hint="eastAsia"/>
          <w:color w:val="auto"/>
          <w:spacing w:val="-4"/>
          <w:highlight w:val="none"/>
          <w:u w:val="single"/>
          <w:lang w:val="en-US" w:eastAsia="zh-CN"/>
        </w:rPr>
        <w:t>肆</w:t>
      </w:r>
      <w:r>
        <w:rPr>
          <w:rFonts w:hint="eastAsia"/>
          <w:color w:val="auto"/>
          <w:spacing w:val="-4"/>
          <w:highlight w:val="none"/>
          <w:lang w:eastAsia="zh-CN"/>
        </w:rPr>
        <w:t>份，甲乙双方各执</w:t>
      </w:r>
      <w:r>
        <w:rPr>
          <w:rFonts w:hint="eastAsia"/>
          <w:color w:val="auto"/>
          <w:spacing w:val="-4"/>
          <w:highlight w:val="none"/>
          <w:u w:val="single"/>
          <w:lang w:val="en-US" w:eastAsia="zh-CN"/>
        </w:rPr>
        <w:t xml:space="preserve"> 贰 </w:t>
      </w:r>
      <w:r>
        <w:rPr>
          <w:rFonts w:hint="eastAsia"/>
          <w:color w:val="auto"/>
          <w:spacing w:val="-4"/>
          <w:highlight w:val="none"/>
          <w:lang w:eastAsia="zh-CN"/>
        </w:rPr>
        <w:t>份，具有同等法律效力。经双方签字盖章后生效，自本保险项目保险单责任终止时失效。</w:t>
      </w:r>
    </w:p>
    <w:p w14:paraId="6072291E">
      <w:pPr>
        <w:pStyle w:val="8"/>
        <w:ind w:left="0" w:firstLine="0"/>
        <w:rPr>
          <w:rFonts w:hint="eastAsia"/>
          <w:color w:val="auto"/>
          <w:highlight w:val="none"/>
          <w:lang w:eastAsia="zh-CN"/>
        </w:rPr>
      </w:pPr>
    </w:p>
    <w:p w14:paraId="3C343F82">
      <w:pPr>
        <w:pStyle w:val="8"/>
        <w:ind w:left="0" w:firstLine="0"/>
        <w:rPr>
          <w:rFonts w:hint="eastAsia"/>
          <w:color w:val="auto"/>
          <w:highlight w:val="none"/>
          <w:lang w:eastAsia="zh-CN"/>
        </w:rPr>
      </w:pPr>
    </w:p>
    <w:p w14:paraId="36A51DC6">
      <w:pPr>
        <w:pStyle w:val="8"/>
        <w:ind w:left="0" w:firstLine="0"/>
        <w:rPr>
          <w:rFonts w:hint="eastAsia"/>
          <w:color w:val="auto"/>
          <w:highlight w:val="none"/>
          <w:lang w:eastAsia="zh-CN"/>
        </w:rPr>
      </w:pPr>
    </w:p>
    <w:p w14:paraId="59159BD8">
      <w:pPr>
        <w:pStyle w:val="8"/>
        <w:ind w:left="0" w:firstLine="0"/>
        <w:rPr>
          <w:rFonts w:hint="eastAsia"/>
          <w:color w:val="auto"/>
          <w:highlight w:val="none"/>
          <w:lang w:eastAsia="zh-CN"/>
        </w:rPr>
      </w:pPr>
    </w:p>
    <w:p w14:paraId="5D59BD59">
      <w:pPr>
        <w:pStyle w:val="8"/>
        <w:ind w:left="0" w:firstLine="0"/>
        <w:rPr>
          <w:rFonts w:hint="eastAsia"/>
          <w:color w:val="auto"/>
          <w:highlight w:val="none"/>
          <w:lang w:eastAsia="zh-CN"/>
        </w:rPr>
      </w:pPr>
    </w:p>
    <w:p w14:paraId="0C4543BD">
      <w:pPr>
        <w:pStyle w:val="8"/>
        <w:ind w:left="0" w:firstLine="0"/>
        <w:rPr>
          <w:rFonts w:hint="eastAsia"/>
          <w:color w:val="auto"/>
          <w:highlight w:val="none"/>
          <w:lang w:eastAsia="zh-CN"/>
        </w:rPr>
      </w:pPr>
      <w:r>
        <w:rPr>
          <w:rFonts w:hint="eastAsia"/>
          <w:color w:val="auto"/>
          <w:highlight w:val="none"/>
          <w:lang w:eastAsia="zh-CN"/>
        </w:rPr>
        <w:t>（本页为签署页）</w:t>
      </w:r>
    </w:p>
    <w:p w14:paraId="5DDF7EDC">
      <w:pPr>
        <w:rPr>
          <w:rFonts w:hint="eastAsia"/>
          <w:color w:val="auto"/>
          <w:highlight w:val="none"/>
          <w:lang w:eastAsia="zh-CN"/>
        </w:rPr>
      </w:pPr>
    </w:p>
    <w:p w14:paraId="335507E2">
      <w:pPr>
        <w:rPr>
          <w:rFonts w:hint="eastAsia"/>
          <w:color w:val="auto"/>
          <w:highlight w:val="none"/>
          <w:lang w:eastAsia="zh-CN"/>
        </w:rPr>
      </w:pPr>
    </w:p>
    <w:tbl>
      <w:tblPr>
        <w:tblStyle w:val="18"/>
        <w:tblpPr w:leftFromText="180" w:rightFromText="180" w:vertAnchor="text" w:horzAnchor="page" w:tblpX="1664" w:tblpY="263"/>
        <w:tblOverlap w:val="never"/>
        <w:tblW w:w="91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3"/>
        <w:gridCol w:w="4688"/>
      </w:tblGrid>
      <w:tr w14:paraId="72C60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4" w:hRule="atLeast"/>
        </w:trPr>
        <w:tc>
          <w:tcPr>
            <w:tcW w:w="4503" w:type="dxa"/>
            <w:vAlign w:val="top"/>
          </w:tcPr>
          <w:p w14:paraId="246797BE">
            <w:pPr>
              <w:pStyle w:val="8"/>
              <w:spacing w:before="202"/>
              <w:ind w:left="0" w:leftChars="0" w:firstLine="0" w:firstLineChars="0"/>
              <w:jc w:val="both"/>
              <w:rPr>
                <w:rFonts w:hint="eastAsia"/>
                <w:color w:val="auto"/>
                <w:highlight w:val="none"/>
                <w:lang w:eastAsia="zh-CN"/>
              </w:rPr>
            </w:pPr>
            <w:r>
              <w:rPr>
                <w:rFonts w:hint="eastAsia"/>
                <w:color w:val="auto"/>
                <w:highlight w:val="none"/>
                <w:lang w:eastAsia="zh-CN"/>
              </w:rPr>
              <w:t>投保人：（盖章）</w:t>
            </w:r>
          </w:p>
          <w:p w14:paraId="4932F365">
            <w:pPr>
              <w:pStyle w:val="8"/>
              <w:spacing w:before="160" w:line="364" w:lineRule="auto"/>
              <w:ind w:right="38" w:firstLine="0"/>
              <w:jc w:val="both"/>
              <w:rPr>
                <w:rFonts w:hint="eastAsia"/>
                <w:color w:val="auto"/>
                <w:highlight w:val="none"/>
                <w:lang w:eastAsia="zh-CN"/>
              </w:rPr>
            </w:pPr>
          </w:p>
          <w:p w14:paraId="52052317">
            <w:pPr>
              <w:pStyle w:val="32"/>
              <w:tabs>
                <w:tab w:val="left" w:pos="3420"/>
                <w:tab w:val="left" w:pos="3600"/>
              </w:tabs>
              <w:spacing w:line="360" w:lineRule="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4"/>
                <w:highlight w:val="none"/>
                <w:lang w:eastAsia="zh-CN"/>
              </w:rPr>
              <w:t>统一社会信用代码：</w:t>
            </w:r>
            <w:r>
              <w:rPr>
                <w:rFonts w:hint="eastAsia" w:ascii="宋体" w:hAnsi="宋体" w:cs="宋体"/>
                <w:color w:val="auto"/>
                <w:kern w:val="0"/>
                <w:sz w:val="21"/>
                <w:szCs w:val="21"/>
                <w:highlight w:val="none"/>
                <w:lang w:val="en-US" w:eastAsia="zh-CN"/>
              </w:rPr>
              <w:t xml:space="preserve"> </w:t>
            </w:r>
          </w:p>
          <w:p w14:paraId="6D78CFC2">
            <w:pPr>
              <w:pStyle w:val="32"/>
              <w:tabs>
                <w:tab w:val="left" w:pos="3420"/>
                <w:tab w:val="left" w:pos="3600"/>
              </w:tabs>
              <w:spacing w:line="360" w:lineRule="auto"/>
              <w:ind w:firstLine="720" w:firstLineChars="300"/>
              <w:rPr>
                <w:rFonts w:hint="eastAsia" w:ascii="宋体" w:hAnsi="宋体"/>
                <w:color w:val="auto"/>
                <w:sz w:val="24"/>
                <w:highlight w:val="none"/>
              </w:rPr>
            </w:pPr>
            <w:r>
              <w:rPr>
                <w:rFonts w:hint="eastAsia" w:ascii="宋体" w:hAnsi="宋体" w:eastAsia="宋体" w:cs="Times New Roman"/>
                <w:color w:val="auto"/>
                <w:sz w:val="24"/>
                <w:highlight w:val="none"/>
                <w:lang w:eastAsia="zh-CN"/>
              </w:rPr>
              <w:t>地址：</w:t>
            </w:r>
          </w:p>
          <w:p w14:paraId="0064966C">
            <w:pPr>
              <w:pStyle w:val="8"/>
              <w:spacing w:line="364" w:lineRule="auto"/>
              <w:ind w:left="0" w:right="1958" w:firstLine="0"/>
              <w:jc w:val="both"/>
              <w:rPr>
                <w:rFonts w:hint="eastAsia"/>
                <w:color w:val="auto"/>
                <w:highlight w:val="none"/>
                <w:lang w:eastAsia="zh-CN"/>
              </w:rPr>
            </w:pPr>
            <w:r>
              <w:rPr>
                <w:rFonts w:hint="eastAsia"/>
                <w:color w:val="auto"/>
                <w:highlight w:val="none"/>
                <w:lang w:eastAsia="zh-CN"/>
              </w:rPr>
              <w:t xml:space="preserve">法定代表人： </w:t>
            </w:r>
          </w:p>
          <w:p w14:paraId="3B2F115B">
            <w:pPr>
              <w:pStyle w:val="8"/>
              <w:spacing w:line="364" w:lineRule="auto"/>
              <w:ind w:left="0" w:right="1958" w:firstLine="0"/>
              <w:jc w:val="both"/>
              <w:rPr>
                <w:rFonts w:hint="eastAsia"/>
                <w:color w:val="auto"/>
                <w:highlight w:val="none"/>
                <w:lang w:eastAsia="zh-CN"/>
              </w:rPr>
            </w:pPr>
          </w:p>
          <w:p w14:paraId="43290ACD">
            <w:pPr>
              <w:pStyle w:val="8"/>
              <w:spacing w:line="364" w:lineRule="auto"/>
              <w:ind w:left="0" w:right="1958" w:firstLine="0"/>
              <w:jc w:val="both"/>
              <w:rPr>
                <w:rFonts w:hint="eastAsia"/>
                <w:color w:val="auto"/>
                <w:highlight w:val="none"/>
                <w:lang w:eastAsia="zh-CN"/>
              </w:rPr>
            </w:pPr>
            <w:r>
              <w:rPr>
                <w:rFonts w:hint="eastAsia"/>
                <w:color w:val="auto"/>
                <w:highlight w:val="none"/>
                <w:lang w:eastAsia="zh-CN"/>
              </w:rPr>
              <w:t xml:space="preserve">或委托代理人： </w:t>
            </w:r>
          </w:p>
          <w:p w14:paraId="7FD7FFFA">
            <w:pPr>
              <w:pStyle w:val="8"/>
              <w:spacing w:before="1" w:line="365" w:lineRule="auto"/>
              <w:ind w:left="0" w:right="0" w:firstLine="0"/>
              <w:jc w:val="both"/>
              <w:rPr>
                <w:rFonts w:hint="eastAsia"/>
                <w:color w:val="auto"/>
                <w:spacing w:val="-4"/>
                <w:highlight w:val="none"/>
                <w:lang w:eastAsia="zh-CN"/>
              </w:rPr>
            </w:pPr>
            <w:r>
              <w:rPr>
                <w:rFonts w:hint="eastAsia"/>
                <w:color w:val="auto"/>
                <w:spacing w:val="-4"/>
                <w:highlight w:val="none"/>
                <w:lang w:eastAsia="zh-CN"/>
              </w:rPr>
              <w:t>开户银行：</w:t>
            </w:r>
            <w:r>
              <w:rPr>
                <w:rFonts w:hint="eastAsia"/>
                <w:color w:val="auto"/>
                <w:spacing w:val="-4"/>
                <w:sz w:val="24"/>
                <w:szCs w:val="24"/>
                <w:highlight w:val="none"/>
                <w:lang w:val="en-US" w:eastAsia="zh-CN"/>
              </w:rPr>
              <w:t xml:space="preserve"> </w:t>
            </w:r>
            <w:r>
              <w:rPr>
                <w:rFonts w:hint="eastAsia"/>
                <w:color w:val="auto"/>
                <w:spacing w:val="-4"/>
                <w:highlight w:val="none"/>
                <w:lang w:eastAsia="zh-CN"/>
              </w:rPr>
              <w:t xml:space="preserve"> </w:t>
            </w:r>
          </w:p>
          <w:p w14:paraId="0CF5C353">
            <w:pPr>
              <w:pStyle w:val="32"/>
              <w:tabs>
                <w:tab w:val="left" w:pos="3420"/>
                <w:tab w:val="left" w:pos="3600"/>
              </w:tabs>
              <w:spacing w:line="360" w:lineRule="auto"/>
              <w:rPr>
                <w:rFonts w:ascii="宋体" w:hAnsi="宋体"/>
                <w:color w:val="auto"/>
                <w:sz w:val="24"/>
                <w:highlight w:val="none"/>
              </w:rPr>
            </w:pPr>
            <w:r>
              <w:rPr>
                <w:rFonts w:hint="eastAsia" w:ascii="宋体" w:hAnsi="宋体" w:eastAsia="宋体" w:cs="宋体"/>
                <w:color w:val="auto"/>
                <w:spacing w:val="-4"/>
                <w:kern w:val="0"/>
                <w:sz w:val="24"/>
                <w:highlight w:val="none"/>
                <w:lang w:eastAsia="zh-CN"/>
              </w:rPr>
              <w:t>账号：</w:t>
            </w:r>
            <w:r>
              <w:rPr>
                <w:rFonts w:hint="eastAsia" w:ascii="宋体" w:hAnsi="宋体"/>
                <w:color w:val="auto"/>
                <w:sz w:val="24"/>
                <w:highlight w:val="none"/>
                <w:lang w:val="en-US" w:eastAsia="zh-CN"/>
              </w:rPr>
              <w:t xml:space="preserve"> </w:t>
            </w:r>
          </w:p>
          <w:p w14:paraId="109B78B0">
            <w:pPr>
              <w:adjustRightInd w:val="0"/>
              <w:snapToGrid w:val="0"/>
              <w:spacing w:line="312" w:lineRule="auto"/>
              <w:jc w:val="both"/>
              <w:outlineLvl w:val="9"/>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签订日期：</w:t>
            </w:r>
            <w:r>
              <w:rPr>
                <w:rFonts w:hint="eastAsia" w:cs="宋体"/>
                <w:snapToGrid w:val="0"/>
                <w:color w:val="auto"/>
                <w:kern w:val="0"/>
                <w:sz w:val="24"/>
                <w:szCs w:val="24"/>
                <w:highlight w:val="none"/>
                <w:lang w:val="en-US" w:eastAsia="zh-CN"/>
              </w:rPr>
              <w:t>2025</w:t>
            </w:r>
            <w:r>
              <w:rPr>
                <w:rFonts w:hint="eastAsia" w:ascii="宋体" w:hAnsi="宋体" w:eastAsia="宋体" w:cs="宋体"/>
                <w:snapToGrid w:val="0"/>
                <w:color w:val="auto"/>
                <w:kern w:val="0"/>
                <w:sz w:val="24"/>
                <w:szCs w:val="24"/>
                <w:highlight w:val="none"/>
              </w:rPr>
              <w:t>年</w:t>
            </w:r>
            <w:r>
              <w:rPr>
                <w:rFonts w:hint="eastAsia"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rPr>
              <w:t>月</w:t>
            </w:r>
            <w:r>
              <w:rPr>
                <w:rFonts w:hint="eastAsia"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lang w:eastAsia="zh-CN"/>
              </w:rPr>
              <w:t>日</w:t>
            </w:r>
          </w:p>
          <w:p w14:paraId="3F02C4EE">
            <w:pPr>
              <w:pStyle w:val="8"/>
              <w:spacing w:before="2" w:line="364" w:lineRule="auto"/>
              <w:ind w:right="2198" w:firstLine="0"/>
              <w:jc w:val="both"/>
              <w:rPr>
                <w:rFonts w:hint="eastAsia"/>
                <w:color w:val="auto"/>
                <w:highlight w:val="none"/>
                <w:lang w:eastAsia="zh-CN"/>
              </w:rPr>
            </w:pPr>
            <w:r>
              <w:rPr>
                <w:rFonts w:hint="eastAsia"/>
                <w:color w:val="auto"/>
                <w:highlight w:val="none"/>
                <w:lang w:eastAsia="zh-CN"/>
              </w:rPr>
              <w:t xml:space="preserve"> </w:t>
            </w:r>
          </w:p>
          <w:p w14:paraId="02F43018">
            <w:pPr>
              <w:pStyle w:val="8"/>
              <w:spacing w:before="2" w:line="364" w:lineRule="auto"/>
              <w:ind w:right="2198" w:firstLine="0"/>
              <w:jc w:val="both"/>
              <w:rPr>
                <w:rFonts w:hint="eastAsia"/>
                <w:color w:val="auto"/>
                <w:highlight w:val="none"/>
                <w:lang w:eastAsia="zh-CN"/>
              </w:rPr>
            </w:pPr>
          </w:p>
          <w:p w14:paraId="721C9D98">
            <w:pPr>
              <w:jc w:val="both"/>
              <w:rPr>
                <w:rFonts w:hint="eastAsia"/>
                <w:color w:val="auto"/>
                <w:sz w:val="20"/>
                <w:highlight w:val="none"/>
                <w:vertAlign w:val="baseline"/>
                <w:lang w:eastAsia="zh-CN"/>
              </w:rPr>
            </w:pPr>
          </w:p>
        </w:tc>
        <w:tc>
          <w:tcPr>
            <w:tcW w:w="4688" w:type="dxa"/>
            <w:vAlign w:val="top"/>
          </w:tcPr>
          <w:p w14:paraId="5B2F2B3F">
            <w:pPr>
              <w:pStyle w:val="8"/>
              <w:spacing w:before="202"/>
              <w:ind w:left="0" w:leftChars="0" w:firstLine="0" w:firstLineChars="0"/>
              <w:jc w:val="both"/>
              <w:rPr>
                <w:rFonts w:hint="eastAsia"/>
                <w:color w:val="auto"/>
                <w:highlight w:val="none"/>
                <w:lang w:eastAsia="zh-CN"/>
              </w:rPr>
            </w:pPr>
            <w:r>
              <w:rPr>
                <w:rFonts w:hint="eastAsia"/>
                <w:color w:val="auto"/>
                <w:highlight w:val="none"/>
                <w:lang w:val="en-US" w:eastAsia="zh-CN"/>
              </w:rPr>
              <w:t>保险人</w:t>
            </w:r>
            <w:r>
              <w:rPr>
                <w:rFonts w:hint="eastAsia"/>
                <w:color w:val="auto"/>
                <w:highlight w:val="none"/>
                <w:lang w:eastAsia="zh-CN"/>
              </w:rPr>
              <w:t>：</w:t>
            </w:r>
            <w:r>
              <w:rPr>
                <w:rFonts w:hint="eastAsia"/>
                <w:color w:val="auto"/>
                <w:highlight w:val="none"/>
                <w:lang w:val="en-US" w:eastAsia="zh-CN"/>
              </w:rPr>
              <w:t xml:space="preserve">           </w:t>
            </w:r>
            <w:r>
              <w:rPr>
                <w:rFonts w:hint="eastAsia"/>
                <w:color w:val="auto"/>
                <w:highlight w:val="none"/>
                <w:lang w:eastAsia="zh-CN"/>
              </w:rPr>
              <w:t>（盖章）</w:t>
            </w:r>
          </w:p>
          <w:p w14:paraId="72038861">
            <w:pPr>
              <w:pStyle w:val="8"/>
              <w:spacing w:before="160" w:line="364" w:lineRule="auto"/>
              <w:ind w:right="38" w:firstLine="0"/>
              <w:jc w:val="both"/>
              <w:rPr>
                <w:rFonts w:hint="eastAsia"/>
                <w:color w:val="auto"/>
                <w:highlight w:val="none"/>
                <w:lang w:val="en-US" w:eastAsia="zh-CN"/>
              </w:rPr>
            </w:pPr>
            <w:r>
              <w:rPr>
                <w:rFonts w:hint="eastAsia"/>
                <w:color w:val="auto"/>
                <w:highlight w:val="none"/>
                <w:lang w:val="en-US" w:eastAsia="zh-CN"/>
              </w:rPr>
              <w:t xml:space="preserve"> </w:t>
            </w:r>
          </w:p>
          <w:p w14:paraId="05B568E4">
            <w:pPr>
              <w:pStyle w:val="8"/>
              <w:spacing w:before="0" w:line="365" w:lineRule="auto"/>
              <w:ind w:left="0" w:leftChars="0" w:firstLine="0" w:firstLineChars="0"/>
              <w:jc w:val="both"/>
              <w:rPr>
                <w:rFonts w:hint="default"/>
                <w:color w:val="auto"/>
                <w:highlight w:val="none"/>
                <w:lang w:val="en-US" w:eastAsia="zh-CN"/>
              </w:rPr>
            </w:pPr>
            <w:r>
              <w:rPr>
                <w:rFonts w:hint="eastAsia"/>
                <w:color w:val="auto"/>
                <w:highlight w:val="none"/>
                <w:lang w:eastAsia="zh-CN"/>
              </w:rPr>
              <w:t>统一社会信用代码：</w:t>
            </w:r>
            <w:r>
              <w:rPr>
                <w:rFonts w:hint="eastAsia"/>
                <w:color w:val="auto"/>
                <w:highlight w:val="none"/>
                <w:lang w:val="en-US" w:eastAsia="zh-CN"/>
              </w:rPr>
              <w:t xml:space="preserve">           </w:t>
            </w:r>
          </w:p>
          <w:p w14:paraId="4358394C">
            <w:pPr>
              <w:pStyle w:val="32"/>
              <w:tabs>
                <w:tab w:val="left" w:pos="3420"/>
                <w:tab w:val="left" w:pos="3600"/>
              </w:tabs>
              <w:spacing w:line="360" w:lineRule="auto"/>
              <w:ind w:firstLine="720" w:firstLineChars="300"/>
              <w:rPr>
                <w:rFonts w:hint="eastAsia" w:ascii="宋体" w:hAnsi="宋体"/>
                <w:color w:val="auto"/>
                <w:sz w:val="24"/>
                <w:highlight w:val="none"/>
              </w:rPr>
            </w:pPr>
            <w:r>
              <w:rPr>
                <w:rFonts w:hint="eastAsia" w:ascii="宋体" w:hAnsi="宋体" w:eastAsia="宋体" w:cs="Times New Roman"/>
                <w:color w:val="auto"/>
                <w:sz w:val="24"/>
                <w:highlight w:val="none"/>
                <w:lang w:eastAsia="zh-CN"/>
              </w:rPr>
              <w:t>地址：</w:t>
            </w:r>
          </w:p>
          <w:p w14:paraId="6C1D8109">
            <w:pPr>
              <w:pStyle w:val="8"/>
              <w:spacing w:line="365" w:lineRule="auto"/>
              <w:ind w:left="0" w:leftChars="0" w:right="1958" w:firstLine="0" w:firstLineChars="0"/>
              <w:jc w:val="both"/>
              <w:rPr>
                <w:rFonts w:hint="eastAsia"/>
                <w:color w:val="auto"/>
                <w:highlight w:val="none"/>
                <w:lang w:eastAsia="zh-CN"/>
              </w:rPr>
            </w:pPr>
            <w:r>
              <w:rPr>
                <w:rFonts w:hint="eastAsia"/>
                <w:color w:val="auto"/>
                <w:highlight w:val="none"/>
                <w:lang w:eastAsia="zh-CN"/>
              </w:rPr>
              <w:t xml:space="preserve">法定代表人： </w:t>
            </w:r>
          </w:p>
          <w:p w14:paraId="77D8939B">
            <w:pPr>
              <w:pStyle w:val="8"/>
              <w:spacing w:line="365" w:lineRule="auto"/>
              <w:ind w:left="119" w:right="0" w:firstLine="0"/>
              <w:jc w:val="left"/>
              <w:rPr>
                <w:rFonts w:hint="eastAsia"/>
                <w:color w:val="auto"/>
                <w:highlight w:val="none"/>
                <w:lang w:eastAsia="zh-CN"/>
              </w:rPr>
            </w:pPr>
          </w:p>
          <w:p w14:paraId="0FED8F8D">
            <w:pPr>
              <w:pStyle w:val="8"/>
              <w:spacing w:line="365" w:lineRule="auto"/>
              <w:ind w:left="0" w:leftChars="0" w:right="0" w:firstLine="0" w:firstLineChars="0"/>
              <w:jc w:val="left"/>
              <w:rPr>
                <w:rFonts w:hint="eastAsia"/>
                <w:color w:val="auto"/>
                <w:highlight w:val="none"/>
                <w:lang w:eastAsia="zh-CN"/>
              </w:rPr>
            </w:pPr>
            <w:r>
              <w:rPr>
                <w:rFonts w:hint="eastAsia"/>
                <w:color w:val="auto"/>
                <w:highlight w:val="none"/>
                <w:lang w:eastAsia="zh-CN"/>
              </w:rPr>
              <w:t>或委托代理人：</w:t>
            </w:r>
          </w:p>
          <w:p w14:paraId="5E7747C0">
            <w:pPr>
              <w:pStyle w:val="8"/>
              <w:spacing w:line="365" w:lineRule="auto"/>
              <w:ind w:left="0" w:leftChars="0" w:right="1958" w:firstLine="0" w:firstLineChars="0"/>
              <w:jc w:val="both"/>
              <w:rPr>
                <w:rFonts w:hint="default"/>
                <w:color w:val="auto"/>
                <w:highlight w:val="none"/>
                <w:lang w:val="en-US" w:eastAsia="zh-CN"/>
              </w:rPr>
            </w:pPr>
            <w:r>
              <w:rPr>
                <w:rFonts w:hint="eastAsia"/>
                <w:color w:val="auto"/>
                <w:highlight w:val="none"/>
                <w:lang w:eastAsia="zh-CN"/>
              </w:rPr>
              <w:t>联系人：</w:t>
            </w:r>
            <w:r>
              <w:rPr>
                <w:rFonts w:hint="eastAsia"/>
                <w:color w:val="auto"/>
                <w:highlight w:val="none"/>
                <w:lang w:val="en-US" w:eastAsia="zh-CN"/>
              </w:rPr>
              <w:t xml:space="preserve">       </w:t>
            </w:r>
          </w:p>
          <w:p w14:paraId="436E00D6">
            <w:pPr>
              <w:pStyle w:val="8"/>
              <w:spacing w:before="0" w:line="365" w:lineRule="auto"/>
              <w:ind w:left="0" w:leftChars="0" w:right="0" w:firstLine="0" w:firstLineChars="0"/>
              <w:jc w:val="left"/>
              <w:rPr>
                <w:rFonts w:hint="eastAsia"/>
                <w:color w:val="auto"/>
                <w:spacing w:val="-7"/>
                <w:highlight w:val="none"/>
                <w:lang w:val="en-US" w:eastAsia="zh-CN"/>
              </w:rPr>
            </w:pPr>
            <w:r>
              <w:rPr>
                <w:rFonts w:hint="eastAsia"/>
                <w:color w:val="auto"/>
                <w:spacing w:val="-7"/>
                <w:highlight w:val="none"/>
                <w:lang w:eastAsia="zh-CN"/>
              </w:rPr>
              <w:t>电话：</w:t>
            </w:r>
            <w:r>
              <w:rPr>
                <w:rFonts w:hint="eastAsia"/>
                <w:color w:val="auto"/>
                <w:spacing w:val="-7"/>
                <w:highlight w:val="none"/>
                <w:lang w:val="en-US" w:eastAsia="zh-CN"/>
              </w:rPr>
              <w:t xml:space="preserve">           </w:t>
            </w:r>
          </w:p>
          <w:p w14:paraId="32ABFF9C">
            <w:pPr>
              <w:pStyle w:val="8"/>
              <w:spacing w:before="0" w:line="365" w:lineRule="auto"/>
              <w:ind w:left="0" w:leftChars="0" w:right="0" w:firstLine="0" w:firstLineChars="0"/>
              <w:jc w:val="left"/>
              <w:rPr>
                <w:rFonts w:hint="default"/>
                <w:color w:val="auto"/>
                <w:highlight w:val="none"/>
                <w:lang w:val="en-US" w:eastAsia="zh-CN"/>
              </w:rPr>
            </w:pPr>
            <w:r>
              <w:rPr>
                <w:rFonts w:hint="eastAsia"/>
                <w:color w:val="auto"/>
                <w:spacing w:val="-7"/>
                <w:highlight w:val="none"/>
                <w:lang w:eastAsia="zh-CN"/>
              </w:rPr>
              <w:t>传真：</w:t>
            </w:r>
            <w:r>
              <w:rPr>
                <w:rFonts w:hint="eastAsia"/>
                <w:color w:val="auto"/>
                <w:spacing w:val="-7"/>
                <w:highlight w:val="none"/>
                <w:lang w:val="en-US" w:eastAsia="zh-CN"/>
              </w:rPr>
              <w:t>/</w:t>
            </w:r>
          </w:p>
          <w:p w14:paraId="18E8C20A">
            <w:pPr>
              <w:pStyle w:val="8"/>
              <w:spacing w:before="0" w:line="365" w:lineRule="auto"/>
              <w:ind w:left="0" w:leftChars="0" w:right="0" w:firstLine="0" w:firstLineChars="0"/>
              <w:jc w:val="left"/>
              <w:rPr>
                <w:rFonts w:hint="eastAsia"/>
                <w:color w:val="auto"/>
                <w:spacing w:val="-4"/>
                <w:highlight w:val="none"/>
                <w:lang w:eastAsia="zh-CN"/>
              </w:rPr>
            </w:pPr>
            <w:r>
              <w:rPr>
                <w:rFonts w:hint="eastAsia"/>
                <w:color w:val="auto"/>
                <w:spacing w:val="-4"/>
                <w:highlight w:val="none"/>
                <w:lang w:eastAsia="zh-CN"/>
              </w:rPr>
              <w:t>开户银行：</w:t>
            </w:r>
          </w:p>
          <w:p w14:paraId="70ADCF26">
            <w:pPr>
              <w:pStyle w:val="8"/>
              <w:spacing w:before="0" w:line="365" w:lineRule="auto"/>
              <w:ind w:left="0" w:leftChars="0" w:right="0" w:firstLine="0" w:firstLineChars="0"/>
              <w:jc w:val="both"/>
              <w:rPr>
                <w:rFonts w:hint="eastAsia"/>
                <w:color w:val="auto"/>
                <w:highlight w:val="none"/>
                <w:lang w:eastAsia="zh-CN"/>
              </w:rPr>
            </w:pPr>
            <w:r>
              <w:rPr>
                <w:rFonts w:hint="eastAsia"/>
                <w:color w:val="auto"/>
                <w:highlight w:val="none"/>
                <w:lang w:eastAsia="zh-CN"/>
              </w:rPr>
              <w:t>账号：</w:t>
            </w:r>
          </w:p>
          <w:p w14:paraId="2793027C">
            <w:pPr>
              <w:pStyle w:val="8"/>
              <w:spacing w:before="0" w:line="365" w:lineRule="auto"/>
              <w:ind w:left="0" w:leftChars="0" w:right="2198" w:firstLine="0" w:firstLineChars="0"/>
              <w:jc w:val="both"/>
              <w:rPr>
                <w:rFonts w:hint="eastAsia"/>
                <w:color w:val="auto"/>
                <w:highlight w:val="none"/>
                <w:lang w:eastAsia="zh-CN"/>
              </w:rPr>
            </w:pPr>
            <w:r>
              <w:rPr>
                <w:rFonts w:hint="eastAsia"/>
                <w:color w:val="auto"/>
                <w:highlight w:val="none"/>
                <w:lang w:eastAsia="zh-CN"/>
              </w:rPr>
              <w:t>邮政编码：</w:t>
            </w:r>
          </w:p>
          <w:p w14:paraId="15DE92AD">
            <w:pPr>
              <w:pStyle w:val="8"/>
              <w:spacing w:before="0" w:line="365" w:lineRule="auto"/>
              <w:ind w:left="0" w:leftChars="0" w:right="0" w:firstLine="0" w:firstLineChars="0"/>
              <w:jc w:val="left"/>
              <w:rPr>
                <w:rFonts w:hint="eastAsia"/>
                <w:color w:val="auto"/>
                <w:spacing w:val="-4"/>
                <w:sz w:val="24"/>
                <w:szCs w:val="24"/>
                <w:highlight w:val="none"/>
                <w:lang w:eastAsia="zh-CN"/>
              </w:rPr>
            </w:pPr>
            <w:r>
              <w:rPr>
                <w:rFonts w:hint="eastAsia"/>
                <w:color w:val="auto"/>
                <w:highlight w:val="none"/>
                <w:lang w:eastAsia="zh-CN"/>
              </w:rPr>
              <w:t>电子邮箱：</w:t>
            </w:r>
          </w:p>
          <w:p w14:paraId="4D361BAC">
            <w:pPr>
              <w:pStyle w:val="8"/>
              <w:adjustRightInd w:val="0"/>
              <w:snapToGrid w:val="0"/>
              <w:spacing w:line="365" w:lineRule="auto"/>
              <w:ind w:left="0" w:leftChars="0" w:firstLine="0" w:firstLineChars="0"/>
              <w:jc w:val="left"/>
              <w:outlineLvl w:val="9"/>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签订日期：</w:t>
            </w:r>
            <w:r>
              <w:rPr>
                <w:rFonts w:hint="eastAsia" w:cs="宋体"/>
                <w:snapToGrid w:val="0"/>
                <w:color w:val="auto"/>
                <w:kern w:val="0"/>
                <w:sz w:val="24"/>
                <w:szCs w:val="24"/>
                <w:highlight w:val="none"/>
                <w:lang w:val="en-US" w:eastAsia="zh-CN"/>
              </w:rPr>
              <w:t>2025</w:t>
            </w:r>
            <w:r>
              <w:rPr>
                <w:rFonts w:hint="eastAsia" w:ascii="宋体" w:hAnsi="宋体" w:eastAsia="宋体" w:cs="宋体"/>
                <w:snapToGrid w:val="0"/>
                <w:color w:val="auto"/>
                <w:kern w:val="0"/>
                <w:sz w:val="24"/>
                <w:szCs w:val="24"/>
                <w:highlight w:val="none"/>
              </w:rPr>
              <w:t>年</w:t>
            </w:r>
            <w:r>
              <w:rPr>
                <w:rFonts w:hint="eastAsia"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rPr>
              <w:t>月</w:t>
            </w:r>
            <w:r>
              <w:rPr>
                <w:rFonts w:hint="eastAsia"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lang w:eastAsia="zh-CN"/>
              </w:rPr>
              <w:t>日</w:t>
            </w:r>
          </w:p>
          <w:p w14:paraId="6B747591">
            <w:pPr>
              <w:jc w:val="both"/>
              <w:rPr>
                <w:rFonts w:hint="default"/>
                <w:color w:val="auto"/>
                <w:sz w:val="20"/>
                <w:highlight w:val="none"/>
                <w:vertAlign w:val="baseline"/>
                <w:lang w:val="en-US" w:eastAsia="zh-CN"/>
              </w:rPr>
            </w:pPr>
          </w:p>
        </w:tc>
      </w:tr>
    </w:tbl>
    <w:p w14:paraId="7F0E737C">
      <w:pPr>
        <w:ind w:left="505"/>
        <w:rPr>
          <w:rFonts w:hint="eastAsia" w:ascii="宋体" w:hAnsi="宋体" w:eastAsia="宋体" w:cs="宋体"/>
          <w:color w:val="auto"/>
          <w:highlight w:val="none"/>
          <w:lang w:eastAsia="zh-CN"/>
        </w:rPr>
      </w:pPr>
      <w:bookmarkStart w:id="2" w:name="第二部分_保险条款"/>
      <w:bookmarkEnd w:id="2"/>
      <w:bookmarkStart w:id="3" w:name="_bookmark1"/>
      <w:bookmarkEnd w:id="3"/>
      <w:r>
        <w:rPr>
          <w:rFonts w:hint="eastAsia" w:ascii="宋体" w:hAnsi="宋体" w:eastAsia="宋体" w:cs="宋体"/>
          <w:color w:val="auto"/>
          <w:highlight w:val="none"/>
          <w:lang w:eastAsia="zh-CN"/>
        </w:rPr>
        <w:br w:type="page"/>
      </w:r>
    </w:p>
    <w:p w14:paraId="1C224B55">
      <w:pPr>
        <w:pStyle w:val="2"/>
        <w:ind w:left="505"/>
        <w:rPr>
          <w:rFonts w:hint="eastAsia"/>
          <w:color w:val="auto"/>
          <w:highlight w:val="none"/>
          <w:lang w:eastAsia="zh-CN"/>
        </w:rPr>
      </w:pPr>
      <w:r>
        <w:rPr>
          <w:rFonts w:hint="eastAsia"/>
          <w:color w:val="auto"/>
          <w:highlight w:val="none"/>
          <w:lang w:eastAsia="zh-CN"/>
        </w:rPr>
        <w:t>第二部分 保险条款</w:t>
      </w:r>
    </w:p>
    <w:p w14:paraId="41723583">
      <w:pPr>
        <w:pStyle w:val="8"/>
        <w:spacing w:before="12"/>
        <w:ind w:left="0" w:firstLine="0"/>
        <w:rPr>
          <w:rFonts w:hint="eastAsia"/>
          <w:b/>
          <w:color w:val="auto"/>
          <w:sz w:val="38"/>
          <w:highlight w:val="none"/>
          <w:lang w:eastAsia="zh-CN"/>
        </w:rPr>
      </w:pPr>
    </w:p>
    <w:p w14:paraId="49C5C333">
      <w:pPr>
        <w:pStyle w:val="4"/>
        <w:rPr>
          <w:rFonts w:hint="eastAsia"/>
          <w:color w:val="auto"/>
          <w:highlight w:val="none"/>
          <w:lang w:eastAsia="zh-CN"/>
        </w:rPr>
      </w:pPr>
      <w:bookmarkStart w:id="4" w:name="（一）广州市住宅工程质量潜在缺陷保险条款"/>
      <w:bookmarkEnd w:id="4"/>
      <w:r>
        <w:rPr>
          <w:rFonts w:hint="eastAsia"/>
          <w:color w:val="auto"/>
          <w:highlight w:val="none"/>
          <w:lang w:eastAsia="zh-CN"/>
        </w:rPr>
        <w:t>（一）广州市住宅工程质量潜在缺陷保险条款</w:t>
      </w:r>
    </w:p>
    <w:p w14:paraId="7186B9A8">
      <w:pPr>
        <w:pStyle w:val="8"/>
        <w:spacing w:before="9"/>
        <w:ind w:left="0" w:firstLine="0"/>
        <w:rPr>
          <w:rFonts w:hint="eastAsia"/>
          <w:b/>
          <w:color w:val="auto"/>
          <w:sz w:val="30"/>
          <w:highlight w:val="none"/>
          <w:lang w:eastAsia="zh-CN"/>
        </w:rPr>
      </w:pPr>
    </w:p>
    <w:p w14:paraId="6301FFF8">
      <w:pPr>
        <w:pStyle w:val="5"/>
        <w:spacing w:before="1"/>
        <w:ind w:left="82" w:right="323"/>
        <w:jc w:val="center"/>
        <w:rPr>
          <w:rFonts w:hint="eastAsia"/>
          <w:color w:val="auto"/>
          <w:highlight w:val="none"/>
          <w:lang w:eastAsia="zh-CN"/>
        </w:rPr>
      </w:pPr>
      <w:r>
        <w:rPr>
          <w:rFonts w:hint="eastAsia"/>
          <w:color w:val="auto"/>
          <w:highlight w:val="none"/>
          <w:lang w:eastAsia="zh-CN"/>
        </w:rPr>
        <w:t>总则</w:t>
      </w:r>
    </w:p>
    <w:p w14:paraId="0A536411">
      <w:pPr>
        <w:pStyle w:val="8"/>
        <w:spacing w:before="6"/>
        <w:ind w:left="0" w:firstLine="0"/>
        <w:rPr>
          <w:rFonts w:hint="eastAsia"/>
          <w:b/>
          <w:color w:val="auto"/>
          <w:sz w:val="18"/>
          <w:highlight w:val="none"/>
          <w:lang w:eastAsia="zh-CN"/>
        </w:rPr>
      </w:pPr>
    </w:p>
    <w:p w14:paraId="2283EBED">
      <w:pPr>
        <w:pStyle w:val="8"/>
        <w:spacing w:line="364" w:lineRule="auto"/>
        <w:ind w:right="235"/>
        <w:jc w:val="both"/>
        <w:rPr>
          <w:rFonts w:hint="eastAsia"/>
          <w:color w:val="auto"/>
          <w:highlight w:val="none"/>
          <w:lang w:eastAsia="zh-CN"/>
        </w:rPr>
      </w:pPr>
      <w:r>
        <w:rPr>
          <w:rFonts w:hint="eastAsia"/>
          <w:b/>
          <w:color w:val="auto"/>
          <w:spacing w:val="-16"/>
          <w:highlight w:val="none"/>
          <w:lang w:eastAsia="zh-CN"/>
        </w:rPr>
        <w:t xml:space="preserve">第一条 </w:t>
      </w:r>
      <w:r>
        <w:rPr>
          <w:rFonts w:hint="eastAsia"/>
          <w:color w:val="auto"/>
          <w:spacing w:val="-5"/>
          <w:highlight w:val="none"/>
          <w:lang w:eastAsia="zh-CN"/>
        </w:rPr>
        <w:t>本保险合同由保险条款、投保单、保险单、保险凭证以及批单组成。</w:t>
      </w:r>
      <w:r>
        <w:rPr>
          <w:rFonts w:hint="eastAsia"/>
          <w:color w:val="auto"/>
          <w:highlight w:val="none"/>
          <w:lang w:eastAsia="zh-CN"/>
        </w:rPr>
        <w:t>凡涉及保险合同的约定，均应采用书面形式。</w:t>
      </w:r>
    </w:p>
    <w:p w14:paraId="5A5D0CAD">
      <w:pPr>
        <w:pStyle w:val="8"/>
        <w:spacing w:before="1" w:line="364" w:lineRule="auto"/>
        <w:ind w:right="117"/>
        <w:jc w:val="both"/>
        <w:rPr>
          <w:rFonts w:hint="eastAsia"/>
          <w:color w:val="auto"/>
          <w:highlight w:val="none"/>
          <w:lang w:eastAsia="zh-CN"/>
        </w:rPr>
      </w:pPr>
      <w:r>
        <w:rPr>
          <w:rFonts w:hint="eastAsia"/>
          <w:b/>
          <w:color w:val="auto"/>
          <w:highlight w:val="none"/>
          <w:lang w:eastAsia="zh-CN"/>
        </w:rPr>
        <w:t xml:space="preserve">第二条 </w:t>
      </w:r>
      <w:r>
        <w:rPr>
          <w:rFonts w:hint="eastAsia"/>
          <w:color w:val="auto"/>
          <w:highlight w:val="none"/>
          <w:lang w:eastAsia="zh-CN"/>
        </w:rPr>
        <w:t>凡获得国家或地方建设主管部门资质认可的建设单位，政府投资项目的项目主管部门或者建设项目的委托单位、代建单位均可成为本合同的投保人。</w:t>
      </w:r>
    </w:p>
    <w:p w14:paraId="05264ECB">
      <w:pPr>
        <w:pStyle w:val="8"/>
        <w:spacing w:before="2" w:line="364" w:lineRule="auto"/>
        <w:ind w:right="357"/>
        <w:jc w:val="both"/>
        <w:rPr>
          <w:rFonts w:hint="eastAsia"/>
          <w:color w:val="auto"/>
          <w:highlight w:val="none"/>
          <w:lang w:eastAsia="zh-CN"/>
        </w:rPr>
      </w:pPr>
      <w:r>
        <w:rPr>
          <w:rFonts w:hint="eastAsia"/>
          <w:b/>
          <w:color w:val="auto"/>
          <w:spacing w:val="-9"/>
          <w:highlight w:val="none"/>
          <w:lang w:eastAsia="zh-CN"/>
        </w:rPr>
        <w:t xml:space="preserve">第三条 </w:t>
      </w:r>
      <w:r>
        <w:rPr>
          <w:rFonts w:hint="eastAsia"/>
          <w:color w:val="auto"/>
          <w:highlight w:val="none"/>
          <w:lang w:eastAsia="zh-CN"/>
        </w:rPr>
        <w:t>投保人应在保险单载明的建设工程办理施工许可手续前向保险人申</w:t>
      </w:r>
      <w:r>
        <w:rPr>
          <w:rFonts w:hint="eastAsia"/>
          <w:color w:val="auto"/>
          <w:spacing w:val="-10"/>
          <w:highlight w:val="none"/>
          <w:lang w:eastAsia="zh-CN"/>
        </w:rPr>
        <w:t>请投保本保险，经保险人同意承保，保险合同成立。投保人按照保险合同约定交</w:t>
      </w:r>
      <w:r>
        <w:rPr>
          <w:rFonts w:hint="eastAsia"/>
          <w:color w:val="auto"/>
          <w:highlight w:val="none"/>
          <w:lang w:eastAsia="zh-CN"/>
        </w:rPr>
        <w:t>纳保险费，保险合同生效。</w:t>
      </w:r>
    </w:p>
    <w:p w14:paraId="0311EC6E">
      <w:pPr>
        <w:pStyle w:val="8"/>
        <w:spacing w:before="1" w:line="364" w:lineRule="auto"/>
        <w:ind w:right="265"/>
        <w:jc w:val="both"/>
        <w:rPr>
          <w:rFonts w:hint="eastAsia"/>
          <w:color w:val="auto"/>
          <w:highlight w:val="none"/>
          <w:lang w:eastAsia="zh-CN"/>
        </w:rPr>
      </w:pPr>
      <w:r>
        <w:rPr>
          <w:rFonts w:hint="eastAsia"/>
          <w:b/>
          <w:color w:val="auto"/>
          <w:highlight w:val="none"/>
          <w:lang w:eastAsia="zh-CN"/>
        </w:rPr>
        <w:t xml:space="preserve">第四条 </w:t>
      </w:r>
      <w:r>
        <w:rPr>
          <w:rFonts w:hint="eastAsia"/>
          <w:color w:val="auto"/>
          <w:highlight w:val="none"/>
          <w:lang w:eastAsia="zh-CN"/>
        </w:rPr>
        <w:t>建设工程所有权人、合法继承人和受让人以及政府投资项目的项目主管部门或者建设项目的委托单位、代建单位均可成为本保险合同的被保险人。</w:t>
      </w:r>
    </w:p>
    <w:p w14:paraId="5D60C41F">
      <w:pPr>
        <w:pStyle w:val="5"/>
        <w:spacing w:before="2"/>
        <w:ind w:left="83" w:right="320"/>
        <w:jc w:val="center"/>
        <w:rPr>
          <w:rFonts w:hint="eastAsia"/>
          <w:color w:val="auto"/>
          <w:highlight w:val="none"/>
          <w:lang w:eastAsia="zh-CN"/>
        </w:rPr>
      </w:pPr>
      <w:r>
        <w:rPr>
          <w:rFonts w:hint="eastAsia"/>
          <w:color w:val="auto"/>
          <w:highlight w:val="none"/>
          <w:lang w:eastAsia="zh-CN"/>
        </w:rPr>
        <w:t>保险责任</w:t>
      </w:r>
    </w:p>
    <w:p w14:paraId="2CB81E35">
      <w:pPr>
        <w:pStyle w:val="8"/>
        <w:spacing w:before="160" w:line="364" w:lineRule="auto"/>
        <w:ind w:right="357"/>
        <w:jc w:val="both"/>
        <w:rPr>
          <w:rFonts w:hint="eastAsia"/>
          <w:color w:val="auto"/>
          <w:highlight w:val="none"/>
          <w:lang w:eastAsia="zh-CN"/>
        </w:rPr>
      </w:pPr>
      <w:r>
        <w:rPr>
          <w:rFonts w:hint="eastAsia"/>
          <w:b/>
          <w:color w:val="auto"/>
          <w:spacing w:val="-9"/>
          <w:highlight w:val="none"/>
          <w:lang w:eastAsia="zh-CN"/>
        </w:rPr>
        <w:t xml:space="preserve">第五条 </w:t>
      </w:r>
      <w:r>
        <w:rPr>
          <w:rFonts w:hint="eastAsia"/>
          <w:color w:val="auto"/>
          <w:highlight w:val="none"/>
          <w:lang w:eastAsia="zh-CN"/>
        </w:rPr>
        <w:t>保险单载明的建设工程竣工验收合格，并经保险人委托的工程质量</w:t>
      </w:r>
      <w:r>
        <w:rPr>
          <w:rFonts w:hint="eastAsia"/>
          <w:color w:val="auto"/>
          <w:spacing w:val="-7"/>
          <w:highlight w:val="none"/>
          <w:lang w:eastAsia="zh-CN"/>
        </w:rPr>
        <w:t>风险管理机构检查通过的，在正常使用条件下，在保险责任期间内，因工程质量</w:t>
      </w:r>
      <w:r>
        <w:rPr>
          <w:rFonts w:hint="eastAsia"/>
          <w:color w:val="auto"/>
          <w:spacing w:val="-8"/>
          <w:highlight w:val="none"/>
          <w:lang w:eastAsia="zh-CN"/>
        </w:rPr>
        <w:t>潜在缺陷发生下列情形，造成保险单载明的建设工程的损坏，保险人按照本保险</w:t>
      </w:r>
      <w:r>
        <w:rPr>
          <w:rFonts w:hint="eastAsia"/>
          <w:color w:val="auto"/>
          <w:highlight w:val="none"/>
          <w:lang w:eastAsia="zh-CN"/>
        </w:rPr>
        <w:t>合同的约定负责赔偿修理、加固或重置的费用：</w:t>
      </w:r>
    </w:p>
    <w:p w14:paraId="34D8EC60">
      <w:pPr>
        <w:pStyle w:val="8"/>
        <w:spacing w:before="2" w:line="364" w:lineRule="auto"/>
        <w:ind w:left="0" w:right="4410" w:firstLine="480" w:firstLineChars="200"/>
        <w:rPr>
          <w:rFonts w:hint="eastAsia"/>
          <w:color w:val="auto"/>
          <w:highlight w:val="none"/>
          <w:lang w:eastAsia="zh-CN"/>
        </w:rPr>
      </w:pPr>
      <w:r>
        <w:rPr>
          <w:rFonts w:hint="eastAsia"/>
          <w:color w:val="auto"/>
          <w:highlight w:val="none"/>
          <w:lang w:eastAsia="zh-CN"/>
        </w:rPr>
        <w:t>（一）地基基础和主体结构工程：</w:t>
      </w:r>
    </w:p>
    <w:p w14:paraId="04E7EFE7">
      <w:pPr>
        <w:pStyle w:val="8"/>
        <w:spacing w:before="2" w:line="364" w:lineRule="auto"/>
        <w:ind w:left="0" w:right="4410" w:firstLine="480" w:firstLineChars="200"/>
        <w:rPr>
          <w:rFonts w:hint="eastAsia"/>
          <w:color w:val="auto"/>
          <w:highlight w:val="none"/>
          <w:lang w:eastAsia="zh-CN"/>
        </w:rPr>
      </w:pPr>
      <w:r>
        <w:rPr>
          <w:rFonts w:hint="eastAsia"/>
          <w:color w:val="auto"/>
          <w:highlight w:val="none"/>
          <w:lang w:eastAsia="zh-CN"/>
        </w:rPr>
        <w:t xml:space="preserve"> 1.整体或局部倒塌；</w:t>
      </w:r>
    </w:p>
    <w:p w14:paraId="445D8511">
      <w:pPr>
        <w:pStyle w:val="22"/>
        <w:numPr>
          <w:ilvl w:val="0"/>
          <w:numId w:val="3"/>
        </w:numPr>
        <w:tabs>
          <w:tab w:val="left" w:pos="841"/>
        </w:tabs>
        <w:spacing w:before="2"/>
        <w:rPr>
          <w:rFonts w:hint="eastAsia"/>
          <w:color w:val="auto"/>
          <w:sz w:val="24"/>
          <w:highlight w:val="none"/>
          <w:lang w:eastAsia="zh-CN"/>
        </w:rPr>
      </w:pPr>
      <w:r>
        <w:rPr>
          <w:rFonts w:hint="eastAsia"/>
          <w:color w:val="auto"/>
          <w:sz w:val="24"/>
          <w:highlight w:val="none"/>
          <w:lang w:eastAsia="zh-CN"/>
        </w:rPr>
        <w:t>地基产生超出设计规范允许的不均匀沉降；</w:t>
      </w:r>
    </w:p>
    <w:p w14:paraId="4EFF917B">
      <w:pPr>
        <w:pStyle w:val="22"/>
        <w:numPr>
          <w:ilvl w:val="0"/>
          <w:numId w:val="3"/>
        </w:numPr>
        <w:tabs>
          <w:tab w:val="left" w:pos="841"/>
        </w:tabs>
        <w:rPr>
          <w:rFonts w:hint="eastAsia"/>
          <w:color w:val="auto"/>
          <w:sz w:val="24"/>
          <w:highlight w:val="none"/>
          <w:lang w:eastAsia="zh-CN"/>
        </w:rPr>
      </w:pPr>
      <w:r>
        <w:rPr>
          <w:rFonts w:hint="eastAsia"/>
          <w:color w:val="auto"/>
          <w:sz w:val="24"/>
          <w:highlight w:val="none"/>
          <w:lang w:eastAsia="zh-CN"/>
        </w:rPr>
        <w:t>基础和主体结构部位出现影响结构安全的裂缝、变形、破损、断裂；</w:t>
      </w:r>
    </w:p>
    <w:p w14:paraId="1D0E2197">
      <w:pPr>
        <w:pStyle w:val="22"/>
        <w:numPr>
          <w:ilvl w:val="0"/>
          <w:numId w:val="3"/>
        </w:numPr>
        <w:tabs>
          <w:tab w:val="left" w:pos="841"/>
        </w:tabs>
        <w:spacing w:before="161" w:line="364" w:lineRule="auto"/>
        <w:ind w:left="120" w:right="265" w:firstLine="480"/>
        <w:rPr>
          <w:rFonts w:hint="eastAsia"/>
          <w:color w:val="auto"/>
          <w:sz w:val="24"/>
          <w:highlight w:val="none"/>
          <w:lang w:eastAsia="zh-CN"/>
        </w:rPr>
      </w:pPr>
      <w:r>
        <w:rPr>
          <w:rFonts w:hint="eastAsia"/>
          <w:color w:val="auto"/>
          <w:spacing w:val="-1"/>
          <w:sz w:val="24"/>
          <w:highlight w:val="none"/>
          <w:lang w:eastAsia="zh-CN"/>
        </w:rPr>
        <w:t>阳台、雨蓬、挑檐、空调板等悬挑构件出现影响使用安全的裂缝、变形、</w:t>
      </w:r>
      <w:r>
        <w:rPr>
          <w:rFonts w:hint="eastAsia"/>
          <w:color w:val="auto"/>
          <w:sz w:val="24"/>
          <w:highlight w:val="none"/>
          <w:lang w:eastAsia="zh-CN"/>
        </w:rPr>
        <w:t>破损、断裂；</w:t>
      </w:r>
    </w:p>
    <w:p w14:paraId="734F19AD">
      <w:pPr>
        <w:pStyle w:val="22"/>
        <w:numPr>
          <w:ilvl w:val="0"/>
          <w:numId w:val="3"/>
        </w:numPr>
        <w:tabs>
          <w:tab w:val="left" w:pos="841"/>
        </w:tabs>
        <w:spacing w:before="1"/>
        <w:rPr>
          <w:rFonts w:hint="eastAsia"/>
          <w:color w:val="auto"/>
          <w:sz w:val="24"/>
          <w:highlight w:val="none"/>
          <w:lang w:eastAsia="zh-CN"/>
        </w:rPr>
      </w:pPr>
      <w:r>
        <w:rPr>
          <w:rFonts w:hint="eastAsia" w:ascii="宋体" w:hAnsi="宋体" w:eastAsia="宋体" w:cs="宋体"/>
          <w:color w:val="auto"/>
          <w:spacing w:val="-1"/>
          <w:sz w:val="24"/>
          <w:szCs w:val="22"/>
          <w:highlight w:val="none"/>
          <w:lang w:eastAsia="zh-CN"/>
        </w:rPr>
        <w:t>外墙结构坍塌、脱落等影响使用安全的质量缺陷</w:t>
      </w:r>
      <w:r>
        <w:rPr>
          <w:rFonts w:hint="eastAsia"/>
          <w:color w:val="auto"/>
          <w:sz w:val="24"/>
          <w:highlight w:val="none"/>
          <w:lang w:eastAsia="zh-CN"/>
        </w:rPr>
        <w:t>；</w:t>
      </w:r>
    </w:p>
    <w:p w14:paraId="76C1F5D8">
      <w:pPr>
        <w:pStyle w:val="22"/>
        <w:numPr>
          <w:ilvl w:val="0"/>
          <w:numId w:val="3"/>
        </w:numPr>
        <w:tabs>
          <w:tab w:val="left" w:pos="841"/>
        </w:tabs>
        <w:rPr>
          <w:rFonts w:hint="eastAsia"/>
          <w:color w:val="auto"/>
          <w:sz w:val="24"/>
          <w:highlight w:val="none"/>
          <w:lang w:eastAsia="zh-CN"/>
        </w:rPr>
      </w:pPr>
      <w:r>
        <w:rPr>
          <w:rFonts w:hint="eastAsia"/>
          <w:color w:val="auto"/>
          <w:sz w:val="24"/>
          <w:highlight w:val="none"/>
          <w:lang w:eastAsia="zh-CN"/>
        </w:rPr>
        <w:t>其他地基基础和主体结构部位出现的影响结构安全的工程质量潜在缺陷。</w:t>
      </w:r>
    </w:p>
    <w:p w14:paraId="17DFC3B4">
      <w:pPr>
        <w:pStyle w:val="8"/>
        <w:spacing w:before="161"/>
        <w:ind w:left="0" w:firstLine="480" w:firstLineChars="200"/>
        <w:rPr>
          <w:rFonts w:hint="eastAsia"/>
          <w:color w:val="auto"/>
          <w:highlight w:val="none"/>
          <w:lang w:eastAsia="zh-CN"/>
        </w:rPr>
      </w:pPr>
      <w:r>
        <w:rPr>
          <w:rFonts w:hint="eastAsia"/>
          <w:color w:val="auto"/>
          <w:highlight w:val="none"/>
          <w:lang w:eastAsia="zh-CN"/>
        </w:rPr>
        <w:t>（二）保温</w:t>
      </w:r>
      <w:r>
        <w:rPr>
          <w:rFonts w:hint="eastAsia"/>
          <w:color w:val="auto"/>
          <w:highlight w:val="none"/>
          <w:lang w:val="en-US" w:eastAsia="zh-CN"/>
        </w:rPr>
        <w:t>和</w:t>
      </w:r>
      <w:r>
        <w:rPr>
          <w:rFonts w:hint="eastAsia"/>
          <w:color w:val="auto"/>
          <w:highlight w:val="none"/>
          <w:lang w:eastAsia="zh-CN"/>
        </w:rPr>
        <w:t>防水工程：</w:t>
      </w:r>
    </w:p>
    <w:p w14:paraId="494E0B4F">
      <w:pPr>
        <w:pStyle w:val="22"/>
        <w:numPr>
          <w:ilvl w:val="0"/>
          <w:numId w:val="4"/>
        </w:numPr>
        <w:tabs>
          <w:tab w:val="left" w:pos="841"/>
        </w:tabs>
        <w:rPr>
          <w:rFonts w:hint="eastAsia"/>
          <w:color w:val="auto"/>
          <w:sz w:val="24"/>
          <w:highlight w:val="none"/>
          <w:lang w:eastAsia="zh-CN"/>
        </w:rPr>
      </w:pPr>
      <w:r>
        <w:rPr>
          <w:rFonts w:hint="eastAsia"/>
          <w:color w:val="auto"/>
          <w:sz w:val="24"/>
          <w:highlight w:val="none"/>
          <w:lang w:eastAsia="zh-CN"/>
        </w:rPr>
        <w:t>围护结构的保温层破损、脱落；</w:t>
      </w:r>
    </w:p>
    <w:p w14:paraId="2C96668B">
      <w:pPr>
        <w:pStyle w:val="22"/>
        <w:numPr>
          <w:ilvl w:val="0"/>
          <w:numId w:val="4"/>
        </w:numPr>
        <w:tabs>
          <w:tab w:val="left" w:pos="841"/>
        </w:tabs>
        <w:spacing w:before="42"/>
        <w:rPr>
          <w:rFonts w:hint="eastAsia"/>
          <w:color w:val="auto"/>
          <w:sz w:val="24"/>
          <w:highlight w:val="none"/>
          <w:lang w:eastAsia="zh-CN"/>
        </w:rPr>
      </w:pPr>
      <w:r>
        <w:rPr>
          <w:rFonts w:hint="eastAsia"/>
          <w:color w:val="auto"/>
          <w:sz w:val="24"/>
          <w:highlight w:val="none"/>
          <w:lang w:eastAsia="zh-CN"/>
        </w:rPr>
        <w:t>地下、屋面、厕浴间防水渗漏；</w:t>
      </w:r>
    </w:p>
    <w:p w14:paraId="5677F656">
      <w:pPr>
        <w:pStyle w:val="22"/>
        <w:numPr>
          <w:ilvl w:val="0"/>
          <w:numId w:val="4"/>
        </w:numPr>
        <w:tabs>
          <w:tab w:val="left" w:pos="841"/>
        </w:tabs>
        <w:rPr>
          <w:rFonts w:hint="eastAsia"/>
          <w:color w:val="auto"/>
          <w:sz w:val="24"/>
          <w:highlight w:val="none"/>
          <w:lang w:eastAsia="zh-CN"/>
        </w:rPr>
      </w:pPr>
      <w:r>
        <w:rPr>
          <w:rFonts w:hint="eastAsia"/>
          <w:color w:val="auto"/>
          <w:sz w:val="24"/>
          <w:highlight w:val="none"/>
          <w:lang w:eastAsia="zh-CN"/>
        </w:rPr>
        <w:t>外墙（包括外窗与外墙交接处）渗漏；</w:t>
      </w:r>
    </w:p>
    <w:p w14:paraId="428C982E">
      <w:pPr>
        <w:pStyle w:val="22"/>
        <w:numPr>
          <w:ilvl w:val="-1"/>
          <w:numId w:val="0"/>
        </w:numPr>
        <w:tabs>
          <w:tab w:val="left" w:pos="1080"/>
        </w:tabs>
        <w:spacing w:line="360" w:lineRule="auto"/>
        <w:ind w:left="600" w:firstLine="0"/>
        <w:rPr>
          <w:rFonts w:hint="eastAsia"/>
          <w:color w:val="auto"/>
          <w:sz w:val="24"/>
          <w:highlight w:val="none"/>
          <w:lang w:eastAsia="zh-CN"/>
        </w:rPr>
      </w:pPr>
      <w:r>
        <w:rPr>
          <w:rFonts w:hint="eastAsia"/>
          <w:color w:val="auto"/>
          <w:sz w:val="24"/>
          <w:highlight w:val="none"/>
          <w:lang w:val="en-US" w:eastAsia="zh-CN"/>
        </w:rPr>
        <w:t>4.</w:t>
      </w:r>
      <w:r>
        <w:rPr>
          <w:rFonts w:hint="eastAsia"/>
          <w:color w:val="auto"/>
          <w:sz w:val="24"/>
          <w:highlight w:val="none"/>
          <w:lang w:eastAsia="zh-CN"/>
        </w:rPr>
        <w:t>其他有防水要求的部位渗漏。</w:t>
      </w:r>
    </w:p>
    <w:p w14:paraId="7E69A492">
      <w:pPr>
        <w:pStyle w:val="22"/>
        <w:numPr>
          <w:ilvl w:val="0"/>
          <w:numId w:val="0"/>
        </w:numPr>
        <w:tabs>
          <w:tab w:val="left" w:pos="1080"/>
        </w:tabs>
        <w:spacing w:before="0" w:line="360" w:lineRule="auto"/>
        <w:ind w:left="0" w:firstLineChars="200"/>
        <w:rPr>
          <w:rFonts w:hint="eastAsia"/>
          <w:color w:val="auto"/>
          <w:highlight w:val="none"/>
        </w:rPr>
      </w:pPr>
      <w:r>
        <w:rPr>
          <w:rFonts w:hint="eastAsia"/>
          <w:color w:val="auto"/>
          <w:sz w:val="24"/>
          <w:highlight w:val="none"/>
          <w:lang w:eastAsia="zh-CN"/>
        </w:rPr>
        <w:t>（</w:t>
      </w:r>
      <w:r>
        <w:rPr>
          <w:rFonts w:hint="eastAsia"/>
          <w:color w:val="auto"/>
          <w:sz w:val="24"/>
          <w:highlight w:val="none"/>
          <w:lang w:val="en-US" w:eastAsia="zh-CN"/>
        </w:rPr>
        <w:t>三</w:t>
      </w:r>
      <w:r>
        <w:rPr>
          <w:rFonts w:hint="eastAsia"/>
          <w:color w:val="auto"/>
          <w:sz w:val="24"/>
          <w:highlight w:val="none"/>
          <w:lang w:eastAsia="zh-CN"/>
        </w:rPr>
        <w:t>）装修与安装工程：</w:t>
      </w:r>
    </w:p>
    <w:p w14:paraId="3F0A6161">
      <w:pPr>
        <w:pStyle w:val="8"/>
        <w:spacing w:before="62" w:line="360" w:lineRule="auto"/>
        <w:ind w:left="600" w:firstLine="0"/>
        <w:rPr>
          <w:rFonts w:hint="eastAsia"/>
          <w:color w:val="auto"/>
          <w:highlight w:val="none"/>
          <w:lang w:eastAsia="zh-CN"/>
        </w:rPr>
      </w:pPr>
      <w:r>
        <w:rPr>
          <w:rFonts w:hint="eastAsia"/>
          <w:color w:val="auto"/>
          <w:highlight w:val="none"/>
          <w:lang w:val="en-US" w:eastAsia="zh-CN"/>
        </w:rPr>
        <w:t>1.</w:t>
      </w:r>
      <w:r>
        <w:rPr>
          <w:rFonts w:hint="eastAsia"/>
          <w:color w:val="auto"/>
          <w:highlight w:val="none"/>
          <w:lang w:eastAsia="zh-CN"/>
        </w:rPr>
        <w:t>建筑装饰装修工程（含外墙饰面、幕墙、门窗等质量缺陷）；</w:t>
      </w:r>
    </w:p>
    <w:p w14:paraId="7C7724D6">
      <w:pPr>
        <w:pStyle w:val="8"/>
        <w:spacing w:before="0"/>
        <w:ind w:left="601" w:firstLine="0"/>
        <w:rPr>
          <w:rFonts w:hint="eastAsia"/>
          <w:color w:val="auto"/>
          <w:highlight w:val="none"/>
          <w:lang w:eastAsia="zh-CN"/>
        </w:rPr>
      </w:pPr>
      <w:r>
        <w:rPr>
          <w:rFonts w:hint="eastAsia"/>
          <w:color w:val="auto"/>
          <w:highlight w:val="none"/>
          <w:lang w:val="en-US" w:eastAsia="zh-CN"/>
        </w:rPr>
        <w:t>2.</w:t>
      </w:r>
      <w:r>
        <w:rPr>
          <w:rFonts w:hint="eastAsia"/>
          <w:color w:val="auto"/>
          <w:highlight w:val="none"/>
          <w:lang w:eastAsia="zh-CN"/>
        </w:rPr>
        <w:t>建筑给水排水及供暖工程；</w:t>
      </w:r>
    </w:p>
    <w:p w14:paraId="5689524E">
      <w:pPr>
        <w:pStyle w:val="8"/>
        <w:spacing w:before="161"/>
        <w:ind w:left="600" w:firstLine="0"/>
        <w:rPr>
          <w:rFonts w:hint="eastAsia"/>
          <w:color w:val="auto"/>
          <w:highlight w:val="none"/>
          <w:lang w:eastAsia="zh-CN"/>
        </w:rPr>
      </w:pPr>
      <w:r>
        <w:rPr>
          <w:rFonts w:hint="eastAsia"/>
          <w:color w:val="auto"/>
          <w:highlight w:val="none"/>
          <w:lang w:val="en-US" w:eastAsia="zh-CN"/>
        </w:rPr>
        <w:t>3.</w:t>
      </w:r>
      <w:r>
        <w:rPr>
          <w:rFonts w:hint="eastAsia"/>
          <w:color w:val="auto"/>
          <w:highlight w:val="none"/>
          <w:lang w:eastAsia="zh-CN"/>
        </w:rPr>
        <w:t>通风与空调工程；</w:t>
      </w:r>
    </w:p>
    <w:p w14:paraId="7A3C0C00">
      <w:pPr>
        <w:pStyle w:val="8"/>
        <w:spacing w:before="160" w:line="360" w:lineRule="auto"/>
        <w:ind w:left="600" w:firstLine="0"/>
        <w:rPr>
          <w:rFonts w:hint="eastAsia"/>
          <w:color w:val="auto"/>
          <w:sz w:val="24"/>
          <w:highlight w:val="none"/>
          <w:lang w:eastAsia="zh-CN"/>
        </w:rPr>
      </w:pPr>
      <w:r>
        <w:rPr>
          <w:rFonts w:hint="eastAsia"/>
          <w:color w:val="auto"/>
          <w:highlight w:val="none"/>
          <w:lang w:val="en-US" w:eastAsia="zh-CN"/>
        </w:rPr>
        <w:t>4.</w:t>
      </w:r>
      <w:r>
        <w:rPr>
          <w:rFonts w:hint="eastAsia"/>
          <w:color w:val="auto"/>
          <w:highlight w:val="none"/>
          <w:lang w:eastAsia="zh-CN"/>
        </w:rPr>
        <w:t>建筑电气工程。</w:t>
      </w:r>
    </w:p>
    <w:p w14:paraId="5A4D8B6D">
      <w:pPr>
        <w:pStyle w:val="8"/>
        <w:spacing w:before="0" w:line="365" w:lineRule="auto"/>
        <w:ind w:left="119" w:right="357" w:firstLine="567"/>
        <w:jc w:val="both"/>
        <w:rPr>
          <w:rFonts w:hint="eastAsia"/>
          <w:color w:val="auto"/>
          <w:highlight w:val="none"/>
          <w:lang w:eastAsia="zh-CN"/>
        </w:rPr>
      </w:pPr>
      <w:r>
        <w:rPr>
          <w:rFonts w:hint="eastAsia"/>
          <w:b/>
          <w:color w:val="auto"/>
          <w:spacing w:val="5"/>
          <w:highlight w:val="none"/>
          <w:lang w:eastAsia="zh-CN"/>
        </w:rPr>
        <w:t xml:space="preserve">第六条  </w:t>
      </w:r>
      <w:r>
        <w:rPr>
          <w:rFonts w:hint="eastAsia"/>
          <w:color w:val="auto"/>
          <w:spacing w:val="-10"/>
          <w:highlight w:val="none"/>
          <w:lang w:eastAsia="zh-CN"/>
        </w:rPr>
        <w:t>保险事故发生后，事先经保险人书面同意，被保险人为防止或减</w:t>
      </w:r>
      <w:r>
        <w:rPr>
          <w:rFonts w:hint="eastAsia"/>
          <w:color w:val="auto"/>
          <w:spacing w:val="-6"/>
          <w:highlight w:val="none"/>
          <w:lang w:eastAsia="zh-CN"/>
        </w:rPr>
        <w:t>少保险单载明建设工程的损失所支付的必要的、合理的费用，保险人按照本合同</w:t>
      </w:r>
      <w:r>
        <w:rPr>
          <w:rFonts w:hint="eastAsia"/>
          <w:color w:val="auto"/>
          <w:highlight w:val="none"/>
          <w:lang w:eastAsia="zh-CN"/>
        </w:rPr>
        <w:t>的约定也负责赔偿。</w:t>
      </w:r>
    </w:p>
    <w:p w14:paraId="1A10C67E">
      <w:pPr>
        <w:pStyle w:val="5"/>
        <w:spacing w:before="2"/>
        <w:ind w:left="83" w:right="320"/>
        <w:jc w:val="center"/>
        <w:rPr>
          <w:rFonts w:hint="eastAsia"/>
          <w:color w:val="auto"/>
          <w:highlight w:val="none"/>
          <w:lang w:eastAsia="zh-CN"/>
        </w:rPr>
      </w:pPr>
      <w:r>
        <w:rPr>
          <w:rFonts w:hint="eastAsia"/>
          <w:color w:val="auto"/>
          <w:highlight w:val="none"/>
          <w:lang w:eastAsia="zh-CN"/>
        </w:rPr>
        <w:t>责任免除</w:t>
      </w:r>
    </w:p>
    <w:p w14:paraId="59F70386">
      <w:pPr>
        <w:pStyle w:val="5"/>
        <w:tabs>
          <w:tab w:val="left" w:pos="1799"/>
        </w:tabs>
        <w:spacing w:before="161"/>
        <w:ind w:left="686"/>
        <w:rPr>
          <w:rFonts w:hint="eastAsia"/>
          <w:color w:val="auto"/>
          <w:highlight w:val="none"/>
          <w:lang w:eastAsia="zh-CN"/>
        </w:rPr>
      </w:pPr>
      <w:r>
        <w:rPr>
          <w:rFonts w:hint="eastAsia"/>
          <w:color w:val="auto"/>
          <w:highlight w:val="none"/>
          <w:lang w:eastAsia="zh-CN"/>
        </w:rPr>
        <w:t>第七条</w:t>
      </w:r>
      <w:r>
        <w:rPr>
          <w:rFonts w:hint="eastAsia"/>
          <w:b/>
          <w:color w:val="auto"/>
          <w:spacing w:val="0"/>
          <w:highlight w:val="none"/>
          <w:lang w:eastAsia="zh-CN"/>
        </w:rPr>
        <w:t xml:space="preserve">  </w:t>
      </w:r>
      <w:r>
        <w:rPr>
          <w:rFonts w:hint="eastAsia"/>
          <w:color w:val="auto"/>
          <w:highlight w:val="none"/>
          <w:lang w:eastAsia="zh-CN"/>
        </w:rPr>
        <w:t>下列原因造成的损失、费用和责任，保险人不负责赔偿：</w:t>
      </w:r>
    </w:p>
    <w:p w14:paraId="39A7CC3C">
      <w:pPr>
        <w:pStyle w:val="5"/>
        <w:spacing w:before="160" w:line="364" w:lineRule="auto"/>
        <w:ind w:right="208" w:firstLine="480"/>
        <w:rPr>
          <w:rFonts w:hint="eastAsia"/>
          <w:color w:val="auto"/>
          <w:highlight w:val="none"/>
          <w:lang w:eastAsia="zh-CN"/>
        </w:rPr>
      </w:pPr>
      <w:r>
        <w:rPr>
          <w:rFonts w:hint="eastAsia"/>
          <w:color w:val="auto"/>
          <w:highlight w:val="none"/>
          <w:lang w:eastAsia="zh-CN"/>
        </w:rPr>
        <w:t>（一）投保人、被保险人或使用人的重大过失行为、故意行为、违法行为、犯罪行为；</w:t>
      </w:r>
    </w:p>
    <w:p w14:paraId="124C3913">
      <w:pPr>
        <w:pStyle w:val="5"/>
        <w:spacing w:before="1" w:line="364" w:lineRule="auto"/>
        <w:ind w:right="330" w:firstLine="480"/>
        <w:rPr>
          <w:rFonts w:hint="eastAsia"/>
          <w:color w:val="auto"/>
          <w:highlight w:val="none"/>
          <w:lang w:eastAsia="zh-CN"/>
        </w:rPr>
      </w:pPr>
      <w:r>
        <w:rPr>
          <w:rFonts w:hint="eastAsia"/>
          <w:color w:val="auto"/>
          <w:spacing w:val="0"/>
          <w:w w:val="100"/>
          <w:highlight w:val="none"/>
          <w:lang w:eastAsia="zh-CN"/>
        </w:rPr>
        <w:t xml:space="preserve">（二）战争、敌对行动、军事行为、武装冲突、罢工、骚乱、暴动、恐怖  </w:t>
      </w:r>
      <w:r>
        <w:rPr>
          <w:rFonts w:hint="eastAsia"/>
          <w:color w:val="auto"/>
          <w:spacing w:val="0"/>
          <w:highlight w:val="none"/>
          <w:lang w:eastAsia="zh-CN"/>
        </w:rPr>
        <w:t>活动；</w:t>
      </w:r>
    </w:p>
    <w:p w14:paraId="5730AD31">
      <w:pPr>
        <w:pStyle w:val="5"/>
        <w:spacing w:before="2" w:line="364" w:lineRule="auto"/>
        <w:ind w:right="330" w:firstLine="480"/>
        <w:rPr>
          <w:rFonts w:hint="eastAsia"/>
          <w:color w:val="auto"/>
          <w:highlight w:val="none"/>
          <w:lang w:eastAsia="zh-CN"/>
        </w:rPr>
      </w:pPr>
      <w:r>
        <w:rPr>
          <w:rFonts w:hint="eastAsia"/>
          <w:color w:val="auto"/>
          <w:spacing w:val="0"/>
          <w:w w:val="100"/>
          <w:highlight w:val="none"/>
          <w:lang w:eastAsia="zh-CN"/>
        </w:rPr>
        <w:t xml:space="preserve">（三）大气污染、土地污染、水污染及其他各种污染，核辐射、核爆炸、  </w:t>
      </w:r>
      <w:r>
        <w:rPr>
          <w:rFonts w:hint="eastAsia"/>
          <w:color w:val="auto"/>
          <w:spacing w:val="0"/>
          <w:highlight w:val="none"/>
          <w:lang w:eastAsia="zh-CN"/>
        </w:rPr>
        <w:t>核污染及其他放射性污染；</w:t>
      </w:r>
    </w:p>
    <w:p w14:paraId="65B40E89">
      <w:pPr>
        <w:pStyle w:val="5"/>
        <w:spacing w:before="1"/>
        <w:ind w:left="600"/>
        <w:rPr>
          <w:rFonts w:hint="eastAsia"/>
          <w:color w:val="auto"/>
          <w:highlight w:val="none"/>
          <w:lang w:eastAsia="zh-CN"/>
        </w:rPr>
      </w:pPr>
      <w:r>
        <w:rPr>
          <w:rFonts w:hint="eastAsia"/>
          <w:color w:val="auto"/>
          <w:highlight w:val="none"/>
          <w:lang w:eastAsia="zh-CN"/>
        </w:rPr>
        <w:t>（四）行政行为或司法行为；</w:t>
      </w:r>
    </w:p>
    <w:p w14:paraId="2441FC75">
      <w:pPr>
        <w:pStyle w:val="5"/>
        <w:spacing w:before="160"/>
        <w:ind w:left="600"/>
        <w:rPr>
          <w:rFonts w:hint="eastAsia"/>
          <w:color w:val="auto"/>
          <w:highlight w:val="none"/>
          <w:lang w:eastAsia="zh-CN"/>
        </w:rPr>
      </w:pPr>
      <w:r>
        <w:rPr>
          <w:rFonts w:hint="eastAsia"/>
          <w:color w:val="auto"/>
          <w:highlight w:val="none"/>
          <w:lang w:eastAsia="zh-CN"/>
        </w:rPr>
        <w:t>（五）超过设计标准的风荷载和雪荷载；</w:t>
      </w:r>
    </w:p>
    <w:p w14:paraId="4A31C39E">
      <w:pPr>
        <w:pStyle w:val="5"/>
        <w:spacing w:before="161" w:line="364" w:lineRule="auto"/>
        <w:ind w:right="330" w:firstLine="480"/>
        <w:rPr>
          <w:rFonts w:hint="eastAsia"/>
          <w:color w:val="auto"/>
          <w:highlight w:val="none"/>
          <w:lang w:eastAsia="zh-CN"/>
        </w:rPr>
      </w:pPr>
      <w:r>
        <w:rPr>
          <w:rFonts w:hint="eastAsia"/>
          <w:color w:val="auto"/>
          <w:spacing w:val="0"/>
          <w:w w:val="100"/>
          <w:highlight w:val="none"/>
          <w:lang w:eastAsia="zh-CN"/>
        </w:rPr>
        <w:t xml:space="preserve">（六）暴雨、冰雹、雷击、洪水、滑坡、泥石流、地震、崩塌、地面塌陷  </w:t>
      </w:r>
      <w:r>
        <w:rPr>
          <w:rFonts w:hint="eastAsia"/>
          <w:color w:val="auto"/>
          <w:spacing w:val="0"/>
          <w:highlight w:val="none"/>
          <w:lang w:eastAsia="zh-CN"/>
        </w:rPr>
        <w:t>等自然灾害；</w:t>
      </w:r>
    </w:p>
    <w:p w14:paraId="1FE815D0">
      <w:pPr>
        <w:pStyle w:val="5"/>
        <w:spacing w:before="1"/>
        <w:ind w:left="600"/>
        <w:rPr>
          <w:rFonts w:hint="eastAsia"/>
          <w:color w:val="auto"/>
          <w:highlight w:val="none"/>
          <w:lang w:eastAsia="zh-CN"/>
        </w:rPr>
      </w:pPr>
      <w:r>
        <w:rPr>
          <w:rFonts w:hint="eastAsia"/>
          <w:color w:val="auto"/>
          <w:highlight w:val="none"/>
          <w:lang w:eastAsia="zh-CN"/>
        </w:rPr>
        <w:t>（七）火灾、爆炸；</w:t>
      </w:r>
    </w:p>
    <w:p w14:paraId="608FAD5B">
      <w:pPr>
        <w:pStyle w:val="5"/>
        <w:spacing w:before="160"/>
        <w:ind w:left="600"/>
        <w:rPr>
          <w:rFonts w:hint="eastAsia"/>
          <w:color w:val="auto"/>
          <w:highlight w:val="none"/>
          <w:lang w:eastAsia="zh-CN"/>
        </w:rPr>
      </w:pPr>
      <w:r>
        <w:rPr>
          <w:rFonts w:hint="eastAsia"/>
          <w:color w:val="auto"/>
          <w:highlight w:val="none"/>
          <w:lang w:eastAsia="zh-CN"/>
        </w:rPr>
        <w:t>（八）外界物体碰撞或空中运行物体坠落；</w:t>
      </w:r>
    </w:p>
    <w:p w14:paraId="6A699F7B">
      <w:pPr>
        <w:pStyle w:val="5"/>
        <w:spacing w:before="161" w:line="364" w:lineRule="auto"/>
        <w:ind w:right="326" w:firstLine="480"/>
        <w:jc w:val="both"/>
        <w:rPr>
          <w:rFonts w:hint="eastAsia"/>
          <w:color w:val="auto"/>
          <w:highlight w:val="none"/>
          <w:lang w:eastAsia="zh-CN"/>
        </w:rPr>
      </w:pPr>
      <w:r>
        <w:rPr>
          <w:rFonts w:hint="eastAsia"/>
          <w:color w:val="auto"/>
          <w:spacing w:val="0"/>
          <w:w w:val="100"/>
          <w:highlight w:val="none"/>
          <w:lang w:eastAsia="zh-CN"/>
        </w:rPr>
        <w:t xml:space="preserve">（九）投保人、被保险人或使用人使用不当或改动原设计结构、设备位置  或原防水措施或超过设计标准增大荷载、擅自拆改房屋承重结构等未按照《房  </w:t>
      </w:r>
      <w:r>
        <w:rPr>
          <w:rFonts w:hint="eastAsia"/>
          <w:color w:val="auto"/>
          <w:spacing w:val="0"/>
          <w:highlight w:val="none"/>
          <w:lang w:eastAsia="zh-CN"/>
        </w:rPr>
        <w:t>屋建筑使用说明书》相关要求或设计用途正常使用；</w:t>
      </w:r>
    </w:p>
    <w:p w14:paraId="753D9326">
      <w:pPr>
        <w:pStyle w:val="5"/>
        <w:spacing w:before="2"/>
        <w:ind w:left="600"/>
        <w:rPr>
          <w:rFonts w:hint="eastAsia"/>
          <w:color w:val="auto"/>
          <w:highlight w:val="none"/>
          <w:lang w:eastAsia="zh-CN"/>
        </w:rPr>
      </w:pPr>
      <w:r>
        <w:rPr>
          <w:rFonts w:hint="eastAsia"/>
          <w:color w:val="auto"/>
          <w:highlight w:val="none"/>
          <w:lang w:eastAsia="zh-CN"/>
        </w:rPr>
        <w:t>（十）设备、配件在设计、施工、材料上的疏忽、缺陷、错误或遗漏；</w:t>
      </w:r>
    </w:p>
    <w:p w14:paraId="151B7209">
      <w:pPr>
        <w:pStyle w:val="5"/>
        <w:spacing w:before="160"/>
        <w:ind w:left="600"/>
        <w:rPr>
          <w:rFonts w:hint="eastAsia"/>
          <w:color w:val="auto"/>
          <w:highlight w:val="none"/>
          <w:lang w:eastAsia="zh-CN"/>
        </w:rPr>
      </w:pPr>
      <w:r>
        <w:rPr>
          <w:rFonts w:hint="eastAsia"/>
          <w:color w:val="auto"/>
          <w:highlight w:val="none"/>
          <w:lang w:eastAsia="zh-CN"/>
        </w:rPr>
        <w:t>（十一）保险单载明的建设工程附近其他工程的施工影响。</w:t>
      </w:r>
    </w:p>
    <w:p w14:paraId="3652B2FC">
      <w:pPr>
        <w:pStyle w:val="5"/>
        <w:spacing w:before="161"/>
        <w:ind w:left="600"/>
        <w:jc w:val="both"/>
        <w:rPr>
          <w:rFonts w:hint="eastAsia"/>
          <w:color w:val="auto"/>
          <w:highlight w:val="none"/>
          <w:lang w:eastAsia="zh-CN"/>
        </w:rPr>
      </w:pPr>
      <w:r>
        <w:rPr>
          <w:rFonts w:hint="eastAsia"/>
          <w:color w:val="auto"/>
          <w:highlight w:val="none"/>
          <w:lang w:eastAsia="zh-CN"/>
        </w:rPr>
        <w:t>第八条 对于下列各项损失、费用和责任，保险人不负责赔偿：</w:t>
      </w:r>
    </w:p>
    <w:p w14:paraId="2959B7E3">
      <w:pPr>
        <w:pStyle w:val="5"/>
        <w:spacing w:before="160" w:line="364" w:lineRule="auto"/>
        <w:ind w:right="326" w:firstLine="480"/>
        <w:jc w:val="both"/>
        <w:rPr>
          <w:rFonts w:hint="eastAsia"/>
          <w:color w:val="auto"/>
          <w:highlight w:val="none"/>
          <w:lang w:eastAsia="zh-CN"/>
        </w:rPr>
      </w:pPr>
      <w:r>
        <w:rPr>
          <w:rFonts w:hint="eastAsia"/>
          <w:color w:val="auto"/>
          <w:spacing w:val="0"/>
          <w:w w:val="100"/>
          <w:highlight w:val="none"/>
          <w:lang w:eastAsia="zh-CN"/>
        </w:rPr>
        <w:t xml:space="preserve">（一）保险单载明的建设工程竣工验收时，工程质量风险管理机构竣工检  查报告提出的未整改的工程质量潜在缺陷中，由保险人列为除外责任的工程质  </w:t>
      </w:r>
      <w:r>
        <w:rPr>
          <w:rFonts w:hint="eastAsia"/>
          <w:color w:val="auto"/>
          <w:spacing w:val="0"/>
          <w:highlight w:val="none"/>
          <w:lang w:eastAsia="zh-CN"/>
        </w:rPr>
        <w:t>量潜在缺陷导致的相关的损失、费用和责任；</w:t>
      </w:r>
    </w:p>
    <w:p w14:paraId="5AB347AC">
      <w:pPr>
        <w:pStyle w:val="5"/>
        <w:spacing w:before="42" w:line="364" w:lineRule="auto"/>
        <w:ind w:right="330" w:firstLine="480"/>
        <w:rPr>
          <w:rFonts w:hint="eastAsia"/>
          <w:color w:val="auto"/>
          <w:highlight w:val="none"/>
          <w:lang w:eastAsia="zh-CN"/>
        </w:rPr>
      </w:pPr>
      <w:r>
        <w:rPr>
          <w:rFonts w:hint="eastAsia"/>
          <w:color w:val="auto"/>
          <w:spacing w:val="0"/>
          <w:w w:val="100"/>
          <w:highlight w:val="none"/>
          <w:lang w:eastAsia="zh-CN"/>
        </w:rPr>
        <w:t xml:space="preserve">（二）保险单载明的建设工程竣工验收合格后等待期届满时，工程质量风  </w:t>
      </w:r>
      <w:r>
        <w:rPr>
          <w:rFonts w:hint="eastAsia"/>
          <w:color w:val="auto"/>
          <w:spacing w:val="0"/>
          <w:highlight w:val="none"/>
          <w:lang w:eastAsia="zh-CN"/>
        </w:rPr>
        <w:t>险管理机构在进行质量复查时发现的未维修完善的损坏；</w:t>
      </w:r>
    </w:p>
    <w:p w14:paraId="4D48E6C9">
      <w:pPr>
        <w:pStyle w:val="5"/>
        <w:spacing w:before="1" w:line="364" w:lineRule="auto"/>
        <w:ind w:right="326" w:firstLine="480"/>
        <w:jc w:val="both"/>
        <w:rPr>
          <w:rFonts w:hint="eastAsia"/>
          <w:color w:val="auto"/>
          <w:highlight w:val="none"/>
          <w:lang w:eastAsia="zh-CN"/>
        </w:rPr>
      </w:pPr>
      <w:r>
        <w:rPr>
          <w:rFonts w:hint="eastAsia"/>
          <w:color w:val="auto"/>
          <w:spacing w:val="0"/>
          <w:w w:val="100"/>
          <w:highlight w:val="none"/>
          <w:lang w:eastAsia="zh-CN"/>
        </w:rPr>
        <w:t xml:space="preserve">（三）保险单载明的建设工程竣工验收后，被保险人或使用人自行添置的  包括装修在内的任何财产的损失，但初装修房（毛坯房）的合理二次装修损失  </w:t>
      </w:r>
      <w:r>
        <w:rPr>
          <w:rFonts w:hint="eastAsia"/>
          <w:color w:val="auto"/>
          <w:spacing w:val="0"/>
          <w:highlight w:val="none"/>
          <w:lang w:eastAsia="zh-CN"/>
        </w:rPr>
        <w:t>不在此限；</w:t>
      </w:r>
    </w:p>
    <w:p w14:paraId="2339343C">
      <w:pPr>
        <w:pStyle w:val="5"/>
        <w:spacing w:before="2" w:line="364" w:lineRule="auto"/>
        <w:ind w:right="330" w:firstLine="480"/>
        <w:rPr>
          <w:rFonts w:hint="eastAsia"/>
          <w:color w:val="auto"/>
          <w:highlight w:val="none"/>
          <w:lang w:eastAsia="zh-CN"/>
        </w:rPr>
      </w:pPr>
      <w:r>
        <w:rPr>
          <w:rFonts w:hint="eastAsia"/>
          <w:color w:val="auto"/>
          <w:spacing w:val="0"/>
          <w:w w:val="100"/>
          <w:highlight w:val="none"/>
          <w:lang w:eastAsia="zh-CN"/>
        </w:rPr>
        <w:t xml:space="preserve">（四）在对保险单载明的建设工程进行修复过程中，为满足被保险人或使  </w:t>
      </w:r>
      <w:r>
        <w:rPr>
          <w:rFonts w:hint="eastAsia"/>
          <w:color w:val="auto"/>
          <w:spacing w:val="0"/>
          <w:highlight w:val="none"/>
          <w:lang w:eastAsia="zh-CN"/>
        </w:rPr>
        <w:t>用人要求，超过原设计施工标准，功能改变或性能提高所产生的额外费用；</w:t>
      </w:r>
    </w:p>
    <w:p w14:paraId="1485D8E1">
      <w:pPr>
        <w:pStyle w:val="5"/>
        <w:spacing w:before="1" w:line="364" w:lineRule="auto"/>
        <w:ind w:right="326" w:firstLine="480"/>
        <w:jc w:val="both"/>
        <w:rPr>
          <w:rFonts w:hint="eastAsia"/>
          <w:color w:val="auto"/>
          <w:highlight w:val="none"/>
          <w:lang w:eastAsia="zh-CN"/>
        </w:rPr>
      </w:pPr>
      <w:r>
        <w:rPr>
          <w:rFonts w:hint="eastAsia"/>
          <w:color w:val="auto"/>
          <w:spacing w:val="0"/>
          <w:w w:val="100"/>
          <w:highlight w:val="none"/>
          <w:lang w:eastAsia="zh-CN"/>
        </w:rPr>
        <w:t xml:space="preserve">（五）修理、加固或重置导致的任何颜色、透明度等表面外观的差异；自  然磨损、老化、物质本身变化、其他渐变原因或表面外观的差异（任何颜色、  </w:t>
      </w:r>
      <w:r>
        <w:rPr>
          <w:rFonts w:hint="eastAsia"/>
          <w:color w:val="auto"/>
          <w:spacing w:val="0"/>
          <w:highlight w:val="none"/>
          <w:lang w:eastAsia="zh-CN"/>
        </w:rPr>
        <w:t>透明度等）造成的损失和费用；</w:t>
      </w:r>
    </w:p>
    <w:p w14:paraId="699E7F06">
      <w:pPr>
        <w:pStyle w:val="5"/>
        <w:spacing w:before="2"/>
        <w:ind w:left="600"/>
        <w:rPr>
          <w:rFonts w:hint="eastAsia"/>
          <w:color w:val="auto"/>
          <w:highlight w:val="none"/>
          <w:lang w:eastAsia="zh-CN"/>
        </w:rPr>
      </w:pPr>
      <w:r>
        <w:rPr>
          <w:rFonts w:hint="eastAsia"/>
          <w:color w:val="auto"/>
          <w:highlight w:val="none"/>
          <w:lang w:eastAsia="zh-CN"/>
        </w:rPr>
        <w:t>（六）任何投保人、被保险人或使用人以外的第三方损失；</w:t>
      </w:r>
    </w:p>
    <w:p w14:paraId="6D746CED">
      <w:pPr>
        <w:pStyle w:val="5"/>
        <w:spacing w:before="160" w:line="364" w:lineRule="auto"/>
        <w:ind w:right="330" w:firstLine="480"/>
        <w:rPr>
          <w:rFonts w:hint="eastAsia"/>
          <w:color w:val="auto"/>
          <w:highlight w:val="none"/>
          <w:lang w:eastAsia="zh-CN"/>
        </w:rPr>
      </w:pPr>
      <w:r>
        <w:rPr>
          <w:rFonts w:hint="eastAsia"/>
          <w:color w:val="auto"/>
          <w:spacing w:val="0"/>
          <w:w w:val="100"/>
          <w:highlight w:val="none"/>
          <w:lang w:eastAsia="zh-CN"/>
        </w:rPr>
        <w:t xml:space="preserve">（七）在保险单载明的建设工程使用过程中，因投保人、被保险人或使用  </w:t>
      </w:r>
      <w:r>
        <w:rPr>
          <w:rFonts w:hint="eastAsia"/>
          <w:color w:val="auto"/>
          <w:spacing w:val="0"/>
          <w:highlight w:val="none"/>
          <w:lang w:eastAsia="zh-CN"/>
        </w:rPr>
        <w:t>人以外的第三方造成的损失；</w:t>
      </w:r>
    </w:p>
    <w:p w14:paraId="0C1A68FD">
      <w:pPr>
        <w:pStyle w:val="5"/>
        <w:spacing w:before="2"/>
        <w:ind w:left="600"/>
        <w:rPr>
          <w:rFonts w:hint="eastAsia"/>
          <w:color w:val="auto"/>
          <w:highlight w:val="none"/>
          <w:lang w:eastAsia="zh-CN"/>
        </w:rPr>
      </w:pPr>
      <w:r>
        <w:rPr>
          <w:rFonts w:hint="eastAsia"/>
          <w:color w:val="auto"/>
          <w:highlight w:val="none"/>
          <w:lang w:eastAsia="zh-CN"/>
        </w:rPr>
        <w:t>（八）设备、配件产品质量缺陷所产生的损失；</w:t>
      </w:r>
    </w:p>
    <w:p w14:paraId="3F20A543">
      <w:pPr>
        <w:pStyle w:val="5"/>
        <w:spacing w:before="160" w:line="364" w:lineRule="auto"/>
        <w:ind w:right="326" w:firstLine="480"/>
        <w:jc w:val="both"/>
        <w:rPr>
          <w:rFonts w:hint="eastAsia"/>
          <w:color w:val="auto"/>
          <w:highlight w:val="none"/>
          <w:lang w:eastAsia="zh-CN"/>
        </w:rPr>
      </w:pPr>
      <w:r>
        <w:rPr>
          <w:rFonts w:hint="eastAsia"/>
          <w:color w:val="auto"/>
          <w:spacing w:val="0"/>
          <w:w w:val="100"/>
          <w:highlight w:val="none"/>
          <w:lang w:eastAsia="zh-CN"/>
        </w:rPr>
        <w:t xml:space="preserve">（九）保险事故致使被保险人或使用人无法使用建设工程、停业、停电、  停水、停气、停产、通讯或者网络中断、数据丢失、电压变化等造成的损失以  及被保险人或使用人财产因市场价格变动造成的贬值、维修后因价值降低造成  </w:t>
      </w:r>
      <w:r>
        <w:rPr>
          <w:rFonts w:hint="eastAsia"/>
          <w:color w:val="auto"/>
          <w:spacing w:val="0"/>
          <w:highlight w:val="none"/>
          <w:lang w:eastAsia="zh-CN"/>
        </w:rPr>
        <w:t>的损失等各种间接损失；</w:t>
      </w:r>
    </w:p>
    <w:p w14:paraId="46B4E580">
      <w:pPr>
        <w:pStyle w:val="5"/>
        <w:spacing w:before="2"/>
        <w:ind w:left="600"/>
        <w:rPr>
          <w:rFonts w:hint="eastAsia"/>
          <w:color w:val="auto"/>
          <w:highlight w:val="none"/>
          <w:lang w:eastAsia="zh-CN"/>
        </w:rPr>
      </w:pPr>
      <w:r>
        <w:rPr>
          <w:rFonts w:hint="eastAsia"/>
          <w:color w:val="auto"/>
          <w:highlight w:val="none"/>
          <w:lang w:eastAsia="zh-CN"/>
        </w:rPr>
        <w:t>（十）人身伤亡或精神损害赔偿；</w:t>
      </w:r>
    </w:p>
    <w:p w14:paraId="5D5C9F08">
      <w:pPr>
        <w:pStyle w:val="5"/>
        <w:spacing w:before="161"/>
        <w:ind w:left="600"/>
        <w:rPr>
          <w:rFonts w:hint="eastAsia"/>
          <w:color w:val="auto"/>
          <w:highlight w:val="none"/>
          <w:lang w:eastAsia="zh-CN"/>
        </w:rPr>
      </w:pPr>
      <w:r>
        <w:rPr>
          <w:rFonts w:hint="eastAsia"/>
          <w:color w:val="auto"/>
          <w:highlight w:val="none"/>
          <w:lang w:eastAsia="zh-CN"/>
        </w:rPr>
        <w:t>（十一）罚款、罚金和惩罚性赔偿；</w:t>
      </w:r>
    </w:p>
    <w:p w14:paraId="58EF3F37">
      <w:pPr>
        <w:pStyle w:val="5"/>
        <w:spacing w:before="160"/>
        <w:ind w:left="600"/>
        <w:rPr>
          <w:rFonts w:hint="eastAsia"/>
          <w:color w:val="auto"/>
          <w:highlight w:val="none"/>
          <w:lang w:eastAsia="zh-CN"/>
        </w:rPr>
      </w:pPr>
      <w:r>
        <w:rPr>
          <w:rFonts w:hint="eastAsia"/>
          <w:color w:val="auto"/>
          <w:highlight w:val="none"/>
          <w:lang w:eastAsia="zh-CN"/>
        </w:rPr>
        <w:t>（十二）保险责任期间开始前产生的损失；</w:t>
      </w:r>
    </w:p>
    <w:p w14:paraId="48A42853">
      <w:pPr>
        <w:pStyle w:val="5"/>
        <w:spacing w:before="161" w:line="364" w:lineRule="auto"/>
        <w:ind w:left="2472" w:right="715" w:hanging="1872"/>
        <w:rPr>
          <w:rFonts w:hint="eastAsia"/>
          <w:color w:val="auto"/>
          <w:highlight w:val="none"/>
          <w:lang w:eastAsia="zh-CN"/>
        </w:rPr>
      </w:pPr>
      <w:r>
        <w:rPr>
          <w:rFonts w:hint="eastAsia"/>
          <w:color w:val="auto"/>
          <w:highlight w:val="none"/>
          <w:lang w:eastAsia="zh-CN"/>
        </w:rPr>
        <w:t>（十三）保险单载明的免赔额或按保险单载明的免赔率计算的免赔额。保险期间、保险责任期间与等待期</w:t>
      </w:r>
    </w:p>
    <w:p w14:paraId="32A38B1A">
      <w:pPr>
        <w:pStyle w:val="8"/>
        <w:spacing w:before="1" w:line="364" w:lineRule="auto"/>
        <w:ind w:right="357"/>
        <w:jc w:val="both"/>
        <w:rPr>
          <w:rFonts w:hint="eastAsia"/>
          <w:color w:val="auto"/>
          <w:highlight w:val="none"/>
          <w:lang w:eastAsia="zh-CN"/>
        </w:rPr>
      </w:pPr>
      <w:r>
        <w:rPr>
          <w:rFonts w:hint="eastAsia"/>
          <w:b/>
          <w:color w:val="auto"/>
          <w:highlight w:val="none"/>
          <w:lang w:eastAsia="zh-CN"/>
        </w:rPr>
        <w:t xml:space="preserve">第九条 </w:t>
      </w:r>
      <w:r>
        <w:rPr>
          <w:rFonts w:hint="eastAsia"/>
          <w:color w:val="auto"/>
          <w:highlight w:val="none"/>
          <w:lang w:eastAsia="zh-CN"/>
        </w:rPr>
        <w:t>本保险的保险期间，自保险合同生效之日起，至保险责任期间届满之日止，由投保人与保险人协商确定。</w:t>
      </w:r>
    </w:p>
    <w:p w14:paraId="6DC3EA9F">
      <w:pPr>
        <w:pStyle w:val="8"/>
        <w:spacing w:before="1" w:line="364" w:lineRule="auto"/>
        <w:ind w:right="357" w:firstLine="448" w:firstLineChars="200"/>
        <w:jc w:val="both"/>
        <w:rPr>
          <w:rFonts w:hint="eastAsia"/>
          <w:color w:val="auto"/>
          <w:highlight w:val="none"/>
          <w:lang w:eastAsia="zh-CN"/>
        </w:rPr>
      </w:pPr>
      <w:r>
        <w:rPr>
          <w:rFonts w:hint="eastAsia"/>
          <w:color w:val="auto"/>
          <w:spacing w:val="-8"/>
          <w:highlight w:val="none"/>
          <w:lang w:eastAsia="zh-CN"/>
        </w:rPr>
        <w:t>本保险的保险责任期间，是指保险人承担赔偿责任的期间，其中本保险合同第五条第</w:t>
      </w:r>
      <w:r>
        <w:rPr>
          <w:rFonts w:hint="eastAsia"/>
          <w:color w:val="auto"/>
          <w:highlight w:val="none"/>
          <w:lang w:eastAsia="zh-CN"/>
        </w:rPr>
        <w:t>（一</w:t>
      </w:r>
      <w:r>
        <w:rPr>
          <w:rFonts w:hint="eastAsia"/>
          <w:color w:val="auto"/>
          <w:spacing w:val="-32"/>
          <w:highlight w:val="none"/>
          <w:lang w:eastAsia="zh-CN"/>
        </w:rPr>
        <w:t>）</w:t>
      </w:r>
      <w:r>
        <w:rPr>
          <w:rFonts w:hint="eastAsia"/>
          <w:color w:val="auto"/>
          <w:spacing w:val="-5"/>
          <w:highlight w:val="none"/>
          <w:lang w:eastAsia="zh-CN"/>
        </w:rPr>
        <w:t>款的保险责任期间，自保险单载明的建设工程竣工验收合格后等</w:t>
      </w:r>
      <w:r>
        <w:rPr>
          <w:rFonts w:hint="eastAsia"/>
          <w:color w:val="auto"/>
          <w:spacing w:val="-6"/>
          <w:highlight w:val="none"/>
          <w:lang w:eastAsia="zh-CN"/>
        </w:rPr>
        <w:t>待期届满之日起算，最长不超过十年；其中本保险合同第五条第</w:t>
      </w:r>
      <w:r>
        <w:rPr>
          <w:rFonts w:hint="eastAsia"/>
          <w:color w:val="auto"/>
          <w:highlight w:val="none"/>
          <w:lang w:eastAsia="zh-CN"/>
        </w:rPr>
        <w:t>（二</w:t>
      </w:r>
      <w:r>
        <w:rPr>
          <w:rFonts w:hint="eastAsia"/>
          <w:color w:val="auto"/>
          <w:spacing w:val="-24"/>
          <w:highlight w:val="none"/>
          <w:lang w:eastAsia="zh-CN"/>
        </w:rPr>
        <w:t>）</w:t>
      </w:r>
      <w:r>
        <w:rPr>
          <w:rFonts w:hint="eastAsia"/>
          <w:color w:val="auto"/>
          <w:spacing w:val="-4"/>
          <w:highlight w:val="none"/>
          <w:lang w:eastAsia="zh-CN"/>
        </w:rPr>
        <w:t>款的保险</w:t>
      </w:r>
      <w:r>
        <w:rPr>
          <w:rFonts w:hint="eastAsia"/>
          <w:color w:val="auto"/>
          <w:spacing w:val="-10"/>
          <w:highlight w:val="none"/>
          <w:lang w:eastAsia="zh-CN"/>
        </w:rPr>
        <w:t>责任期间，自保险单载明的建设工程竣工验收合格后等待期届满之日起算，最长</w:t>
      </w:r>
      <w:r>
        <w:rPr>
          <w:rFonts w:hint="eastAsia"/>
          <w:color w:val="auto"/>
          <w:highlight w:val="none"/>
          <w:lang w:eastAsia="zh-CN"/>
        </w:rPr>
        <w:t>不超过五年。</w:t>
      </w:r>
    </w:p>
    <w:p w14:paraId="56FDFEE8">
      <w:pPr>
        <w:pStyle w:val="8"/>
        <w:spacing w:before="160" w:line="364" w:lineRule="auto"/>
        <w:ind w:right="357"/>
        <w:rPr>
          <w:rFonts w:hint="eastAsia"/>
          <w:color w:val="auto"/>
          <w:highlight w:val="none"/>
          <w:lang w:eastAsia="zh-CN"/>
        </w:rPr>
      </w:pPr>
      <w:r>
        <w:rPr>
          <w:rFonts w:hint="eastAsia"/>
          <w:color w:val="auto"/>
          <w:spacing w:val="-5"/>
          <w:highlight w:val="none"/>
          <w:lang w:eastAsia="zh-CN"/>
        </w:rPr>
        <w:t>等待期指自保险单载明的建设工程竣工验收合格之日起，至投保人和保险人</w:t>
      </w:r>
      <w:r>
        <w:rPr>
          <w:rFonts w:hint="eastAsia"/>
          <w:color w:val="auto"/>
          <w:highlight w:val="none"/>
          <w:lang w:eastAsia="zh-CN"/>
        </w:rPr>
        <w:t>协商确定的时间止。</w:t>
      </w:r>
    </w:p>
    <w:p w14:paraId="038EA256">
      <w:pPr>
        <w:pStyle w:val="8"/>
        <w:spacing w:before="2" w:line="364" w:lineRule="auto"/>
        <w:ind w:right="357"/>
        <w:jc w:val="both"/>
        <w:rPr>
          <w:rFonts w:hint="eastAsia"/>
          <w:color w:val="auto"/>
          <w:highlight w:val="none"/>
          <w:lang w:eastAsia="zh-CN"/>
        </w:rPr>
      </w:pPr>
      <w:r>
        <w:rPr>
          <w:rFonts w:hint="eastAsia"/>
          <w:color w:val="auto"/>
          <w:spacing w:val="-1"/>
          <w:highlight w:val="none"/>
          <w:lang w:eastAsia="zh-CN"/>
        </w:rPr>
        <w:t>在本合同保险期间内,本保险合同保温</w:t>
      </w:r>
      <w:r>
        <w:rPr>
          <w:rFonts w:hint="eastAsia"/>
          <w:color w:val="auto"/>
          <w:spacing w:val="-1"/>
          <w:highlight w:val="none"/>
          <w:lang w:val="en-US" w:eastAsia="zh-CN"/>
        </w:rPr>
        <w:t>和</w:t>
      </w:r>
      <w:r>
        <w:rPr>
          <w:rFonts w:hint="eastAsia"/>
          <w:color w:val="auto"/>
          <w:spacing w:val="-1"/>
          <w:highlight w:val="none"/>
          <w:lang w:eastAsia="zh-CN"/>
        </w:rPr>
        <w:t>防水工程保险责任期间届满后交房</w:t>
      </w:r>
      <w:r>
        <w:rPr>
          <w:rFonts w:hint="eastAsia"/>
          <w:color w:val="auto"/>
          <w:spacing w:val="-3"/>
          <w:highlight w:val="none"/>
          <w:lang w:eastAsia="zh-CN"/>
        </w:rPr>
        <w:t xml:space="preserve">的住宅建设工程，投保人、被保险人应当在交房前 </w:t>
      </w:r>
      <w:r>
        <w:rPr>
          <w:rFonts w:hint="eastAsia"/>
          <w:color w:val="auto"/>
          <w:highlight w:val="none"/>
          <w:lang w:eastAsia="zh-CN"/>
        </w:rPr>
        <w:t>15</w:t>
      </w:r>
      <w:r>
        <w:rPr>
          <w:rFonts w:hint="eastAsia"/>
          <w:color w:val="auto"/>
          <w:spacing w:val="-9"/>
          <w:highlight w:val="none"/>
          <w:lang w:eastAsia="zh-CN"/>
        </w:rPr>
        <w:t xml:space="preserve"> 日通知保险人、业主共同</w:t>
      </w:r>
      <w:r>
        <w:rPr>
          <w:rFonts w:hint="eastAsia"/>
          <w:color w:val="auto"/>
          <w:spacing w:val="-10"/>
          <w:highlight w:val="none"/>
          <w:lang w:eastAsia="zh-CN"/>
        </w:rPr>
        <w:t>验收，若存在质量缺陷，由投保人、被保险人承担维修或赔偿责任；业主在交房</w:t>
      </w:r>
      <w:r>
        <w:rPr>
          <w:rFonts w:hint="eastAsia"/>
          <w:color w:val="auto"/>
          <w:spacing w:val="-15"/>
          <w:highlight w:val="none"/>
          <w:lang w:eastAsia="zh-CN"/>
        </w:rPr>
        <w:t xml:space="preserve">之日起 </w:t>
      </w:r>
      <w:r>
        <w:rPr>
          <w:rFonts w:hint="eastAsia"/>
          <w:color w:val="auto"/>
          <w:highlight w:val="none"/>
          <w:lang w:eastAsia="zh-CN"/>
        </w:rPr>
        <w:t>6</w:t>
      </w:r>
      <w:r>
        <w:rPr>
          <w:rFonts w:hint="eastAsia"/>
          <w:color w:val="auto"/>
          <w:spacing w:val="-14"/>
          <w:highlight w:val="none"/>
          <w:lang w:eastAsia="zh-CN"/>
        </w:rPr>
        <w:t xml:space="preserve"> 个月内，发现承保范围内的保险单载明的建设工程存在质量缺陷的，由</w:t>
      </w:r>
      <w:r>
        <w:rPr>
          <w:rFonts w:hint="eastAsia"/>
          <w:color w:val="auto"/>
          <w:highlight w:val="none"/>
          <w:lang w:eastAsia="zh-CN"/>
        </w:rPr>
        <w:t>保险人承担维修或赔偿责任。前述时间点最长不超过本保险合同的保险期间。</w:t>
      </w:r>
    </w:p>
    <w:p w14:paraId="5B69C4AE">
      <w:pPr>
        <w:spacing w:before="3" w:line="364" w:lineRule="auto"/>
        <w:ind w:left="2472" w:right="1225" w:hanging="1872"/>
        <w:rPr>
          <w:rFonts w:hint="eastAsia"/>
          <w:b/>
          <w:color w:val="auto"/>
          <w:sz w:val="24"/>
          <w:highlight w:val="none"/>
          <w:lang w:eastAsia="zh-CN"/>
        </w:rPr>
      </w:pPr>
      <w:r>
        <w:rPr>
          <w:rFonts w:hint="eastAsia"/>
          <w:color w:val="auto"/>
          <w:sz w:val="24"/>
          <w:highlight w:val="none"/>
          <w:lang w:eastAsia="zh-CN"/>
        </w:rPr>
        <w:t>保险期间、保险责任期间、等待期以保险单载明的起讫时间为准。</w:t>
      </w:r>
      <w:r>
        <w:rPr>
          <w:rFonts w:hint="eastAsia"/>
          <w:b/>
          <w:color w:val="auto"/>
          <w:sz w:val="24"/>
          <w:highlight w:val="none"/>
          <w:lang w:eastAsia="zh-CN"/>
        </w:rPr>
        <w:t>责任限额、保险费与免赔额（率）</w:t>
      </w:r>
    </w:p>
    <w:p w14:paraId="39D78443">
      <w:pPr>
        <w:pStyle w:val="8"/>
        <w:spacing w:before="1" w:line="364" w:lineRule="auto"/>
        <w:ind w:right="357"/>
        <w:jc w:val="both"/>
        <w:rPr>
          <w:rFonts w:hint="eastAsia"/>
          <w:color w:val="auto"/>
          <w:highlight w:val="none"/>
          <w:lang w:eastAsia="zh-CN"/>
        </w:rPr>
      </w:pPr>
      <w:r>
        <w:rPr>
          <w:rFonts w:hint="eastAsia"/>
          <w:b/>
          <w:color w:val="auto"/>
          <w:highlight w:val="none"/>
          <w:lang w:eastAsia="zh-CN"/>
        </w:rPr>
        <w:t xml:space="preserve">第十条 </w:t>
      </w:r>
      <w:r>
        <w:rPr>
          <w:rFonts w:hint="eastAsia"/>
          <w:color w:val="auto"/>
          <w:highlight w:val="none"/>
          <w:lang w:eastAsia="zh-CN"/>
        </w:rPr>
        <w:t>除另有约定外，本保险合同的责任限额为保险单载明的建设工程项目建筑安装工程总造价。</w:t>
      </w:r>
    </w:p>
    <w:p w14:paraId="01075438">
      <w:pPr>
        <w:spacing w:before="1" w:line="364" w:lineRule="auto"/>
        <w:ind w:left="120" w:right="355" w:firstLine="480"/>
        <w:jc w:val="both"/>
        <w:rPr>
          <w:rFonts w:hint="eastAsia"/>
          <w:b/>
          <w:color w:val="auto"/>
          <w:sz w:val="24"/>
          <w:highlight w:val="none"/>
          <w:lang w:eastAsia="zh-CN"/>
        </w:rPr>
      </w:pPr>
      <w:r>
        <w:rPr>
          <w:rFonts w:hint="eastAsia"/>
          <w:b/>
          <w:color w:val="auto"/>
          <w:sz w:val="24"/>
          <w:highlight w:val="none"/>
          <w:lang w:eastAsia="zh-CN"/>
        </w:rPr>
        <w:t xml:space="preserve">第十一条 </w:t>
      </w:r>
      <w:r>
        <w:rPr>
          <w:rFonts w:hint="eastAsia"/>
          <w:color w:val="auto"/>
          <w:sz w:val="24"/>
          <w:highlight w:val="none"/>
          <w:lang w:eastAsia="zh-CN"/>
        </w:rPr>
        <w:t>投保人投保时，保险人按照建筑安装工程总造价的预算价作为计费基础计算预收保险费。</w:t>
      </w:r>
      <w:r>
        <w:rPr>
          <w:rFonts w:hint="eastAsia"/>
          <w:b/>
          <w:color w:val="auto"/>
          <w:sz w:val="24"/>
          <w:highlight w:val="none"/>
          <w:lang w:eastAsia="zh-CN"/>
        </w:rPr>
        <w:t>投保人应当一次性支付合同约定的预收保险费。</w:t>
      </w:r>
    </w:p>
    <w:p w14:paraId="1A82571C">
      <w:pPr>
        <w:pStyle w:val="8"/>
        <w:spacing w:before="1" w:line="364" w:lineRule="auto"/>
        <w:ind w:right="357"/>
        <w:jc w:val="both"/>
        <w:rPr>
          <w:rFonts w:hint="eastAsia"/>
          <w:color w:val="auto"/>
          <w:highlight w:val="none"/>
          <w:lang w:eastAsia="zh-CN"/>
        </w:rPr>
      </w:pPr>
      <w:r>
        <w:rPr>
          <w:rFonts w:hint="eastAsia"/>
          <w:color w:val="auto"/>
          <w:spacing w:val="-7"/>
          <w:highlight w:val="none"/>
          <w:lang w:eastAsia="zh-CN"/>
        </w:rPr>
        <w:t>保险单载明的建设工程竣工结算完成后，保险人根据工程质量风险管理机构</w:t>
      </w:r>
      <w:r>
        <w:rPr>
          <w:rFonts w:hint="eastAsia"/>
          <w:color w:val="auto"/>
          <w:spacing w:val="-9"/>
          <w:highlight w:val="none"/>
          <w:lang w:eastAsia="zh-CN"/>
        </w:rPr>
        <w:t>的评估报告调整保险费率，按照建筑安装工程总造价的结算价调整确定最终责任</w:t>
      </w:r>
      <w:r>
        <w:rPr>
          <w:rFonts w:hint="eastAsia"/>
          <w:color w:val="auto"/>
          <w:highlight w:val="none"/>
          <w:lang w:eastAsia="zh-CN"/>
        </w:rPr>
        <w:t>限额和保险费，并根据已交纳的保险费金额向投保人进行补收或退还。</w:t>
      </w:r>
    </w:p>
    <w:p w14:paraId="36E608DD">
      <w:pPr>
        <w:pStyle w:val="8"/>
        <w:spacing w:before="2" w:line="364" w:lineRule="auto"/>
        <w:ind w:right="355"/>
        <w:jc w:val="both"/>
        <w:rPr>
          <w:rFonts w:hint="eastAsia"/>
          <w:color w:val="auto"/>
          <w:highlight w:val="none"/>
          <w:lang w:eastAsia="zh-CN"/>
        </w:rPr>
      </w:pPr>
      <w:r>
        <w:rPr>
          <w:rFonts w:hint="eastAsia"/>
          <w:b/>
          <w:color w:val="auto"/>
          <w:spacing w:val="3"/>
          <w:highlight w:val="none"/>
          <w:lang w:eastAsia="zh-CN"/>
        </w:rPr>
        <w:t xml:space="preserve">第十二条 </w:t>
      </w:r>
      <w:r>
        <w:rPr>
          <w:rFonts w:hint="eastAsia"/>
          <w:color w:val="auto"/>
          <w:highlight w:val="none"/>
          <w:lang w:eastAsia="zh-CN"/>
        </w:rPr>
        <w:t>每次事故免赔额（率）</w:t>
      </w:r>
      <w:r>
        <w:rPr>
          <w:rFonts w:hint="eastAsia"/>
          <w:color w:val="auto"/>
          <w:spacing w:val="-1"/>
          <w:highlight w:val="none"/>
          <w:lang w:eastAsia="zh-CN"/>
        </w:rPr>
        <w:t>由投保人与保险人在签订保险合同时协商</w:t>
      </w:r>
      <w:r>
        <w:rPr>
          <w:rFonts w:hint="eastAsia"/>
          <w:color w:val="auto"/>
          <w:spacing w:val="-11"/>
          <w:highlight w:val="none"/>
          <w:lang w:eastAsia="zh-CN"/>
        </w:rPr>
        <w:t>确定，并在保险单中载明。同时约定了免赔额和免赔率的，免赔金额以免赔额和</w:t>
      </w:r>
      <w:r>
        <w:rPr>
          <w:rFonts w:hint="eastAsia"/>
          <w:color w:val="auto"/>
          <w:highlight w:val="none"/>
          <w:lang w:eastAsia="zh-CN"/>
        </w:rPr>
        <w:t>按照免赔率计算的金额二者高者为准。</w:t>
      </w:r>
    </w:p>
    <w:p w14:paraId="65D6BB50">
      <w:pPr>
        <w:pStyle w:val="5"/>
        <w:spacing w:before="2"/>
        <w:ind w:left="3672"/>
        <w:rPr>
          <w:rFonts w:hint="eastAsia"/>
          <w:color w:val="auto"/>
          <w:highlight w:val="none"/>
          <w:lang w:eastAsia="zh-CN"/>
        </w:rPr>
      </w:pPr>
      <w:r>
        <w:rPr>
          <w:rFonts w:hint="eastAsia"/>
          <w:color w:val="auto"/>
          <w:highlight w:val="none"/>
          <w:lang w:eastAsia="zh-CN"/>
        </w:rPr>
        <w:t>保险人义务</w:t>
      </w:r>
    </w:p>
    <w:p w14:paraId="127CD6D4">
      <w:pPr>
        <w:pStyle w:val="8"/>
        <w:spacing w:before="160" w:line="364" w:lineRule="auto"/>
        <w:ind w:right="355"/>
        <w:rPr>
          <w:rFonts w:hint="eastAsia"/>
          <w:color w:val="auto"/>
          <w:highlight w:val="none"/>
          <w:lang w:eastAsia="zh-CN"/>
        </w:rPr>
      </w:pPr>
      <w:r>
        <w:rPr>
          <w:rFonts w:hint="eastAsia"/>
          <w:b/>
          <w:color w:val="auto"/>
          <w:highlight w:val="none"/>
          <w:lang w:eastAsia="zh-CN"/>
        </w:rPr>
        <w:t xml:space="preserve">第十三条 </w:t>
      </w:r>
      <w:r>
        <w:rPr>
          <w:rFonts w:hint="eastAsia"/>
          <w:color w:val="auto"/>
          <w:highlight w:val="none"/>
          <w:lang w:eastAsia="zh-CN"/>
        </w:rPr>
        <w:t>保险合同成立后，保险人应当及时向投保人签发保险单或其他保险凭证。</w:t>
      </w:r>
    </w:p>
    <w:p w14:paraId="5D54F869">
      <w:pPr>
        <w:pStyle w:val="8"/>
        <w:spacing w:before="1" w:line="364" w:lineRule="auto"/>
        <w:ind w:right="355"/>
        <w:rPr>
          <w:rFonts w:hint="eastAsia"/>
          <w:color w:val="auto"/>
          <w:highlight w:val="none"/>
          <w:lang w:eastAsia="zh-CN"/>
        </w:rPr>
      </w:pPr>
      <w:r>
        <w:rPr>
          <w:rFonts w:hint="eastAsia"/>
          <w:b/>
          <w:color w:val="auto"/>
          <w:highlight w:val="none"/>
          <w:lang w:eastAsia="zh-CN"/>
        </w:rPr>
        <w:t xml:space="preserve">第十四条 </w:t>
      </w:r>
      <w:r>
        <w:rPr>
          <w:rFonts w:hint="eastAsia"/>
          <w:color w:val="auto"/>
          <w:highlight w:val="none"/>
          <w:lang w:eastAsia="zh-CN"/>
        </w:rPr>
        <w:t>保险事故发生后，投保人、被保险人提供的有关索赔的证明和资料不完整的，保险人应当及时一次性通知投保人、被保险人补充提供。</w:t>
      </w:r>
    </w:p>
    <w:p w14:paraId="7C4CBE30">
      <w:pPr>
        <w:pStyle w:val="8"/>
        <w:spacing w:before="0" w:line="360" w:lineRule="auto"/>
        <w:ind w:right="355"/>
        <w:rPr>
          <w:rFonts w:hint="eastAsia"/>
          <w:color w:val="auto"/>
          <w:highlight w:val="none"/>
          <w:lang w:eastAsia="zh-CN"/>
        </w:rPr>
      </w:pPr>
      <w:r>
        <w:rPr>
          <w:rFonts w:hint="eastAsia"/>
          <w:b/>
          <w:color w:val="auto"/>
          <w:highlight w:val="none"/>
          <w:lang w:eastAsia="zh-CN"/>
        </w:rPr>
        <w:t xml:space="preserve">第十五条 </w:t>
      </w:r>
      <w:r>
        <w:rPr>
          <w:rFonts w:hint="eastAsia"/>
          <w:color w:val="auto"/>
          <w:highlight w:val="none"/>
          <w:lang w:eastAsia="zh-CN"/>
        </w:rPr>
        <w:t>保险人收到被保险人的赔偿请求后，应当及时就是否属于保险责任作出核定，并将核定结果通知被保险人。</w:t>
      </w:r>
    </w:p>
    <w:p w14:paraId="4BE5A794">
      <w:pPr>
        <w:pStyle w:val="5"/>
        <w:spacing w:before="0" w:line="360" w:lineRule="auto"/>
        <w:ind w:left="3072"/>
        <w:rPr>
          <w:rFonts w:hint="eastAsia"/>
          <w:color w:val="auto"/>
          <w:highlight w:val="none"/>
          <w:lang w:eastAsia="zh-CN"/>
        </w:rPr>
      </w:pPr>
      <w:r>
        <w:rPr>
          <w:rFonts w:hint="eastAsia"/>
          <w:color w:val="auto"/>
          <w:highlight w:val="none"/>
          <w:lang w:eastAsia="zh-CN"/>
        </w:rPr>
        <w:t>投保人、被保险人义务</w:t>
      </w:r>
    </w:p>
    <w:p w14:paraId="24E943C4">
      <w:pPr>
        <w:pStyle w:val="8"/>
        <w:autoSpaceDE/>
        <w:autoSpaceDN/>
        <w:spacing w:before="0" w:line="360" w:lineRule="auto"/>
        <w:ind w:left="600" w:firstLine="0"/>
        <w:rPr>
          <w:rFonts w:hint="eastAsia"/>
          <w:color w:val="auto"/>
          <w:highlight w:val="none"/>
          <w:lang w:eastAsia="zh-CN"/>
        </w:rPr>
      </w:pPr>
      <w:r>
        <w:rPr>
          <w:rFonts w:hint="eastAsia"/>
          <w:b/>
          <w:color w:val="auto"/>
          <w:highlight w:val="none"/>
          <w:lang w:eastAsia="zh-CN"/>
        </w:rPr>
        <w:t xml:space="preserve">第十六条 </w:t>
      </w:r>
      <w:r>
        <w:rPr>
          <w:rFonts w:hint="eastAsia"/>
          <w:color w:val="auto"/>
          <w:highlight w:val="none"/>
          <w:lang w:eastAsia="zh-CN"/>
        </w:rPr>
        <w:t>投保人应履行如实告知义务，如实回答保险人就保险单载明的建</w:t>
      </w:r>
    </w:p>
    <w:p w14:paraId="2F4A4347">
      <w:pPr>
        <w:pStyle w:val="8"/>
        <w:autoSpaceDE/>
        <w:autoSpaceDN/>
        <w:spacing w:before="0" w:line="360" w:lineRule="auto"/>
        <w:ind w:firstLine="0"/>
        <w:rPr>
          <w:rFonts w:hint="eastAsia"/>
          <w:color w:val="auto"/>
          <w:highlight w:val="none"/>
          <w:lang w:eastAsia="zh-CN"/>
        </w:rPr>
      </w:pPr>
      <w:r>
        <w:rPr>
          <w:rFonts w:hint="eastAsia"/>
          <w:color w:val="auto"/>
          <w:highlight w:val="none"/>
          <w:lang w:eastAsia="zh-CN"/>
        </w:rPr>
        <w:t>设工程有关情况提出的询问，并如实填写投保单。</w:t>
      </w:r>
    </w:p>
    <w:p w14:paraId="239B683D">
      <w:pPr>
        <w:autoSpaceDE/>
        <w:autoSpaceDN/>
        <w:spacing w:before="0" w:line="360" w:lineRule="auto"/>
        <w:ind w:left="120" w:right="326" w:firstLine="480"/>
        <w:jc w:val="both"/>
        <w:rPr>
          <w:rFonts w:hint="eastAsia"/>
          <w:b/>
          <w:color w:val="auto"/>
          <w:sz w:val="24"/>
          <w:highlight w:val="none"/>
          <w:lang w:eastAsia="zh-CN"/>
        </w:rPr>
      </w:pPr>
      <w:r>
        <w:rPr>
          <w:rFonts w:hint="eastAsia"/>
          <w:b/>
          <w:color w:val="auto"/>
          <w:spacing w:val="0"/>
          <w:sz w:val="24"/>
          <w:highlight w:val="none"/>
          <w:lang w:eastAsia="zh-CN"/>
        </w:rPr>
        <w:t xml:space="preserve">第十七条 </w:t>
      </w:r>
      <w:r>
        <w:rPr>
          <w:rFonts w:hint="eastAsia"/>
          <w:color w:val="auto"/>
          <w:sz w:val="24"/>
          <w:highlight w:val="none"/>
          <w:lang w:eastAsia="zh-CN"/>
        </w:rPr>
        <w:t>除另有约定外，投保人应在保险合同成立时交付保险费。</w:t>
      </w:r>
      <w:r>
        <w:rPr>
          <w:rFonts w:hint="eastAsia"/>
          <w:b/>
          <w:color w:val="auto"/>
          <w:sz w:val="24"/>
          <w:highlight w:val="none"/>
          <w:lang w:eastAsia="zh-CN"/>
        </w:rPr>
        <w:t>投保人</w:t>
      </w:r>
      <w:r>
        <w:rPr>
          <w:rFonts w:hint="eastAsia"/>
          <w:b/>
          <w:color w:val="auto"/>
          <w:spacing w:val="0"/>
          <w:w w:val="100"/>
          <w:sz w:val="24"/>
          <w:highlight w:val="none"/>
          <w:lang w:eastAsia="zh-CN"/>
        </w:rPr>
        <w:t>未按约定交付保险费的，保险合同不发生效力。合同生效前发生的保险事故，</w:t>
      </w:r>
      <w:r>
        <w:rPr>
          <w:rFonts w:hint="eastAsia"/>
          <w:b/>
          <w:color w:val="auto"/>
          <w:spacing w:val="0"/>
          <w:sz w:val="24"/>
          <w:highlight w:val="none"/>
          <w:lang w:eastAsia="zh-CN"/>
        </w:rPr>
        <w:t>保险人不承担保险责任。</w:t>
      </w:r>
    </w:p>
    <w:p w14:paraId="3F718FE2">
      <w:pPr>
        <w:pStyle w:val="8"/>
        <w:spacing w:before="0" w:line="360" w:lineRule="auto"/>
        <w:ind w:right="355"/>
        <w:jc w:val="both"/>
        <w:rPr>
          <w:rFonts w:hint="eastAsia"/>
          <w:color w:val="auto"/>
          <w:highlight w:val="none"/>
          <w:lang w:eastAsia="zh-CN"/>
        </w:rPr>
      </w:pPr>
      <w:r>
        <w:rPr>
          <w:rFonts w:hint="eastAsia"/>
          <w:b/>
          <w:color w:val="auto"/>
          <w:spacing w:val="3"/>
          <w:highlight w:val="none"/>
          <w:lang w:eastAsia="zh-CN"/>
        </w:rPr>
        <w:t xml:space="preserve">第十八条 </w:t>
      </w:r>
      <w:r>
        <w:rPr>
          <w:rFonts w:hint="eastAsia"/>
          <w:color w:val="auto"/>
          <w:spacing w:val="-1"/>
          <w:highlight w:val="none"/>
          <w:lang w:eastAsia="zh-CN"/>
        </w:rPr>
        <w:t>投保人、被保险人应接受并积极配合保险人委托的工程质量风险</w:t>
      </w:r>
      <w:r>
        <w:rPr>
          <w:rFonts w:hint="eastAsia"/>
          <w:color w:val="auto"/>
          <w:spacing w:val="-5"/>
          <w:highlight w:val="none"/>
          <w:lang w:eastAsia="zh-CN"/>
        </w:rPr>
        <w:t>管理机构对保险单载明的建设工程进行工程质量风险管理工作，对于发现的工程</w:t>
      </w:r>
      <w:r>
        <w:rPr>
          <w:rFonts w:hint="eastAsia"/>
          <w:color w:val="auto"/>
          <w:highlight w:val="none"/>
          <w:lang w:eastAsia="zh-CN"/>
        </w:rPr>
        <w:t>质量潜在缺陷，投保人、被保险人应予以整改。</w:t>
      </w:r>
    </w:p>
    <w:p w14:paraId="370BC2D8">
      <w:pPr>
        <w:pStyle w:val="8"/>
        <w:spacing w:before="2" w:line="364" w:lineRule="auto"/>
        <w:ind w:right="357"/>
        <w:jc w:val="both"/>
        <w:rPr>
          <w:rFonts w:hint="eastAsia"/>
          <w:color w:val="auto"/>
          <w:highlight w:val="none"/>
          <w:lang w:eastAsia="zh-CN"/>
        </w:rPr>
      </w:pPr>
      <w:r>
        <w:rPr>
          <w:rFonts w:hint="eastAsia"/>
          <w:color w:val="auto"/>
          <w:spacing w:val="-12"/>
          <w:highlight w:val="none"/>
          <w:lang w:eastAsia="zh-CN"/>
        </w:rPr>
        <w:t>投保人、被保险人应接受并积极配合保险人指定的工程质量风险管理机构对</w:t>
      </w:r>
      <w:r>
        <w:rPr>
          <w:rFonts w:hint="eastAsia"/>
          <w:color w:val="auto"/>
          <w:highlight w:val="none"/>
          <w:lang w:eastAsia="zh-CN"/>
        </w:rPr>
        <w:t>保险单载明的建设工程在竣工验收合格后等待期届满前进行的工程质量风险复查工作。</w:t>
      </w:r>
    </w:p>
    <w:p w14:paraId="6A0FF05C">
      <w:pPr>
        <w:spacing w:before="2" w:line="364" w:lineRule="auto"/>
        <w:ind w:left="120" w:right="326" w:firstLine="480"/>
        <w:jc w:val="both"/>
        <w:rPr>
          <w:rFonts w:hint="eastAsia"/>
          <w:b/>
          <w:color w:val="auto"/>
          <w:sz w:val="24"/>
          <w:highlight w:val="none"/>
          <w:lang w:eastAsia="zh-CN"/>
        </w:rPr>
      </w:pPr>
      <w:r>
        <w:rPr>
          <w:rFonts w:hint="eastAsia"/>
          <w:color w:val="auto"/>
          <w:spacing w:val="-10"/>
          <w:sz w:val="24"/>
          <w:highlight w:val="none"/>
          <w:lang w:eastAsia="zh-CN"/>
        </w:rPr>
        <w:t>保险合同成立后，</w:t>
      </w:r>
      <w:r>
        <w:rPr>
          <w:rFonts w:hint="eastAsia"/>
          <w:color w:val="auto"/>
          <w:spacing w:val="0"/>
          <w:sz w:val="24"/>
          <w:highlight w:val="none"/>
          <w:lang w:eastAsia="zh-CN"/>
        </w:rPr>
        <w:t>对于保险人发现的属于保险责任范围的未尽整改义务或整改不到位的工程质量潜在缺陷，</w:t>
      </w:r>
      <w:r>
        <w:rPr>
          <w:rFonts w:hint="eastAsia"/>
          <w:b/>
          <w:color w:val="auto"/>
          <w:sz w:val="24"/>
          <w:highlight w:val="none"/>
          <w:lang w:eastAsia="zh-CN"/>
        </w:rPr>
        <w:t>保险人有权根据保险合同约定适当上浮保险费率</w:t>
      </w:r>
      <w:r>
        <w:rPr>
          <w:rFonts w:hint="eastAsia"/>
          <w:b/>
          <w:color w:val="auto"/>
          <w:spacing w:val="0"/>
          <w:w w:val="100"/>
          <w:sz w:val="24"/>
          <w:highlight w:val="none"/>
          <w:lang w:eastAsia="zh-CN"/>
        </w:rPr>
        <w:t>或者列入保险除外责任，对工程质量潜在缺陷严重的，保险人有权解除保险合</w:t>
      </w:r>
      <w:r>
        <w:rPr>
          <w:rFonts w:hint="eastAsia"/>
          <w:b/>
          <w:color w:val="auto"/>
          <w:spacing w:val="0"/>
          <w:sz w:val="24"/>
          <w:highlight w:val="none"/>
          <w:lang w:eastAsia="zh-CN"/>
        </w:rPr>
        <w:t>同。</w:t>
      </w:r>
    </w:p>
    <w:p w14:paraId="15E1C9F4">
      <w:pPr>
        <w:spacing w:before="2" w:line="364" w:lineRule="auto"/>
        <w:ind w:left="120" w:right="117" w:firstLine="480"/>
        <w:rPr>
          <w:rFonts w:hint="eastAsia"/>
          <w:b/>
          <w:color w:val="auto"/>
          <w:sz w:val="24"/>
          <w:highlight w:val="none"/>
          <w:lang w:eastAsia="zh-CN"/>
        </w:rPr>
      </w:pPr>
      <w:r>
        <w:rPr>
          <w:rFonts w:hint="eastAsia"/>
          <w:color w:val="auto"/>
          <w:spacing w:val="0"/>
          <w:sz w:val="24"/>
          <w:highlight w:val="none"/>
          <w:lang w:eastAsia="zh-CN"/>
        </w:rPr>
        <w:t>对于在质量复查中发现的属于保险责任范围的工程质量缺陷，</w:t>
      </w:r>
      <w:r>
        <w:rPr>
          <w:rFonts w:hint="eastAsia"/>
          <w:color w:val="auto"/>
          <w:spacing w:val="-5"/>
          <w:sz w:val="24"/>
          <w:highlight w:val="none"/>
          <w:lang w:eastAsia="zh-CN"/>
        </w:rPr>
        <w:t xml:space="preserve">投保人整改的， </w:t>
      </w:r>
      <w:r>
        <w:rPr>
          <w:rFonts w:hint="eastAsia"/>
          <w:color w:val="auto"/>
          <w:spacing w:val="-6"/>
          <w:sz w:val="24"/>
          <w:highlight w:val="none"/>
          <w:lang w:eastAsia="zh-CN"/>
        </w:rPr>
        <w:t>应当纳入保险责任范围；</w:t>
      </w:r>
      <w:r>
        <w:rPr>
          <w:rFonts w:hint="eastAsia"/>
          <w:b/>
          <w:color w:val="auto"/>
          <w:spacing w:val="-4"/>
          <w:sz w:val="24"/>
          <w:highlight w:val="none"/>
          <w:lang w:eastAsia="zh-CN"/>
        </w:rPr>
        <w:t>投保人未尽整改义务或整改不到位的，保险人可以根据 保险合同约定将其列入保险除外责任。</w:t>
      </w:r>
    </w:p>
    <w:p w14:paraId="5DF22A7C">
      <w:pPr>
        <w:spacing w:before="2" w:line="364" w:lineRule="auto"/>
        <w:ind w:left="120" w:right="237" w:firstLine="480"/>
        <w:rPr>
          <w:rFonts w:hint="eastAsia"/>
          <w:b/>
          <w:color w:val="auto"/>
          <w:sz w:val="24"/>
          <w:highlight w:val="none"/>
          <w:lang w:eastAsia="zh-CN"/>
        </w:rPr>
      </w:pPr>
      <w:r>
        <w:rPr>
          <w:rFonts w:hint="eastAsia"/>
          <w:b/>
          <w:color w:val="auto"/>
          <w:sz w:val="24"/>
          <w:highlight w:val="none"/>
          <w:lang w:eastAsia="zh-CN"/>
        </w:rPr>
        <w:t xml:space="preserve">第十九条 </w:t>
      </w:r>
      <w:r>
        <w:rPr>
          <w:rFonts w:hint="eastAsia"/>
          <w:color w:val="auto"/>
          <w:sz w:val="24"/>
          <w:highlight w:val="none"/>
          <w:lang w:eastAsia="zh-CN"/>
        </w:rPr>
        <w:t>投保人应在保险单载明的建设工程竣工验收合格后两个月内，向保险人提供工程竣工验收证明材料、《房屋建筑质量保证书》《房屋建筑使用说明书》，六个月内提供竣工结算材料等文件。</w:t>
      </w:r>
      <w:r>
        <w:rPr>
          <w:rFonts w:hint="eastAsia"/>
          <w:b/>
          <w:color w:val="auto"/>
          <w:sz w:val="24"/>
          <w:highlight w:val="none"/>
          <w:lang w:eastAsia="zh-CN"/>
        </w:rPr>
        <w:t>若投保人无法或不提供前述文件， 保险人有权通知投保人解除本保险合同。</w:t>
      </w:r>
    </w:p>
    <w:p w14:paraId="18357C6E">
      <w:pPr>
        <w:pStyle w:val="8"/>
        <w:spacing w:before="2" w:line="364" w:lineRule="auto"/>
        <w:ind w:right="355"/>
        <w:jc w:val="both"/>
        <w:rPr>
          <w:rFonts w:hint="eastAsia"/>
          <w:color w:val="auto"/>
          <w:highlight w:val="none"/>
          <w:lang w:eastAsia="zh-CN"/>
        </w:rPr>
      </w:pPr>
      <w:r>
        <w:rPr>
          <w:rFonts w:hint="eastAsia"/>
          <w:b/>
          <w:color w:val="auto"/>
          <w:spacing w:val="3"/>
          <w:highlight w:val="none"/>
          <w:lang w:eastAsia="zh-CN"/>
        </w:rPr>
        <w:t xml:space="preserve">第二十条 </w:t>
      </w:r>
      <w:r>
        <w:rPr>
          <w:rFonts w:hint="eastAsia"/>
          <w:color w:val="auto"/>
          <w:spacing w:val="-1"/>
          <w:highlight w:val="none"/>
          <w:lang w:eastAsia="zh-CN"/>
        </w:rPr>
        <w:t>投保人应严格遵守《中华人民共和国建筑法》《建设工程质量管</w:t>
      </w:r>
      <w:r>
        <w:rPr>
          <w:rFonts w:hint="eastAsia"/>
          <w:color w:val="auto"/>
          <w:spacing w:val="-10"/>
          <w:highlight w:val="none"/>
          <w:lang w:eastAsia="zh-CN"/>
        </w:rPr>
        <w:t>理条例》《广东省建设工程质量条例》等相关法律、法规及规定，聘请具备行业</w:t>
      </w:r>
      <w:r>
        <w:rPr>
          <w:rFonts w:hint="eastAsia"/>
          <w:color w:val="auto"/>
          <w:spacing w:val="-9"/>
          <w:highlight w:val="none"/>
          <w:lang w:eastAsia="zh-CN"/>
        </w:rPr>
        <w:t>资质的工程监理机构，加强管理，采取合理的预防措施，尽力避免或减少保险事</w:t>
      </w:r>
      <w:r>
        <w:rPr>
          <w:rFonts w:hint="eastAsia"/>
          <w:color w:val="auto"/>
          <w:spacing w:val="-10"/>
          <w:highlight w:val="none"/>
          <w:lang w:eastAsia="zh-CN"/>
        </w:rPr>
        <w:t>故的发生；被保险人、使用人应严格按照《房屋建筑使用说明书》的要求使用保</w:t>
      </w:r>
      <w:r>
        <w:rPr>
          <w:rFonts w:hint="eastAsia"/>
          <w:color w:val="auto"/>
          <w:highlight w:val="none"/>
          <w:lang w:eastAsia="zh-CN"/>
        </w:rPr>
        <w:t>险单载明的建设工程。</w:t>
      </w:r>
    </w:p>
    <w:p w14:paraId="78200FF0">
      <w:pPr>
        <w:pStyle w:val="8"/>
        <w:spacing w:before="3" w:line="364" w:lineRule="auto"/>
        <w:ind w:right="357"/>
        <w:jc w:val="both"/>
        <w:rPr>
          <w:rFonts w:hint="eastAsia"/>
          <w:color w:val="auto"/>
          <w:highlight w:val="none"/>
          <w:lang w:eastAsia="zh-CN"/>
        </w:rPr>
      </w:pPr>
      <w:r>
        <w:rPr>
          <w:rFonts w:hint="eastAsia"/>
          <w:color w:val="auto"/>
          <w:spacing w:val="-5"/>
          <w:highlight w:val="none"/>
          <w:lang w:eastAsia="zh-CN"/>
        </w:rPr>
        <w:t>保险人及保险人委托的工程质量风险管理机构可以对投保人、被保险人遵守</w:t>
      </w:r>
      <w:r>
        <w:rPr>
          <w:rFonts w:hint="eastAsia"/>
          <w:color w:val="auto"/>
          <w:spacing w:val="-8"/>
          <w:highlight w:val="none"/>
          <w:lang w:eastAsia="zh-CN"/>
        </w:rPr>
        <w:t>前款约定的情况进行检查，向投保人、被保险人提出消除不安全因素和隐患的书</w:t>
      </w:r>
      <w:r>
        <w:rPr>
          <w:rFonts w:hint="eastAsia"/>
          <w:color w:val="auto"/>
          <w:highlight w:val="none"/>
          <w:lang w:eastAsia="zh-CN"/>
        </w:rPr>
        <w:t>面建议，投保人、被保险人应该认真付诸实施。</w:t>
      </w:r>
    </w:p>
    <w:p w14:paraId="2C009F57">
      <w:pPr>
        <w:spacing w:before="42" w:line="364" w:lineRule="auto"/>
        <w:ind w:left="120" w:right="345" w:firstLine="480"/>
        <w:jc w:val="both"/>
        <w:rPr>
          <w:rFonts w:hint="eastAsia"/>
          <w:b/>
          <w:color w:val="auto"/>
          <w:sz w:val="24"/>
          <w:highlight w:val="none"/>
          <w:lang w:eastAsia="zh-CN"/>
        </w:rPr>
      </w:pPr>
      <w:r>
        <w:rPr>
          <w:rFonts w:hint="eastAsia"/>
          <w:b/>
          <w:color w:val="auto"/>
          <w:spacing w:val="2"/>
          <w:sz w:val="24"/>
          <w:highlight w:val="none"/>
          <w:lang w:eastAsia="zh-CN"/>
        </w:rPr>
        <w:t xml:space="preserve">第二十一条 </w:t>
      </w:r>
      <w:r>
        <w:rPr>
          <w:rFonts w:hint="eastAsia"/>
          <w:color w:val="auto"/>
          <w:sz w:val="24"/>
          <w:highlight w:val="none"/>
          <w:lang w:eastAsia="zh-CN"/>
        </w:rPr>
        <w:t>在保险期间内，如保险单载明的建设工程变更用途，或被保险</w:t>
      </w:r>
      <w:r>
        <w:rPr>
          <w:rFonts w:hint="eastAsia"/>
          <w:color w:val="auto"/>
          <w:spacing w:val="-7"/>
          <w:sz w:val="24"/>
          <w:highlight w:val="none"/>
          <w:lang w:eastAsia="zh-CN"/>
        </w:rPr>
        <w:t>人对建设工程进行改建、扩建、移动、大规模修缮、重新装饰装修及其他可能导</w:t>
      </w:r>
      <w:r>
        <w:rPr>
          <w:rFonts w:hint="eastAsia"/>
          <w:color w:val="auto"/>
          <w:spacing w:val="-11"/>
          <w:sz w:val="24"/>
          <w:highlight w:val="none"/>
          <w:lang w:eastAsia="zh-CN"/>
        </w:rPr>
        <w:t>致保险单载明的建设工程风险程度显著增加的重要事项变更，投保人、被保险人</w:t>
      </w:r>
      <w:r>
        <w:rPr>
          <w:rFonts w:hint="eastAsia"/>
          <w:color w:val="auto"/>
          <w:spacing w:val="-16"/>
          <w:sz w:val="24"/>
          <w:highlight w:val="none"/>
          <w:lang w:eastAsia="zh-CN"/>
        </w:rPr>
        <w:t>应当按照保险合同的约定事先书面通知保险人，</w:t>
      </w:r>
      <w:r>
        <w:rPr>
          <w:rFonts w:hint="eastAsia"/>
          <w:b/>
          <w:color w:val="auto"/>
          <w:spacing w:val="-1"/>
          <w:sz w:val="24"/>
          <w:highlight w:val="none"/>
          <w:lang w:eastAsia="zh-CN"/>
        </w:rPr>
        <w:t>保险人可以按照保险合同约定调</w:t>
      </w:r>
      <w:r>
        <w:rPr>
          <w:rFonts w:hint="eastAsia"/>
          <w:b/>
          <w:color w:val="auto"/>
          <w:sz w:val="24"/>
          <w:highlight w:val="none"/>
          <w:lang w:eastAsia="zh-CN"/>
        </w:rPr>
        <w:t>整保险费或者解除保险合同。</w:t>
      </w:r>
    </w:p>
    <w:p w14:paraId="475CF0B7">
      <w:pPr>
        <w:pStyle w:val="5"/>
        <w:spacing w:before="3" w:line="364" w:lineRule="auto"/>
        <w:ind w:right="328" w:firstLine="530"/>
        <w:rPr>
          <w:rFonts w:hint="eastAsia"/>
          <w:color w:val="auto"/>
          <w:highlight w:val="none"/>
          <w:lang w:eastAsia="zh-CN"/>
        </w:rPr>
      </w:pPr>
      <w:r>
        <w:rPr>
          <w:rFonts w:hint="eastAsia"/>
          <w:color w:val="auto"/>
          <w:highlight w:val="none"/>
          <w:lang w:eastAsia="zh-CN"/>
        </w:rPr>
        <w:t>被保险人未履行前款约定的义务，因上述事项变更而保险单载明的建设工程风险程度显著增加导致保险事故发生的，保险人不承担赔偿责任。</w:t>
      </w:r>
    </w:p>
    <w:p w14:paraId="60D2404A">
      <w:pPr>
        <w:pStyle w:val="8"/>
        <w:spacing w:before="1" w:line="364" w:lineRule="auto"/>
        <w:ind w:right="232"/>
        <w:rPr>
          <w:rFonts w:hint="eastAsia"/>
          <w:color w:val="auto"/>
          <w:highlight w:val="none"/>
          <w:lang w:eastAsia="zh-CN"/>
        </w:rPr>
      </w:pPr>
      <w:r>
        <w:rPr>
          <w:rFonts w:hint="eastAsia"/>
          <w:b/>
          <w:color w:val="auto"/>
          <w:highlight w:val="none"/>
          <w:lang w:eastAsia="zh-CN"/>
        </w:rPr>
        <w:t xml:space="preserve">第二十二条 </w:t>
      </w:r>
      <w:r>
        <w:rPr>
          <w:rFonts w:hint="eastAsia"/>
          <w:color w:val="auto"/>
          <w:spacing w:val="-12"/>
          <w:highlight w:val="none"/>
          <w:lang w:eastAsia="zh-CN"/>
        </w:rPr>
        <w:t xml:space="preserve">在保险期间内，如建设单位发生变更的应及时书面通知保险人， </w:t>
      </w:r>
      <w:r>
        <w:rPr>
          <w:rFonts w:hint="eastAsia"/>
          <w:color w:val="auto"/>
          <w:highlight w:val="none"/>
          <w:lang w:eastAsia="zh-CN"/>
        </w:rPr>
        <w:t>保险人在保险凭证上进行批注。</w:t>
      </w:r>
    </w:p>
    <w:p w14:paraId="678458D9">
      <w:pPr>
        <w:pStyle w:val="8"/>
        <w:spacing w:before="1" w:line="364" w:lineRule="auto"/>
        <w:ind w:right="232"/>
        <w:rPr>
          <w:rFonts w:hint="eastAsia"/>
          <w:color w:val="auto"/>
          <w:highlight w:val="none"/>
          <w:lang w:eastAsia="zh-CN"/>
        </w:rPr>
      </w:pPr>
      <w:r>
        <w:rPr>
          <w:rFonts w:hint="eastAsia"/>
          <w:b/>
          <w:color w:val="auto"/>
          <w:highlight w:val="none"/>
          <w:lang w:eastAsia="zh-CN"/>
        </w:rPr>
        <w:t xml:space="preserve">第二十三条 </w:t>
      </w:r>
      <w:r>
        <w:rPr>
          <w:rFonts w:hint="eastAsia"/>
          <w:color w:val="auto"/>
          <w:spacing w:val="-12"/>
          <w:highlight w:val="none"/>
          <w:lang w:eastAsia="zh-CN"/>
        </w:rPr>
        <w:t xml:space="preserve">保险事故发生时，投保人、被保险人应当尽力采取必要的措施， </w:t>
      </w:r>
      <w:r>
        <w:rPr>
          <w:rFonts w:hint="eastAsia"/>
          <w:color w:val="auto"/>
          <w:spacing w:val="-8"/>
          <w:highlight w:val="none"/>
          <w:lang w:eastAsia="zh-CN"/>
        </w:rPr>
        <w:t>防止或者减少损失。投保人、被保险人知道保险事故发生后，应当及时通知保险人。</w:t>
      </w:r>
    </w:p>
    <w:p w14:paraId="2A6DFBB3">
      <w:pPr>
        <w:pStyle w:val="5"/>
        <w:spacing w:before="2" w:line="364" w:lineRule="auto"/>
        <w:ind w:right="199" w:firstLine="480"/>
        <w:rPr>
          <w:rFonts w:hint="eastAsia"/>
          <w:color w:val="auto"/>
          <w:highlight w:val="none"/>
          <w:lang w:eastAsia="zh-CN"/>
        </w:rPr>
      </w:pPr>
      <w:r>
        <w:rPr>
          <w:rFonts w:hint="eastAsia"/>
          <w:color w:val="auto"/>
          <w:highlight w:val="none"/>
          <w:lang w:eastAsia="zh-CN"/>
        </w:rPr>
        <w:t>第二十四条 因法律法规或合同约定应由勘察单位、设计单位、施工单位、设备材料供应商等责任方承担的法律责任，并不因建设单位投保本保险而免责。</w:t>
      </w:r>
    </w:p>
    <w:p w14:paraId="6E399FF5">
      <w:pPr>
        <w:pStyle w:val="8"/>
        <w:spacing w:before="1" w:line="364" w:lineRule="auto"/>
        <w:ind w:right="352"/>
        <w:rPr>
          <w:rFonts w:hint="eastAsia"/>
          <w:color w:val="auto"/>
          <w:highlight w:val="none"/>
          <w:lang w:eastAsia="zh-CN"/>
        </w:rPr>
      </w:pPr>
      <w:r>
        <w:rPr>
          <w:rFonts w:hint="eastAsia"/>
          <w:b/>
          <w:color w:val="auto"/>
          <w:highlight w:val="none"/>
          <w:lang w:eastAsia="zh-CN"/>
        </w:rPr>
        <w:t xml:space="preserve">第二十五条 </w:t>
      </w:r>
      <w:r>
        <w:rPr>
          <w:rFonts w:hint="eastAsia"/>
          <w:color w:val="auto"/>
          <w:highlight w:val="none"/>
          <w:lang w:eastAsia="zh-CN"/>
        </w:rPr>
        <w:t>发生保险责任范围内的损失，应由有关责任方负责赔偿的，被保险人应行使或者保留向该责任方请求赔偿的权利。</w:t>
      </w:r>
    </w:p>
    <w:p w14:paraId="4F969DEE">
      <w:pPr>
        <w:spacing w:before="1" w:line="364" w:lineRule="auto"/>
        <w:ind w:left="120" w:right="117" w:firstLine="480"/>
        <w:rPr>
          <w:rFonts w:hint="eastAsia"/>
          <w:b/>
          <w:color w:val="auto"/>
          <w:sz w:val="24"/>
          <w:highlight w:val="none"/>
          <w:lang w:eastAsia="zh-CN"/>
        </w:rPr>
      </w:pPr>
      <w:r>
        <w:rPr>
          <w:rFonts w:hint="eastAsia"/>
          <w:color w:val="auto"/>
          <w:spacing w:val="-6"/>
          <w:sz w:val="24"/>
          <w:highlight w:val="none"/>
          <w:lang w:eastAsia="zh-CN"/>
        </w:rPr>
        <w:t>发生保险责任范围内的损失，应由有关责任方负责赔偿的，保险人自向被保</w:t>
      </w:r>
      <w:r>
        <w:rPr>
          <w:rFonts w:hint="eastAsia"/>
          <w:color w:val="auto"/>
          <w:spacing w:val="-12"/>
          <w:sz w:val="24"/>
          <w:highlight w:val="none"/>
          <w:lang w:eastAsia="zh-CN"/>
        </w:rPr>
        <w:t>险人赔偿之日起，在赔偿金额范围内代位行使被保险人对其他责任方请求赔偿的</w:t>
      </w:r>
      <w:r>
        <w:rPr>
          <w:rFonts w:hint="eastAsia"/>
          <w:color w:val="auto"/>
          <w:spacing w:val="-11"/>
          <w:sz w:val="24"/>
          <w:highlight w:val="none"/>
          <w:lang w:eastAsia="zh-CN"/>
        </w:rPr>
        <w:t>权利。在保险人向有关责任方行使代位请求赔偿权利时，被保险人应当向保险人</w:t>
      </w:r>
      <w:r>
        <w:rPr>
          <w:rFonts w:hint="eastAsia"/>
          <w:color w:val="auto"/>
          <w:spacing w:val="-17"/>
          <w:sz w:val="24"/>
          <w:highlight w:val="none"/>
          <w:lang w:eastAsia="zh-CN"/>
        </w:rPr>
        <w:t>提供必要的文件和其所知道的有关情况。</w:t>
      </w:r>
      <w:r>
        <w:rPr>
          <w:rFonts w:hint="eastAsia"/>
          <w:b/>
          <w:color w:val="auto"/>
          <w:spacing w:val="-1"/>
          <w:sz w:val="24"/>
          <w:highlight w:val="none"/>
          <w:lang w:eastAsia="zh-CN"/>
        </w:rPr>
        <w:t>被保险人已经从其他责任方取得赔偿的，</w:t>
      </w:r>
      <w:r>
        <w:rPr>
          <w:rFonts w:hint="eastAsia"/>
          <w:b/>
          <w:color w:val="auto"/>
          <w:sz w:val="24"/>
          <w:highlight w:val="none"/>
          <w:lang w:eastAsia="zh-CN"/>
        </w:rPr>
        <w:t>保险人赔偿时，可以相应扣减被保险人已从其他责任方取得的赔偿金额。</w:t>
      </w:r>
    </w:p>
    <w:p w14:paraId="76573F15">
      <w:pPr>
        <w:pStyle w:val="5"/>
        <w:spacing w:before="3" w:line="364" w:lineRule="auto"/>
        <w:ind w:right="326" w:firstLine="480"/>
        <w:jc w:val="both"/>
        <w:rPr>
          <w:rFonts w:hint="eastAsia"/>
          <w:color w:val="auto"/>
          <w:highlight w:val="none"/>
          <w:lang w:eastAsia="zh-CN"/>
        </w:rPr>
      </w:pPr>
      <w:r>
        <w:rPr>
          <w:rFonts w:hint="eastAsia"/>
          <w:color w:val="auto"/>
          <w:spacing w:val="0"/>
          <w:w w:val="100"/>
          <w:highlight w:val="none"/>
          <w:lang w:eastAsia="zh-CN"/>
        </w:rPr>
        <w:t xml:space="preserve">保险事故发生后，在保险人未赔偿之前，被保险人放弃对其他责任方请求  赔偿权利的，保险人不承担赔偿责任；保险人向被保险人赔偿后，被保险人未  经保险人同意放弃对其他责任方请求赔偿权利的，该行为无效；由于被保险人  的过错致使保险人不能行使代位请求赔偿权的，保险人可以相应扣减保险赔偿  </w:t>
      </w:r>
      <w:r>
        <w:rPr>
          <w:rFonts w:hint="eastAsia"/>
          <w:color w:val="auto"/>
          <w:spacing w:val="0"/>
          <w:highlight w:val="none"/>
          <w:lang w:eastAsia="zh-CN"/>
        </w:rPr>
        <w:t>金。</w:t>
      </w:r>
    </w:p>
    <w:p w14:paraId="0EEC78E7">
      <w:pPr>
        <w:spacing w:before="3"/>
        <w:ind w:left="600"/>
        <w:jc w:val="both"/>
        <w:rPr>
          <w:rFonts w:hint="eastAsia"/>
          <w:color w:val="auto"/>
          <w:sz w:val="24"/>
          <w:highlight w:val="none"/>
          <w:lang w:eastAsia="zh-CN"/>
        </w:rPr>
      </w:pPr>
      <w:r>
        <w:rPr>
          <w:rFonts w:hint="eastAsia"/>
          <w:b/>
          <w:color w:val="auto"/>
          <w:sz w:val="24"/>
          <w:highlight w:val="none"/>
          <w:lang w:eastAsia="zh-CN"/>
        </w:rPr>
        <w:t xml:space="preserve">第二十六条 </w:t>
      </w:r>
      <w:r>
        <w:rPr>
          <w:rFonts w:hint="eastAsia"/>
          <w:color w:val="auto"/>
          <w:sz w:val="24"/>
          <w:highlight w:val="none"/>
          <w:lang w:eastAsia="zh-CN"/>
        </w:rPr>
        <w:t>被保险人向保险人请求赔偿时，应提交以下单证：</w:t>
      </w:r>
    </w:p>
    <w:p w14:paraId="3AC0F42D">
      <w:pPr>
        <w:pStyle w:val="8"/>
        <w:spacing w:before="161"/>
        <w:ind w:left="600" w:firstLine="0"/>
        <w:rPr>
          <w:rFonts w:hint="eastAsia"/>
          <w:color w:val="auto"/>
          <w:highlight w:val="none"/>
          <w:lang w:eastAsia="zh-CN"/>
        </w:rPr>
      </w:pPr>
      <w:r>
        <w:rPr>
          <w:rFonts w:hint="eastAsia"/>
          <w:color w:val="auto"/>
          <w:highlight w:val="none"/>
          <w:lang w:eastAsia="zh-CN"/>
        </w:rPr>
        <w:t>（一）保险单或《工程质量潜在缺陷保险告知书》；</w:t>
      </w:r>
    </w:p>
    <w:p w14:paraId="44D9AE80">
      <w:pPr>
        <w:pStyle w:val="8"/>
        <w:spacing w:before="160" w:line="360" w:lineRule="auto"/>
        <w:ind w:left="600" w:firstLine="0"/>
        <w:rPr>
          <w:rFonts w:hint="eastAsia"/>
          <w:color w:val="auto"/>
          <w:highlight w:val="none"/>
          <w:lang w:eastAsia="zh-CN"/>
        </w:rPr>
      </w:pPr>
      <w:r>
        <w:rPr>
          <w:rFonts w:hint="eastAsia"/>
          <w:color w:val="auto"/>
          <w:highlight w:val="none"/>
          <w:lang w:eastAsia="zh-CN"/>
        </w:rPr>
        <w:t>（二）所有权证明文件或其他可证明被保险人具有保险利益的材料；</w:t>
      </w:r>
    </w:p>
    <w:p w14:paraId="6CBCE449">
      <w:pPr>
        <w:pStyle w:val="8"/>
        <w:spacing w:before="42" w:line="360" w:lineRule="auto"/>
        <w:ind w:left="600" w:firstLine="0"/>
        <w:rPr>
          <w:rFonts w:hint="eastAsia"/>
          <w:color w:val="auto"/>
          <w:highlight w:val="none"/>
          <w:lang w:eastAsia="zh-CN"/>
        </w:rPr>
      </w:pPr>
      <w:r>
        <w:rPr>
          <w:rFonts w:hint="eastAsia"/>
          <w:color w:val="auto"/>
          <w:highlight w:val="none"/>
          <w:lang w:eastAsia="zh-CN"/>
        </w:rPr>
        <w:t>（三）索赔申请书；</w:t>
      </w:r>
    </w:p>
    <w:p w14:paraId="12AE8C18">
      <w:pPr>
        <w:pStyle w:val="8"/>
        <w:spacing w:before="160" w:line="360" w:lineRule="auto"/>
        <w:ind w:left="600" w:firstLine="0"/>
        <w:rPr>
          <w:rFonts w:hint="eastAsia"/>
          <w:color w:val="auto"/>
          <w:highlight w:val="none"/>
          <w:lang w:eastAsia="zh-CN"/>
        </w:rPr>
      </w:pPr>
      <w:r>
        <w:rPr>
          <w:rFonts w:hint="eastAsia"/>
          <w:color w:val="auto"/>
          <w:highlight w:val="none"/>
          <w:lang w:eastAsia="zh-CN"/>
        </w:rPr>
        <w:t>（四）损失清单以及相关费用发票；</w:t>
      </w:r>
    </w:p>
    <w:p w14:paraId="19966DD3">
      <w:pPr>
        <w:pStyle w:val="8"/>
        <w:spacing w:before="161" w:line="364" w:lineRule="auto"/>
        <w:ind w:right="355"/>
        <w:rPr>
          <w:rFonts w:hint="eastAsia"/>
          <w:color w:val="auto"/>
          <w:highlight w:val="none"/>
          <w:lang w:eastAsia="zh-CN"/>
        </w:rPr>
      </w:pPr>
      <w:r>
        <w:rPr>
          <w:rFonts w:hint="eastAsia"/>
          <w:color w:val="auto"/>
          <w:highlight w:val="none"/>
          <w:lang w:eastAsia="zh-CN"/>
        </w:rPr>
        <w:t>（五</w:t>
      </w:r>
      <w:r>
        <w:rPr>
          <w:rFonts w:hint="eastAsia"/>
          <w:color w:val="auto"/>
          <w:spacing w:val="-24"/>
          <w:highlight w:val="none"/>
          <w:lang w:eastAsia="zh-CN"/>
        </w:rPr>
        <w:t>）</w:t>
      </w:r>
      <w:r>
        <w:rPr>
          <w:rFonts w:hint="eastAsia"/>
          <w:color w:val="auto"/>
          <w:spacing w:val="-8"/>
          <w:highlight w:val="none"/>
          <w:lang w:eastAsia="zh-CN"/>
        </w:rPr>
        <w:t>投保人、被保险人所能提供的其他与确认保险事故的性质、原因、损</w:t>
      </w:r>
      <w:r>
        <w:rPr>
          <w:rFonts w:hint="eastAsia"/>
          <w:color w:val="auto"/>
          <w:highlight w:val="none"/>
          <w:lang w:eastAsia="zh-CN"/>
        </w:rPr>
        <w:t>失程度等有关的证明和资料。</w:t>
      </w:r>
    </w:p>
    <w:p w14:paraId="10141E88">
      <w:pPr>
        <w:pStyle w:val="8"/>
        <w:spacing w:before="1" w:line="364" w:lineRule="auto"/>
        <w:ind w:right="357"/>
        <w:rPr>
          <w:rFonts w:hint="eastAsia"/>
          <w:color w:val="auto"/>
          <w:highlight w:val="none"/>
          <w:lang w:eastAsia="zh-CN"/>
        </w:rPr>
      </w:pPr>
      <w:r>
        <w:rPr>
          <w:rFonts w:hint="eastAsia"/>
          <w:color w:val="auto"/>
          <w:spacing w:val="-9"/>
          <w:highlight w:val="none"/>
          <w:lang w:eastAsia="zh-CN"/>
        </w:rPr>
        <w:t>由保险人推荐维修的，经被保险人申请，维修发票可由维修单位直接提供给</w:t>
      </w:r>
      <w:r>
        <w:rPr>
          <w:rFonts w:hint="eastAsia"/>
          <w:color w:val="auto"/>
          <w:highlight w:val="none"/>
          <w:lang w:eastAsia="zh-CN"/>
        </w:rPr>
        <w:t>保险公司。</w:t>
      </w:r>
    </w:p>
    <w:p w14:paraId="6C0FAB75">
      <w:pPr>
        <w:pStyle w:val="5"/>
        <w:spacing w:before="1"/>
        <w:ind w:left="83" w:right="320"/>
        <w:jc w:val="center"/>
        <w:rPr>
          <w:rFonts w:hint="eastAsia"/>
          <w:color w:val="auto"/>
          <w:highlight w:val="none"/>
          <w:lang w:eastAsia="zh-CN"/>
        </w:rPr>
      </w:pPr>
      <w:r>
        <w:rPr>
          <w:rFonts w:hint="eastAsia"/>
          <w:color w:val="auto"/>
          <w:highlight w:val="none"/>
          <w:lang w:eastAsia="zh-CN"/>
        </w:rPr>
        <w:t>赔偿处理</w:t>
      </w:r>
    </w:p>
    <w:p w14:paraId="1640498E">
      <w:pPr>
        <w:pStyle w:val="8"/>
        <w:spacing w:before="161" w:line="364" w:lineRule="auto"/>
        <w:ind w:right="352"/>
        <w:jc w:val="both"/>
        <w:rPr>
          <w:rFonts w:hint="eastAsia"/>
          <w:b/>
          <w:color w:val="auto"/>
          <w:highlight w:val="none"/>
          <w:lang w:eastAsia="zh-CN"/>
        </w:rPr>
      </w:pPr>
      <w:r>
        <w:rPr>
          <w:rFonts w:hint="eastAsia"/>
          <w:b/>
          <w:color w:val="auto"/>
          <w:spacing w:val="2"/>
          <w:highlight w:val="none"/>
          <w:lang w:eastAsia="zh-CN"/>
        </w:rPr>
        <w:t xml:space="preserve">第二十七条 </w:t>
      </w:r>
      <w:r>
        <w:rPr>
          <w:rFonts w:hint="eastAsia"/>
          <w:color w:val="auto"/>
          <w:spacing w:val="-1"/>
          <w:highlight w:val="none"/>
          <w:lang w:eastAsia="zh-CN"/>
        </w:rPr>
        <w:t>保险事故发生后，被保险人对保险单载明的建设工程进行修理</w:t>
      </w:r>
      <w:r>
        <w:rPr>
          <w:rFonts w:hint="eastAsia"/>
          <w:color w:val="auto"/>
          <w:spacing w:val="-10"/>
          <w:highlight w:val="none"/>
          <w:lang w:eastAsia="zh-CN"/>
        </w:rPr>
        <w:t>或加固的，必须事先得到保险人的书面认可，并在维修或加固前会同保险人进行</w:t>
      </w:r>
      <w:r>
        <w:rPr>
          <w:rFonts w:hint="eastAsia"/>
          <w:color w:val="auto"/>
          <w:highlight w:val="none"/>
          <w:lang w:eastAsia="zh-CN"/>
        </w:rPr>
        <w:t>检验，确定修理或加固项目、方式和费用，</w:t>
      </w:r>
      <w:r>
        <w:rPr>
          <w:rFonts w:hint="eastAsia"/>
          <w:b/>
          <w:color w:val="auto"/>
          <w:highlight w:val="none"/>
          <w:lang w:eastAsia="zh-CN"/>
        </w:rPr>
        <w:t>否则，保险人不承担赔偿责任。</w:t>
      </w:r>
    </w:p>
    <w:p w14:paraId="3CB5A780">
      <w:pPr>
        <w:pStyle w:val="8"/>
        <w:spacing w:before="2" w:line="364" w:lineRule="auto"/>
        <w:ind w:right="352"/>
        <w:jc w:val="both"/>
        <w:rPr>
          <w:rFonts w:hint="eastAsia"/>
          <w:color w:val="auto"/>
          <w:highlight w:val="none"/>
          <w:lang w:eastAsia="zh-CN"/>
        </w:rPr>
      </w:pPr>
      <w:r>
        <w:rPr>
          <w:rFonts w:hint="eastAsia"/>
          <w:b/>
          <w:color w:val="auto"/>
          <w:spacing w:val="2"/>
          <w:highlight w:val="none"/>
          <w:lang w:eastAsia="zh-CN"/>
        </w:rPr>
        <w:t xml:space="preserve">第二十八条 </w:t>
      </w:r>
      <w:r>
        <w:rPr>
          <w:rFonts w:hint="eastAsia"/>
          <w:color w:val="auto"/>
          <w:spacing w:val="-1"/>
          <w:highlight w:val="none"/>
          <w:lang w:eastAsia="zh-CN"/>
        </w:rPr>
        <w:t xml:space="preserve">被保险人和保险人对保险责任范围、维修结果等存在争议的， </w:t>
      </w:r>
      <w:r>
        <w:rPr>
          <w:rFonts w:hint="eastAsia"/>
          <w:color w:val="auto"/>
          <w:spacing w:val="-6"/>
          <w:highlight w:val="none"/>
          <w:lang w:eastAsia="zh-CN"/>
        </w:rPr>
        <w:t>可以共同委托有资质的工程质量检测、房屋安全鉴定机构进行检测鉴定，相关报</w:t>
      </w:r>
      <w:r>
        <w:rPr>
          <w:rFonts w:hint="eastAsia"/>
          <w:color w:val="auto"/>
          <w:spacing w:val="-9"/>
          <w:highlight w:val="none"/>
          <w:lang w:eastAsia="zh-CN"/>
        </w:rPr>
        <w:t>告作为赔付依据。对赔付结果依然无法达成一致的，按照保险合同约定的方式解</w:t>
      </w:r>
      <w:r>
        <w:rPr>
          <w:rFonts w:hint="eastAsia"/>
          <w:color w:val="auto"/>
          <w:highlight w:val="none"/>
          <w:lang w:eastAsia="zh-CN"/>
        </w:rPr>
        <w:t>决。</w:t>
      </w:r>
    </w:p>
    <w:p w14:paraId="6985D8B2">
      <w:pPr>
        <w:spacing w:before="2" w:line="364" w:lineRule="auto"/>
        <w:ind w:left="120" w:right="352" w:firstLine="480"/>
        <w:rPr>
          <w:rFonts w:hint="eastAsia"/>
          <w:b/>
          <w:color w:val="auto"/>
          <w:sz w:val="24"/>
          <w:highlight w:val="none"/>
          <w:lang w:eastAsia="zh-CN"/>
        </w:rPr>
      </w:pPr>
      <w:r>
        <w:rPr>
          <w:rFonts w:hint="eastAsia"/>
          <w:color w:val="auto"/>
          <w:spacing w:val="-6"/>
          <w:sz w:val="24"/>
          <w:highlight w:val="none"/>
          <w:lang w:eastAsia="zh-CN"/>
        </w:rPr>
        <w:t>经检测鉴定属于保险责任范围的，检测鉴定费用由保险人承担；</w:t>
      </w:r>
      <w:r>
        <w:rPr>
          <w:rFonts w:hint="eastAsia"/>
          <w:b/>
          <w:color w:val="auto"/>
          <w:spacing w:val="-3"/>
          <w:sz w:val="24"/>
          <w:highlight w:val="none"/>
          <w:lang w:eastAsia="zh-CN"/>
        </w:rPr>
        <w:t>经检测鉴定</w:t>
      </w:r>
      <w:r>
        <w:rPr>
          <w:rFonts w:hint="eastAsia"/>
          <w:b/>
          <w:color w:val="auto"/>
          <w:sz w:val="24"/>
          <w:highlight w:val="none"/>
          <w:lang w:eastAsia="zh-CN"/>
        </w:rPr>
        <w:t>不属于保险责任范围的，检测鉴定费用由申请方承担。</w:t>
      </w:r>
    </w:p>
    <w:p w14:paraId="17E5A0A5">
      <w:pPr>
        <w:spacing w:before="1" w:line="364" w:lineRule="auto"/>
        <w:ind w:left="120" w:right="338" w:firstLine="480"/>
        <w:jc w:val="both"/>
        <w:rPr>
          <w:rFonts w:hint="eastAsia"/>
          <w:b/>
          <w:color w:val="auto"/>
          <w:sz w:val="24"/>
          <w:highlight w:val="none"/>
          <w:lang w:eastAsia="zh-CN"/>
        </w:rPr>
      </w:pPr>
      <w:r>
        <w:rPr>
          <w:rFonts w:hint="eastAsia"/>
          <w:b/>
          <w:color w:val="auto"/>
          <w:spacing w:val="2"/>
          <w:sz w:val="24"/>
          <w:highlight w:val="none"/>
          <w:lang w:eastAsia="zh-CN"/>
        </w:rPr>
        <w:t xml:space="preserve">第二十九条 </w:t>
      </w:r>
      <w:r>
        <w:rPr>
          <w:rFonts w:hint="eastAsia"/>
          <w:color w:val="auto"/>
          <w:sz w:val="24"/>
          <w:highlight w:val="none"/>
          <w:lang w:eastAsia="zh-CN"/>
        </w:rPr>
        <w:t>保险事故发生时，如果被保险人的损失在有相同保障的其他保</w:t>
      </w:r>
      <w:r>
        <w:rPr>
          <w:rFonts w:hint="eastAsia"/>
          <w:color w:val="auto"/>
          <w:spacing w:val="-12"/>
          <w:sz w:val="24"/>
          <w:highlight w:val="none"/>
          <w:lang w:eastAsia="zh-CN"/>
        </w:rPr>
        <w:t>险项下也能够获得赔偿，</w:t>
      </w:r>
      <w:r>
        <w:rPr>
          <w:rFonts w:hint="eastAsia"/>
          <w:b/>
          <w:color w:val="auto"/>
          <w:sz w:val="24"/>
          <w:highlight w:val="none"/>
          <w:lang w:eastAsia="zh-CN"/>
        </w:rPr>
        <w:t>保险人按照本保险合同的相应责任限额与其他保险合同及本保险合同相应责任限额总和的比例承担赔偿责任。</w:t>
      </w:r>
    </w:p>
    <w:p w14:paraId="14476756">
      <w:pPr>
        <w:pStyle w:val="5"/>
        <w:spacing w:before="2" w:line="364" w:lineRule="auto"/>
        <w:ind w:right="266" w:firstLine="434"/>
        <w:rPr>
          <w:rFonts w:hint="eastAsia"/>
          <w:color w:val="auto"/>
          <w:highlight w:val="none"/>
          <w:lang w:eastAsia="zh-CN"/>
        </w:rPr>
      </w:pPr>
      <w:r>
        <w:rPr>
          <w:rFonts w:hint="eastAsia"/>
          <w:color w:val="auto"/>
          <w:highlight w:val="none"/>
          <w:lang w:eastAsia="zh-CN"/>
        </w:rPr>
        <w:t>其他保险人应承担的赔偿金额，本保险人不负责垫付。被保险人未如实告知导致保险人多支付赔偿金的，保险人有权向被保险人追回多支付的部分。</w:t>
      </w:r>
    </w:p>
    <w:p w14:paraId="237B97DE">
      <w:pPr>
        <w:spacing w:before="1" w:line="364" w:lineRule="auto"/>
        <w:ind w:left="120" w:right="333" w:firstLine="480"/>
        <w:jc w:val="both"/>
        <w:rPr>
          <w:rFonts w:hint="eastAsia"/>
          <w:color w:val="auto"/>
          <w:sz w:val="24"/>
          <w:highlight w:val="none"/>
          <w:lang w:eastAsia="zh-CN"/>
        </w:rPr>
      </w:pPr>
      <w:r>
        <w:rPr>
          <w:rFonts w:hint="eastAsia"/>
          <w:b/>
          <w:color w:val="auto"/>
          <w:spacing w:val="0"/>
          <w:sz w:val="24"/>
          <w:highlight w:val="none"/>
          <w:lang w:eastAsia="zh-CN"/>
        </w:rPr>
        <w:t xml:space="preserve">第三十条 </w:t>
      </w:r>
      <w:r>
        <w:rPr>
          <w:rFonts w:hint="eastAsia"/>
          <w:color w:val="auto"/>
          <w:sz w:val="24"/>
          <w:highlight w:val="none"/>
          <w:lang w:eastAsia="zh-CN"/>
        </w:rPr>
        <w:t>发生保险责任范围内的损失，保险人根据实际发生的修理、加固</w:t>
      </w:r>
      <w:r>
        <w:rPr>
          <w:rFonts w:hint="eastAsia"/>
          <w:color w:val="auto"/>
          <w:spacing w:val="0"/>
          <w:w w:val="100"/>
          <w:sz w:val="24"/>
          <w:highlight w:val="none"/>
          <w:lang w:eastAsia="zh-CN"/>
        </w:rPr>
        <w:t>或重置费用，</w:t>
      </w:r>
      <w:r>
        <w:rPr>
          <w:rFonts w:hint="eastAsia"/>
          <w:b/>
          <w:color w:val="auto"/>
          <w:spacing w:val="0"/>
          <w:w w:val="100"/>
          <w:sz w:val="24"/>
          <w:highlight w:val="none"/>
          <w:lang w:eastAsia="zh-CN"/>
        </w:rPr>
        <w:t xml:space="preserve">扣除每次保险事故免赔额或按照每次事故免赔率计算的每次事故  </w:t>
      </w:r>
      <w:r>
        <w:rPr>
          <w:rFonts w:hint="eastAsia"/>
          <w:b/>
          <w:color w:val="auto"/>
          <w:spacing w:val="0"/>
          <w:sz w:val="24"/>
          <w:highlight w:val="none"/>
          <w:lang w:eastAsia="zh-CN"/>
        </w:rPr>
        <w:t>免赔额后，</w:t>
      </w:r>
      <w:r>
        <w:rPr>
          <w:rFonts w:hint="eastAsia"/>
          <w:color w:val="auto"/>
          <w:spacing w:val="0"/>
          <w:sz w:val="24"/>
          <w:highlight w:val="none"/>
          <w:lang w:eastAsia="zh-CN"/>
        </w:rPr>
        <w:t>在责任限额内进行赔偿。</w:t>
      </w:r>
    </w:p>
    <w:p w14:paraId="45B973A3">
      <w:pPr>
        <w:pStyle w:val="5"/>
        <w:spacing w:before="2" w:line="364" w:lineRule="auto"/>
        <w:ind w:right="330" w:firstLine="480"/>
        <w:rPr>
          <w:rFonts w:hint="eastAsia"/>
          <w:color w:val="auto"/>
          <w:highlight w:val="none"/>
          <w:lang w:eastAsia="zh-CN"/>
        </w:rPr>
      </w:pPr>
      <w:r>
        <w:rPr>
          <w:rFonts w:hint="eastAsia"/>
          <w:color w:val="auto"/>
          <w:spacing w:val="0"/>
          <w:w w:val="100"/>
          <w:highlight w:val="none"/>
          <w:lang w:eastAsia="zh-CN"/>
        </w:rPr>
        <w:t xml:space="preserve">在保险责任期间内，不论一次保险事故还是多次保险事故，当保险人的赔  </w:t>
      </w:r>
      <w:r>
        <w:rPr>
          <w:rFonts w:hint="eastAsia"/>
          <w:color w:val="auto"/>
          <w:spacing w:val="0"/>
          <w:highlight w:val="none"/>
          <w:lang w:eastAsia="zh-CN"/>
        </w:rPr>
        <w:t>偿金额达到责任限额时，保险合同终止。</w:t>
      </w:r>
    </w:p>
    <w:p w14:paraId="4E9C46C3">
      <w:pPr>
        <w:pStyle w:val="5"/>
        <w:spacing w:before="1"/>
        <w:ind w:left="3192"/>
        <w:rPr>
          <w:rFonts w:hint="eastAsia"/>
          <w:color w:val="auto"/>
          <w:highlight w:val="none"/>
          <w:lang w:eastAsia="zh-CN"/>
        </w:rPr>
      </w:pPr>
      <w:r>
        <w:rPr>
          <w:rFonts w:hint="eastAsia"/>
          <w:color w:val="auto"/>
          <w:highlight w:val="none"/>
          <w:lang w:eastAsia="zh-CN"/>
        </w:rPr>
        <w:t>争议处理和法律适用</w:t>
      </w:r>
    </w:p>
    <w:p w14:paraId="21B57E46">
      <w:pPr>
        <w:pStyle w:val="8"/>
        <w:spacing w:before="161" w:line="364" w:lineRule="auto"/>
        <w:ind w:right="352"/>
        <w:rPr>
          <w:rFonts w:hint="eastAsia"/>
          <w:color w:val="auto"/>
          <w:highlight w:val="none"/>
          <w:lang w:eastAsia="zh-CN"/>
        </w:rPr>
      </w:pPr>
      <w:r>
        <w:rPr>
          <w:rFonts w:hint="eastAsia"/>
          <w:b/>
          <w:color w:val="auto"/>
          <w:highlight w:val="none"/>
          <w:lang w:eastAsia="zh-CN"/>
        </w:rPr>
        <w:t xml:space="preserve">第三十一条 </w:t>
      </w:r>
      <w:r>
        <w:rPr>
          <w:rFonts w:hint="eastAsia"/>
          <w:color w:val="auto"/>
          <w:highlight w:val="none"/>
          <w:lang w:eastAsia="zh-CN"/>
        </w:rPr>
        <w:t>保险合同争议解决方式由当事人在保险合同中约定的下列两种方式中选择一种：</w:t>
      </w:r>
    </w:p>
    <w:p w14:paraId="57EF5E8D">
      <w:pPr>
        <w:pStyle w:val="8"/>
        <w:spacing w:before="42" w:line="364" w:lineRule="auto"/>
        <w:ind w:right="357"/>
        <w:rPr>
          <w:rFonts w:hint="eastAsia"/>
          <w:color w:val="auto"/>
          <w:highlight w:val="none"/>
          <w:lang w:eastAsia="zh-CN"/>
        </w:rPr>
      </w:pPr>
      <w:r>
        <w:rPr>
          <w:rFonts w:hint="eastAsia"/>
          <w:color w:val="auto"/>
          <w:highlight w:val="none"/>
          <w:lang w:eastAsia="zh-CN"/>
        </w:rPr>
        <w:t>（一</w:t>
      </w:r>
      <w:r>
        <w:rPr>
          <w:rFonts w:hint="eastAsia"/>
          <w:color w:val="auto"/>
          <w:spacing w:val="-24"/>
          <w:highlight w:val="none"/>
          <w:lang w:eastAsia="zh-CN"/>
        </w:rPr>
        <w:t>）</w:t>
      </w:r>
      <w:r>
        <w:rPr>
          <w:rFonts w:hint="eastAsia"/>
          <w:color w:val="auto"/>
          <w:spacing w:val="-5"/>
          <w:highlight w:val="none"/>
          <w:lang w:eastAsia="zh-CN"/>
        </w:rPr>
        <w:t>因履行保险合同发生的争议，由当事人协商解决，协商不成的，提交</w:t>
      </w:r>
      <w:r>
        <w:rPr>
          <w:rFonts w:hint="eastAsia"/>
          <w:color w:val="auto"/>
          <w:highlight w:val="none"/>
          <w:lang w:eastAsia="zh-CN"/>
        </w:rPr>
        <w:t>保险合同载明的仲裁委员会仲裁；</w:t>
      </w:r>
    </w:p>
    <w:p w14:paraId="195FC5C2">
      <w:pPr>
        <w:pStyle w:val="8"/>
        <w:spacing w:before="1" w:line="364" w:lineRule="auto"/>
        <w:ind w:right="357"/>
        <w:rPr>
          <w:rFonts w:hint="eastAsia"/>
          <w:color w:val="auto"/>
          <w:highlight w:val="none"/>
          <w:lang w:eastAsia="zh-CN"/>
        </w:rPr>
      </w:pPr>
      <w:r>
        <w:rPr>
          <w:rFonts w:hint="eastAsia"/>
          <w:color w:val="auto"/>
          <w:highlight w:val="none"/>
          <w:lang w:eastAsia="zh-CN"/>
        </w:rPr>
        <w:t>（二</w:t>
      </w:r>
      <w:r>
        <w:rPr>
          <w:rFonts w:hint="eastAsia"/>
          <w:color w:val="auto"/>
          <w:spacing w:val="-24"/>
          <w:highlight w:val="none"/>
          <w:lang w:eastAsia="zh-CN"/>
        </w:rPr>
        <w:t>）</w:t>
      </w:r>
      <w:r>
        <w:rPr>
          <w:rFonts w:hint="eastAsia"/>
          <w:color w:val="auto"/>
          <w:spacing w:val="-5"/>
          <w:highlight w:val="none"/>
          <w:lang w:eastAsia="zh-CN"/>
        </w:rPr>
        <w:t>因履行保险合同发生的争议，由当事人协商解决，协商不成的，依法</w:t>
      </w:r>
      <w:r>
        <w:rPr>
          <w:rFonts w:hint="eastAsia"/>
          <w:color w:val="auto"/>
          <w:highlight w:val="none"/>
          <w:lang w:eastAsia="zh-CN"/>
        </w:rPr>
        <w:t>向中华人民共和国境内（不包括港澳台地区）人民法院起诉。</w:t>
      </w:r>
    </w:p>
    <w:p w14:paraId="39CD7A03">
      <w:pPr>
        <w:pStyle w:val="8"/>
        <w:spacing w:before="1" w:line="364" w:lineRule="auto"/>
        <w:ind w:right="232"/>
        <w:rPr>
          <w:rFonts w:hint="eastAsia"/>
          <w:color w:val="auto"/>
          <w:highlight w:val="none"/>
          <w:lang w:eastAsia="zh-CN"/>
        </w:rPr>
      </w:pPr>
      <w:r>
        <w:rPr>
          <w:rFonts w:hint="eastAsia"/>
          <w:b/>
          <w:color w:val="auto"/>
          <w:highlight w:val="none"/>
          <w:lang w:eastAsia="zh-CN"/>
        </w:rPr>
        <w:t xml:space="preserve">第三十二条 </w:t>
      </w:r>
      <w:r>
        <w:rPr>
          <w:rFonts w:hint="eastAsia"/>
          <w:color w:val="auto"/>
          <w:spacing w:val="-3"/>
          <w:highlight w:val="none"/>
          <w:lang w:eastAsia="zh-CN"/>
        </w:rPr>
        <w:t>保险合同的争议处理适用中华人民共和国法律</w:t>
      </w:r>
      <w:r>
        <w:rPr>
          <w:rFonts w:hint="eastAsia"/>
          <w:color w:val="auto"/>
          <w:highlight w:val="none"/>
          <w:lang w:eastAsia="zh-CN"/>
        </w:rPr>
        <w:t>（</w:t>
      </w:r>
      <w:r>
        <w:rPr>
          <w:rFonts w:hint="eastAsia"/>
          <w:color w:val="auto"/>
          <w:spacing w:val="-11"/>
          <w:highlight w:val="none"/>
          <w:lang w:eastAsia="zh-CN"/>
        </w:rPr>
        <w:t>不包括港、澳、</w:t>
      </w:r>
      <w:r>
        <w:rPr>
          <w:rFonts w:hint="eastAsia"/>
          <w:color w:val="auto"/>
          <w:highlight w:val="none"/>
          <w:lang w:eastAsia="zh-CN"/>
        </w:rPr>
        <w:t>台地区法律）。</w:t>
      </w:r>
    </w:p>
    <w:p w14:paraId="07EFE12A">
      <w:pPr>
        <w:pStyle w:val="5"/>
        <w:spacing w:before="1"/>
        <w:ind w:left="83" w:right="320"/>
        <w:jc w:val="center"/>
        <w:rPr>
          <w:rFonts w:hint="eastAsia"/>
          <w:color w:val="auto"/>
          <w:highlight w:val="none"/>
          <w:lang w:eastAsia="zh-CN"/>
        </w:rPr>
      </w:pPr>
      <w:r>
        <w:rPr>
          <w:rFonts w:hint="eastAsia"/>
          <w:color w:val="auto"/>
          <w:highlight w:val="none"/>
          <w:lang w:eastAsia="zh-CN"/>
        </w:rPr>
        <w:t>其他事项</w:t>
      </w:r>
    </w:p>
    <w:p w14:paraId="3130D223">
      <w:pPr>
        <w:pStyle w:val="5"/>
        <w:spacing w:before="161" w:line="364" w:lineRule="auto"/>
        <w:ind w:right="328" w:firstLine="480"/>
        <w:jc w:val="both"/>
        <w:rPr>
          <w:rFonts w:hint="eastAsia"/>
          <w:color w:val="auto"/>
          <w:highlight w:val="none"/>
          <w:lang w:eastAsia="zh-CN"/>
        </w:rPr>
      </w:pPr>
      <w:r>
        <w:rPr>
          <w:rFonts w:hint="eastAsia"/>
          <w:color w:val="auto"/>
          <w:highlight w:val="none"/>
          <w:lang w:eastAsia="zh-CN"/>
        </w:rPr>
        <w:t>第三十三条 本保险合同成立后，保险单载明的建设工程未经保险人委托的工程质量风险管理机构检查通过的，保险人可以解除保险合同。</w:t>
      </w:r>
    </w:p>
    <w:p w14:paraId="1B80EA8B">
      <w:pPr>
        <w:pStyle w:val="5"/>
        <w:spacing w:before="1" w:line="364" w:lineRule="auto"/>
        <w:ind w:right="328" w:firstLine="480"/>
        <w:jc w:val="both"/>
        <w:rPr>
          <w:rFonts w:hint="eastAsia"/>
          <w:color w:val="auto"/>
          <w:highlight w:val="none"/>
          <w:lang w:eastAsia="zh-CN"/>
        </w:rPr>
      </w:pPr>
      <w:r>
        <w:rPr>
          <w:rFonts w:hint="eastAsia"/>
          <w:color w:val="auto"/>
          <w:highlight w:val="none"/>
          <w:lang w:eastAsia="zh-CN"/>
        </w:rPr>
        <w:t>第三十四条 本保险合同成立后，投保人提出解除保险合同的，需经全体被保险人书面同意。</w:t>
      </w:r>
    </w:p>
    <w:p w14:paraId="768F41F6">
      <w:pPr>
        <w:pStyle w:val="8"/>
        <w:spacing w:before="1" w:line="364" w:lineRule="auto"/>
        <w:ind w:right="352"/>
        <w:jc w:val="both"/>
        <w:rPr>
          <w:rFonts w:hint="eastAsia"/>
          <w:color w:val="auto"/>
          <w:highlight w:val="none"/>
          <w:lang w:eastAsia="zh-CN"/>
        </w:rPr>
      </w:pPr>
      <w:r>
        <w:rPr>
          <w:rFonts w:hint="eastAsia"/>
          <w:b/>
          <w:color w:val="auto"/>
          <w:highlight w:val="none"/>
          <w:lang w:eastAsia="zh-CN"/>
        </w:rPr>
        <w:t xml:space="preserve">第三十五条 </w:t>
      </w:r>
      <w:r>
        <w:rPr>
          <w:rFonts w:hint="eastAsia"/>
          <w:color w:val="auto"/>
          <w:highlight w:val="none"/>
          <w:lang w:eastAsia="zh-CN"/>
        </w:rPr>
        <w:t>保险责任期间开始前解除保险合同的，保险人在扣除已发生的风险管理费用和相当于全部保险费 5%的退保手续费后，应当退还剩余部分保险费。</w:t>
      </w:r>
    </w:p>
    <w:p w14:paraId="0CA11861">
      <w:pPr>
        <w:pStyle w:val="8"/>
        <w:spacing w:before="2" w:line="364" w:lineRule="auto"/>
        <w:ind w:right="357"/>
        <w:jc w:val="both"/>
        <w:rPr>
          <w:rFonts w:hint="eastAsia"/>
          <w:color w:val="auto"/>
          <w:highlight w:val="none"/>
          <w:lang w:eastAsia="zh-CN"/>
        </w:rPr>
      </w:pPr>
      <w:r>
        <w:rPr>
          <w:rFonts w:hint="eastAsia"/>
          <w:color w:val="auto"/>
          <w:spacing w:val="0"/>
          <w:highlight w:val="none"/>
          <w:lang w:eastAsia="zh-CN"/>
        </w:rPr>
        <w:t xml:space="preserve">保险责任期间开始后解除保险合同的，保险人在扣除已发生的风险管理费用和相当于全部保险费 </w:t>
      </w:r>
      <w:r>
        <w:rPr>
          <w:rFonts w:hint="eastAsia"/>
          <w:color w:val="auto"/>
          <w:highlight w:val="none"/>
          <w:lang w:eastAsia="zh-CN"/>
        </w:rPr>
        <w:t>5%的退保手续费后，应当退还未满期保险费。</w:t>
      </w:r>
    </w:p>
    <w:p w14:paraId="1733067B">
      <w:pPr>
        <w:spacing w:before="1" w:line="364" w:lineRule="auto"/>
        <w:ind w:left="120" w:right="326" w:firstLine="480"/>
        <w:jc w:val="both"/>
        <w:rPr>
          <w:rFonts w:hint="eastAsia"/>
          <w:b/>
          <w:color w:val="auto"/>
          <w:sz w:val="24"/>
          <w:highlight w:val="none"/>
          <w:lang w:eastAsia="zh-CN"/>
        </w:rPr>
      </w:pPr>
      <w:r>
        <w:rPr>
          <w:rFonts w:hint="eastAsia"/>
          <w:color w:val="auto"/>
          <w:spacing w:val="0"/>
          <w:sz w:val="24"/>
          <w:highlight w:val="none"/>
          <w:lang w:eastAsia="zh-CN"/>
        </w:rPr>
        <w:t>如果解除时，保险合同项下仍有尚未赔偿结案的保险事故，</w:t>
      </w:r>
      <w:r>
        <w:rPr>
          <w:rFonts w:hint="eastAsia"/>
          <w:b/>
          <w:color w:val="auto"/>
          <w:sz w:val="24"/>
          <w:highlight w:val="none"/>
          <w:lang w:eastAsia="zh-CN"/>
        </w:rPr>
        <w:t>保险人可在赔偿</w:t>
      </w:r>
      <w:r>
        <w:rPr>
          <w:rFonts w:hint="eastAsia"/>
          <w:b/>
          <w:color w:val="auto"/>
          <w:spacing w:val="0"/>
          <w:w w:val="100"/>
          <w:sz w:val="24"/>
          <w:highlight w:val="none"/>
          <w:lang w:eastAsia="zh-CN"/>
        </w:rPr>
        <w:t>结案后根据实际赔付情况按照有关保险法规定计算和支付应向投保人退还的未</w:t>
      </w:r>
      <w:r>
        <w:rPr>
          <w:rFonts w:hint="eastAsia"/>
          <w:b/>
          <w:color w:val="auto"/>
          <w:spacing w:val="0"/>
          <w:sz w:val="24"/>
          <w:highlight w:val="none"/>
          <w:lang w:eastAsia="zh-CN"/>
        </w:rPr>
        <w:t>满期保险费。</w:t>
      </w:r>
    </w:p>
    <w:p w14:paraId="77B033F9">
      <w:pPr>
        <w:pStyle w:val="5"/>
        <w:spacing w:before="2" w:line="364" w:lineRule="auto"/>
        <w:ind w:right="326" w:firstLine="480"/>
        <w:jc w:val="both"/>
        <w:rPr>
          <w:rFonts w:hint="eastAsia"/>
          <w:color w:val="auto"/>
          <w:highlight w:val="none"/>
          <w:lang w:eastAsia="zh-CN"/>
        </w:rPr>
      </w:pPr>
      <w:r>
        <w:rPr>
          <w:rFonts w:hint="eastAsia"/>
          <w:color w:val="auto"/>
          <w:spacing w:val="0"/>
          <w:w w:val="100"/>
          <w:highlight w:val="none"/>
          <w:lang w:eastAsia="zh-CN"/>
        </w:rPr>
        <w:t xml:space="preserve">未满期保险费＝（保险费-已发生风险管理费用-退保手续费）×（剩余保  </w:t>
      </w:r>
      <w:r>
        <w:rPr>
          <w:rFonts w:hint="eastAsia"/>
          <w:color w:val="auto"/>
          <w:spacing w:val="0"/>
          <w:highlight w:val="none"/>
          <w:lang w:eastAsia="zh-CN"/>
        </w:rPr>
        <w:t>险责任期间天数/保险责任期间天数）×（责任限额－已决赔偿金额－未决赔偿金额）/责任限额</w:t>
      </w:r>
    </w:p>
    <w:p w14:paraId="44422760">
      <w:pPr>
        <w:pStyle w:val="8"/>
        <w:spacing w:before="158" w:line="364" w:lineRule="auto"/>
        <w:ind w:right="265"/>
        <w:rPr>
          <w:rFonts w:hint="eastAsia"/>
          <w:color w:val="auto"/>
          <w:highlight w:val="none"/>
          <w:lang w:eastAsia="zh-CN"/>
        </w:rPr>
      </w:pPr>
      <w:r>
        <w:rPr>
          <w:rFonts w:hint="eastAsia"/>
          <w:b/>
          <w:color w:val="auto"/>
          <w:highlight w:val="none"/>
          <w:lang w:eastAsia="zh-CN"/>
        </w:rPr>
        <w:t xml:space="preserve">第三十六条 </w:t>
      </w:r>
      <w:r>
        <w:rPr>
          <w:rFonts w:hint="eastAsia"/>
          <w:color w:val="auto"/>
          <w:highlight w:val="none"/>
          <w:lang w:eastAsia="zh-CN"/>
        </w:rPr>
        <w:t>保险合同约定与《中华人民共和国保险法》等法律规定相悖之处，以法律规定为准。保险合同未尽事宜，以法律规定为准。</w:t>
      </w:r>
    </w:p>
    <w:p w14:paraId="0493C53B">
      <w:pPr>
        <w:pStyle w:val="8"/>
        <w:spacing w:before="6"/>
        <w:ind w:left="0" w:firstLine="0"/>
        <w:rPr>
          <w:rFonts w:hint="eastAsia"/>
          <w:color w:val="auto"/>
          <w:sz w:val="13"/>
          <w:highlight w:val="none"/>
          <w:lang w:eastAsia="zh-CN"/>
        </w:rPr>
      </w:pPr>
    </w:p>
    <w:p w14:paraId="1557B4A1">
      <w:pPr>
        <w:pStyle w:val="4"/>
        <w:spacing w:before="62"/>
        <w:rPr>
          <w:rFonts w:hint="eastAsia" w:ascii="宋体" w:hAnsi="宋体" w:eastAsia="宋体" w:cs="宋体"/>
          <w:color w:val="auto"/>
          <w:highlight w:val="none"/>
          <w:lang w:eastAsia="zh-CN"/>
        </w:rPr>
        <w:sectPr>
          <w:pgSz w:w="11910" w:h="16840"/>
          <w:pgMar w:top="1440" w:right="1474" w:bottom="1440" w:left="1587" w:header="0" w:footer="1196" w:gutter="0"/>
          <w:cols w:space="0" w:num="1"/>
          <w:rtlGutter w:val="0"/>
          <w:docGrid w:linePitch="0" w:charSpace="0"/>
        </w:sectPr>
      </w:pPr>
    </w:p>
    <w:p w14:paraId="0124CE13">
      <w:pPr>
        <w:pStyle w:val="4"/>
        <w:spacing w:before="62"/>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）释义</w:t>
      </w:r>
    </w:p>
    <w:p w14:paraId="387CDB0A">
      <w:pPr>
        <w:pStyle w:val="8"/>
        <w:spacing w:before="10"/>
        <w:ind w:left="0" w:firstLine="0"/>
        <w:rPr>
          <w:rFonts w:hint="eastAsia"/>
          <w:b/>
          <w:color w:val="auto"/>
          <w:sz w:val="30"/>
          <w:highlight w:val="none"/>
          <w:lang w:eastAsia="zh-CN"/>
        </w:rPr>
      </w:pPr>
    </w:p>
    <w:p w14:paraId="5A756330">
      <w:pPr>
        <w:pStyle w:val="8"/>
        <w:ind w:left="600" w:firstLine="0"/>
        <w:rPr>
          <w:rFonts w:hint="eastAsia"/>
          <w:color w:val="auto"/>
          <w:highlight w:val="none"/>
          <w:lang w:eastAsia="zh-CN"/>
        </w:rPr>
      </w:pPr>
      <w:r>
        <w:rPr>
          <w:rFonts w:hint="eastAsia"/>
          <w:color w:val="auto"/>
          <w:highlight w:val="none"/>
          <w:lang w:eastAsia="zh-CN"/>
        </w:rPr>
        <w:t>保险合同涉及下列术语时，参照下列释义执行：</w:t>
      </w:r>
    </w:p>
    <w:p w14:paraId="25289732">
      <w:pPr>
        <w:pStyle w:val="22"/>
        <w:numPr>
          <w:ilvl w:val="1"/>
          <w:numId w:val="5"/>
        </w:numPr>
        <w:tabs>
          <w:tab w:val="left" w:pos="844"/>
        </w:tabs>
        <w:spacing w:before="158" w:line="364" w:lineRule="auto"/>
        <w:ind w:right="345" w:firstLine="480"/>
        <w:jc w:val="both"/>
        <w:rPr>
          <w:rFonts w:hint="eastAsia"/>
          <w:color w:val="auto"/>
          <w:sz w:val="24"/>
          <w:highlight w:val="none"/>
          <w:lang w:eastAsia="zh-CN"/>
        </w:rPr>
      </w:pPr>
      <w:r>
        <w:rPr>
          <w:rFonts w:hint="eastAsia"/>
          <w:b/>
          <w:color w:val="auto"/>
          <w:spacing w:val="-5"/>
          <w:sz w:val="24"/>
          <w:highlight w:val="none"/>
          <w:lang w:eastAsia="zh-CN"/>
        </w:rPr>
        <w:t>工程质量风险管理机构：</w:t>
      </w:r>
      <w:r>
        <w:rPr>
          <w:rFonts w:hint="eastAsia"/>
          <w:color w:val="auto"/>
          <w:spacing w:val="-7"/>
          <w:sz w:val="24"/>
          <w:highlight w:val="none"/>
          <w:lang w:eastAsia="zh-CN"/>
        </w:rPr>
        <w:t>指由保险人聘用的，对建设工程项目潜在的质量</w:t>
      </w:r>
      <w:r>
        <w:rPr>
          <w:rFonts w:hint="eastAsia"/>
          <w:color w:val="auto"/>
          <w:spacing w:val="-8"/>
          <w:sz w:val="24"/>
          <w:highlight w:val="none"/>
          <w:lang w:eastAsia="zh-CN"/>
        </w:rPr>
        <w:t>风险因素实施辨别、评估、报告、提出处理建议，促进工程质量的提高，减少和避免质量事故发生，并最终对保险人承担合同责任的第三方法人机构。</w:t>
      </w:r>
    </w:p>
    <w:p w14:paraId="77608A40">
      <w:pPr>
        <w:pStyle w:val="22"/>
        <w:numPr>
          <w:ilvl w:val="1"/>
          <w:numId w:val="5"/>
        </w:numPr>
        <w:tabs>
          <w:tab w:val="left" w:pos="844"/>
        </w:tabs>
        <w:spacing w:before="0" w:line="364" w:lineRule="auto"/>
        <w:ind w:right="229" w:firstLine="480"/>
        <w:rPr>
          <w:rFonts w:hint="eastAsia"/>
          <w:color w:val="auto"/>
          <w:sz w:val="24"/>
          <w:highlight w:val="none"/>
          <w:lang w:eastAsia="zh-CN"/>
        </w:rPr>
      </w:pPr>
      <w:r>
        <w:rPr>
          <w:rFonts w:hint="eastAsia"/>
          <w:b/>
          <w:color w:val="auto"/>
          <w:spacing w:val="-9"/>
          <w:sz w:val="24"/>
          <w:highlight w:val="none"/>
          <w:lang w:eastAsia="zh-CN"/>
        </w:rPr>
        <w:t>工程质量潜在缺陷：</w:t>
      </w:r>
      <w:r>
        <w:rPr>
          <w:rFonts w:hint="eastAsia"/>
          <w:color w:val="auto"/>
          <w:spacing w:val="-10"/>
          <w:sz w:val="24"/>
          <w:highlight w:val="none"/>
          <w:lang w:eastAsia="zh-CN"/>
        </w:rPr>
        <w:t>指建设工程在竣工验收时未能发现的，因勘察、设计、施工、监理及建筑材料、建筑构配件和设备等质量原因造成的，不符合施工图设计文件、工程建设标准和合同要求，并在使用过程中暴露出的工程质量缺陷。</w:t>
      </w:r>
    </w:p>
    <w:p w14:paraId="24668AA5">
      <w:pPr>
        <w:pStyle w:val="22"/>
        <w:numPr>
          <w:ilvl w:val="1"/>
          <w:numId w:val="5"/>
        </w:numPr>
        <w:tabs>
          <w:tab w:val="left" w:pos="844"/>
        </w:tabs>
        <w:spacing w:before="0" w:line="307" w:lineRule="exact"/>
        <w:ind w:left="843"/>
        <w:rPr>
          <w:rFonts w:hint="eastAsia"/>
          <w:color w:val="auto"/>
          <w:sz w:val="24"/>
          <w:highlight w:val="none"/>
          <w:lang w:eastAsia="zh-CN"/>
        </w:rPr>
      </w:pPr>
      <w:r>
        <w:rPr>
          <w:rFonts w:hint="eastAsia"/>
          <w:b/>
          <w:color w:val="auto"/>
          <w:sz w:val="24"/>
          <w:highlight w:val="none"/>
          <w:lang w:eastAsia="zh-CN"/>
        </w:rPr>
        <w:t>正常使用条件：</w:t>
      </w:r>
      <w:r>
        <w:rPr>
          <w:rFonts w:hint="eastAsia"/>
          <w:color w:val="auto"/>
          <w:sz w:val="24"/>
          <w:highlight w:val="none"/>
          <w:lang w:eastAsia="zh-CN"/>
        </w:rPr>
        <w:t>指按照建设工程的原设计条件使用，包括但不限于：</w:t>
      </w:r>
    </w:p>
    <w:p w14:paraId="22EE3A38">
      <w:pPr>
        <w:pStyle w:val="8"/>
        <w:spacing w:before="157"/>
        <w:ind w:left="600" w:firstLine="0"/>
        <w:rPr>
          <w:rFonts w:hint="eastAsia"/>
          <w:color w:val="auto"/>
          <w:highlight w:val="none"/>
          <w:lang w:eastAsia="zh-CN"/>
        </w:rPr>
      </w:pPr>
      <w:r>
        <w:rPr>
          <w:rFonts w:hint="eastAsia"/>
          <w:color w:val="auto"/>
          <w:highlight w:val="none"/>
          <w:lang w:eastAsia="zh-CN"/>
        </w:rPr>
        <w:t>（一）不改变原设计用途；</w:t>
      </w:r>
    </w:p>
    <w:p w14:paraId="21AABA16">
      <w:pPr>
        <w:pStyle w:val="8"/>
        <w:spacing w:before="159"/>
        <w:ind w:left="600" w:firstLine="0"/>
        <w:rPr>
          <w:rFonts w:hint="eastAsia"/>
          <w:color w:val="auto"/>
          <w:highlight w:val="none"/>
          <w:lang w:eastAsia="zh-CN"/>
        </w:rPr>
      </w:pPr>
      <w:r>
        <w:rPr>
          <w:rFonts w:hint="eastAsia"/>
          <w:color w:val="auto"/>
          <w:highlight w:val="none"/>
          <w:lang w:eastAsia="zh-CN"/>
        </w:rPr>
        <w:t>（二）不超过原设计荷载；</w:t>
      </w:r>
    </w:p>
    <w:p w14:paraId="2FC09241">
      <w:pPr>
        <w:pStyle w:val="8"/>
        <w:spacing w:before="160"/>
        <w:ind w:left="600" w:firstLine="0"/>
        <w:rPr>
          <w:rFonts w:hint="eastAsia"/>
          <w:color w:val="auto"/>
          <w:highlight w:val="none"/>
          <w:lang w:eastAsia="zh-CN"/>
        </w:rPr>
      </w:pPr>
      <w:r>
        <w:rPr>
          <w:rFonts w:hint="eastAsia"/>
          <w:color w:val="auto"/>
          <w:highlight w:val="none"/>
          <w:lang w:eastAsia="zh-CN"/>
        </w:rPr>
        <w:t>（三）不改变建设工程主体结构和设备设施位置。</w:t>
      </w:r>
    </w:p>
    <w:p w14:paraId="7F567F20">
      <w:pPr>
        <w:pStyle w:val="22"/>
        <w:numPr>
          <w:ilvl w:val="1"/>
          <w:numId w:val="5"/>
        </w:numPr>
        <w:tabs>
          <w:tab w:val="left" w:pos="844"/>
        </w:tabs>
        <w:spacing w:before="161"/>
        <w:ind w:left="843"/>
        <w:rPr>
          <w:rFonts w:hint="eastAsia"/>
          <w:color w:val="auto"/>
          <w:sz w:val="24"/>
          <w:highlight w:val="none"/>
          <w:lang w:eastAsia="zh-CN"/>
        </w:rPr>
      </w:pPr>
      <w:r>
        <w:rPr>
          <w:rFonts w:hint="eastAsia"/>
          <w:b/>
          <w:color w:val="auto"/>
          <w:sz w:val="24"/>
          <w:highlight w:val="none"/>
          <w:lang w:eastAsia="zh-CN"/>
        </w:rPr>
        <w:t>维修：</w:t>
      </w:r>
      <w:r>
        <w:rPr>
          <w:rFonts w:hint="eastAsia"/>
          <w:color w:val="auto"/>
          <w:sz w:val="24"/>
          <w:highlight w:val="none"/>
          <w:lang w:eastAsia="zh-CN"/>
        </w:rPr>
        <w:t>对损坏的部位（包括与其附着的部分）进行修理、加固或重置。</w:t>
      </w:r>
    </w:p>
    <w:p w14:paraId="6295B392">
      <w:pPr>
        <w:pStyle w:val="22"/>
        <w:numPr>
          <w:ilvl w:val="1"/>
          <w:numId w:val="5"/>
        </w:numPr>
        <w:tabs>
          <w:tab w:val="left" w:pos="844"/>
        </w:tabs>
        <w:spacing w:before="158" w:line="364" w:lineRule="auto"/>
        <w:ind w:right="350" w:firstLine="480"/>
        <w:rPr>
          <w:rFonts w:hint="eastAsia"/>
          <w:color w:val="auto"/>
          <w:sz w:val="24"/>
          <w:highlight w:val="none"/>
          <w:lang w:eastAsia="zh-CN"/>
        </w:rPr>
      </w:pPr>
      <w:r>
        <w:rPr>
          <w:rFonts w:hint="eastAsia"/>
          <w:b/>
          <w:color w:val="auto"/>
          <w:spacing w:val="-10"/>
          <w:sz w:val="24"/>
          <w:highlight w:val="none"/>
          <w:lang w:eastAsia="zh-CN"/>
        </w:rPr>
        <w:t>每次事故：</w:t>
      </w:r>
      <w:r>
        <w:rPr>
          <w:rFonts w:hint="eastAsia"/>
          <w:color w:val="auto"/>
          <w:spacing w:val="-8"/>
          <w:sz w:val="24"/>
          <w:highlight w:val="none"/>
          <w:lang w:eastAsia="zh-CN"/>
        </w:rPr>
        <w:t>指一次保险事故；因同一保险事故导致多名被保险人同时或先</w:t>
      </w:r>
      <w:r>
        <w:rPr>
          <w:rFonts w:hint="eastAsia"/>
          <w:color w:val="auto"/>
          <w:sz w:val="24"/>
          <w:highlight w:val="none"/>
          <w:lang w:eastAsia="zh-CN"/>
        </w:rPr>
        <w:t>后向保险人索赔，视为一次保险事故。</w:t>
      </w:r>
    </w:p>
    <w:p w14:paraId="55DB5FC5">
      <w:pPr>
        <w:spacing w:line="364" w:lineRule="auto"/>
        <w:rPr>
          <w:rFonts w:hint="eastAsia" w:ascii="宋体" w:hAnsi="宋体" w:eastAsia="宋体" w:cs="宋体"/>
          <w:color w:val="auto"/>
          <w:sz w:val="24"/>
          <w:highlight w:val="none"/>
          <w:lang w:eastAsia="zh-CN"/>
        </w:rPr>
        <w:sectPr>
          <w:pgSz w:w="11910" w:h="16840"/>
          <w:pgMar w:top="1440" w:right="1474" w:bottom="1440" w:left="1587" w:header="0" w:footer="1196" w:gutter="0"/>
          <w:cols w:space="0" w:num="1"/>
          <w:rtlGutter w:val="0"/>
          <w:docGrid w:linePitch="0" w:charSpace="0"/>
        </w:sectPr>
      </w:pPr>
    </w:p>
    <w:p w14:paraId="7234C74B">
      <w:pPr>
        <w:pStyle w:val="2"/>
        <w:ind w:right="320"/>
        <w:rPr>
          <w:rFonts w:hint="eastAsia"/>
          <w:color w:val="auto"/>
          <w:highlight w:val="none"/>
          <w:lang w:eastAsia="zh-CN"/>
        </w:rPr>
      </w:pPr>
      <w:bookmarkStart w:id="5" w:name="第三部分_附件"/>
      <w:bookmarkEnd w:id="5"/>
      <w:r>
        <w:rPr>
          <w:rFonts w:hint="eastAsia"/>
          <w:color w:val="auto"/>
          <w:highlight w:val="none"/>
          <w:lang w:eastAsia="zh-CN"/>
        </w:rPr>
        <w:t>第三部分 附件</w:t>
      </w:r>
    </w:p>
    <w:p w14:paraId="45A4D942">
      <w:pPr>
        <w:pStyle w:val="8"/>
        <w:ind w:left="0" w:firstLine="0"/>
        <w:rPr>
          <w:rFonts w:hint="eastAsia"/>
          <w:b/>
          <w:color w:val="auto"/>
          <w:sz w:val="11"/>
          <w:highlight w:val="none"/>
          <w:lang w:eastAsia="zh-CN"/>
        </w:rPr>
      </w:pPr>
    </w:p>
    <w:p w14:paraId="1A430ADC">
      <w:pPr>
        <w:pStyle w:val="8"/>
        <w:spacing w:before="67"/>
        <w:ind w:left="0" w:firstLine="0" w:firstLineChars="0"/>
        <w:rPr>
          <w:rFonts w:hint="eastAsia"/>
          <w:color w:val="auto"/>
          <w:highlight w:val="none"/>
          <w:lang w:eastAsia="zh-CN"/>
        </w:rPr>
      </w:pPr>
      <w:r>
        <w:rPr>
          <w:rFonts w:hint="eastAsia"/>
          <w:color w:val="auto"/>
          <w:highlight w:val="none"/>
          <w:lang w:eastAsia="zh-CN"/>
        </w:rPr>
        <w:t>附件 1：</w:t>
      </w:r>
    </w:p>
    <w:p w14:paraId="770CDA45">
      <w:pPr>
        <w:pStyle w:val="8"/>
        <w:spacing w:before="67"/>
        <w:ind w:left="0" w:firstLine="0" w:firstLineChars="0"/>
        <w:jc w:val="center"/>
        <w:rPr>
          <w:rFonts w:hint="eastAsia"/>
          <w:color w:val="auto"/>
          <w:highlight w:val="none"/>
          <w:lang w:eastAsia="zh-CN"/>
        </w:rPr>
      </w:pPr>
      <w:r>
        <w:rPr>
          <w:rFonts w:hint="eastAsia"/>
          <w:b/>
          <w:bCs/>
          <w:color w:val="auto"/>
          <w:sz w:val="32"/>
          <w:szCs w:val="32"/>
          <w:highlight w:val="none"/>
          <w:lang w:val="en-US" w:eastAsia="zh-CN"/>
        </w:rPr>
        <w:t>中标</w:t>
      </w:r>
      <w:r>
        <w:rPr>
          <w:rFonts w:hint="eastAsia"/>
          <w:b/>
          <w:bCs/>
          <w:color w:val="auto"/>
          <w:sz w:val="32"/>
          <w:szCs w:val="32"/>
          <w:highlight w:val="none"/>
          <w:lang w:eastAsia="en-US"/>
        </w:rPr>
        <w:t>通知书</w:t>
      </w:r>
    </w:p>
    <w:p w14:paraId="2A9C606B">
      <w:pPr>
        <w:rPr>
          <w:rFonts w:hint="eastAsia" w:ascii="宋体" w:hAnsi="宋体" w:eastAsia="宋体" w:cs="宋体"/>
          <w:color w:val="auto"/>
          <w:highlight w:val="none"/>
          <w:lang w:eastAsia="zh-CN"/>
        </w:rPr>
      </w:pPr>
    </w:p>
    <w:p w14:paraId="3A5D1266">
      <w:pPr>
        <w:rPr>
          <w:rFonts w:hint="eastAsia" w:ascii="宋体" w:hAnsi="宋体" w:eastAsia="宋体" w:cs="宋体"/>
          <w:color w:val="auto"/>
          <w:highlight w:val="none"/>
          <w:lang w:eastAsia="zh-CN"/>
        </w:rPr>
        <w:sectPr>
          <w:pgSz w:w="11910" w:h="16840"/>
          <w:pgMar w:top="1440" w:right="1474" w:bottom="1440" w:left="1587" w:header="0" w:footer="1196" w:gutter="0"/>
          <w:cols w:space="0" w:num="1"/>
          <w:rtlGutter w:val="0"/>
          <w:docGrid w:linePitch="0" w:charSpace="0"/>
        </w:sectPr>
      </w:pPr>
    </w:p>
    <w:p w14:paraId="01C3F9D5">
      <w:pPr>
        <w:pStyle w:val="8"/>
        <w:adjustRightInd w:val="0"/>
        <w:snapToGrid w:val="0"/>
        <w:spacing w:before="0" w:line="312" w:lineRule="auto"/>
        <w:ind w:firstLine="0"/>
        <w:rPr>
          <w:rFonts w:hint="eastAsia"/>
          <w:color w:val="auto"/>
          <w:highlight w:val="none"/>
          <w:lang w:eastAsia="zh-CN"/>
        </w:rPr>
      </w:pPr>
      <w:r>
        <w:rPr>
          <w:rFonts w:hint="eastAsia"/>
          <w:color w:val="auto"/>
          <w:spacing w:val="-20"/>
          <w:highlight w:val="none"/>
          <w:lang w:eastAsia="zh-CN"/>
        </w:rPr>
        <w:t xml:space="preserve">附件 </w:t>
      </w:r>
      <w:r>
        <w:rPr>
          <w:rFonts w:hint="eastAsia"/>
          <w:color w:val="auto"/>
          <w:highlight w:val="none"/>
          <w:lang w:eastAsia="zh-CN"/>
        </w:rPr>
        <w:t>2：</w:t>
      </w:r>
    </w:p>
    <w:p w14:paraId="6336D5C8">
      <w:pPr>
        <w:keepNext w:val="0"/>
        <w:keepLines w:val="0"/>
        <w:pageBreakBefore w:val="0"/>
        <w:widowControl w:val="0"/>
        <w:kinsoku/>
        <w:wordWrap/>
        <w:overflowPunct/>
        <w:topLinePunct w:val="0"/>
        <w:autoSpaceDE/>
        <w:autoSpaceDN/>
        <w:bidi w:val="0"/>
        <w:adjustRightInd w:val="0"/>
        <w:snapToGrid w:val="0"/>
        <w:spacing w:line="312" w:lineRule="auto"/>
        <w:ind w:firstLine="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rPr>
        <w:t>廉政合同</w:t>
      </w:r>
    </w:p>
    <w:p w14:paraId="7E9F6058">
      <w:pPr>
        <w:keepNext w:val="0"/>
        <w:keepLines w:val="0"/>
        <w:pageBreakBefore w:val="0"/>
        <w:widowControl w:val="0"/>
        <w:kinsoku/>
        <w:wordWrap/>
        <w:overflowPunct/>
        <w:topLinePunct w:val="0"/>
        <w:autoSpaceDE w:val="0"/>
        <w:autoSpaceDN w:val="0"/>
        <w:bidi w:val="0"/>
        <w:adjustRightInd w:val="0"/>
        <w:snapToGrid w:val="0"/>
        <w:spacing w:line="312" w:lineRule="auto"/>
        <w:ind w:firstLine="539"/>
        <w:textAlignment w:val="auto"/>
        <w:rPr>
          <w:rFonts w:hint="eastAsia" w:ascii="宋体" w:hAnsi="宋体" w:eastAsia="宋体" w:cs="宋体"/>
          <w:color w:val="auto"/>
          <w:sz w:val="24"/>
          <w:szCs w:val="24"/>
          <w:highlight w:val="none"/>
          <w:lang w:val="zh-CN"/>
        </w:rPr>
      </w:pPr>
    </w:p>
    <w:p w14:paraId="251D3148">
      <w:pPr>
        <w:autoSpaceDE w:val="0"/>
        <w:autoSpaceDN w:val="0"/>
        <w:adjustRightInd w:val="0"/>
        <w:snapToGrid w:val="0"/>
        <w:spacing w:line="312" w:lineRule="auto"/>
        <w:ind w:firstLine="540"/>
        <w:rPr>
          <w:rFonts w:hint="eastAsia" w:ascii="宋体" w:hAnsi="宋体" w:eastAsia="宋体" w:cs="宋体"/>
          <w:b w:val="0"/>
          <w:bCs w:val="0"/>
          <w:color w:val="auto"/>
          <w:sz w:val="24"/>
          <w:szCs w:val="24"/>
          <w:highlight w:val="none"/>
          <w:lang w:val="zh-CN"/>
        </w:rPr>
      </w:pPr>
      <w:r>
        <w:rPr>
          <w:rFonts w:hint="eastAsia" w:cs="宋体"/>
          <w:b w:val="0"/>
          <w:bCs w:val="0"/>
          <w:color w:val="auto"/>
          <w:sz w:val="24"/>
          <w:szCs w:val="24"/>
          <w:highlight w:val="none"/>
          <w:lang w:val="en-US" w:eastAsia="zh-CN"/>
        </w:rPr>
        <w:t>投保人</w:t>
      </w:r>
      <w:r>
        <w:rPr>
          <w:rFonts w:hint="eastAsia" w:ascii="宋体" w:hAnsi="宋体" w:eastAsia="宋体" w:cs="宋体"/>
          <w:b w:val="0"/>
          <w:bCs w:val="0"/>
          <w:color w:val="auto"/>
          <w:sz w:val="24"/>
          <w:szCs w:val="24"/>
          <w:highlight w:val="none"/>
          <w:lang w:val="zh-CN"/>
        </w:rPr>
        <w:t>：</w:t>
      </w:r>
      <w:r>
        <w:rPr>
          <w:rFonts w:hint="eastAsia" w:cs="宋体"/>
          <w:b w:val="0"/>
          <w:bCs w:val="0"/>
          <w:color w:val="auto"/>
          <w:sz w:val="24"/>
          <w:szCs w:val="24"/>
          <w:highlight w:val="none"/>
          <w:u w:val="single"/>
          <w:lang w:val="en-US" w:eastAsia="zh-CN"/>
        </w:rPr>
        <w:t xml:space="preserve">广州市增城区公共建设项目管理服务中心 </w:t>
      </w:r>
    </w:p>
    <w:p w14:paraId="75F036F9">
      <w:pPr>
        <w:autoSpaceDE w:val="0"/>
        <w:autoSpaceDN w:val="0"/>
        <w:adjustRightInd w:val="0"/>
        <w:snapToGrid w:val="0"/>
        <w:spacing w:line="312" w:lineRule="auto"/>
        <w:ind w:firstLine="540"/>
        <w:rPr>
          <w:rFonts w:hint="default" w:ascii="宋体" w:hAnsi="宋体" w:eastAsia="宋体" w:cs="宋体"/>
          <w:bCs/>
          <w:snapToGrid w:val="0"/>
          <w:color w:val="auto"/>
          <w:spacing w:val="-6"/>
          <w:kern w:val="0"/>
          <w:sz w:val="24"/>
          <w:highlight w:val="none"/>
          <w:u w:val="single"/>
          <w:lang w:val="en-US" w:eastAsia="zh-CN"/>
        </w:rPr>
      </w:pPr>
      <w:r>
        <w:rPr>
          <w:rFonts w:hint="eastAsia" w:cs="宋体"/>
          <w:b w:val="0"/>
          <w:bCs w:val="0"/>
          <w:color w:val="auto"/>
          <w:sz w:val="24"/>
          <w:szCs w:val="24"/>
          <w:highlight w:val="none"/>
          <w:lang w:val="en-US" w:eastAsia="zh-CN"/>
        </w:rPr>
        <w:t>保险人</w:t>
      </w:r>
      <w:r>
        <w:rPr>
          <w:rFonts w:hint="eastAsia" w:ascii="宋体" w:hAnsi="宋体" w:eastAsia="宋体" w:cs="宋体"/>
          <w:b w:val="0"/>
          <w:bCs w:val="0"/>
          <w:color w:val="auto"/>
          <w:sz w:val="24"/>
          <w:szCs w:val="24"/>
          <w:highlight w:val="none"/>
          <w:lang w:val="zh-CN"/>
        </w:rPr>
        <w:t>：</w:t>
      </w:r>
      <w:r>
        <w:rPr>
          <w:rFonts w:hint="eastAsia" w:cs="宋体"/>
          <w:b w:val="0"/>
          <w:bCs w:val="0"/>
          <w:color w:val="auto"/>
          <w:sz w:val="24"/>
          <w:szCs w:val="24"/>
          <w:highlight w:val="none"/>
          <w:u w:val="single"/>
          <w:lang w:val="en-US" w:eastAsia="zh-CN"/>
        </w:rPr>
        <w:t xml:space="preserve">                                 </w:t>
      </w:r>
    </w:p>
    <w:p w14:paraId="5A9383FB">
      <w:pPr>
        <w:tabs>
          <w:tab w:val="center" w:pos="4153"/>
        </w:tabs>
        <w:adjustRightInd w:val="0"/>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根据国家、省有关廉政建设的规定，为做好合同的廉政建设，</w:t>
      </w:r>
      <w:r>
        <w:rPr>
          <w:rFonts w:hint="eastAsia" w:ascii="宋体" w:hAnsi="宋体" w:cs="宋体"/>
          <w:color w:val="auto"/>
          <w:sz w:val="24"/>
          <w:szCs w:val="24"/>
          <w:highlight w:val="none"/>
          <w:lang w:val="zh-CN"/>
        </w:rPr>
        <w:t>保证服务质量与安全，提高资金的有效使用和投资效益，合同双方当事人就加强合同的廉政建设</w:t>
      </w:r>
      <w:r>
        <w:rPr>
          <w:rFonts w:hint="eastAsia" w:ascii="宋体" w:hAnsi="宋体" w:eastAsia="宋体" w:cs="宋体"/>
          <w:color w:val="auto"/>
          <w:sz w:val="24"/>
          <w:szCs w:val="24"/>
          <w:highlight w:val="none"/>
          <w:lang w:val="zh-CN"/>
        </w:rPr>
        <w:t>，订立本合同</w:t>
      </w:r>
      <w:r>
        <w:rPr>
          <w:rFonts w:hint="eastAsia" w:ascii="宋体" w:hAnsi="宋体" w:eastAsia="宋体" w:cs="宋体"/>
          <w:color w:val="auto"/>
          <w:sz w:val="24"/>
          <w:szCs w:val="24"/>
          <w:highlight w:val="none"/>
        </w:rPr>
        <w:t>。</w:t>
      </w:r>
    </w:p>
    <w:p w14:paraId="2EFAE7B9">
      <w:pPr>
        <w:adjustRightInd w:val="0"/>
        <w:snapToGrid w:val="0"/>
        <w:spacing w:line="312" w:lineRule="auto"/>
        <w:ind w:firstLine="482" w:firstLineChars="200"/>
        <w:outlineLvl w:val="9"/>
        <w:rPr>
          <w:rFonts w:hint="eastAsia" w:ascii="宋体" w:hAnsi="宋体" w:eastAsia="宋体" w:cs="宋体"/>
          <w:b/>
          <w:bCs/>
          <w:color w:val="auto"/>
          <w:sz w:val="24"/>
          <w:szCs w:val="24"/>
          <w:highlight w:val="none"/>
        </w:rPr>
      </w:pPr>
      <w:bookmarkStart w:id="6" w:name="_Toc27416"/>
      <w:bookmarkStart w:id="7" w:name="_Toc17479"/>
      <w:bookmarkStart w:id="8" w:name="_Toc30885"/>
      <w:bookmarkStart w:id="9" w:name="_Toc6636"/>
      <w:r>
        <w:rPr>
          <w:rFonts w:hint="eastAsia" w:ascii="宋体" w:hAnsi="宋体" w:eastAsia="宋体" w:cs="宋体"/>
          <w:b/>
          <w:bCs/>
          <w:color w:val="auto"/>
          <w:sz w:val="24"/>
          <w:szCs w:val="24"/>
          <w:highlight w:val="none"/>
        </w:rPr>
        <w:t>一、双方权利和义务</w:t>
      </w:r>
      <w:bookmarkEnd w:id="6"/>
      <w:bookmarkEnd w:id="7"/>
      <w:bookmarkEnd w:id="8"/>
      <w:bookmarkEnd w:id="9"/>
    </w:p>
    <w:p w14:paraId="61F0C7AB">
      <w:pPr>
        <w:tabs>
          <w:tab w:val="center" w:pos="4153"/>
        </w:tabs>
        <w:adjustRightInd w:val="0"/>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严格遵守国家、省有关法律法规的规定。</w:t>
      </w:r>
    </w:p>
    <w:p w14:paraId="1F0501B0">
      <w:pPr>
        <w:tabs>
          <w:tab w:val="center" w:pos="4153"/>
        </w:tabs>
        <w:adjustRightInd w:val="0"/>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严格执行合同一切合同文件，自觉按合同办事。</w:t>
      </w:r>
    </w:p>
    <w:p w14:paraId="51A32CDC">
      <w:pPr>
        <w:tabs>
          <w:tab w:val="center" w:pos="4153"/>
        </w:tabs>
        <w:adjustRightInd w:val="0"/>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 </w:t>
      </w:r>
      <w:r>
        <w:rPr>
          <w:rFonts w:hint="eastAsia" w:ascii="宋体" w:hAnsi="宋体" w:eastAsia="宋体" w:cs="宋体"/>
          <w:color w:val="auto"/>
          <w:sz w:val="24"/>
          <w:szCs w:val="24"/>
          <w:highlight w:val="none"/>
          <w:lang w:val="zh-CN"/>
        </w:rPr>
        <w:t>合同双方当事人的业务活动应坚持公平、公开、公正和诚信的原则（法律认定的商业秘密和合同文件另有规定除外），不得损害国家和集体利益，不得违反工程建设管理规章制度</w:t>
      </w:r>
      <w:r>
        <w:rPr>
          <w:rFonts w:hint="eastAsia" w:ascii="宋体" w:hAnsi="宋体" w:eastAsia="宋体" w:cs="宋体"/>
          <w:color w:val="auto"/>
          <w:sz w:val="24"/>
          <w:szCs w:val="24"/>
          <w:highlight w:val="none"/>
        </w:rPr>
        <w:t>。</w:t>
      </w:r>
    </w:p>
    <w:p w14:paraId="22F7FC01">
      <w:pPr>
        <w:tabs>
          <w:tab w:val="center" w:pos="4153"/>
        </w:tabs>
        <w:adjustRightInd w:val="0"/>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建立健全廉政制度，开展廉政教育，设立廉政告示牌，公布举报电话，监督并认真查处违法违纪行为。</w:t>
      </w:r>
    </w:p>
    <w:p w14:paraId="5B200E30">
      <w:pPr>
        <w:tabs>
          <w:tab w:val="center" w:pos="4153"/>
        </w:tabs>
        <w:adjustRightInd w:val="0"/>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发现对方在业务活动中有违反廉政建设规定的行为，应及时给予提醒和纠正。</w:t>
      </w:r>
    </w:p>
    <w:p w14:paraId="154B627B">
      <w:pPr>
        <w:tabs>
          <w:tab w:val="center" w:pos="4153"/>
        </w:tabs>
        <w:adjustRightInd w:val="0"/>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发现对方严重违反合同的行为，有向其主管部门举报、建议给予处理并要求告知处理结果的权利。</w:t>
      </w:r>
    </w:p>
    <w:p w14:paraId="0AE2216C">
      <w:pPr>
        <w:adjustRightInd w:val="0"/>
        <w:snapToGrid w:val="0"/>
        <w:spacing w:line="312" w:lineRule="auto"/>
        <w:ind w:firstLine="482" w:firstLineChars="200"/>
        <w:outlineLvl w:val="9"/>
        <w:rPr>
          <w:rFonts w:hint="eastAsia" w:ascii="宋体" w:hAnsi="宋体" w:eastAsia="宋体" w:cs="宋体"/>
          <w:b/>
          <w:bCs/>
          <w:color w:val="auto"/>
          <w:sz w:val="24"/>
          <w:szCs w:val="24"/>
          <w:highlight w:val="none"/>
        </w:rPr>
      </w:pPr>
      <w:bookmarkStart w:id="10" w:name="_Toc23112"/>
      <w:r>
        <w:rPr>
          <w:rFonts w:hint="eastAsia" w:ascii="宋体" w:hAnsi="宋体" w:eastAsia="宋体" w:cs="宋体"/>
          <w:b/>
          <w:bCs/>
          <w:color w:val="auto"/>
          <w:sz w:val="24"/>
          <w:szCs w:val="24"/>
          <w:highlight w:val="none"/>
        </w:rPr>
        <w:t>二、</w:t>
      </w:r>
      <w:r>
        <w:rPr>
          <w:rFonts w:hint="eastAsia" w:cs="宋体"/>
          <w:b/>
          <w:bCs/>
          <w:color w:val="auto"/>
          <w:sz w:val="24"/>
          <w:szCs w:val="24"/>
          <w:highlight w:val="none"/>
          <w:lang w:val="en-US" w:eastAsia="zh-CN"/>
        </w:rPr>
        <w:t>投保人</w:t>
      </w:r>
      <w:r>
        <w:rPr>
          <w:rFonts w:hint="eastAsia" w:ascii="宋体" w:hAnsi="宋体" w:eastAsia="宋体" w:cs="宋体"/>
          <w:b/>
          <w:bCs/>
          <w:color w:val="auto"/>
          <w:sz w:val="24"/>
          <w:szCs w:val="24"/>
          <w:highlight w:val="none"/>
        </w:rPr>
        <w:t>义务</w:t>
      </w:r>
      <w:bookmarkEnd w:id="10"/>
    </w:p>
    <w:p w14:paraId="3A115179">
      <w:pPr>
        <w:tabs>
          <w:tab w:val="center" w:pos="4153"/>
        </w:tabs>
        <w:adjustRightInd w:val="0"/>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 </w:t>
      </w:r>
      <w:r>
        <w:rPr>
          <w:rFonts w:hint="eastAsia" w:cs="宋体"/>
          <w:color w:val="auto"/>
          <w:sz w:val="24"/>
          <w:szCs w:val="24"/>
          <w:highlight w:val="none"/>
          <w:lang w:eastAsia="zh-CN"/>
        </w:rPr>
        <w:t>投保人</w:t>
      </w:r>
      <w:r>
        <w:rPr>
          <w:rFonts w:hint="eastAsia" w:ascii="宋体" w:hAnsi="宋体" w:eastAsia="宋体" w:cs="宋体"/>
          <w:color w:val="auto"/>
          <w:sz w:val="24"/>
          <w:szCs w:val="24"/>
          <w:highlight w:val="none"/>
        </w:rPr>
        <w:t>及其工作人员不得索要或接受</w:t>
      </w:r>
      <w:r>
        <w:rPr>
          <w:rFonts w:hint="eastAsia" w:cs="宋体"/>
          <w:color w:val="auto"/>
          <w:sz w:val="24"/>
          <w:szCs w:val="24"/>
          <w:highlight w:val="none"/>
          <w:lang w:eastAsia="zh-CN"/>
        </w:rPr>
        <w:t>保险人</w:t>
      </w:r>
      <w:r>
        <w:rPr>
          <w:rFonts w:hint="eastAsia" w:ascii="宋体" w:hAnsi="宋体" w:eastAsia="宋体" w:cs="宋体"/>
          <w:color w:val="auto"/>
          <w:sz w:val="24"/>
          <w:szCs w:val="24"/>
          <w:highlight w:val="none"/>
        </w:rPr>
        <w:t>的礼金、有价证券和贵重物品，不得在</w:t>
      </w:r>
      <w:r>
        <w:rPr>
          <w:rFonts w:hint="eastAsia" w:cs="宋体"/>
          <w:color w:val="auto"/>
          <w:sz w:val="24"/>
          <w:szCs w:val="24"/>
          <w:highlight w:val="none"/>
          <w:lang w:eastAsia="zh-CN"/>
        </w:rPr>
        <w:t>保险人</w:t>
      </w:r>
      <w:r>
        <w:rPr>
          <w:rFonts w:hint="eastAsia" w:ascii="宋体" w:hAnsi="宋体" w:eastAsia="宋体" w:cs="宋体"/>
          <w:color w:val="auto"/>
          <w:sz w:val="24"/>
          <w:szCs w:val="24"/>
          <w:highlight w:val="none"/>
        </w:rPr>
        <w:t>报销任何应由</w:t>
      </w:r>
      <w:r>
        <w:rPr>
          <w:rFonts w:hint="eastAsia" w:cs="宋体"/>
          <w:color w:val="auto"/>
          <w:sz w:val="24"/>
          <w:szCs w:val="24"/>
          <w:highlight w:val="none"/>
          <w:lang w:eastAsia="zh-CN"/>
        </w:rPr>
        <w:t>投保人</w:t>
      </w:r>
      <w:r>
        <w:rPr>
          <w:rFonts w:hint="eastAsia" w:ascii="宋体" w:hAnsi="宋体" w:eastAsia="宋体" w:cs="宋体"/>
          <w:color w:val="auto"/>
          <w:sz w:val="24"/>
          <w:szCs w:val="24"/>
          <w:highlight w:val="none"/>
        </w:rPr>
        <w:t>或工作人员个人支付的费用等。</w:t>
      </w:r>
    </w:p>
    <w:p w14:paraId="42433E87">
      <w:pPr>
        <w:tabs>
          <w:tab w:val="center" w:pos="4153"/>
        </w:tabs>
        <w:adjustRightInd w:val="0"/>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 </w:t>
      </w:r>
      <w:r>
        <w:rPr>
          <w:rFonts w:hint="eastAsia" w:cs="宋体"/>
          <w:color w:val="auto"/>
          <w:sz w:val="24"/>
          <w:szCs w:val="24"/>
          <w:highlight w:val="none"/>
          <w:lang w:eastAsia="zh-CN"/>
        </w:rPr>
        <w:t>投保人</w:t>
      </w:r>
      <w:r>
        <w:rPr>
          <w:rFonts w:hint="eastAsia" w:ascii="宋体" w:hAnsi="宋体" w:eastAsia="宋体" w:cs="宋体"/>
          <w:color w:val="auto"/>
          <w:sz w:val="24"/>
          <w:szCs w:val="24"/>
          <w:highlight w:val="none"/>
        </w:rPr>
        <w:t>及其工作人员不得参加</w:t>
      </w:r>
      <w:r>
        <w:rPr>
          <w:rFonts w:hint="eastAsia" w:cs="宋体"/>
          <w:color w:val="auto"/>
          <w:sz w:val="24"/>
          <w:szCs w:val="24"/>
          <w:highlight w:val="none"/>
          <w:lang w:eastAsia="zh-CN"/>
        </w:rPr>
        <w:t>保险人</w:t>
      </w:r>
      <w:r>
        <w:rPr>
          <w:rFonts w:hint="eastAsia" w:ascii="宋体" w:hAnsi="宋体" w:eastAsia="宋体" w:cs="宋体"/>
          <w:color w:val="auto"/>
          <w:sz w:val="24"/>
          <w:szCs w:val="24"/>
          <w:highlight w:val="none"/>
        </w:rPr>
        <w:t>安排的宴请（工作餐除外）和娱乐活动；不得接受</w:t>
      </w:r>
      <w:r>
        <w:rPr>
          <w:rFonts w:hint="eastAsia" w:cs="宋体"/>
          <w:color w:val="auto"/>
          <w:sz w:val="24"/>
          <w:szCs w:val="24"/>
          <w:highlight w:val="none"/>
          <w:lang w:eastAsia="zh-CN"/>
        </w:rPr>
        <w:t>保险人</w:t>
      </w:r>
      <w:r>
        <w:rPr>
          <w:rFonts w:hint="eastAsia" w:ascii="宋体" w:hAnsi="宋体" w:eastAsia="宋体" w:cs="宋体"/>
          <w:color w:val="auto"/>
          <w:sz w:val="24"/>
          <w:szCs w:val="24"/>
          <w:highlight w:val="none"/>
        </w:rPr>
        <w:t>提供的通讯工具、交通工具和高档办公用品等。</w:t>
      </w:r>
    </w:p>
    <w:p w14:paraId="5CF7B90C">
      <w:pPr>
        <w:tabs>
          <w:tab w:val="center" w:pos="4153"/>
        </w:tabs>
        <w:adjustRightInd w:val="0"/>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 </w:t>
      </w:r>
      <w:r>
        <w:rPr>
          <w:rFonts w:hint="eastAsia" w:cs="宋体"/>
          <w:color w:val="auto"/>
          <w:sz w:val="24"/>
          <w:szCs w:val="24"/>
          <w:highlight w:val="none"/>
          <w:lang w:eastAsia="zh-CN"/>
        </w:rPr>
        <w:t>投保人</w:t>
      </w:r>
      <w:r>
        <w:rPr>
          <w:rFonts w:hint="eastAsia" w:ascii="宋体" w:hAnsi="宋体" w:eastAsia="宋体" w:cs="宋体"/>
          <w:color w:val="auto"/>
          <w:sz w:val="24"/>
          <w:szCs w:val="24"/>
          <w:highlight w:val="none"/>
        </w:rPr>
        <w:t>及其工作人员不得要求或者接受</w:t>
      </w:r>
      <w:r>
        <w:rPr>
          <w:rFonts w:hint="eastAsia" w:cs="宋体"/>
          <w:color w:val="auto"/>
          <w:sz w:val="24"/>
          <w:szCs w:val="24"/>
          <w:highlight w:val="none"/>
          <w:lang w:eastAsia="zh-CN"/>
        </w:rPr>
        <w:t>保险人</w:t>
      </w:r>
      <w:r>
        <w:rPr>
          <w:rFonts w:hint="eastAsia" w:ascii="宋体" w:hAnsi="宋体" w:eastAsia="宋体" w:cs="宋体"/>
          <w:color w:val="auto"/>
          <w:sz w:val="24"/>
          <w:szCs w:val="24"/>
          <w:highlight w:val="none"/>
        </w:rPr>
        <w:t>为其住房装修、婚丧嫁娶活动、配偶子女的工作安排以及出国出境、旅游等提供方便等。</w:t>
      </w:r>
    </w:p>
    <w:p w14:paraId="19D6180A">
      <w:pPr>
        <w:tabs>
          <w:tab w:val="center" w:pos="4153"/>
        </w:tabs>
        <w:adjustRightInd w:val="0"/>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2.4 </w:t>
      </w:r>
      <w:r>
        <w:rPr>
          <w:rFonts w:hint="eastAsia" w:ascii="宋体" w:hAnsi="宋体" w:cs="宋体"/>
          <w:color w:val="auto"/>
          <w:sz w:val="24"/>
          <w:szCs w:val="24"/>
          <w:highlight w:val="none"/>
        </w:rPr>
        <w:t>不准向</w:t>
      </w:r>
      <w:r>
        <w:rPr>
          <w:rFonts w:hint="eastAsia" w:cs="宋体"/>
          <w:color w:val="auto"/>
          <w:sz w:val="24"/>
          <w:szCs w:val="24"/>
          <w:highlight w:val="none"/>
          <w:lang w:eastAsia="zh-CN"/>
        </w:rPr>
        <w:t>保险人</w:t>
      </w:r>
      <w:r>
        <w:rPr>
          <w:rFonts w:hint="eastAsia" w:ascii="宋体" w:hAnsi="宋体" w:cs="宋体"/>
          <w:color w:val="auto"/>
          <w:sz w:val="24"/>
          <w:szCs w:val="24"/>
          <w:highlight w:val="none"/>
        </w:rPr>
        <w:t>介绍配偶、子女、亲属参与与</w:t>
      </w:r>
      <w:r>
        <w:rPr>
          <w:rFonts w:hint="eastAsia" w:ascii="宋体" w:hAnsi="宋体" w:cs="宋体"/>
          <w:color w:val="auto"/>
          <w:sz w:val="24"/>
          <w:szCs w:val="24"/>
          <w:highlight w:val="none"/>
          <w:lang w:eastAsia="zh-CN"/>
        </w:rPr>
        <w:t>发包人</w:t>
      </w:r>
      <w:r>
        <w:rPr>
          <w:rFonts w:hint="eastAsia" w:ascii="宋体" w:hAnsi="宋体" w:cs="宋体"/>
          <w:color w:val="auto"/>
          <w:sz w:val="24"/>
          <w:szCs w:val="24"/>
          <w:highlight w:val="none"/>
        </w:rPr>
        <w:t>有关的经济活动，不得以任何理由向</w:t>
      </w:r>
      <w:r>
        <w:rPr>
          <w:rFonts w:hint="eastAsia" w:cs="宋体"/>
          <w:color w:val="auto"/>
          <w:sz w:val="24"/>
          <w:szCs w:val="24"/>
          <w:highlight w:val="none"/>
          <w:lang w:eastAsia="zh-CN"/>
        </w:rPr>
        <w:t>保险人</w:t>
      </w:r>
      <w:r>
        <w:rPr>
          <w:rFonts w:hint="eastAsia" w:ascii="宋体" w:hAnsi="宋体" w:cs="宋体"/>
          <w:color w:val="auto"/>
          <w:sz w:val="24"/>
          <w:szCs w:val="24"/>
          <w:highlight w:val="none"/>
        </w:rPr>
        <w:t>和相关单位推荐第三方单位</w:t>
      </w:r>
      <w:r>
        <w:rPr>
          <w:rFonts w:hint="eastAsia" w:ascii="宋体" w:hAnsi="宋体" w:eastAsia="宋体" w:cs="宋体"/>
          <w:color w:val="auto"/>
          <w:sz w:val="24"/>
          <w:szCs w:val="24"/>
          <w:highlight w:val="none"/>
        </w:rPr>
        <w:t>。</w:t>
      </w:r>
    </w:p>
    <w:p w14:paraId="5011739D">
      <w:pPr>
        <w:tabs>
          <w:tab w:val="center" w:pos="4153"/>
        </w:tabs>
        <w:adjustRightInd w:val="0"/>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2.5 </w:t>
      </w:r>
      <w:r>
        <w:rPr>
          <w:rFonts w:hint="eastAsia" w:cs="宋体"/>
          <w:color w:val="auto"/>
          <w:sz w:val="24"/>
          <w:szCs w:val="24"/>
          <w:highlight w:val="none"/>
          <w:lang w:val="zh-CN"/>
        </w:rPr>
        <w:t>投保人</w:t>
      </w:r>
      <w:r>
        <w:rPr>
          <w:rFonts w:hint="eastAsia" w:ascii="宋体" w:hAnsi="宋体" w:eastAsia="宋体" w:cs="宋体"/>
          <w:color w:val="auto"/>
          <w:sz w:val="24"/>
          <w:szCs w:val="24"/>
          <w:highlight w:val="none"/>
          <w:lang w:val="zh-CN"/>
        </w:rPr>
        <w:t>及其工作人员要秉公办事，不准营私舞弊，不准利用职权私自为合同工程安排施工队伍，也不得从事与合同工程有关的各种有偿中介活动</w:t>
      </w:r>
      <w:r>
        <w:rPr>
          <w:rFonts w:hint="eastAsia" w:ascii="宋体" w:hAnsi="宋体" w:eastAsia="宋体" w:cs="宋体"/>
          <w:color w:val="auto"/>
          <w:sz w:val="24"/>
          <w:szCs w:val="24"/>
          <w:highlight w:val="none"/>
        </w:rPr>
        <w:t>。</w:t>
      </w:r>
    </w:p>
    <w:p w14:paraId="0554ECF2">
      <w:pPr>
        <w:tabs>
          <w:tab w:val="center" w:pos="4153"/>
        </w:tabs>
        <w:adjustRightInd w:val="0"/>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2.6 </w:t>
      </w:r>
      <w:r>
        <w:rPr>
          <w:rFonts w:hint="eastAsia" w:ascii="宋体" w:hAnsi="宋体" w:cs="宋体"/>
          <w:color w:val="auto"/>
          <w:sz w:val="24"/>
          <w:szCs w:val="24"/>
          <w:highlight w:val="none"/>
        </w:rPr>
        <w:t>不准参与影响相关工作正常和公正开展的其他活动</w:t>
      </w:r>
      <w:r>
        <w:rPr>
          <w:rFonts w:hint="eastAsia" w:ascii="宋体" w:hAnsi="宋体" w:eastAsia="宋体" w:cs="宋体"/>
          <w:color w:val="auto"/>
          <w:sz w:val="24"/>
          <w:szCs w:val="24"/>
          <w:highlight w:val="none"/>
        </w:rPr>
        <w:t>。</w:t>
      </w:r>
    </w:p>
    <w:p w14:paraId="2C0EF998">
      <w:pPr>
        <w:adjustRightInd w:val="0"/>
        <w:snapToGrid w:val="0"/>
        <w:spacing w:line="312" w:lineRule="auto"/>
        <w:ind w:firstLine="482" w:firstLineChars="200"/>
        <w:outlineLvl w:val="9"/>
        <w:rPr>
          <w:rFonts w:hint="eastAsia" w:ascii="宋体" w:hAnsi="宋体" w:eastAsia="宋体" w:cs="宋体"/>
          <w:b/>
          <w:bCs/>
          <w:color w:val="auto"/>
          <w:sz w:val="24"/>
          <w:szCs w:val="24"/>
          <w:highlight w:val="none"/>
        </w:rPr>
      </w:pPr>
      <w:bookmarkStart w:id="11" w:name="_Toc25034"/>
      <w:r>
        <w:rPr>
          <w:rFonts w:hint="eastAsia" w:ascii="宋体" w:hAnsi="宋体" w:eastAsia="宋体" w:cs="宋体"/>
          <w:b/>
          <w:bCs/>
          <w:color w:val="auto"/>
          <w:sz w:val="24"/>
          <w:szCs w:val="24"/>
          <w:highlight w:val="none"/>
        </w:rPr>
        <w:t>三、</w:t>
      </w:r>
      <w:r>
        <w:rPr>
          <w:rFonts w:hint="eastAsia" w:cs="宋体"/>
          <w:b/>
          <w:bCs/>
          <w:color w:val="auto"/>
          <w:sz w:val="24"/>
          <w:szCs w:val="24"/>
          <w:highlight w:val="none"/>
          <w:lang w:eastAsia="zh-CN"/>
        </w:rPr>
        <w:t>保险人</w:t>
      </w:r>
      <w:r>
        <w:rPr>
          <w:rFonts w:hint="eastAsia" w:ascii="宋体" w:hAnsi="宋体" w:eastAsia="宋体" w:cs="宋体"/>
          <w:b/>
          <w:bCs/>
          <w:color w:val="auto"/>
          <w:sz w:val="24"/>
          <w:szCs w:val="24"/>
          <w:highlight w:val="none"/>
        </w:rPr>
        <w:t>义务</w:t>
      </w:r>
      <w:bookmarkEnd w:id="11"/>
    </w:p>
    <w:p w14:paraId="3973783A">
      <w:pPr>
        <w:tabs>
          <w:tab w:val="center" w:pos="4153"/>
        </w:tabs>
        <w:adjustRightInd w:val="0"/>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 </w:t>
      </w:r>
      <w:r>
        <w:rPr>
          <w:rFonts w:hint="eastAsia" w:cs="宋体"/>
          <w:color w:val="auto"/>
          <w:sz w:val="24"/>
          <w:szCs w:val="24"/>
          <w:highlight w:val="none"/>
          <w:lang w:eastAsia="zh-CN"/>
        </w:rPr>
        <w:t>保险人</w:t>
      </w:r>
      <w:r>
        <w:rPr>
          <w:rFonts w:hint="eastAsia" w:ascii="宋体" w:hAnsi="宋体" w:eastAsia="宋体" w:cs="宋体"/>
          <w:color w:val="auto"/>
          <w:sz w:val="24"/>
          <w:szCs w:val="24"/>
          <w:highlight w:val="none"/>
        </w:rPr>
        <w:t>不得以任何理由向</w:t>
      </w:r>
      <w:r>
        <w:rPr>
          <w:rFonts w:hint="eastAsia" w:cs="宋体"/>
          <w:color w:val="auto"/>
          <w:sz w:val="24"/>
          <w:szCs w:val="24"/>
          <w:highlight w:val="none"/>
          <w:lang w:eastAsia="zh-CN"/>
        </w:rPr>
        <w:t>投保人</w:t>
      </w:r>
      <w:r>
        <w:rPr>
          <w:rFonts w:hint="eastAsia" w:ascii="宋体" w:hAnsi="宋体" w:eastAsia="宋体" w:cs="宋体"/>
          <w:color w:val="auto"/>
          <w:sz w:val="24"/>
          <w:szCs w:val="24"/>
          <w:highlight w:val="none"/>
        </w:rPr>
        <w:t>及其工作人员行贿或馈赠礼金、有价证券、贵重礼品。</w:t>
      </w:r>
    </w:p>
    <w:p w14:paraId="3285D898">
      <w:pPr>
        <w:tabs>
          <w:tab w:val="center" w:pos="4153"/>
        </w:tabs>
        <w:adjustRightInd w:val="0"/>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 </w:t>
      </w:r>
      <w:r>
        <w:rPr>
          <w:rFonts w:hint="eastAsia" w:cs="宋体"/>
          <w:color w:val="auto"/>
          <w:sz w:val="24"/>
          <w:szCs w:val="24"/>
          <w:highlight w:val="none"/>
          <w:lang w:eastAsia="zh-CN"/>
        </w:rPr>
        <w:t>保险人</w:t>
      </w:r>
      <w:r>
        <w:rPr>
          <w:rFonts w:hint="eastAsia" w:ascii="宋体" w:hAnsi="宋体" w:eastAsia="宋体" w:cs="宋体"/>
          <w:color w:val="auto"/>
          <w:sz w:val="24"/>
          <w:szCs w:val="24"/>
          <w:highlight w:val="none"/>
        </w:rPr>
        <w:t>不得以任何名义为</w:t>
      </w:r>
      <w:r>
        <w:rPr>
          <w:rFonts w:hint="eastAsia" w:cs="宋体"/>
          <w:color w:val="auto"/>
          <w:sz w:val="24"/>
          <w:szCs w:val="24"/>
          <w:highlight w:val="none"/>
          <w:lang w:eastAsia="zh-CN"/>
        </w:rPr>
        <w:t>投保人</w:t>
      </w:r>
      <w:r>
        <w:rPr>
          <w:rFonts w:hint="eastAsia" w:ascii="宋体" w:hAnsi="宋体" w:eastAsia="宋体" w:cs="宋体"/>
          <w:color w:val="auto"/>
          <w:sz w:val="24"/>
          <w:szCs w:val="24"/>
          <w:highlight w:val="none"/>
        </w:rPr>
        <w:t>及其工作人员报销应由</w:t>
      </w:r>
      <w:r>
        <w:rPr>
          <w:rFonts w:hint="eastAsia" w:cs="宋体"/>
          <w:color w:val="auto"/>
          <w:sz w:val="24"/>
          <w:szCs w:val="24"/>
          <w:highlight w:val="none"/>
          <w:lang w:eastAsia="zh-CN"/>
        </w:rPr>
        <w:t>投保人</w:t>
      </w:r>
      <w:r>
        <w:rPr>
          <w:rFonts w:hint="eastAsia" w:ascii="宋体" w:hAnsi="宋体" w:eastAsia="宋体" w:cs="宋体"/>
          <w:color w:val="auto"/>
          <w:sz w:val="24"/>
          <w:szCs w:val="24"/>
          <w:highlight w:val="none"/>
        </w:rPr>
        <w:t>或工作人员个人支付的任何费用。</w:t>
      </w:r>
    </w:p>
    <w:p w14:paraId="76CA9453">
      <w:pPr>
        <w:tabs>
          <w:tab w:val="center" w:pos="4153"/>
        </w:tabs>
        <w:adjustRightInd w:val="0"/>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 </w:t>
      </w:r>
      <w:r>
        <w:rPr>
          <w:rFonts w:hint="eastAsia" w:cs="宋体"/>
          <w:color w:val="auto"/>
          <w:sz w:val="24"/>
          <w:szCs w:val="24"/>
          <w:highlight w:val="none"/>
          <w:lang w:eastAsia="zh-CN"/>
        </w:rPr>
        <w:t>保险人</w:t>
      </w:r>
      <w:r>
        <w:rPr>
          <w:rFonts w:hint="eastAsia" w:ascii="宋体" w:hAnsi="宋体" w:eastAsia="宋体" w:cs="宋体"/>
          <w:color w:val="auto"/>
          <w:sz w:val="24"/>
          <w:szCs w:val="24"/>
          <w:highlight w:val="none"/>
        </w:rPr>
        <w:t>不得以任何理由安排</w:t>
      </w:r>
      <w:r>
        <w:rPr>
          <w:rFonts w:hint="eastAsia" w:cs="宋体"/>
          <w:color w:val="auto"/>
          <w:sz w:val="24"/>
          <w:szCs w:val="24"/>
          <w:highlight w:val="none"/>
          <w:lang w:eastAsia="zh-CN"/>
        </w:rPr>
        <w:t>投保人</w:t>
      </w:r>
      <w:r>
        <w:rPr>
          <w:rFonts w:hint="eastAsia" w:ascii="宋体" w:hAnsi="宋体" w:eastAsia="宋体" w:cs="宋体"/>
          <w:color w:val="auto"/>
          <w:sz w:val="24"/>
          <w:szCs w:val="24"/>
          <w:highlight w:val="none"/>
        </w:rPr>
        <w:t>及其工作人员参加宴请（工作餐除外）及娱乐活动。</w:t>
      </w:r>
    </w:p>
    <w:p w14:paraId="6CEE8D34">
      <w:pPr>
        <w:tabs>
          <w:tab w:val="center" w:pos="4153"/>
        </w:tabs>
        <w:adjustRightInd w:val="0"/>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3.4 </w:t>
      </w:r>
      <w:r>
        <w:rPr>
          <w:rFonts w:hint="eastAsia" w:cs="宋体"/>
          <w:color w:val="auto"/>
          <w:sz w:val="24"/>
          <w:szCs w:val="24"/>
          <w:highlight w:val="none"/>
          <w:lang w:eastAsia="zh-CN"/>
        </w:rPr>
        <w:t>保险人</w:t>
      </w:r>
      <w:r>
        <w:rPr>
          <w:rFonts w:hint="eastAsia" w:ascii="宋体" w:hAnsi="宋体" w:eastAsia="宋体" w:cs="宋体"/>
          <w:color w:val="auto"/>
          <w:sz w:val="24"/>
          <w:szCs w:val="24"/>
          <w:highlight w:val="none"/>
        </w:rPr>
        <w:t>不得为</w:t>
      </w:r>
      <w:r>
        <w:rPr>
          <w:rFonts w:hint="eastAsia" w:cs="宋体"/>
          <w:color w:val="auto"/>
          <w:sz w:val="24"/>
          <w:szCs w:val="24"/>
          <w:highlight w:val="none"/>
          <w:lang w:eastAsia="zh-CN"/>
        </w:rPr>
        <w:t>投保人</w:t>
      </w:r>
      <w:r>
        <w:rPr>
          <w:rFonts w:hint="eastAsia" w:ascii="宋体" w:hAnsi="宋体" w:eastAsia="宋体" w:cs="宋体"/>
          <w:color w:val="auto"/>
          <w:sz w:val="24"/>
          <w:szCs w:val="24"/>
          <w:highlight w:val="none"/>
        </w:rPr>
        <w:t>和个人购置或提供通讯工具、交通工具和高档办公用品等。</w:t>
      </w:r>
    </w:p>
    <w:p w14:paraId="6F9DAC1A">
      <w:pPr>
        <w:tabs>
          <w:tab w:val="center" w:pos="4153"/>
        </w:tabs>
        <w:adjustRightInd w:val="0"/>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3.5 </w:t>
      </w:r>
      <w:r>
        <w:rPr>
          <w:rFonts w:hint="eastAsia" w:cs="宋体"/>
          <w:color w:val="auto"/>
          <w:sz w:val="24"/>
          <w:szCs w:val="24"/>
          <w:highlight w:val="none"/>
          <w:lang w:val="zh-CN"/>
        </w:rPr>
        <w:t>保险人</w:t>
      </w:r>
      <w:r>
        <w:rPr>
          <w:rFonts w:hint="eastAsia" w:ascii="宋体" w:hAnsi="宋体" w:eastAsia="宋体" w:cs="宋体"/>
          <w:color w:val="auto"/>
          <w:sz w:val="24"/>
          <w:szCs w:val="24"/>
          <w:highlight w:val="none"/>
          <w:lang w:val="zh-CN"/>
        </w:rPr>
        <w:t>不得为</w:t>
      </w:r>
      <w:r>
        <w:rPr>
          <w:rFonts w:hint="eastAsia" w:cs="宋体"/>
          <w:color w:val="auto"/>
          <w:sz w:val="24"/>
          <w:szCs w:val="24"/>
          <w:highlight w:val="none"/>
          <w:lang w:val="zh-CN"/>
        </w:rPr>
        <w:t>投保人</w:t>
      </w:r>
      <w:r>
        <w:rPr>
          <w:rFonts w:hint="eastAsia" w:ascii="宋体" w:hAnsi="宋体" w:eastAsia="宋体" w:cs="宋体"/>
          <w:color w:val="auto"/>
          <w:sz w:val="24"/>
          <w:szCs w:val="24"/>
          <w:highlight w:val="none"/>
          <w:lang w:val="zh-CN"/>
        </w:rPr>
        <w:t>及其工作人员的住房装修、婚丧嫁娶活动、配偶子女工作安排以及出国出境、旅游等提供方便。</w:t>
      </w:r>
    </w:p>
    <w:p w14:paraId="46CB7C7B">
      <w:pPr>
        <w:adjustRightInd w:val="0"/>
        <w:snapToGrid w:val="0"/>
        <w:spacing w:line="312" w:lineRule="auto"/>
        <w:ind w:firstLine="482" w:firstLineChars="200"/>
        <w:outlineLvl w:val="9"/>
        <w:rPr>
          <w:rFonts w:hint="eastAsia" w:ascii="宋体" w:hAnsi="宋体" w:eastAsia="宋体" w:cs="宋体"/>
          <w:b/>
          <w:bCs/>
          <w:color w:val="auto"/>
          <w:sz w:val="24"/>
          <w:szCs w:val="24"/>
          <w:highlight w:val="none"/>
        </w:rPr>
      </w:pPr>
      <w:bookmarkStart w:id="12" w:name="_Toc13487"/>
      <w:r>
        <w:rPr>
          <w:rFonts w:hint="eastAsia" w:ascii="宋体" w:hAnsi="宋体" w:eastAsia="宋体" w:cs="宋体"/>
          <w:b/>
          <w:bCs/>
          <w:color w:val="auto"/>
          <w:sz w:val="24"/>
          <w:szCs w:val="24"/>
          <w:highlight w:val="none"/>
        </w:rPr>
        <w:t>四、违约责任</w:t>
      </w:r>
      <w:bookmarkEnd w:id="12"/>
    </w:p>
    <w:p w14:paraId="05C18C06">
      <w:pPr>
        <w:tabs>
          <w:tab w:val="center" w:pos="4153"/>
        </w:tabs>
        <w:adjustRightInd w:val="0"/>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 </w:t>
      </w:r>
      <w:r>
        <w:rPr>
          <w:rFonts w:hint="eastAsia" w:cs="宋体"/>
          <w:color w:val="auto"/>
          <w:sz w:val="24"/>
          <w:szCs w:val="24"/>
          <w:highlight w:val="none"/>
          <w:lang w:eastAsia="zh-CN"/>
        </w:rPr>
        <w:t>投保人</w:t>
      </w:r>
      <w:r>
        <w:rPr>
          <w:rFonts w:hint="eastAsia" w:ascii="宋体" w:hAnsi="宋体" w:eastAsia="宋体" w:cs="宋体"/>
          <w:color w:val="auto"/>
          <w:sz w:val="24"/>
          <w:szCs w:val="24"/>
          <w:highlight w:val="none"/>
        </w:rPr>
        <w:t>及其工作人员违反本合同第</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条和第</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条约定，应依据有关规定给予廉政建设规定的处分；涉嫌犯罪的，移交司法机关追究刑事责任；给</w:t>
      </w:r>
      <w:r>
        <w:rPr>
          <w:rFonts w:hint="eastAsia" w:cs="宋体"/>
          <w:color w:val="auto"/>
          <w:sz w:val="24"/>
          <w:szCs w:val="24"/>
          <w:highlight w:val="none"/>
          <w:lang w:eastAsia="zh-CN"/>
        </w:rPr>
        <w:t>保险人</w:t>
      </w:r>
      <w:r>
        <w:rPr>
          <w:rFonts w:hint="eastAsia" w:ascii="宋体" w:hAnsi="宋体" w:eastAsia="宋体" w:cs="宋体"/>
          <w:color w:val="auto"/>
          <w:sz w:val="24"/>
          <w:szCs w:val="24"/>
          <w:highlight w:val="none"/>
        </w:rPr>
        <w:t>造成经济损失的，应予赔偿。</w:t>
      </w:r>
    </w:p>
    <w:p w14:paraId="42806DFC">
      <w:pPr>
        <w:tabs>
          <w:tab w:val="center" w:pos="4153"/>
        </w:tabs>
        <w:adjustRightInd w:val="0"/>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4.2 </w:t>
      </w:r>
      <w:r>
        <w:rPr>
          <w:rFonts w:hint="eastAsia" w:cs="宋体"/>
          <w:color w:val="auto"/>
          <w:sz w:val="24"/>
          <w:szCs w:val="24"/>
          <w:highlight w:val="none"/>
          <w:lang w:val="zh-CN"/>
        </w:rPr>
        <w:t>保险人</w:t>
      </w:r>
      <w:r>
        <w:rPr>
          <w:rFonts w:hint="eastAsia" w:ascii="宋体" w:hAnsi="宋体" w:eastAsia="宋体" w:cs="宋体"/>
          <w:color w:val="auto"/>
          <w:sz w:val="24"/>
          <w:szCs w:val="24"/>
          <w:highlight w:val="none"/>
          <w:lang w:val="zh-CN"/>
        </w:rPr>
        <w:t>及其工作人员违反本合同第</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lang w:val="zh-CN"/>
        </w:rPr>
        <w:t>条和第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lang w:val="zh-CN"/>
        </w:rPr>
        <w:t>条约定，应按照廉政建设的有关规定给予处分；涉嫌犯罪的，移交司法机关追究刑事责任；给</w:t>
      </w:r>
      <w:r>
        <w:rPr>
          <w:rFonts w:hint="eastAsia" w:cs="宋体"/>
          <w:color w:val="auto"/>
          <w:sz w:val="24"/>
          <w:szCs w:val="24"/>
          <w:highlight w:val="none"/>
          <w:lang w:val="zh-CN"/>
        </w:rPr>
        <w:t>投保人</w:t>
      </w:r>
      <w:r>
        <w:rPr>
          <w:rFonts w:hint="eastAsia" w:ascii="宋体" w:hAnsi="宋体" w:eastAsia="宋体" w:cs="宋体"/>
          <w:color w:val="auto"/>
          <w:sz w:val="24"/>
          <w:szCs w:val="24"/>
          <w:highlight w:val="none"/>
          <w:lang w:val="zh-CN"/>
        </w:rPr>
        <w:t>造成损失的，应予赔偿。</w:t>
      </w:r>
    </w:p>
    <w:p w14:paraId="0B45A860">
      <w:pPr>
        <w:adjustRightInd w:val="0"/>
        <w:snapToGrid w:val="0"/>
        <w:spacing w:line="312" w:lineRule="auto"/>
        <w:ind w:firstLine="482" w:firstLineChars="200"/>
        <w:outlineLvl w:val="9"/>
        <w:rPr>
          <w:rFonts w:hint="eastAsia" w:ascii="宋体" w:hAnsi="宋体" w:eastAsia="宋体" w:cs="宋体"/>
          <w:b/>
          <w:bCs/>
          <w:color w:val="auto"/>
          <w:sz w:val="24"/>
          <w:szCs w:val="24"/>
          <w:highlight w:val="none"/>
        </w:rPr>
      </w:pPr>
      <w:bookmarkStart w:id="13" w:name="_Toc30258"/>
      <w:r>
        <w:rPr>
          <w:rFonts w:hint="eastAsia" w:ascii="宋体" w:hAnsi="宋体" w:eastAsia="宋体" w:cs="宋体"/>
          <w:b/>
          <w:bCs/>
          <w:color w:val="auto"/>
          <w:sz w:val="24"/>
          <w:szCs w:val="24"/>
          <w:highlight w:val="none"/>
        </w:rPr>
        <w:t>五、双方约定</w:t>
      </w:r>
      <w:bookmarkEnd w:id="13"/>
    </w:p>
    <w:p w14:paraId="2636009C">
      <w:pPr>
        <w:tabs>
          <w:tab w:val="center" w:pos="4153"/>
        </w:tabs>
        <w:adjustRightInd w:val="0"/>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本合同由合同双方当事人或其主管部门负责监督执行</w:t>
      </w:r>
      <w:r>
        <w:rPr>
          <w:rFonts w:hint="eastAsia" w:ascii="宋体" w:hAnsi="宋体" w:eastAsia="宋体" w:cs="宋体"/>
          <w:color w:val="auto"/>
          <w:sz w:val="24"/>
          <w:szCs w:val="24"/>
          <w:highlight w:val="none"/>
        </w:rPr>
        <w:t>。</w:t>
      </w:r>
    </w:p>
    <w:p w14:paraId="2A137BEA">
      <w:pPr>
        <w:adjustRightInd w:val="0"/>
        <w:snapToGrid w:val="0"/>
        <w:spacing w:line="312" w:lineRule="auto"/>
        <w:ind w:firstLine="482" w:firstLineChars="200"/>
        <w:outlineLvl w:val="9"/>
        <w:rPr>
          <w:rFonts w:hint="eastAsia" w:ascii="宋体" w:hAnsi="宋体" w:eastAsia="宋体" w:cs="宋体"/>
          <w:b/>
          <w:bCs/>
          <w:color w:val="auto"/>
          <w:sz w:val="24"/>
          <w:szCs w:val="24"/>
          <w:highlight w:val="none"/>
        </w:rPr>
      </w:pPr>
      <w:bookmarkStart w:id="14" w:name="_Toc24522"/>
      <w:r>
        <w:rPr>
          <w:rFonts w:hint="eastAsia" w:ascii="宋体" w:hAnsi="宋体" w:eastAsia="宋体" w:cs="宋体"/>
          <w:b/>
          <w:bCs/>
          <w:color w:val="auto"/>
          <w:sz w:val="24"/>
          <w:szCs w:val="24"/>
          <w:highlight w:val="none"/>
        </w:rPr>
        <w:t>六、合同法律效力</w:t>
      </w:r>
      <w:bookmarkEnd w:id="14"/>
    </w:p>
    <w:p w14:paraId="062B2B5D">
      <w:pPr>
        <w:tabs>
          <w:tab w:val="center" w:pos="4153"/>
        </w:tabs>
        <w:adjustRightInd w:val="0"/>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本合同作为</w:t>
      </w:r>
      <w:r>
        <w:rPr>
          <w:rFonts w:hint="eastAsia" w:cs="宋体"/>
          <w:color w:val="auto"/>
          <w:sz w:val="24"/>
          <w:szCs w:val="24"/>
          <w:highlight w:val="none"/>
          <w:lang w:val="en-US" w:eastAsia="zh-CN"/>
        </w:rPr>
        <w:t>广州市增城区仙村镇碧潭村城中村改造项目碧潭新社区工程</w:t>
      </w:r>
      <w:r>
        <w:rPr>
          <w:rFonts w:hint="eastAsia" w:ascii="宋体" w:hAnsi="宋体" w:eastAsia="宋体" w:cs="宋体"/>
          <w:color w:val="auto"/>
          <w:sz w:val="24"/>
          <w:szCs w:val="24"/>
          <w:highlight w:val="none"/>
          <w:u w:val="none"/>
          <w:lang w:val="en-US" w:eastAsia="zh-CN"/>
        </w:rPr>
        <w:t>质量潜在缺陷保险服务</w:t>
      </w:r>
      <w:r>
        <w:rPr>
          <w:rFonts w:hint="eastAsia" w:ascii="宋体" w:hAnsi="宋体" w:eastAsia="宋体"/>
          <w:color w:val="auto"/>
          <w:sz w:val="24"/>
          <w:szCs w:val="24"/>
          <w:highlight w:val="none"/>
          <w:u w:val="none"/>
        </w:rPr>
        <w:t>合</w:t>
      </w:r>
      <w:r>
        <w:rPr>
          <w:rFonts w:hint="eastAsia" w:ascii="宋体" w:hAnsi="宋体" w:eastAsia="宋体"/>
          <w:color w:val="auto"/>
          <w:sz w:val="24"/>
          <w:szCs w:val="24"/>
          <w:highlight w:val="none"/>
          <w:u w:val="single"/>
        </w:rPr>
        <w:t>同</w:t>
      </w:r>
      <w:r>
        <w:rPr>
          <w:rFonts w:hint="eastAsia" w:ascii="宋体" w:hAnsi="宋体" w:eastAsia="宋体" w:cs="宋体"/>
          <w:color w:val="auto"/>
          <w:sz w:val="24"/>
          <w:szCs w:val="24"/>
          <w:highlight w:val="none"/>
        </w:rPr>
        <w:t>的附件，与主合同具有同等的法律效力。</w:t>
      </w:r>
    </w:p>
    <w:p w14:paraId="0B46D6F6">
      <w:pPr>
        <w:adjustRightInd w:val="0"/>
        <w:snapToGrid w:val="0"/>
        <w:spacing w:line="312" w:lineRule="auto"/>
        <w:ind w:firstLine="482" w:firstLineChars="200"/>
        <w:outlineLvl w:val="9"/>
        <w:rPr>
          <w:rFonts w:hint="eastAsia" w:ascii="宋体" w:hAnsi="宋体" w:eastAsia="宋体" w:cs="宋体"/>
          <w:b/>
          <w:bCs/>
          <w:color w:val="auto"/>
          <w:sz w:val="24"/>
          <w:szCs w:val="24"/>
          <w:highlight w:val="none"/>
        </w:rPr>
      </w:pPr>
      <w:bookmarkStart w:id="15" w:name="_Toc17037"/>
      <w:r>
        <w:rPr>
          <w:rFonts w:hint="eastAsia" w:ascii="宋体" w:hAnsi="宋体" w:eastAsia="宋体" w:cs="宋体"/>
          <w:b/>
          <w:bCs/>
          <w:color w:val="auto"/>
          <w:sz w:val="24"/>
          <w:szCs w:val="24"/>
          <w:highlight w:val="none"/>
        </w:rPr>
        <w:t>七、合同份数</w:t>
      </w:r>
      <w:bookmarkEnd w:id="15"/>
    </w:p>
    <w:p w14:paraId="1B216417">
      <w:pPr>
        <w:adjustRightInd w:val="0"/>
        <w:snapToGrid w:val="0"/>
        <w:spacing w:line="312"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本合同</w:t>
      </w:r>
      <w:r>
        <w:rPr>
          <w:rFonts w:hint="eastAsia" w:ascii="宋体" w:hAnsi="宋体" w:cs="宋体"/>
          <w:bCs w:val="0"/>
          <w:snapToGrid w:val="0"/>
          <w:color w:val="auto"/>
          <w:kern w:val="0"/>
          <w:position w:val="0"/>
          <w:sz w:val="24"/>
          <w:szCs w:val="24"/>
          <w:highlight w:val="none"/>
          <w:lang w:val="en-US" w:eastAsia="zh-CN"/>
        </w:rPr>
        <w:t>一式</w:t>
      </w:r>
      <w:r>
        <w:rPr>
          <w:rFonts w:hint="eastAsia" w:ascii="宋体" w:hAnsi="宋体" w:cs="宋体"/>
          <w:bCs w:val="0"/>
          <w:snapToGrid w:val="0"/>
          <w:color w:val="auto"/>
          <w:kern w:val="0"/>
          <w:position w:val="0"/>
          <w:sz w:val="24"/>
          <w:szCs w:val="24"/>
          <w:highlight w:val="none"/>
          <w:u w:val="single"/>
          <w:lang w:val="en-US" w:eastAsia="zh-CN"/>
        </w:rPr>
        <w:t xml:space="preserve"> </w:t>
      </w:r>
      <w:r>
        <w:rPr>
          <w:rFonts w:hint="eastAsia" w:cs="宋体"/>
          <w:bCs w:val="0"/>
          <w:snapToGrid w:val="0"/>
          <w:color w:val="auto"/>
          <w:kern w:val="0"/>
          <w:position w:val="0"/>
          <w:sz w:val="24"/>
          <w:szCs w:val="24"/>
          <w:highlight w:val="none"/>
          <w:u w:val="single"/>
          <w:lang w:val="en-US" w:eastAsia="zh-CN"/>
        </w:rPr>
        <w:t xml:space="preserve">肆 </w:t>
      </w:r>
      <w:r>
        <w:rPr>
          <w:rFonts w:hint="eastAsia" w:ascii="宋体" w:hAnsi="宋体" w:cs="宋体"/>
          <w:bCs w:val="0"/>
          <w:snapToGrid w:val="0"/>
          <w:color w:val="auto"/>
          <w:kern w:val="0"/>
          <w:position w:val="0"/>
          <w:sz w:val="24"/>
          <w:szCs w:val="24"/>
          <w:highlight w:val="none"/>
        </w:rPr>
        <w:t>份，甲乙双方各执</w:t>
      </w:r>
      <w:r>
        <w:rPr>
          <w:rFonts w:hint="eastAsia" w:ascii="宋体" w:hAnsi="宋体" w:cs="宋体"/>
          <w:bCs w:val="0"/>
          <w:snapToGrid w:val="0"/>
          <w:color w:val="auto"/>
          <w:kern w:val="0"/>
          <w:position w:val="0"/>
          <w:sz w:val="24"/>
          <w:szCs w:val="24"/>
          <w:highlight w:val="none"/>
          <w:u w:val="single"/>
          <w:lang w:val="en-US" w:eastAsia="zh-CN"/>
        </w:rPr>
        <w:t xml:space="preserve"> </w:t>
      </w:r>
      <w:r>
        <w:rPr>
          <w:rFonts w:hint="eastAsia" w:cs="宋体"/>
          <w:bCs w:val="0"/>
          <w:snapToGrid w:val="0"/>
          <w:color w:val="auto"/>
          <w:kern w:val="0"/>
          <w:position w:val="0"/>
          <w:sz w:val="24"/>
          <w:szCs w:val="24"/>
          <w:highlight w:val="none"/>
          <w:u w:val="single"/>
          <w:lang w:val="en-US" w:eastAsia="zh-CN"/>
        </w:rPr>
        <w:t xml:space="preserve">贰 </w:t>
      </w:r>
      <w:r>
        <w:rPr>
          <w:rFonts w:hint="eastAsia" w:ascii="宋体" w:hAnsi="宋体" w:cs="宋体"/>
          <w:bCs w:val="0"/>
          <w:snapToGrid w:val="0"/>
          <w:color w:val="auto"/>
          <w:kern w:val="0"/>
          <w:position w:val="0"/>
          <w:sz w:val="24"/>
          <w:szCs w:val="24"/>
          <w:highlight w:val="none"/>
        </w:rPr>
        <w:t>份</w:t>
      </w:r>
      <w:r>
        <w:rPr>
          <w:rFonts w:hint="eastAsia" w:ascii="宋体" w:hAnsi="宋体" w:eastAsia="宋体" w:cs="宋体"/>
          <w:snapToGrid w:val="0"/>
          <w:color w:val="auto"/>
          <w:kern w:val="0"/>
          <w:sz w:val="24"/>
          <w:szCs w:val="24"/>
          <w:highlight w:val="none"/>
        </w:rPr>
        <w:t>。</w:t>
      </w:r>
    </w:p>
    <w:p w14:paraId="2909BCFE">
      <w:pPr>
        <w:adjustRightInd w:val="0"/>
        <w:snapToGrid w:val="0"/>
        <w:spacing w:line="312" w:lineRule="auto"/>
        <w:rPr>
          <w:rFonts w:hint="eastAsia" w:ascii="宋体" w:hAnsi="宋体" w:eastAsia="宋体" w:cs="宋体"/>
          <w:snapToGrid w:val="0"/>
          <w:color w:val="auto"/>
          <w:kern w:val="0"/>
          <w:sz w:val="24"/>
          <w:szCs w:val="24"/>
          <w:highlight w:val="none"/>
          <w:lang w:eastAsia="zh-CN"/>
        </w:rPr>
      </w:pPr>
    </w:p>
    <w:p w14:paraId="434313B2">
      <w:pPr>
        <w:pStyle w:val="9"/>
        <w:adjustRightInd w:val="0"/>
        <w:snapToGrid w:val="0"/>
        <w:spacing w:line="312" w:lineRule="auto"/>
        <w:rPr>
          <w:rFonts w:hint="eastAsia" w:hAnsi="宋体"/>
          <w:color w:val="auto"/>
          <w:highlight w:val="none"/>
          <w:lang w:eastAsia="zh-CN"/>
        </w:rPr>
      </w:pPr>
    </w:p>
    <w:p w14:paraId="38B652E7">
      <w:pPr>
        <w:keepNext w:val="0"/>
        <w:keepLines w:val="0"/>
        <w:pageBreakBefore w:val="0"/>
        <w:widowControl w:val="0"/>
        <w:kinsoku/>
        <w:wordWrap/>
        <w:overflowPunct/>
        <w:topLinePunct w:val="0"/>
        <w:autoSpaceDE w:val="0"/>
        <w:autoSpaceDN w:val="0"/>
        <w:bidi w:val="0"/>
        <w:adjustRightInd/>
        <w:snapToGrid/>
        <w:spacing w:line="312" w:lineRule="auto"/>
        <w:ind w:left="1920" w:hanging="1920" w:hangingChars="800"/>
        <w:jc w:val="left"/>
        <w:textAlignment w:val="auto"/>
        <w:rPr>
          <w:rFonts w:hint="eastAsia" w:cs="宋体"/>
          <w:color w:val="auto"/>
          <w:sz w:val="21"/>
          <w:szCs w:val="21"/>
          <w:highlight w:val="none"/>
          <w:lang w:eastAsia="zh-CN"/>
        </w:rPr>
      </w:pPr>
      <w:r>
        <w:rPr>
          <w:rFonts w:hint="eastAsia" w:ascii="宋体" w:hAnsi="宋体" w:cs="宋体"/>
          <w:color w:val="auto"/>
          <w:sz w:val="24"/>
          <w:szCs w:val="24"/>
          <w:highlight w:val="none"/>
        </w:rPr>
        <w:t>甲</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方（公章）：</w:t>
      </w:r>
      <w:r>
        <w:rPr>
          <w:rFonts w:hint="eastAsia" w:ascii="宋体" w:hAnsi="宋体" w:cs="宋体"/>
          <w:color w:val="auto"/>
          <w:sz w:val="21"/>
          <w:szCs w:val="21"/>
          <w:highlight w:val="none"/>
        </w:rPr>
        <w:t xml:space="preserve"> </w:t>
      </w:r>
      <w:r>
        <w:rPr>
          <w:rFonts w:hint="eastAsia" w:ascii="宋体" w:hAnsi="宋体" w:cs="宋体"/>
          <w:color w:val="auto"/>
          <w:sz w:val="24"/>
          <w:szCs w:val="24"/>
          <w:highlight w:val="none"/>
        </w:rPr>
        <w:t xml:space="preserve"> </w:t>
      </w:r>
      <w:r>
        <w:rPr>
          <w:rFonts w:hint="eastAsia"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乙</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方（公章）：</w:t>
      </w:r>
    </w:p>
    <w:p w14:paraId="335BECBB">
      <w:pPr>
        <w:adjustRightInd/>
        <w:snapToGrid/>
        <w:spacing w:line="312" w:lineRule="auto"/>
        <w:ind w:left="0" w:leftChars="0" w:firstLine="1890" w:firstLineChars="900"/>
        <w:jc w:val="left"/>
        <w:outlineLvl w:val="9"/>
        <w:rPr>
          <w:rFonts w:hint="eastAsia" w:cs="宋体"/>
          <w:color w:val="auto"/>
          <w:kern w:val="0"/>
          <w:sz w:val="21"/>
          <w:szCs w:val="21"/>
          <w:highlight w:val="none"/>
          <w:u w:val="none"/>
          <w:lang w:val="en-US" w:eastAsia="zh-CN"/>
        </w:rPr>
      </w:pPr>
      <w:r>
        <w:rPr>
          <w:rFonts w:hint="eastAsia" w:cs="宋体"/>
          <w:color w:val="auto"/>
          <w:kern w:val="0"/>
          <w:sz w:val="21"/>
          <w:szCs w:val="21"/>
          <w:highlight w:val="none"/>
          <w:u w:val="none"/>
          <w:lang w:val="en-US" w:eastAsia="zh-CN"/>
        </w:rPr>
        <w:t xml:space="preserve">              </w:t>
      </w:r>
    </w:p>
    <w:p w14:paraId="34DC9FE0">
      <w:pPr>
        <w:adjustRightInd/>
        <w:snapToGrid/>
        <w:spacing w:line="312" w:lineRule="auto"/>
        <w:ind w:left="0" w:leftChars="0" w:firstLine="1890" w:firstLineChars="900"/>
        <w:jc w:val="left"/>
        <w:outlineLvl w:val="9"/>
        <w:rPr>
          <w:rFonts w:hint="eastAsia" w:cs="宋体"/>
          <w:color w:val="auto"/>
          <w:kern w:val="0"/>
          <w:sz w:val="21"/>
          <w:szCs w:val="21"/>
          <w:highlight w:val="none"/>
          <w:u w:val="none"/>
          <w:lang w:val="en-US" w:eastAsia="zh-CN"/>
        </w:rPr>
      </w:pPr>
    </w:p>
    <w:p w14:paraId="2C6FAE54">
      <w:pPr>
        <w:adjustRightInd/>
        <w:snapToGrid/>
        <w:spacing w:line="312" w:lineRule="auto"/>
        <w:ind w:left="0" w:leftChars="0" w:firstLine="1890" w:firstLineChars="900"/>
        <w:jc w:val="left"/>
        <w:outlineLvl w:val="9"/>
        <w:rPr>
          <w:rFonts w:hint="eastAsia" w:ascii="宋体" w:hAnsi="宋体" w:eastAsia="宋体" w:cs="宋体"/>
          <w:snapToGrid w:val="0"/>
          <w:color w:val="auto"/>
          <w:kern w:val="0"/>
          <w:sz w:val="24"/>
          <w:szCs w:val="24"/>
          <w:highlight w:val="none"/>
        </w:rPr>
      </w:pPr>
      <w:r>
        <w:rPr>
          <w:rFonts w:hint="eastAsia" w:cs="宋体"/>
          <w:color w:val="auto"/>
          <w:kern w:val="0"/>
          <w:sz w:val="21"/>
          <w:szCs w:val="21"/>
          <w:highlight w:val="none"/>
          <w:u w:val="none"/>
          <w:lang w:val="en-US" w:eastAsia="zh-CN"/>
        </w:rPr>
        <w:t xml:space="preserve">              </w:t>
      </w:r>
    </w:p>
    <w:p w14:paraId="279AB47B">
      <w:pPr>
        <w:adjustRightInd w:val="0"/>
        <w:snapToGrid w:val="0"/>
        <w:spacing w:line="312" w:lineRule="auto"/>
        <w:jc w:val="center"/>
        <w:outlineLvl w:val="9"/>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签订日期：</w:t>
      </w:r>
      <w:r>
        <w:rPr>
          <w:rFonts w:hint="eastAsia" w:cs="宋体"/>
          <w:snapToGrid w:val="0"/>
          <w:color w:val="auto"/>
          <w:kern w:val="0"/>
          <w:sz w:val="24"/>
          <w:szCs w:val="24"/>
          <w:highlight w:val="none"/>
          <w:lang w:val="en-US" w:eastAsia="zh-CN"/>
        </w:rPr>
        <w:t>2025</w:t>
      </w:r>
      <w:r>
        <w:rPr>
          <w:rFonts w:hint="eastAsia" w:ascii="宋体" w:hAnsi="宋体" w:eastAsia="宋体" w:cs="宋体"/>
          <w:snapToGrid w:val="0"/>
          <w:color w:val="auto"/>
          <w:kern w:val="0"/>
          <w:sz w:val="24"/>
          <w:szCs w:val="24"/>
          <w:highlight w:val="none"/>
        </w:rPr>
        <w:t>年</w:t>
      </w:r>
      <w:r>
        <w:rPr>
          <w:rFonts w:hint="eastAsia"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rPr>
        <w:t>月</w:t>
      </w:r>
      <w:r>
        <w:rPr>
          <w:rFonts w:hint="eastAsia"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lang w:eastAsia="zh-CN"/>
        </w:rPr>
        <w:t>日</w:t>
      </w:r>
    </w:p>
    <w:p w14:paraId="18986890">
      <w:pPr>
        <w:pStyle w:val="8"/>
        <w:spacing w:before="11"/>
        <w:ind w:left="0" w:firstLine="0"/>
        <w:rPr>
          <w:rFonts w:hint="eastAsia"/>
          <w:color w:val="auto"/>
          <w:sz w:val="39"/>
          <w:highlight w:val="none"/>
          <w:lang w:eastAsia="zh-CN"/>
        </w:rPr>
      </w:pPr>
    </w:p>
    <w:p w14:paraId="2FFD77CE">
      <w:pPr>
        <w:pStyle w:val="8"/>
        <w:spacing w:before="11"/>
        <w:ind w:left="0" w:firstLine="0"/>
        <w:rPr>
          <w:rFonts w:hint="eastAsia"/>
          <w:color w:val="auto"/>
          <w:sz w:val="39"/>
          <w:highlight w:val="none"/>
          <w:lang w:eastAsia="zh-CN"/>
        </w:rPr>
      </w:pPr>
    </w:p>
    <w:p w14:paraId="7A361CA3">
      <w:pPr>
        <w:pStyle w:val="8"/>
        <w:spacing w:before="11"/>
        <w:ind w:left="0" w:firstLine="0"/>
        <w:rPr>
          <w:rFonts w:hint="eastAsia"/>
          <w:color w:val="auto"/>
          <w:sz w:val="39"/>
          <w:highlight w:val="none"/>
          <w:lang w:eastAsia="zh-CN"/>
        </w:rPr>
      </w:pPr>
    </w:p>
    <w:p w14:paraId="372F3F72">
      <w:pPr>
        <w:pStyle w:val="8"/>
        <w:adjustRightInd w:val="0"/>
        <w:snapToGrid w:val="0"/>
        <w:spacing w:line="312" w:lineRule="auto"/>
        <w:ind w:left="0" w:firstLine="0"/>
        <w:contextualSpacing/>
        <w:jc w:val="both"/>
        <w:outlineLvl w:val="9"/>
        <w:rPr>
          <w:rFonts w:hint="eastAsia"/>
          <w:color w:val="auto"/>
          <w:spacing w:val="-20"/>
          <w:highlight w:val="none"/>
          <w:lang w:eastAsia="zh-CN"/>
        </w:rPr>
      </w:pPr>
    </w:p>
    <w:p w14:paraId="0FE3766E">
      <w:pPr>
        <w:pStyle w:val="8"/>
        <w:adjustRightInd w:val="0"/>
        <w:snapToGrid w:val="0"/>
        <w:spacing w:line="312" w:lineRule="auto"/>
        <w:ind w:left="0" w:firstLine="0"/>
        <w:contextualSpacing/>
        <w:jc w:val="both"/>
        <w:outlineLvl w:val="9"/>
        <w:rPr>
          <w:rFonts w:hint="eastAsia" w:ascii="宋体" w:hAnsi="宋体" w:eastAsia="宋体" w:cs="宋体"/>
          <w:b/>
          <w:color w:val="auto"/>
          <w:sz w:val="32"/>
          <w:szCs w:val="32"/>
          <w:highlight w:val="none"/>
        </w:rPr>
      </w:pPr>
      <w:r>
        <w:rPr>
          <w:rFonts w:hint="eastAsia"/>
          <w:color w:val="auto"/>
          <w:spacing w:val="-20"/>
          <w:highlight w:val="none"/>
          <w:lang w:eastAsia="zh-CN"/>
        </w:rPr>
        <w:t xml:space="preserve">附件 </w:t>
      </w:r>
      <w:r>
        <w:rPr>
          <w:rFonts w:hint="eastAsia"/>
          <w:color w:val="auto"/>
          <w:spacing w:val="-20"/>
          <w:highlight w:val="none"/>
          <w:lang w:val="en-US" w:eastAsia="zh-CN"/>
        </w:rPr>
        <w:t>3</w:t>
      </w:r>
      <w:r>
        <w:rPr>
          <w:rFonts w:hint="eastAsia"/>
          <w:color w:val="auto"/>
          <w:highlight w:val="none"/>
          <w:lang w:eastAsia="zh-CN"/>
        </w:rPr>
        <w:t>：</w:t>
      </w:r>
    </w:p>
    <w:p w14:paraId="41BF09E8">
      <w:pPr>
        <w:adjustRightInd w:val="0"/>
        <w:snapToGrid w:val="0"/>
        <w:spacing w:line="240" w:lineRule="auto"/>
        <w:contextualSpacing/>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保密协议</w:t>
      </w:r>
    </w:p>
    <w:p w14:paraId="4FB02EE7">
      <w:pPr>
        <w:autoSpaceDE w:val="0"/>
        <w:autoSpaceDN w:val="0"/>
        <w:spacing w:line="360" w:lineRule="auto"/>
        <w:ind w:firstLine="540"/>
        <w:rPr>
          <w:rFonts w:hint="eastAsia" w:ascii="宋体" w:hAnsi="宋体" w:cs="宋体"/>
          <w:color w:val="auto"/>
          <w:sz w:val="21"/>
          <w:szCs w:val="21"/>
          <w:highlight w:val="none"/>
          <w:lang w:val="zh-CN"/>
        </w:rPr>
      </w:pPr>
    </w:p>
    <w:p w14:paraId="257D64C6">
      <w:pPr>
        <w:autoSpaceDE w:val="0"/>
        <w:autoSpaceDN w:val="0"/>
        <w:spacing w:line="312" w:lineRule="auto"/>
        <w:ind w:firstLine="540"/>
        <w:rPr>
          <w:rFonts w:hint="eastAsia" w:ascii="宋体" w:hAnsi="宋体" w:cs="宋体"/>
          <w:color w:val="auto"/>
          <w:sz w:val="24"/>
          <w:szCs w:val="24"/>
          <w:highlight w:val="none"/>
          <w:u w:val="single"/>
        </w:rPr>
      </w:pPr>
      <w:r>
        <w:rPr>
          <w:rFonts w:hint="eastAsia" w:cs="宋体"/>
          <w:color w:val="auto"/>
          <w:sz w:val="24"/>
          <w:szCs w:val="24"/>
          <w:highlight w:val="none"/>
          <w:lang w:val="zh-CN"/>
        </w:rPr>
        <w:t>投保人</w:t>
      </w:r>
      <w:r>
        <w:rPr>
          <w:rFonts w:hint="eastAsia" w:ascii="宋体" w:hAnsi="宋体" w:cs="宋体"/>
          <w:color w:val="auto"/>
          <w:sz w:val="24"/>
          <w:szCs w:val="24"/>
          <w:highlight w:val="none"/>
          <w:lang w:val="zh-CN"/>
        </w:rPr>
        <w:t>：</w:t>
      </w:r>
      <w:r>
        <w:rPr>
          <w:rFonts w:hint="eastAsia" w:cs="宋体"/>
          <w:color w:val="auto"/>
          <w:sz w:val="24"/>
          <w:szCs w:val="24"/>
          <w:highlight w:val="none"/>
          <w:u w:val="single"/>
          <w:lang w:val="en-US" w:eastAsia="zh-CN"/>
        </w:rPr>
        <w:t xml:space="preserve">广州市增城区公共建设项目管理服务中心 </w:t>
      </w:r>
    </w:p>
    <w:p w14:paraId="706380B0">
      <w:pPr>
        <w:autoSpaceDE w:val="0"/>
        <w:autoSpaceDN w:val="0"/>
        <w:spacing w:line="312" w:lineRule="auto"/>
        <w:ind w:firstLine="540"/>
        <w:rPr>
          <w:rFonts w:hint="eastAsia" w:ascii="宋体" w:hAnsi="宋体" w:cs="宋体"/>
          <w:color w:val="auto"/>
          <w:sz w:val="21"/>
          <w:szCs w:val="21"/>
          <w:highlight w:val="none"/>
        </w:rPr>
      </w:pPr>
      <w:r>
        <w:rPr>
          <w:rFonts w:hint="eastAsia" w:cs="宋体"/>
          <w:color w:val="auto"/>
          <w:sz w:val="24"/>
          <w:szCs w:val="24"/>
          <w:highlight w:val="none"/>
          <w:lang w:val="zh-CN"/>
        </w:rPr>
        <w:t>保险人</w:t>
      </w:r>
      <w:r>
        <w:rPr>
          <w:rFonts w:hint="eastAsia" w:ascii="宋体" w:hAnsi="宋体" w:cs="宋体"/>
          <w:color w:val="auto"/>
          <w:sz w:val="24"/>
          <w:szCs w:val="24"/>
          <w:highlight w:val="none"/>
          <w:lang w:val="zh-CN"/>
        </w:rPr>
        <w:t>：</w:t>
      </w:r>
      <w:r>
        <w:rPr>
          <w:rFonts w:hint="eastAsia" w:cs="宋体"/>
          <w:b w:val="0"/>
          <w:bCs w:val="0"/>
          <w:color w:val="auto"/>
          <w:sz w:val="24"/>
          <w:szCs w:val="24"/>
          <w:highlight w:val="none"/>
          <w:u w:val="single"/>
          <w:lang w:val="en-US" w:eastAsia="zh-CN"/>
        </w:rPr>
        <w:t xml:space="preserve">                                 </w:t>
      </w:r>
    </w:p>
    <w:p w14:paraId="04C6DB61">
      <w:pPr>
        <w:autoSpaceDE w:val="0"/>
        <w:autoSpaceDN w:val="0"/>
        <w:spacing w:line="312" w:lineRule="auto"/>
        <w:ind w:firstLine="540"/>
        <w:rPr>
          <w:rFonts w:hint="eastAsia" w:ascii="宋体" w:hAnsi="宋体" w:cs="宋体"/>
          <w:color w:val="auto"/>
          <w:sz w:val="24"/>
          <w:szCs w:val="24"/>
          <w:highlight w:val="none"/>
        </w:rPr>
      </w:pPr>
      <w:r>
        <w:rPr>
          <w:rFonts w:hint="eastAsia" w:cs="宋体"/>
          <w:color w:val="auto"/>
          <w:sz w:val="24"/>
          <w:szCs w:val="24"/>
          <w:highlight w:val="none"/>
          <w:lang w:eastAsia="zh-CN"/>
        </w:rPr>
        <w:t>保险人</w:t>
      </w:r>
      <w:r>
        <w:rPr>
          <w:rFonts w:hint="eastAsia" w:ascii="宋体" w:hAnsi="宋体" w:cs="宋体"/>
          <w:color w:val="auto"/>
          <w:sz w:val="24"/>
          <w:szCs w:val="24"/>
          <w:highlight w:val="none"/>
        </w:rPr>
        <w:t>作为</w:t>
      </w:r>
      <w:r>
        <w:rPr>
          <w:rFonts w:hint="eastAsia" w:cs="宋体"/>
          <w:color w:val="auto"/>
          <w:sz w:val="24"/>
          <w:szCs w:val="24"/>
          <w:highlight w:val="none"/>
          <w:lang w:eastAsia="zh-CN"/>
        </w:rPr>
        <w:t>投保人</w:t>
      </w:r>
      <w:r>
        <w:rPr>
          <w:rFonts w:hint="eastAsia" w:ascii="宋体" w:hAnsi="宋体" w:cs="宋体"/>
          <w:color w:val="auto"/>
          <w:sz w:val="24"/>
          <w:szCs w:val="24"/>
          <w:highlight w:val="none"/>
        </w:rPr>
        <w:t>服务单位，</w:t>
      </w:r>
      <w:r>
        <w:rPr>
          <w:rFonts w:hint="eastAsia" w:cs="宋体"/>
          <w:color w:val="auto"/>
          <w:sz w:val="24"/>
          <w:szCs w:val="24"/>
          <w:highlight w:val="none"/>
          <w:lang w:eastAsia="zh-CN"/>
        </w:rPr>
        <w:t>保险人</w:t>
      </w:r>
      <w:r>
        <w:rPr>
          <w:rFonts w:hint="eastAsia" w:ascii="宋体" w:hAnsi="宋体" w:cs="宋体"/>
          <w:color w:val="auto"/>
          <w:sz w:val="24"/>
          <w:szCs w:val="24"/>
          <w:highlight w:val="none"/>
        </w:rPr>
        <w:t>同意遵守</w:t>
      </w:r>
      <w:r>
        <w:rPr>
          <w:rFonts w:hint="eastAsia" w:cs="宋体"/>
          <w:color w:val="auto"/>
          <w:sz w:val="24"/>
          <w:szCs w:val="24"/>
          <w:highlight w:val="none"/>
          <w:lang w:eastAsia="zh-CN"/>
        </w:rPr>
        <w:t>投保人</w:t>
      </w:r>
      <w:r>
        <w:rPr>
          <w:rFonts w:hint="eastAsia" w:ascii="宋体" w:hAnsi="宋体" w:cs="宋体"/>
          <w:color w:val="auto"/>
          <w:sz w:val="24"/>
          <w:szCs w:val="24"/>
          <w:highlight w:val="none"/>
        </w:rPr>
        <w:t>下列保密条款：</w:t>
      </w:r>
    </w:p>
    <w:p w14:paraId="3229CA38">
      <w:pPr>
        <w:spacing w:line="312"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一、保密信息的范围</w:t>
      </w:r>
    </w:p>
    <w:p w14:paraId="5B1D57D4">
      <w:pPr>
        <w:autoSpaceDE w:val="0"/>
        <w:autoSpaceDN w:val="0"/>
        <w:spacing w:line="312" w:lineRule="auto"/>
        <w:ind w:firstLine="54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“保密信息”在本保密协议中是指</w:t>
      </w:r>
      <w:r>
        <w:rPr>
          <w:rFonts w:hint="eastAsia" w:cs="宋体"/>
          <w:color w:val="auto"/>
          <w:sz w:val="24"/>
          <w:szCs w:val="24"/>
          <w:highlight w:val="none"/>
          <w:lang w:eastAsia="zh-CN"/>
        </w:rPr>
        <w:t>保险人</w:t>
      </w:r>
      <w:r>
        <w:rPr>
          <w:rFonts w:hint="eastAsia" w:ascii="宋体" w:hAnsi="宋体" w:cs="宋体"/>
          <w:color w:val="auto"/>
          <w:sz w:val="24"/>
          <w:szCs w:val="24"/>
          <w:highlight w:val="none"/>
        </w:rPr>
        <w:t>在为</w:t>
      </w:r>
      <w:r>
        <w:rPr>
          <w:rFonts w:hint="eastAsia" w:cs="宋体"/>
          <w:color w:val="auto"/>
          <w:sz w:val="24"/>
          <w:szCs w:val="24"/>
          <w:highlight w:val="none"/>
          <w:lang w:eastAsia="zh-CN"/>
        </w:rPr>
        <w:t>投保人</w:t>
      </w:r>
      <w:r>
        <w:rPr>
          <w:rFonts w:hint="eastAsia" w:ascii="宋体" w:hAnsi="宋体" w:cs="宋体"/>
          <w:color w:val="auto"/>
          <w:sz w:val="24"/>
          <w:szCs w:val="24"/>
          <w:highlight w:val="none"/>
        </w:rPr>
        <w:t>提供服务工作的过程中所获取的重要工作信息。</w:t>
      </w:r>
      <w:r>
        <w:rPr>
          <w:rFonts w:hint="eastAsia" w:ascii="宋体" w:hAnsi="宋体" w:cs="宋体"/>
          <w:color w:val="auto"/>
          <w:sz w:val="24"/>
          <w:szCs w:val="24"/>
          <w:highlight w:val="none"/>
          <w:lang w:val="zh-CN"/>
        </w:rPr>
        <w:t>该保密信息包括但不限于投资计划、项目规模、项目计划、项目相关数据和图纸、</w:t>
      </w:r>
      <w:r>
        <w:rPr>
          <w:rFonts w:hint="eastAsia" w:cs="宋体"/>
          <w:color w:val="auto"/>
          <w:sz w:val="24"/>
          <w:szCs w:val="24"/>
          <w:highlight w:val="none"/>
          <w:lang w:val="en-US" w:eastAsia="zh-CN"/>
        </w:rPr>
        <w:t>招标</w:t>
      </w:r>
      <w:r>
        <w:rPr>
          <w:rFonts w:hint="eastAsia" w:ascii="宋体" w:hAnsi="宋体" w:cs="宋体"/>
          <w:color w:val="auto"/>
          <w:sz w:val="24"/>
          <w:szCs w:val="24"/>
          <w:highlight w:val="none"/>
          <w:lang w:val="zh-CN"/>
        </w:rPr>
        <w:t>文件资料及信息、合同、价格、成本、研究报告、会议资料和文件。</w:t>
      </w:r>
    </w:p>
    <w:p w14:paraId="552A89A4">
      <w:pPr>
        <w:autoSpaceDE w:val="0"/>
        <w:autoSpaceDN w:val="0"/>
        <w:spacing w:line="312"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不论以何种形式或载于何种载体，无论在披露时是否以口头、图像或以书面方式表明其具有保密性，都视为</w:t>
      </w:r>
      <w:r>
        <w:rPr>
          <w:rFonts w:hint="eastAsia" w:cs="宋体"/>
          <w:color w:val="auto"/>
          <w:sz w:val="24"/>
          <w:szCs w:val="24"/>
          <w:highlight w:val="none"/>
          <w:lang w:eastAsia="zh-CN"/>
        </w:rPr>
        <w:t>投保人</w:t>
      </w:r>
      <w:r>
        <w:rPr>
          <w:rFonts w:hint="eastAsia" w:ascii="宋体" w:hAnsi="宋体" w:cs="宋体"/>
          <w:color w:val="auto"/>
          <w:sz w:val="24"/>
          <w:szCs w:val="24"/>
          <w:highlight w:val="none"/>
        </w:rPr>
        <w:t>的保密信息。</w:t>
      </w:r>
    </w:p>
    <w:p w14:paraId="1AB153C6">
      <w:pPr>
        <w:spacing w:line="312"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w:t>
      </w:r>
      <w:r>
        <w:rPr>
          <w:rFonts w:hint="eastAsia" w:cs="宋体"/>
          <w:b/>
          <w:bCs/>
          <w:color w:val="auto"/>
          <w:sz w:val="24"/>
          <w:szCs w:val="24"/>
          <w:highlight w:val="none"/>
          <w:lang w:eastAsia="zh-CN"/>
        </w:rPr>
        <w:t>保险人</w:t>
      </w:r>
      <w:r>
        <w:rPr>
          <w:rFonts w:hint="eastAsia" w:ascii="宋体" w:hAnsi="宋体" w:cs="宋体"/>
          <w:b/>
          <w:bCs/>
          <w:color w:val="auto"/>
          <w:sz w:val="24"/>
          <w:szCs w:val="24"/>
          <w:highlight w:val="none"/>
        </w:rPr>
        <w:t>的保密义务</w:t>
      </w:r>
    </w:p>
    <w:p w14:paraId="560C0911">
      <w:pPr>
        <w:autoSpaceDE w:val="0"/>
        <w:autoSpaceDN w:val="0"/>
        <w:spacing w:line="312" w:lineRule="auto"/>
        <w:ind w:firstLine="540"/>
        <w:rPr>
          <w:rFonts w:hint="eastAsia" w:ascii="宋体" w:hAnsi="宋体" w:cs="宋体"/>
          <w:color w:val="auto"/>
          <w:sz w:val="24"/>
          <w:szCs w:val="24"/>
          <w:highlight w:val="none"/>
        </w:rPr>
      </w:pPr>
      <w:r>
        <w:rPr>
          <w:rFonts w:hint="eastAsia" w:cs="宋体"/>
          <w:color w:val="auto"/>
          <w:sz w:val="24"/>
          <w:szCs w:val="24"/>
          <w:highlight w:val="none"/>
          <w:lang w:eastAsia="zh-CN"/>
        </w:rPr>
        <w:t>保险人</w:t>
      </w:r>
      <w:r>
        <w:rPr>
          <w:rFonts w:hint="eastAsia" w:ascii="宋体" w:hAnsi="宋体" w:cs="宋体"/>
          <w:color w:val="auto"/>
          <w:sz w:val="24"/>
          <w:szCs w:val="24"/>
          <w:highlight w:val="none"/>
        </w:rPr>
        <w:t>对已知悉的</w:t>
      </w:r>
      <w:r>
        <w:rPr>
          <w:rFonts w:hint="eastAsia" w:cs="宋体"/>
          <w:color w:val="auto"/>
          <w:sz w:val="24"/>
          <w:szCs w:val="24"/>
          <w:highlight w:val="none"/>
          <w:lang w:eastAsia="zh-CN"/>
        </w:rPr>
        <w:t>投保人</w:t>
      </w:r>
      <w:r>
        <w:rPr>
          <w:rFonts w:hint="eastAsia" w:ascii="宋体" w:hAnsi="宋体" w:cs="宋体"/>
          <w:color w:val="auto"/>
          <w:sz w:val="24"/>
          <w:szCs w:val="24"/>
          <w:highlight w:val="none"/>
        </w:rPr>
        <w:t>保密信息，在此同意：</w:t>
      </w:r>
    </w:p>
    <w:p w14:paraId="5E18EAD4">
      <w:pPr>
        <w:autoSpaceDE w:val="0"/>
        <w:autoSpaceDN w:val="0"/>
        <w:spacing w:line="312"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（一）未经</w:t>
      </w:r>
      <w:r>
        <w:rPr>
          <w:rFonts w:hint="eastAsia" w:cs="宋体"/>
          <w:color w:val="auto"/>
          <w:sz w:val="24"/>
          <w:szCs w:val="24"/>
          <w:highlight w:val="none"/>
          <w:lang w:eastAsia="zh-CN"/>
        </w:rPr>
        <w:t>投保人</w:t>
      </w:r>
      <w:r>
        <w:rPr>
          <w:rFonts w:hint="eastAsia" w:ascii="宋体" w:hAnsi="宋体" w:cs="宋体"/>
          <w:color w:val="auto"/>
          <w:sz w:val="24"/>
          <w:szCs w:val="24"/>
          <w:highlight w:val="none"/>
        </w:rPr>
        <w:t>事前书面批准，不论服务期间或以后，</w:t>
      </w:r>
      <w:r>
        <w:rPr>
          <w:rFonts w:hint="eastAsia" w:cs="宋体"/>
          <w:color w:val="auto"/>
          <w:sz w:val="24"/>
          <w:szCs w:val="24"/>
          <w:highlight w:val="none"/>
          <w:lang w:eastAsia="zh-CN"/>
        </w:rPr>
        <w:t>保险人</w:t>
      </w:r>
      <w:r>
        <w:rPr>
          <w:rFonts w:hint="eastAsia" w:ascii="宋体" w:hAnsi="宋体" w:cs="宋体"/>
          <w:color w:val="auto"/>
          <w:sz w:val="24"/>
          <w:szCs w:val="24"/>
          <w:highlight w:val="none"/>
        </w:rPr>
        <w:t>及其工作人员不得以任何方式泄漏</w:t>
      </w:r>
      <w:r>
        <w:rPr>
          <w:rFonts w:hint="eastAsia" w:cs="宋体"/>
          <w:color w:val="auto"/>
          <w:sz w:val="24"/>
          <w:szCs w:val="24"/>
          <w:highlight w:val="none"/>
          <w:lang w:eastAsia="zh-CN"/>
        </w:rPr>
        <w:t>投保人</w:t>
      </w:r>
      <w:r>
        <w:rPr>
          <w:rFonts w:hint="eastAsia" w:ascii="宋体" w:hAnsi="宋体" w:cs="宋体"/>
          <w:color w:val="auto"/>
          <w:sz w:val="24"/>
          <w:szCs w:val="24"/>
          <w:highlight w:val="none"/>
        </w:rPr>
        <w:t>的保密信息。</w:t>
      </w:r>
    </w:p>
    <w:p w14:paraId="01B87659">
      <w:pPr>
        <w:autoSpaceDE w:val="0"/>
        <w:autoSpaceDN w:val="0"/>
        <w:spacing w:line="312"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（二）一旦服务工作终止，</w:t>
      </w:r>
      <w:r>
        <w:rPr>
          <w:rFonts w:hint="eastAsia" w:cs="宋体"/>
          <w:color w:val="auto"/>
          <w:sz w:val="24"/>
          <w:szCs w:val="24"/>
          <w:highlight w:val="none"/>
          <w:lang w:eastAsia="zh-CN"/>
        </w:rPr>
        <w:t>保险人</w:t>
      </w:r>
      <w:r>
        <w:rPr>
          <w:rFonts w:hint="eastAsia" w:ascii="宋体" w:hAnsi="宋体" w:cs="宋体"/>
          <w:color w:val="auto"/>
          <w:sz w:val="24"/>
          <w:szCs w:val="24"/>
          <w:highlight w:val="none"/>
        </w:rPr>
        <w:t>及其工作人员将退还保存的属于</w:t>
      </w:r>
      <w:r>
        <w:rPr>
          <w:rFonts w:hint="eastAsia" w:cs="宋体"/>
          <w:color w:val="auto"/>
          <w:sz w:val="24"/>
          <w:szCs w:val="24"/>
          <w:highlight w:val="none"/>
          <w:lang w:eastAsia="zh-CN"/>
        </w:rPr>
        <w:t>投保人</w:t>
      </w:r>
      <w:r>
        <w:rPr>
          <w:rFonts w:hint="eastAsia" w:ascii="宋体" w:hAnsi="宋体" w:cs="宋体"/>
          <w:color w:val="auto"/>
          <w:sz w:val="24"/>
          <w:szCs w:val="24"/>
          <w:highlight w:val="none"/>
        </w:rPr>
        <w:t>的所有保密信息及资料，如方案、制度、报告、合同等。</w:t>
      </w:r>
    </w:p>
    <w:p w14:paraId="64BE0D64">
      <w:pPr>
        <w:spacing w:line="312"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三、保密期限</w:t>
      </w:r>
    </w:p>
    <w:p w14:paraId="28460E0B">
      <w:pPr>
        <w:autoSpaceDE w:val="0"/>
        <w:autoSpaceDN w:val="0"/>
        <w:spacing w:line="312"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保密期限包括但不限于：从获知</w:t>
      </w:r>
      <w:r>
        <w:rPr>
          <w:rFonts w:hint="eastAsia" w:cs="宋体"/>
          <w:color w:val="auto"/>
          <w:sz w:val="24"/>
          <w:szCs w:val="24"/>
          <w:highlight w:val="none"/>
          <w:lang w:eastAsia="zh-CN"/>
        </w:rPr>
        <w:t>投保人</w:t>
      </w:r>
      <w:r>
        <w:rPr>
          <w:rFonts w:hint="eastAsia" w:ascii="宋体" w:hAnsi="宋体" w:cs="宋体"/>
          <w:color w:val="auto"/>
          <w:sz w:val="24"/>
          <w:szCs w:val="24"/>
          <w:highlight w:val="none"/>
        </w:rPr>
        <w:t>保密信息时起，至保密信息已由</w:t>
      </w:r>
      <w:r>
        <w:rPr>
          <w:rFonts w:hint="eastAsia" w:cs="宋体"/>
          <w:color w:val="auto"/>
          <w:sz w:val="24"/>
          <w:szCs w:val="24"/>
          <w:highlight w:val="none"/>
          <w:lang w:eastAsia="zh-CN"/>
        </w:rPr>
        <w:t>投保人</w:t>
      </w:r>
      <w:r>
        <w:rPr>
          <w:rFonts w:hint="eastAsia" w:ascii="宋体" w:hAnsi="宋体" w:cs="宋体"/>
          <w:color w:val="auto"/>
          <w:sz w:val="24"/>
          <w:szCs w:val="24"/>
          <w:highlight w:val="none"/>
        </w:rPr>
        <w:t>通过合法途径让普通公众知悉时止。</w:t>
      </w:r>
    </w:p>
    <w:p w14:paraId="5BE7AED6">
      <w:pPr>
        <w:spacing w:line="312"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四、违约责任</w:t>
      </w:r>
    </w:p>
    <w:p w14:paraId="7BF32667">
      <w:pPr>
        <w:autoSpaceDE w:val="0"/>
        <w:autoSpaceDN w:val="0"/>
        <w:spacing w:line="312" w:lineRule="auto"/>
        <w:ind w:firstLine="540"/>
        <w:rPr>
          <w:rFonts w:hint="eastAsia" w:ascii="宋体" w:hAnsi="宋体" w:cs="宋体"/>
          <w:color w:val="auto"/>
          <w:sz w:val="24"/>
          <w:szCs w:val="24"/>
          <w:highlight w:val="none"/>
        </w:rPr>
      </w:pPr>
      <w:r>
        <w:rPr>
          <w:rFonts w:hint="eastAsia" w:cs="宋体"/>
          <w:color w:val="auto"/>
          <w:sz w:val="24"/>
          <w:szCs w:val="24"/>
          <w:highlight w:val="none"/>
          <w:lang w:eastAsia="zh-CN"/>
        </w:rPr>
        <w:t>保险人</w:t>
      </w:r>
      <w:r>
        <w:rPr>
          <w:rFonts w:hint="eastAsia" w:ascii="宋体" w:hAnsi="宋体" w:cs="宋体"/>
          <w:color w:val="auto"/>
          <w:sz w:val="24"/>
          <w:szCs w:val="24"/>
          <w:highlight w:val="none"/>
        </w:rPr>
        <w:t>违反本保密协议约定，要承担违约责任，</w:t>
      </w:r>
      <w:r>
        <w:rPr>
          <w:rFonts w:hint="eastAsia" w:cs="宋体"/>
          <w:color w:val="auto"/>
          <w:sz w:val="24"/>
          <w:szCs w:val="24"/>
          <w:highlight w:val="none"/>
          <w:lang w:eastAsia="zh-CN"/>
        </w:rPr>
        <w:t>投保人</w:t>
      </w:r>
      <w:r>
        <w:rPr>
          <w:rFonts w:hint="eastAsia" w:ascii="宋体" w:hAnsi="宋体" w:cs="宋体"/>
          <w:color w:val="auto"/>
          <w:sz w:val="24"/>
          <w:szCs w:val="24"/>
          <w:highlight w:val="none"/>
        </w:rPr>
        <w:t>有权通过任何合理方式追究</w:t>
      </w:r>
      <w:r>
        <w:rPr>
          <w:rFonts w:hint="eastAsia" w:cs="宋体"/>
          <w:color w:val="auto"/>
          <w:sz w:val="24"/>
          <w:szCs w:val="24"/>
          <w:highlight w:val="none"/>
          <w:lang w:eastAsia="zh-CN"/>
        </w:rPr>
        <w:t>保险人</w:t>
      </w:r>
      <w:r>
        <w:rPr>
          <w:rFonts w:hint="eastAsia" w:ascii="宋体" w:hAnsi="宋体" w:cs="宋体"/>
          <w:color w:val="auto"/>
          <w:sz w:val="24"/>
          <w:szCs w:val="24"/>
          <w:highlight w:val="none"/>
        </w:rPr>
        <w:t>的责任并终止服务合同。造成损失的，</w:t>
      </w:r>
      <w:r>
        <w:rPr>
          <w:rFonts w:hint="eastAsia" w:cs="宋体"/>
          <w:color w:val="auto"/>
          <w:sz w:val="24"/>
          <w:szCs w:val="24"/>
          <w:highlight w:val="none"/>
          <w:lang w:eastAsia="zh-CN"/>
        </w:rPr>
        <w:t>投保人</w:t>
      </w:r>
      <w:r>
        <w:rPr>
          <w:rFonts w:hint="eastAsia" w:ascii="宋体" w:hAnsi="宋体" w:cs="宋体"/>
          <w:color w:val="auto"/>
          <w:sz w:val="24"/>
          <w:szCs w:val="24"/>
          <w:highlight w:val="none"/>
        </w:rPr>
        <w:t>有权要求</w:t>
      </w:r>
      <w:r>
        <w:rPr>
          <w:rFonts w:hint="eastAsia" w:cs="宋体"/>
          <w:color w:val="auto"/>
          <w:sz w:val="24"/>
          <w:szCs w:val="24"/>
          <w:highlight w:val="none"/>
          <w:lang w:eastAsia="zh-CN"/>
        </w:rPr>
        <w:t>保险人</w:t>
      </w:r>
      <w:r>
        <w:rPr>
          <w:rFonts w:hint="eastAsia" w:ascii="宋体" w:hAnsi="宋体" w:cs="宋体"/>
          <w:color w:val="auto"/>
          <w:sz w:val="24"/>
          <w:szCs w:val="24"/>
          <w:highlight w:val="none"/>
        </w:rPr>
        <w:t>进行赔偿并追究</w:t>
      </w:r>
      <w:r>
        <w:rPr>
          <w:rFonts w:hint="eastAsia" w:cs="宋体"/>
          <w:color w:val="auto"/>
          <w:sz w:val="24"/>
          <w:szCs w:val="24"/>
          <w:highlight w:val="none"/>
          <w:lang w:eastAsia="zh-CN"/>
        </w:rPr>
        <w:t>保险人</w:t>
      </w:r>
      <w:r>
        <w:rPr>
          <w:rFonts w:hint="eastAsia" w:ascii="宋体" w:hAnsi="宋体" w:cs="宋体"/>
          <w:color w:val="auto"/>
          <w:sz w:val="24"/>
          <w:szCs w:val="24"/>
          <w:highlight w:val="none"/>
        </w:rPr>
        <w:t>其他的法律责任。</w:t>
      </w:r>
    </w:p>
    <w:p w14:paraId="125F5287">
      <w:pPr>
        <w:spacing w:line="312"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五、其他约定</w:t>
      </w:r>
    </w:p>
    <w:p w14:paraId="47BA0F80">
      <w:pPr>
        <w:autoSpaceDE w:val="0"/>
        <w:autoSpaceDN w:val="0"/>
        <w:spacing w:line="312"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本保密协议</w:t>
      </w:r>
      <w:r>
        <w:rPr>
          <w:rFonts w:hint="eastAsia" w:ascii="宋体" w:hAnsi="宋体" w:cs="宋体"/>
          <w:color w:val="auto"/>
          <w:kern w:val="0"/>
          <w:sz w:val="24"/>
          <w:szCs w:val="24"/>
          <w:highlight w:val="none"/>
        </w:rPr>
        <w:t>一式</w:t>
      </w:r>
      <w:r>
        <w:rPr>
          <w:rFonts w:hint="eastAsia" w:ascii="宋体" w:hAnsi="宋体" w:cs="宋体"/>
          <w:color w:val="auto"/>
          <w:kern w:val="0"/>
          <w:sz w:val="24"/>
          <w:szCs w:val="24"/>
          <w:highlight w:val="none"/>
          <w:u w:val="single"/>
          <w:lang w:val="en-US" w:eastAsia="zh-CN"/>
        </w:rPr>
        <w:t xml:space="preserve"> </w:t>
      </w:r>
      <w:r>
        <w:rPr>
          <w:rFonts w:hint="eastAsia" w:cs="宋体"/>
          <w:bCs w:val="0"/>
          <w:snapToGrid w:val="0"/>
          <w:color w:val="auto"/>
          <w:kern w:val="0"/>
          <w:position w:val="0"/>
          <w:sz w:val="24"/>
          <w:szCs w:val="24"/>
          <w:highlight w:val="none"/>
          <w:u w:val="single"/>
          <w:lang w:val="en-US" w:eastAsia="zh-CN"/>
        </w:rPr>
        <w:t>肆</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份，甲乙双方各执</w:t>
      </w:r>
      <w:r>
        <w:rPr>
          <w:rFonts w:hint="eastAsia" w:ascii="宋体" w:hAnsi="宋体" w:cs="宋体"/>
          <w:color w:val="auto"/>
          <w:kern w:val="0"/>
          <w:sz w:val="24"/>
          <w:szCs w:val="24"/>
          <w:highlight w:val="none"/>
          <w:u w:val="single"/>
          <w:lang w:val="en-US" w:eastAsia="zh-CN"/>
        </w:rPr>
        <w:t xml:space="preserve"> </w:t>
      </w:r>
      <w:r>
        <w:rPr>
          <w:rFonts w:hint="eastAsia" w:cs="宋体"/>
          <w:bCs w:val="0"/>
          <w:snapToGrid w:val="0"/>
          <w:color w:val="auto"/>
          <w:kern w:val="0"/>
          <w:position w:val="0"/>
          <w:sz w:val="24"/>
          <w:szCs w:val="24"/>
          <w:highlight w:val="none"/>
          <w:u w:val="single"/>
          <w:lang w:val="en-US" w:eastAsia="zh-CN"/>
        </w:rPr>
        <w:t>贰</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份</w:t>
      </w:r>
      <w:r>
        <w:rPr>
          <w:rFonts w:hint="eastAsia" w:ascii="宋体" w:hAnsi="宋体" w:cs="宋体"/>
          <w:color w:val="auto"/>
          <w:sz w:val="24"/>
          <w:szCs w:val="24"/>
          <w:highlight w:val="none"/>
        </w:rPr>
        <w:t>，具有同等法律效力。本保密协议经甲、乙双方签字盖章后生效。</w:t>
      </w:r>
    </w:p>
    <w:p w14:paraId="4E31D471">
      <w:pPr>
        <w:pStyle w:val="9"/>
        <w:rPr>
          <w:rFonts w:hint="eastAsia" w:hAnsi="宋体"/>
          <w:color w:val="auto"/>
          <w:highlight w:val="none"/>
        </w:rPr>
      </w:pPr>
    </w:p>
    <w:p w14:paraId="4488D948">
      <w:pPr>
        <w:keepNext w:val="0"/>
        <w:keepLines w:val="0"/>
        <w:pageBreakBefore w:val="0"/>
        <w:widowControl w:val="0"/>
        <w:kinsoku/>
        <w:wordWrap/>
        <w:overflowPunct/>
        <w:topLinePunct w:val="0"/>
        <w:autoSpaceDE w:val="0"/>
        <w:autoSpaceDN w:val="0"/>
        <w:bidi w:val="0"/>
        <w:adjustRightInd/>
        <w:snapToGrid/>
        <w:spacing w:line="312" w:lineRule="auto"/>
        <w:ind w:left="1920" w:hanging="1920" w:hangingChars="800"/>
        <w:jc w:val="left"/>
        <w:textAlignment w:val="auto"/>
        <w:rPr>
          <w:rFonts w:hint="eastAsia" w:ascii="宋体" w:hAnsi="宋体" w:eastAsia="宋体" w:cs="宋体"/>
          <w:color w:val="auto"/>
          <w:kern w:val="0"/>
          <w:sz w:val="21"/>
          <w:szCs w:val="21"/>
          <w:highlight w:val="none"/>
          <w:u w:val="none"/>
        </w:rPr>
      </w:pPr>
      <w:r>
        <w:rPr>
          <w:rFonts w:hint="eastAsia" w:ascii="宋体" w:hAnsi="宋体" w:cs="宋体"/>
          <w:color w:val="auto"/>
          <w:sz w:val="24"/>
          <w:szCs w:val="24"/>
          <w:highlight w:val="none"/>
        </w:rPr>
        <w:t>甲</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方（公章）：</w:t>
      </w:r>
      <w:r>
        <w:rPr>
          <w:rFonts w:hint="eastAsia"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w:t>
      </w:r>
      <w:r>
        <w:rPr>
          <w:rFonts w:hint="eastAsia" w:ascii="宋体" w:hAnsi="宋体" w:cs="宋体"/>
          <w:color w:val="auto"/>
          <w:sz w:val="24"/>
          <w:szCs w:val="24"/>
          <w:highlight w:val="none"/>
        </w:rPr>
        <w:t xml:space="preserve">    乙</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方（公章）：</w:t>
      </w:r>
    </w:p>
    <w:p w14:paraId="76116F32">
      <w:pPr>
        <w:keepNext w:val="0"/>
        <w:keepLines w:val="0"/>
        <w:pageBreakBefore w:val="0"/>
        <w:widowControl w:val="0"/>
        <w:kinsoku/>
        <w:wordWrap/>
        <w:overflowPunct/>
        <w:topLinePunct w:val="0"/>
        <w:autoSpaceDE w:val="0"/>
        <w:autoSpaceDN w:val="0"/>
        <w:bidi w:val="0"/>
        <w:adjustRightInd/>
        <w:snapToGrid/>
        <w:spacing w:line="312" w:lineRule="auto"/>
        <w:ind w:left="1672" w:leftChars="760" w:firstLine="420" w:firstLineChars="200"/>
        <w:jc w:val="left"/>
        <w:textAlignment w:val="auto"/>
        <w:rPr>
          <w:rFonts w:hint="eastAsia" w:ascii="宋体" w:hAnsi="宋体" w:cs="宋体"/>
          <w:color w:val="auto"/>
          <w:sz w:val="21"/>
          <w:szCs w:val="21"/>
          <w:highlight w:val="none"/>
          <w:u w:val="none"/>
        </w:rPr>
      </w:pPr>
      <w:r>
        <w:rPr>
          <w:rFonts w:hint="eastAsia" w:cs="宋体"/>
          <w:color w:val="auto"/>
          <w:kern w:val="0"/>
          <w:sz w:val="21"/>
          <w:szCs w:val="21"/>
          <w:highlight w:val="none"/>
          <w:u w:val="none"/>
          <w:lang w:val="en-US" w:eastAsia="zh-CN"/>
        </w:rPr>
        <w:t xml:space="preserve">                           </w:t>
      </w:r>
    </w:p>
    <w:p w14:paraId="77DA83DD">
      <w:pPr>
        <w:spacing w:before="11" w:line="312" w:lineRule="auto"/>
        <w:ind w:left="0" w:firstLine="2640" w:firstLineChars="1100"/>
        <w:rPr>
          <w:rFonts w:hint="eastAsia" w:ascii="宋体" w:hAnsi="宋体" w:cs="宋体"/>
          <w:color w:val="auto"/>
          <w:sz w:val="24"/>
          <w:szCs w:val="24"/>
          <w:highlight w:val="none"/>
        </w:rPr>
      </w:pPr>
    </w:p>
    <w:p w14:paraId="624F9663">
      <w:pPr>
        <w:spacing w:before="11" w:line="312" w:lineRule="auto"/>
        <w:ind w:left="0" w:firstLine="2640" w:firstLineChars="1100"/>
        <w:rPr>
          <w:rFonts w:hint="eastAsia"/>
          <w:color w:val="auto"/>
          <w:sz w:val="39"/>
          <w:highlight w:val="none"/>
          <w:lang w:eastAsia="zh-CN"/>
        </w:rPr>
      </w:pPr>
      <w:r>
        <w:rPr>
          <w:rFonts w:hint="eastAsia" w:ascii="宋体" w:hAnsi="宋体" w:cs="宋体"/>
          <w:color w:val="auto"/>
          <w:sz w:val="24"/>
          <w:szCs w:val="24"/>
          <w:highlight w:val="none"/>
        </w:rPr>
        <w:t>签订日期：20</w:t>
      </w:r>
      <w:r>
        <w:rPr>
          <w:rFonts w:hint="eastAsia" w:cs="宋体"/>
          <w:color w:val="auto"/>
          <w:sz w:val="24"/>
          <w:szCs w:val="24"/>
          <w:highlight w:val="none"/>
          <w:lang w:val="en-US" w:eastAsia="zh-CN"/>
        </w:rPr>
        <w:t>25</w:t>
      </w:r>
      <w:r>
        <w:rPr>
          <w:rFonts w:hint="eastAsia" w:ascii="宋体" w:hAnsi="宋体" w:cs="宋体"/>
          <w:color w:val="auto"/>
          <w:sz w:val="24"/>
          <w:szCs w:val="24"/>
          <w:highlight w:val="none"/>
        </w:rPr>
        <w:t>年</w:t>
      </w:r>
      <w:r>
        <w:rPr>
          <w:rFonts w:hint="eastAsia"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hint="eastAsia" w:cs="宋体"/>
          <w:color w:val="auto"/>
          <w:sz w:val="24"/>
          <w:szCs w:val="24"/>
          <w:highlight w:val="none"/>
          <w:lang w:val="en-US" w:eastAsia="zh-CN"/>
        </w:rPr>
        <w:t xml:space="preserve"> </w:t>
      </w:r>
      <w:r>
        <w:rPr>
          <w:rFonts w:hint="eastAsia" w:ascii="宋体" w:hAnsi="宋体" w:cs="宋体"/>
          <w:color w:val="auto"/>
          <w:sz w:val="24"/>
          <w:szCs w:val="24"/>
          <w:highlight w:val="none"/>
        </w:rPr>
        <w:t>日</w:t>
      </w:r>
    </w:p>
    <w:p w14:paraId="17B11ED1">
      <w:pPr>
        <w:pStyle w:val="8"/>
        <w:spacing w:before="45"/>
        <w:ind w:left="0" w:firstLine="0"/>
        <w:rPr>
          <w:rFonts w:hint="eastAsia"/>
          <w:color w:val="auto"/>
          <w:highlight w:val="none"/>
        </w:rPr>
      </w:pPr>
      <w:r>
        <w:rPr>
          <w:rFonts w:hint="eastAsia"/>
          <w:color w:val="auto"/>
          <w:highlight w:val="none"/>
        </w:rPr>
        <w:t xml:space="preserve">附件 </w:t>
      </w:r>
      <w:r>
        <w:rPr>
          <w:rFonts w:hint="eastAsia"/>
          <w:color w:val="auto"/>
          <w:highlight w:val="none"/>
          <w:lang w:val="en-US" w:eastAsia="zh-CN"/>
        </w:rPr>
        <w:t>4</w:t>
      </w:r>
      <w:r>
        <w:rPr>
          <w:rFonts w:hint="eastAsia"/>
          <w:color w:val="auto"/>
          <w:highlight w:val="none"/>
        </w:rPr>
        <w:t>：</w:t>
      </w:r>
    </w:p>
    <w:p w14:paraId="462DE745">
      <w:pPr>
        <w:pStyle w:val="8"/>
        <w:spacing w:before="45"/>
        <w:ind w:left="0" w:firstLine="0"/>
        <w:jc w:val="center"/>
        <w:rPr>
          <w:rFonts w:hint="eastAsia" w:ascii="宋体" w:hAnsi="宋体" w:eastAsia="宋体" w:cs="宋体"/>
          <w:b/>
          <w:color w:val="auto"/>
          <w:sz w:val="32"/>
          <w:szCs w:val="32"/>
          <w:highlight w:val="none"/>
          <w:lang w:eastAsia="zh-CN"/>
        </w:rPr>
      </w:pPr>
      <w:r>
        <w:rPr>
          <w:rFonts w:hint="eastAsia"/>
          <w:b/>
          <w:color w:val="auto"/>
          <w:sz w:val="32"/>
          <w:szCs w:val="32"/>
          <w:highlight w:val="none"/>
        </w:rPr>
        <w:t>报价</w:t>
      </w:r>
      <w:r>
        <w:rPr>
          <w:rFonts w:hint="eastAsia" w:ascii="宋体" w:hAnsi="宋体" w:eastAsia="宋体" w:cs="宋体"/>
          <w:b/>
          <w:color w:val="auto"/>
          <w:sz w:val="32"/>
          <w:szCs w:val="32"/>
          <w:highlight w:val="none"/>
          <w:lang w:eastAsia="zh-CN"/>
        </w:rPr>
        <w:t>清单</w:t>
      </w:r>
    </w:p>
    <w:p w14:paraId="10F0B596">
      <w:pPr>
        <w:rPr>
          <w:rFonts w:hint="eastAsia"/>
          <w:color w:val="auto"/>
          <w:highlight w:val="none"/>
        </w:rPr>
      </w:pPr>
    </w:p>
    <w:p w14:paraId="7832075A">
      <w:pPr>
        <w:pStyle w:val="14"/>
        <w:spacing w:before="0" w:beforeAutospacing="0" w:after="0" w:afterAutospacing="0" w:line="360" w:lineRule="auto"/>
        <w:rPr>
          <w:rFonts w:hint="eastAsia"/>
          <w:color w:val="auto"/>
          <w:highlight w:val="none"/>
          <w:lang w:val="en-US" w:eastAsia="zh-CN"/>
        </w:rPr>
      </w:pPr>
    </w:p>
    <w:p w14:paraId="43FB7E4A">
      <w:pPr>
        <w:pStyle w:val="8"/>
        <w:spacing w:before="45"/>
        <w:ind w:left="0" w:firstLine="0"/>
        <w:jc w:val="center"/>
        <w:rPr>
          <w:rFonts w:hint="eastAsia" w:ascii="宋体" w:hAnsi="宋体" w:eastAsia="宋体" w:cs="宋体"/>
          <w:color w:val="auto"/>
          <w:highlight w:val="none"/>
          <w:lang w:eastAsia="zh-CN"/>
        </w:rPr>
        <w:sectPr>
          <w:pgSz w:w="11910" w:h="16840"/>
          <w:pgMar w:top="1440" w:right="1474" w:bottom="1440" w:left="1587" w:header="0" w:footer="1196" w:gutter="0"/>
          <w:cols w:space="0" w:num="1"/>
          <w:rtlGutter w:val="0"/>
          <w:docGrid w:linePitch="0" w:charSpace="0"/>
        </w:sectPr>
      </w:pPr>
    </w:p>
    <w:p w14:paraId="5EA96F0F">
      <w:pPr>
        <w:pStyle w:val="8"/>
        <w:spacing w:before="45"/>
        <w:ind w:left="0" w:firstLine="0"/>
        <w:rPr>
          <w:rFonts w:hint="eastAsia"/>
          <w:color w:val="auto"/>
          <w:highlight w:val="none"/>
        </w:rPr>
      </w:pPr>
      <w:r>
        <w:rPr>
          <w:rFonts w:hint="eastAsia"/>
          <w:color w:val="auto"/>
          <w:highlight w:val="none"/>
        </w:rPr>
        <w:t xml:space="preserve">附件 </w:t>
      </w:r>
      <w:r>
        <w:rPr>
          <w:rFonts w:hint="eastAsia"/>
          <w:color w:val="auto"/>
          <w:highlight w:val="none"/>
          <w:lang w:val="en-US" w:eastAsia="zh-CN"/>
        </w:rPr>
        <w:t>5</w:t>
      </w:r>
      <w:r>
        <w:rPr>
          <w:rFonts w:hint="eastAsia"/>
          <w:color w:val="auto"/>
          <w:highlight w:val="none"/>
        </w:rPr>
        <w:t>：</w:t>
      </w:r>
    </w:p>
    <w:p w14:paraId="704B03A9">
      <w:pPr>
        <w:pStyle w:val="8"/>
        <w:spacing w:before="45"/>
        <w:ind w:left="0" w:firstLine="0"/>
        <w:jc w:val="center"/>
        <w:rPr>
          <w:rFonts w:hint="eastAsia"/>
          <w:color w:val="auto"/>
          <w:highlight w:val="none"/>
        </w:rPr>
      </w:pPr>
      <w:r>
        <w:rPr>
          <w:rFonts w:hint="eastAsia"/>
          <w:b/>
          <w:color w:val="auto"/>
          <w:sz w:val="32"/>
          <w:szCs w:val="32"/>
          <w:highlight w:val="none"/>
          <w:lang w:eastAsia="zh-CN"/>
        </w:rPr>
        <w:t>保险人</w:t>
      </w:r>
      <w:r>
        <w:rPr>
          <w:rFonts w:hint="eastAsia"/>
          <w:b/>
          <w:color w:val="auto"/>
          <w:sz w:val="32"/>
          <w:szCs w:val="32"/>
          <w:highlight w:val="none"/>
        </w:rPr>
        <w:t>营业执照</w:t>
      </w:r>
    </w:p>
    <w:p w14:paraId="5819FC4B">
      <w:pPr>
        <w:pStyle w:val="9"/>
        <w:rPr>
          <w:rFonts w:hint="eastAsia" w:hAnsi="宋体"/>
          <w:color w:val="auto"/>
          <w:highlight w:val="none"/>
        </w:rPr>
      </w:pPr>
    </w:p>
    <w:p w14:paraId="757EB670">
      <w:pPr>
        <w:rPr>
          <w:rFonts w:hint="eastAsia"/>
          <w:color w:val="auto"/>
          <w:highlight w:val="none"/>
        </w:rPr>
      </w:pPr>
    </w:p>
    <w:p w14:paraId="3DE3FB32">
      <w:pPr>
        <w:pStyle w:val="8"/>
        <w:spacing w:before="45"/>
        <w:ind w:firstLine="0"/>
        <w:rPr>
          <w:rFonts w:hint="eastAsia" w:eastAsia="宋体"/>
          <w:color w:val="auto"/>
          <w:highlight w:val="none"/>
          <w:lang w:eastAsia="zh-CN"/>
        </w:rPr>
      </w:pPr>
    </w:p>
    <w:sectPr>
      <w:pgSz w:w="11910" w:h="16840"/>
      <w:pgMar w:top="1440" w:right="1474" w:bottom="1440" w:left="1587" w:header="0" w:footer="1196"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11DE8">
    <w:pPr>
      <w:pStyle w:val="8"/>
      <w:spacing w:line="14" w:lineRule="auto"/>
      <w:ind w:left="0" w:firstLine="0"/>
      <w:rPr>
        <w:sz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3683635</wp:posOffset>
              </wp:positionH>
              <wp:positionV relativeFrom="page">
                <wp:posOffset>9701530</wp:posOffset>
              </wp:positionV>
              <wp:extent cx="192405" cy="23114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92405" cy="231140"/>
                      </a:xfrm>
                      <a:prstGeom prst="rect">
                        <a:avLst/>
                      </a:prstGeom>
                      <a:noFill/>
                      <a:ln>
                        <a:noFill/>
                      </a:ln>
                    </wps:spPr>
                    <wps:txbx>
                      <w:txbxContent>
                        <w:p w14:paraId="0A9F61C0">
                          <w:pPr>
                            <w:spacing w:line="203" w:lineRule="exact"/>
                            <w:ind w:left="60"/>
                            <w:rPr>
                              <w:rFonts w:ascii="Calibri"/>
                              <w:sz w:val="18"/>
                            </w:rPr>
                          </w:pPr>
                          <w:r>
                            <w:fldChar w:fldCharType="begin"/>
                          </w:r>
                          <w:r>
                            <w:rPr>
                              <w:rFonts w:ascii="Calibri"/>
                              <w:sz w:val="18"/>
                            </w:rPr>
                            <w:instrText xml:space="preserve"> PAGE </w:instrText>
                          </w:r>
                          <w:r>
                            <w:fldChar w:fldCharType="separate"/>
                          </w:r>
                          <w:r>
                            <w:rPr>
                              <w:rFonts w:ascii="Calibri"/>
                              <w:sz w:val="18"/>
                            </w:rPr>
                            <w:t>22</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90.05pt;margin-top:763.9pt;height:18.2pt;width:15.15pt;mso-position-horizontal-relative:page;mso-position-vertical-relative:page;z-index:-251657216;mso-width-relative:page;mso-height-relative:page;" filled="f" stroked="f" coordsize="21600,21600" o:gfxdata="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jShrl2gAAAA0BAAAPAAAAAAAAAAEAIAAAACIAAABkcnMvZG93bnJl&#10;di54bWxQSwECFAAUAAAACACHTuJAO/SWIPsBAAADBAAADgAAAAAAAAABACAAAAApAQAAZHJzL2Uy&#10;b0RvYy54bWxQSwUGAAAAAAYABgBZAQAAlgUAAAAA&#10;">
              <v:fill on="f" focussize="0,0"/>
              <v:stroke on="f"/>
              <v:imagedata o:title=""/>
              <o:lock v:ext="edit" aspectratio="f"/>
              <v:textbox inset="0mm,0mm,0mm,0mm">
                <w:txbxContent>
                  <w:p w14:paraId="0A9F61C0">
                    <w:pPr>
                      <w:spacing w:line="203" w:lineRule="exact"/>
                      <w:ind w:left="60"/>
                      <w:rPr>
                        <w:rFonts w:ascii="Calibri"/>
                        <w:sz w:val="18"/>
                      </w:rPr>
                    </w:pPr>
                    <w:r>
                      <w:fldChar w:fldCharType="begin"/>
                    </w:r>
                    <w:r>
                      <w:rPr>
                        <w:rFonts w:ascii="Calibri"/>
                        <w:sz w:val="18"/>
                      </w:rPr>
                      <w:instrText xml:space="preserve"> PAGE </w:instrText>
                    </w:r>
                    <w:r>
                      <w:fldChar w:fldCharType="separate"/>
                    </w:r>
                    <w:r>
                      <w:rPr>
                        <w:rFonts w:ascii="Calibri"/>
                        <w:sz w:val="18"/>
                      </w:rPr>
                      <w:t>22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A94771"/>
    <w:multiLevelType w:val="singleLevel"/>
    <w:tmpl w:val="92A94771"/>
    <w:lvl w:ilvl="0" w:tentative="0">
      <w:start w:val="1"/>
      <w:numFmt w:val="chineseCounting"/>
      <w:suff w:val="nothing"/>
      <w:lvlText w:val="（%1）"/>
      <w:lvlJc w:val="left"/>
      <w:pPr>
        <w:ind w:left="0" w:firstLine="420"/>
      </w:pPr>
      <w:rPr>
        <w:rFonts w:hint="eastAsia"/>
      </w:rPr>
    </w:lvl>
  </w:abstractNum>
  <w:abstractNum w:abstractNumId="1">
    <w:nsid w:val="B38EE08D"/>
    <w:multiLevelType w:val="singleLevel"/>
    <w:tmpl w:val="B38EE08D"/>
    <w:lvl w:ilvl="0" w:tentative="0">
      <w:start w:val="3"/>
      <w:numFmt w:val="chineseCounting"/>
      <w:suff w:val="nothing"/>
      <w:lvlText w:val="（%1）"/>
      <w:lvlJc w:val="left"/>
      <w:rPr>
        <w:rFonts w:hint="eastAsia"/>
      </w:rPr>
    </w:lvl>
  </w:abstractNum>
  <w:abstractNum w:abstractNumId="2">
    <w:nsid w:val="088D49C0"/>
    <w:multiLevelType w:val="multilevel"/>
    <w:tmpl w:val="088D49C0"/>
    <w:lvl w:ilvl="0" w:tentative="0">
      <w:start w:val="2"/>
      <w:numFmt w:val="decimal"/>
      <w:lvlText w:val="%1."/>
      <w:lvlJc w:val="left"/>
      <w:pPr>
        <w:ind w:left="841" w:hanging="241"/>
        <w:jc w:val="left"/>
      </w:pPr>
      <w:rPr>
        <w:rFonts w:hint="default" w:ascii="宋体" w:hAnsi="宋体" w:eastAsia="宋体" w:cs="宋体"/>
        <w:w w:val="100"/>
        <w:sz w:val="22"/>
        <w:szCs w:val="22"/>
      </w:rPr>
    </w:lvl>
    <w:lvl w:ilvl="1" w:tentative="0">
      <w:start w:val="0"/>
      <w:numFmt w:val="bullet"/>
      <w:lvlText w:val="•"/>
      <w:lvlJc w:val="left"/>
      <w:pPr>
        <w:ind w:left="1634" w:hanging="241"/>
      </w:pPr>
      <w:rPr>
        <w:rFonts w:hint="default"/>
      </w:rPr>
    </w:lvl>
    <w:lvl w:ilvl="2" w:tentative="0">
      <w:start w:val="0"/>
      <w:numFmt w:val="bullet"/>
      <w:lvlText w:val="•"/>
      <w:lvlJc w:val="left"/>
      <w:pPr>
        <w:ind w:left="2429" w:hanging="241"/>
      </w:pPr>
      <w:rPr>
        <w:rFonts w:hint="default"/>
      </w:rPr>
    </w:lvl>
    <w:lvl w:ilvl="3" w:tentative="0">
      <w:start w:val="0"/>
      <w:numFmt w:val="bullet"/>
      <w:lvlText w:val="•"/>
      <w:lvlJc w:val="left"/>
      <w:pPr>
        <w:ind w:left="3223" w:hanging="241"/>
      </w:pPr>
      <w:rPr>
        <w:rFonts w:hint="default"/>
      </w:rPr>
    </w:lvl>
    <w:lvl w:ilvl="4" w:tentative="0">
      <w:start w:val="0"/>
      <w:numFmt w:val="bullet"/>
      <w:lvlText w:val="•"/>
      <w:lvlJc w:val="left"/>
      <w:pPr>
        <w:ind w:left="4018" w:hanging="241"/>
      </w:pPr>
      <w:rPr>
        <w:rFonts w:hint="default"/>
      </w:rPr>
    </w:lvl>
    <w:lvl w:ilvl="5" w:tentative="0">
      <w:start w:val="0"/>
      <w:numFmt w:val="bullet"/>
      <w:lvlText w:val="•"/>
      <w:lvlJc w:val="left"/>
      <w:pPr>
        <w:ind w:left="4813" w:hanging="241"/>
      </w:pPr>
      <w:rPr>
        <w:rFonts w:hint="default"/>
      </w:rPr>
    </w:lvl>
    <w:lvl w:ilvl="6" w:tentative="0">
      <w:start w:val="0"/>
      <w:numFmt w:val="bullet"/>
      <w:lvlText w:val="•"/>
      <w:lvlJc w:val="left"/>
      <w:pPr>
        <w:ind w:left="5607" w:hanging="241"/>
      </w:pPr>
      <w:rPr>
        <w:rFonts w:hint="default"/>
      </w:rPr>
    </w:lvl>
    <w:lvl w:ilvl="7" w:tentative="0">
      <w:start w:val="0"/>
      <w:numFmt w:val="bullet"/>
      <w:lvlText w:val="•"/>
      <w:lvlJc w:val="left"/>
      <w:pPr>
        <w:ind w:left="6402" w:hanging="241"/>
      </w:pPr>
      <w:rPr>
        <w:rFonts w:hint="default"/>
      </w:rPr>
    </w:lvl>
    <w:lvl w:ilvl="8" w:tentative="0">
      <w:start w:val="0"/>
      <w:numFmt w:val="bullet"/>
      <w:lvlText w:val="•"/>
      <w:lvlJc w:val="left"/>
      <w:pPr>
        <w:ind w:left="7196" w:hanging="241"/>
      </w:pPr>
      <w:rPr>
        <w:rFonts w:hint="default"/>
      </w:rPr>
    </w:lvl>
  </w:abstractNum>
  <w:abstractNum w:abstractNumId="3">
    <w:nsid w:val="5AA24434"/>
    <w:multiLevelType w:val="multilevel"/>
    <w:tmpl w:val="5AA24434"/>
    <w:lvl w:ilvl="0" w:tentative="0">
      <w:start w:val="1"/>
      <w:numFmt w:val="decimal"/>
      <w:lvlText w:val="%1."/>
      <w:lvlJc w:val="left"/>
      <w:pPr>
        <w:ind w:left="482" w:hanging="363"/>
        <w:jc w:val="left"/>
      </w:pPr>
      <w:rPr>
        <w:rFonts w:hint="default" w:ascii="宋体" w:hAnsi="宋体" w:eastAsia="宋体" w:cs="宋体"/>
        <w:b/>
        <w:bCs/>
        <w:w w:val="99"/>
        <w:sz w:val="24"/>
        <w:szCs w:val="24"/>
      </w:rPr>
    </w:lvl>
    <w:lvl w:ilvl="1" w:tentative="0">
      <w:start w:val="1"/>
      <w:numFmt w:val="decimal"/>
      <w:lvlText w:val="%2."/>
      <w:lvlJc w:val="left"/>
      <w:pPr>
        <w:ind w:left="120" w:hanging="244"/>
        <w:jc w:val="left"/>
      </w:pPr>
      <w:rPr>
        <w:rFonts w:hint="default" w:ascii="宋体" w:hAnsi="宋体" w:eastAsia="宋体" w:cs="宋体"/>
        <w:b/>
        <w:bCs/>
        <w:spacing w:val="0"/>
        <w:w w:val="99"/>
        <w:sz w:val="22"/>
        <w:szCs w:val="22"/>
      </w:rPr>
    </w:lvl>
    <w:lvl w:ilvl="2" w:tentative="0">
      <w:start w:val="0"/>
      <w:numFmt w:val="bullet"/>
      <w:lvlText w:val="•"/>
      <w:lvlJc w:val="left"/>
      <w:pPr>
        <w:ind w:left="1402" w:hanging="244"/>
      </w:pPr>
      <w:rPr>
        <w:rFonts w:hint="default"/>
      </w:rPr>
    </w:lvl>
    <w:lvl w:ilvl="3" w:tentative="0">
      <w:start w:val="0"/>
      <w:numFmt w:val="bullet"/>
      <w:lvlText w:val="•"/>
      <w:lvlJc w:val="left"/>
      <w:pPr>
        <w:ind w:left="2325" w:hanging="244"/>
      </w:pPr>
      <w:rPr>
        <w:rFonts w:hint="default"/>
      </w:rPr>
    </w:lvl>
    <w:lvl w:ilvl="4" w:tentative="0">
      <w:start w:val="0"/>
      <w:numFmt w:val="bullet"/>
      <w:lvlText w:val="•"/>
      <w:lvlJc w:val="left"/>
      <w:pPr>
        <w:ind w:left="3248" w:hanging="244"/>
      </w:pPr>
      <w:rPr>
        <w:rFonts w:hint="default"/>
      </w:rPr>
    </w:lvl>
    <w:lvl w:ilvl="5" w:tentative="0">
      <w:start w:val="0"/>
      <w:numFmt w:val="bullet"/>
      <w:lvlText w:val="•"/>
      <w:lvlJc w:val="left"/>
      <w:pPr>
        <w:ind w:left="4171" w:hanging="244"/>
      </w:pPr>
      <w:rPr>
        <w:rFonts w:hint="default"/>
      </w:rPr>
    </w:lvl>
    <w:lvl w:ilvl="6" w:tentative="0">
      <w:start w:val="0"/>
      <w:numFmt w:val="bullet"/>
      <w:lvlText w:val="•"/>
      <w:lvlJc w:val="left"/>
      <w:pPr>
        <w:ind w:left="5094" w:hanging="244"/>
      </w:pPr>
      <w:rPr>
        <w:rFonts w:hint="default"/>
      </w:rPr>
    </w:lvl>
    <w:lvl w:ilvl="7" w:tentative="0">
      <w:start w:val="0"/>
      <w:numFmt w:val="bullet"/>
      <w:lvlText w:val="•"/>
      <w:lvlJc w:val="left"/>
      <w:pPr>
        <w:ind w:left="6017" w:hanging="244"/>
      </w:pPr>
      <w:rPr>
        <w:rFonts w:hint="default"/>
      </w:rPr>
    </w:lvl>
    <w:lvl w:ilvl="8" w:tentative="0">
      <w:start w:val="0"/>
      <w:numFmt w:val="bullet"/>
      <w:lvlText w:val="•"/>
      <w:lvlJc w:val="left"/>
      <w:pPr>
        <w:ind w:left="6940" w:hanging="244"/>
      </w:pPr>
      <w:rPr>
        <w:rFonts w:hint="default"/>
      </w:rPr>
    </w:lvl>
  </w:abstractNum>
  <w:abstractNum w:abstractNumId="4">
    <w:nsid w:val="77D20062"/>
    <w:multiLevelType w:val="multilevel"/>
    <w:tmpl w:val="77D20062"/>
    <w:lvl w:ilvl="0" w:tentative="0">
      <w:start w:val="1"/>
      <w:numFmt w:val="decimal"/>
      <w:lvlText w:val="%1."/>
      <w:lvlJc w:val="left"/>
      <w:pPr>
        <w:ind w:left="841" w:hanging="241"/>
        <w:jc w:val="left"/>
      </w:pPr>
      <w:rPr>
        <w:rFonts w:hint="default" w:ascii="宋体" w:hAnsi="宋体" w:eastAsia="宋体" w:cs="宋体"/>
        <w:w w:val="100"/>
        <w:sz w:val="22"/>
        <w:szCs w:val="22"/>
      </w:rPr>
    </w:lvl>
    <w:lvl w:ilvl="1" w:tentative="0">
      <w:start w:val="0"/>
      <w:numFmt w:val="bullet"/>
      <w:lvlText w:val="•"/>
      <w:lvlJc w:val="left"/>
      <w:pPr>
        <w:ind w:left="1634" w:hanging="241"/>
      </w:pPr>
      <w:rPr>
        <w:rFonts w:hint="default"/>
      </w:rPr>
    </w:lvl>
    <w:lvl w:ilvl="2" w:tentative="0">
      <w:start w:val="0"/>
      <w:numFmt w:val="bullet"/>
      <w:lvlText w:val="•"/>
      <w:lvlJc w:val="left"/>
      <w:pPr>
        <w:ind w:left="2429" w:hanging="241"/>
      </w:pPr>
      <w:rPr>
        <w:rFonts w:hint="default"/>
      </w:rPr>
    </w:lvl>
    <w:lvl w:ilvl="3" w:tentative="0">
      <w:start w:val="0"/>
      <w:numFmt w:val="bullet"/>
      <w:lvlText w:val="•"/>
      <w:lvlJc w:val="left"/>
      <w:pPr>
        <w:ind w:left="3223" w:hanging="241"/>
      </w:pPr>
      <w:rPr>
        <w:rFonts w:hint="default"/>
      </w:rPr>
    </w:lvl>
    <w:lvl w:ilvl="4" w:tentative="0">
      <w:start w:val="0"/>
      <w:numFmt w:val="bullet"/>
      <w:lvlText w:val="•"/>
      <w:lvlJc w:val="left"/>
      <w:pPr>
        <w:ind w:left="4018" w:hanging="241"/>
      </w:pPr>
      <w:rPr>
        <w:rFonts w:hint="default"/>
      </w:rPr>
    </w:lvl>
    <w:lvl w:ilvl="5" w:tentative="0">
      <w:start w:val="0"/>
      <w:numFmt w:val="bullet"/>
      <w:lvlText w:val="•"/>
      <w:lvlJc w:val="left"/>
      <w:pPr>
        <w:ind w:left="4813" w:hanging="241"/>
      </w:pPr>
      <w:rPr>
        <w:rFonts w:hint="default"/>
      </w:rPr>
    </w:lvl>
    <w:lvl w:ilvl="6" w:tentative="0">
      <w:start w:val="0"/>
      <w:numFmt w:val="bullet"/>
      <w:lvlText w:val="•"/>
      <w:lvlJc w:val="left"/>
      <w:pPr>
        <w:ind w:left="5607" w:hanging="241"/>
      </w:pPr>
      <w:rPr>
        <w:rFonts w:hint="default"/>
      </w:rPr>
    </w:lvl>
    <w:lvl w:ilvl="7" w:tentative="0">
      <w:start w:val="0"/>
      <w:numFmt w:val="bullet"/>
      <w:lvlText w:val="•"/>
      <w:lvlJc w:val="left"/>
      <w:pPr>
        <w:ind w:left="6402" w:hanging="241"/>
      </w:pPr>
      <w:rPr>
        <w:rFonts w:hint="default"/>
      </w:rPr>
    </w:lvl>
    <w:lvl w:ilvl="8" w:tentative="0">
      <w:start w:val="0"/>
      <w:numFmt w:val="bullet"/>
      <w:lvlText w:val="•"/>
      <w:lvlJc w:val="left"/>
      <w:pPr>
        <w:ind w:left="7196" w:hanging="241"/>
      </w:pPr>
      <w:rPr>
        <w:rFont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trackedChanges"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3MzE2Mjg2NGUwYWIwNDJlY2E4NGI5NDc2OTFlOTMifQ=="/>
  </w:docVars>
  <w:rsids>
    <w:rsidRoot w:val="00671D34"/>
    <w:rsid w:val="00006DD8"/>
    <w:rsid w:val="001957FE"/>
    <w:rsid w:val="002100D5"/>
    <w:rsid w:val="00276CCC"/>
    <w:rsid w:val="002A3053"/>
    <w:rsid w:val="00307F8E"/>
    <w:rsid w:val="00386EEA"/>
    <w:rsid w:val="004079D4"/>
    <w:rsid w:val="004A1118"/>
    <w:rsid w:val="0050023C"/>
    <w:rsid w:val="005C033D"/>
    <w:rsid w:val="00671D34"/>
    <w:rsid w:val="006A538C"/>
    <w:rsid w:val="006E022B"/>
    <w:rsid w:val="006E1B7D"/>
    <w:rsid w:val="0070080B"/>
    <w:rsid w:val="00936A75"/>
    <w:rsid w:val="00A5122F"/>
    <w:rsid w:val="00AB214C"/>
    <w:rsid w:val="00AC698F"/>
    <w:rsid w:val="00B01371"/>
    <w:rsid w:val="00B30704"/>
    <w:rsid w:val="00B434FF"/>
    <w:rsid w:val="00B84320"/>
    <w:rsid w:val="00B867D5"/>
    <w:rsid w:val="00BD1AC0"/>
    <w:rsid w:val="00D47D14"/>
    <w:rsid w:val="00D673DA"/>
    <w:rsid w:val="00E85538"/>
    <w:rsid w:val="00F10567"/>
    <w:rsid w:val="00F61CC3"/>
    <w:rsid w:val="00FA5BA1"/>
    <w:rsid w:val="011444C0"/>
    <w:rsid w:val="01D13BA0"/>
    <w:rsid w:val="02ED4E9B"/>
    <w:rsid w:val="033767F9"/>
    <w:rsid w:val="035A7462"/>
    <w:rsid w:val="048F61F0"/>
    <w:rsid w:val="04C64E6C"/>
    <w:rsid w:val="054E0369"/>
    <w:rsid w:val="062736E9"/>
    <w:rsid w:val="06464EDB"/>
    <w:rsid w:val="065540C7"/>
    <w:rsid w:val="06A26CA3"/>
    <w:rsid w:val="06F60479"/>
    <w:rsid w:val="079026DC"/>
    <w:rsid w:val="07DE427B"/>
    <w:rsid w:val="07FE66CB"/>
    <w:rsid w:val="081128A2"/>
    <w:rsid w:val="08600C2F"/>
    <w:rsid w:val="086D1D65"/>
    <w:rsid w:val="089576FC"/>
    <w:rsid w:val="08C401C2"/>
    <w:rsid w:val="08CA00EE"/>
    <w:rsid w:val="08E053FD"/>
    <w:rsid w:val="09283394"/>
    <w:rsid w:val="09F02DC1"/>
    <w:rsid w:val="0A8C0F67"/>
    <w:rsid w:val="0AE0655C"/>
    <w:rsid w:val="0AE6431B"/>
    <w:rsid w:val="0AFA589B"/>
    <w:rsid w:val="0B2A1CFF"/>
    <w:rsid w:val="0B31434F"/>
    <w:rsid w:val="0CD54435"/>
    <w:rsid w:val="0D1C7383"/>
    <w:rsid w:val="0E060087"/>
    <w:rsid w:val="0E0B0BC1"/>
    <w:rsid w:val="0E6D71D1"/>
    <w:rsid w:val="0F9B0CA3"/>
    <w:rsid w:val="0FB1336D"/>
    <w:rsid w:val="0FC54C9D"/>
    <w:rsid w:val="100625C1"/>
    <w:rsid w:val="10D91A83"/>
    <w:rsid w:val="10FC5772"/>
    <w:rsid w:val="11150656"/>
    <w:rsid w:val="118443FD"/>
    <w:rsid w:val="11D7749D"/>
    <w:rsid w:val="11F57F89"/>
    <w:rsid w:val="12617F82"/>
    <w:rsid w:val="126B7053"/>
    <w:rsid w:val="128666F9"/>
    <w:rsid w:val="128E482C"/>
    <w:rsid w:val="12D916AA"/>
    <w:rsid w:val="133E5213"/>
    <w:rsid w:val="134E42A8"/>
    <w:rsid w:val="13710699"/>
    <w:rsid w:val="13732DE0"/>
    <w:rsid w:val="13C50F0A"/>
    <w:rsid w:val="13F3608D"/>
    <w:rsid w:val="144A4B05"/>
    <w:rsid w:val="14807B94"/>
    <w:rsid w:val="148D7F96"/>
    <w:rsid w:val="152B41A7"/>
    <w:rsid w:val="153320AA"/>
    <w:rsid w:val="153D60B6"/>
    <w:rsid w:val="158F12AA"/>
    <w:rsid w:val="15FA0CFF"/>
    <w:rsid w:val="165B70B5"/>
    <w:rsid w:val="16B80D33"/>
    <w:rsid w:val="16BB7044"/>
    <w:rsid w:val="17005388"/>
    <w:rsid w:val="17805C75"/>
    <w:rsid w:val="18A41F08"/>
    <w:rsid w:val="19203843"/>
    <w:rsid w:val="192F190E"/>
    <w:rsid w:val="19550B3B"/>
    <w:rsid w:val="1A2A0322"/>
    <w:rsid w:val="1A2D38E9"/>
    <w:rsid w:val="1B100169"/>
    <w:rsid w:val="1BB576C4"/>
    <w:rsid w:val="1BFE6842"/>
    <w:rsid w:val="1C55024B"/>
    <w:rsid w:val="1C5E5533"/>
    <w:rsid w:val="1CEC2454"/>
    <w:rsid w:val="1D097C95"/>
    <w:rsid w:val="1D0A46B3"/>
    <w:rsid w:val="1E1200B5"/>
    <w:rsid w:val="1E4D010E"/>
    <w:rsid w:val="1ED142CD"/>
    <w:rsid w:val="1ED95235"/>
    <w:rsid w:val="1F9661AB"/>
    <w:rsid w:val="1F983F78"/>
    <w:rsid w:val="1FCC4676"/>
    <w:rsid w:val="20065A3F"/>
    <w:rsid w:val="20D50CD0"/>
    <w:rsid w:val="214225A7"/>
    <w:rsid w:val="216435EB"/>
    <w:rsid w:val="218A1E01"/>
    <w:rsid w:val="21B44A91"/>
    <w:rsid w:val="2254540E"/>
    <w:rsid w:val="22CE3412"/>
    <w:rsid w:val="230411E9"/>
    <w:rsid w:val="23696C97"/>
    <w:rsid w:val="23B32608"/>
    <w:rsid w:val="23F46EA8"/>
    <w:rsid w:val="24125580"/>
    <w:rsid w:val="241C3FDB"/>
    <w:rsid w:val="242D24A8"/>
    <w:rsid w:val="24343749"/>
    <w:rsid w:val="24495614"/>
    <w:rsid w:val="245D5C46"/>
    <w:rsid w:val="257304FC"/>
    <w:rsid w:val="258D480A"/>
    <w:rsid w:val="25C03186"/>
    <w:rsid w:val="25C72CB0"/>
    <w:rsid w:val="25DE65DB"/>
    <w:rsid w:val="261F7E1E"/>
    <w:rsid w:val="26700DC8"/>
    <w:rsid w:val="27194B8E"/>
    <w:rsid w:val="274A3ADE"/>
    <w:rsid w:val="276B0D3D"/>
    <w:rsid w:val="276D731D"/>
    <w:rsid w:val="27936A96"/>
    <w:rsid w:val="27B6199A"/>
    <w:rsid w:val="27E372C0"/>
    <w:rsid w:val="27F45F3F"/>
    <w:rsid w:val="28D75907"/>
    <w:rsid w:val="29341AF5"/>
    <w:rsid w:val="29432ECA"/>
    <w:rsid w:val="299E408D"/>
    <w:rsid w:val="29BC5413"/>
    <w:rsid w:val="2A6F0E2B"/>
    <w:rsid w:val="2AC05FDB"/>
    <w:rsid w:val="2B964B95"/>
    <w:rsid w:val="2C5024BB"/>
    <w:rsid w:val="2CD34ABD"/>
    <w:rsid w:val="2D3C3422"/>
    <w:rsid w:val="2D5C5ABE"/>
    <w:rsid w:val="2DDD6BFF"/>
    <w:rsid w:val="2E1A4725"/>
    <w:rsid w:val="2E4425FB"/>
    <w:rsid w:val="2E7E4CEF"/>
    <w:rsid w:val="2EBF6305"/>
    <w:rsid w:val="2F34284F"/>
    <w:rsid w:val="30203C11"/>
    <w:rsid w:val="3059656E"/>
    <w:rsid w:val="307B4B8D"/>
    <w:rsid w:val="313222ED"/>
    <w:rsid w:val="317C2F53"/>
    <w:rsid w:val="31D979E2"/>
    <w:rsid w:val="31DC0F7C"/>
    <w:rsid w:val="31DE0AF7"/>
    <w:rsid w:val="31EB18C5"/>
    <w:rsid w:val="32480412"/>
    <w:rsid w:val="32F756F3"/>
    <w:rsid w:val="32FF3534"/>
    <w:rsid w:val="33082FC4"/>
    <w:rsid w:val="331D1CBC"/>
    <w:rsid w:val="334D28A4"/>
    <w:rsid w:val="334E7C57"/>
    <w:rsid w:val="339553E1"/>
    <w:rsid w:val="339F6079"/>
    <w:rsid w:val="33A616A5"/>
    <w:rsid w:val="342565AC"/>
    <w:rsid w:val="346F4329"/>
    <w:rsid w:val="347119C5"/>
    <w:rsid w:val="348C6C89"/>
    <w:rsid w:val="34B47F8E"/>
    <w:rsid w:val="3551321E"/>
    <w:rsid w:val="36363195"/>
    <w:rsid w:val="36FD5593"/>
    <w:rsid w:val="37460BB1"/>
    <w:rsid w:val="37C87FD8"/>
    <w:rsid w:val="38262F51"/>
    <w:rsid w:val="384653A1"/>
    <w:rsid w:val="38AC16A8"/>
    <w:rsid w:val="39647017"/>
    <w:rsid w:val="397C5B62"/>
    <w:rsid w:val="398C70CF"/>
    <w:rsid w:val="39C57C56"/>
    <w:rsid w:val="3B201268"/>
    <w:rsid w:val="3B273F0F"/>
    <w:rsid w:val="3B491430"/>
    <w:rsid w:val="3B7E7F28"/>
    <w:rsid w:val="3B820DE6"/>
    <w:rsid w:val="3B9B4912"/>
    <w:rsid w:val="3BE95BB5"/>
    <w:rsid w:val="3C1E7425"/>
    <w:rsid w:val="3C9B53EE"/>
    <w:rsid w:val="3CA1484D"/>
    <w:rsid w:val="3CEA6C43"/>
    <w:rsid w:val="3DB031EC"/>
    <w:rsid w:val="3E427BFC"/>
    <w:rsid w:val="3EAC2F2B"/>
    <w:rsid w:val="3ED9224D"/>
    <w:rsid w:val="3F292E74"/>
    <w:rsid w:val="3F3D50C5"/>
    <w:rsid w:val="3F9418DA"/>
    <w:rsid w:val="3FEE07F8"/>
    <w:rsid w:val="3FFD0A3B"/>
    <w:rsid w:val="405943F6"/>
    <w:rsid w:val="409817AD"/>
    <w:rsid w:val="40E32EAD"/>
    <w:rsid w:val="40E5032B"/>
    <w:rsid w:val="41BD0482"/>
    <w:rsid w:val="41C52F9E"/>
    <w:rsid w:val="41FB36A0"/>
    <w:rsid w:val="42383FAC"/>
    <w:rsid w:val="43A92642"/>
    <w:rsid w:val="43C26E36"/>
    <w:rsid w:val="43DA3FAF"/>
    <w:rsid w:val="43FE7528"/>
    <w:rsid w:val="44614168"/>
    <w:rsid w:val="44856A25"/>
    <w:rsid w:val="448F5233"/>
    <w:rsid w:val="44C4421D"/>
    <w:rsid w:val="45097749"/>
    <w:rsid w:val="453927EE"/>
    <w:rsid w:val="453D0C3C"/>
    <w:rsid w:val="4557756A"/>
    <w:rsid w:val="4559017B"/>
    <w:rsid w:val="455A271D"/>
    <w:rsid w:val="456064BF"/>
    <w:rsid w:val="45781156"/>
    <w:rsid w:val="457C6A16"/>
    <w:rsid w:val="4618015E"/>
    <w:rsid w:val="461D4693"/>
    <w:rsid w:val="4659191C"/>
    <w:rsid w:val="46672E81"/>
    <w:rsid w:val="47215957"/>
    <w:rsid w:val="47C90DA5"/>
    <w:rsid w:val="47D26C51"/>
    <w:rsid w:val="48AD70F4"/>
    <w:rsid w:val="48ED63FC"/>
    <w:rsid w:val="49CC7A63"/>
    <w:rsid w:val="49D73544"/>
    <w:rsid w:val="4A0574D3"/>
    <w:rsid w:val="4A335637"/>
    <w:rsid w:val="4BAE4D65"/>
    <w:rsid w:val="4C787A89"/>
    <w:rsid w:val="4C967B59"/>
    <w:rsid w:val="4CDF1BF4"/>
    <w:rsid w:val="4CF60CEC"/>
    <w:rsid w:val="4D12590C"/>
    <w:rsid w:val="4D5B1935"/>
    <w:rsid w:val="4D9239A4"/>
    <w:rsid w:val="4DC647E3"/>
    <w:rsid w:val="4DEB4C90"/>
    <w:rsid w:val="4E234A67"/>
    <w:rsid w:val="4E453CD9"/>
    <w:rsid w:val="4E806A8E"/>
    <w:rsid w:val="4EFD54FA"/>
    <w:rsid w:val="4F0911AA"/>
    <w:rsid w:val="51A26962"/>
    <w:rsid w:val="51CC7822"/>
    <w:rsid w:val="521C2FA3"/>
    <w:rsid w:val="52506086"/>
    <w:rsid w:val="52974D1F"/>
    <w:rsid w:val="529C7857"/>
    <w:rsid w:val="52D01037"/>
    <w:rsid w:val="533D4580"/>
    <w:rsid w:val="53875648"/>
    <w:rsid w:val="53EF7220"/>
    <w:rsid w:val="54316AAD"/>
    <w:rsid w:val="5445147C"/>
    <w:rsid w:val="545F361A"/>
    <w:rsid w:val="54631753"/>
    <w:rsid w:val="54E3424B"/>
    <w:rsid w:val="5517148C"/>
    <w:rsid w:val="5596468F"/>
    <w:rsid w:val="56292132"/>
    <w:rsid w:val="563674EE"/>
    <w:rsid w:val="569855BC"/>
    <w:rsid w:val="57203535"/>
    <w:rsid w:val="57561413"/>
    <w:rsid w:val="57B60D8E"/>
    <w:rsid w:val="57ED5318"/>
    <w:rsid w:val="58217ADB"/>
    <w:rsid w:val="586423C0"/>
    <w:rsid w:val="58AB6C4C"/>
    <w:rsid w:val="59D466FE"/>
    <w:rsid w:val="59D81736"/>
    <w:rsid w:val="59E1679B"/>
    <w:rsid w:val="5AA75420"/>
    <w:rsid w:val="5AF96577"/>
    <w:rsid w:val="5B5E63DA"/>
    <w:rsid w:val="5B9877F6"/>
    <w:rsid w:val="5BB70934"/>
    <w:rsid w:val="5C245875"/>
    <w:rsid w:val="5C2814EF"/>
    <w:rsid w:val="5C711A17"/>
    <w:rsid w:val="5C7F7B30"/>
    <w:rsid w:val="5C900C67"/>
    <w:rsid w:val="5C966047"/>
    <w:rsid w:val="5D17501F"/>
    <w:rsid w:val="5DD636FD"/>
    <w:rsid w:val="5DF30FC9"/>
    <w:rsid w:val="5DF64FF0"/>
    <w:rsid w:val="5E0F6D82"/>
    <w:rsid w:val="5E625AF9"/>
    <w:rsid w:val="5F4463DC"/>
    <w:rsid w:val="5F596F2E"/>
    <w:rsid w:val="5F7664B0"/>
    <w:rsid w:val="5F7C6CF9"/>
    <w:rsid w:val="5FA840C8"/>
    <w:rsid w:val="60441546"/>
    <w:rsid w:val="60692DB6"/>
    <w:rsid w:val="60B414EC"/>
    <w:rsid w:val="60C01AE9"/>
    <w:rsid w:val="60E24911"/>
    <w:rsid w:val="61092702"/>
    <w:rsid w:val="612A5725"/>
    <w:rsid w:val="61BD7442"/>
    <w:rsid w:val="61DA61FE"/>
    <w:rsid w:val="61EB1D4B"/>
    <w:rsid w:val="624D0998"/>
    <w:rsid w:val="62A9003F"/>
    <w:rsid w:val="62E93375"/>
    <w:rsid w:val="635C39A0"/>
    <w:rsid w:val="63A37B23"/>
    <w:rsid w:val="63C11BFC"/>
    <w:rsid w:val="63DE27AE"/>
    <w:rsid w:val="63EF49BB"/>
    <w:rsid w:val="64053C78"/>
    <w:rsid w:val="6408452D"/>
    <w:rsid w:val="64F77AA5"/>
    <w:rsid w:val="64FE0155"/>
    <w:rsid w:val="65255D84"/>
    <w:rsid w:val="65E579C3"/>
    <w:rsid w:val="65F476D5"/>
    <w:rsid w:val="660D2ED6"/>
    <w:rsid w:val="66AB0941"/>
    <w:rsid w:val="67087BA4"/>
    <w:rsid w:val="678761EE"/>
    <w:rsid w:val="679E2E46"/>
    <w:rsid w:val="67B868A1"/>
    <w:rsid w:val="67DB0DB2"/>
    <w:rsid w:val="680D18B3"/>
    <w:rsid w:val="68577AF9"/>
    <w:rsid w:val="689533C2"/>
    <w:rsid w:val="691A080B"/>
    <w:rsid w:val="69434792"/>
    <w:rsid w:val="69AA4EE0"/>
    <w:rsid w:val="69AB39E1"/>
    <w:rsid w:val="69D260D0"/>
    <w:rsid w:val="69DC0FE9"/>
    <w:rsid w:val="6A956117"/>
    <w:rsid w:val="6AB44D03"/>
    <w:rsid w:val="6B302F5B"/>
    <w:rsid w:val="6B833C3B"/>
    <w:rsid w:val="6BBA555C"/>
    <w:rsid w:val="6C272818"/>
    <w:rsid w:val="6C7106BC"/>
    <w:rsid w:val="6D972EA2"/>
    <w:rsid w:val="6D9D221F"/>
    <w:rsid w:val="6DA22172"/>
    <w:rsid w:val="6F1F48ED"/>
    <w:rsid w:val="6F394D3C"/>
    <w:rsid w:val="6F4D0EC8"/>
    <w:rsid w:val="6F9E02F2"/>
    <w:rsid w:val="6FD42CB7"/>
    <w:rsid w:val="702E4908"/>
    <w:rsid w:val="708F6BDE"/>
    <w:rsid w:val="70BC5C25"/>
    <w:rsid w:val="70EB475C"/>
    <w:rsid w:val="716E3B57"/>
    <w:rsid w:val="71F46ECB"/>
    <w:rsid w:val="72086647"/>
    <w:rsid w:val="722E54C0"/>
    <w:rsid w:val="72764C46"/>
    <w:rsid w:val="73351607"/>
    <w:rsid w:val="733812D2"/>
    <w:rsid w:val="736B1C52"/>
    <w:rsid w:val="73903399"/>
    <w:rsid w:val="73C27CD8"/>
    <w:rsid w:val="73D17C39"/>
    <w:rsid w:val="7486793B"/>
    <w:rsid w:val="74877EC9"/>
    <w:rsid w:val="748D1D46"/>
    <w:rsid w:val="749D3067"/>
    <w:rsid w:val="74D74D4B"/>
    <w:rsid w:val="75681724"/>
    <w:rsid w:val="756C7CCB"/>
    <w:rsid w:val="758E216C"/>
    <w:rsid w:val="7615607E"/>
    <w:rsid w:val="766A6149"/>
    <w:rsid w:val="767A2C9B"/>
    <w:rsid w:val="77B45C34"/>
    <w:rsid w:val="77E019EB"/>
    <w:rsid w:val="782C096F"/>
    <w:rsid w:val="78403555"/>
    <w:rsid w:val="784977FF"/>
    <w:rsid w:val="78E359B1"/>
    <w:rsid w:val="793F5C86"/>
    <w:rsid w:val="79A0241C"/>
    <w:rsid w:val="79C14352"/>
    <w:rsid w:val="79E41D48"/>
    <w:rsid w:val="79FE5D6F"/>
    <w:rsid w:val="7A035633"/>
    <w:rsid w:val="7A792DD8"/>
    <w:rsid w:val="7AE80C64"/>
    <w:rsid w:val="7AF64429"/>
    <w:rsid w:val="7B6D3C1E"/>
    <w:rsid w:val="7B814986"/>
    <w:rsid w:val="7B9C54D2"/>
    <w:rsid w:val="7BAD049F"/>
    <w:rsid w:val="7BF26E13"/>
    <w:rsid w:val="7C1220D5"/>
    <w:rsid w:val="7C8A5886"/>
    <w:rsid w:val="7CA92910"/>
    <w:rsid w:val="7D1C3F7F"/>
    <w:rsid w:val="7D937D44"/>
    <w:rsid w:val="7E394911"/>
    <w:rsid w:val="7E8104AE"/>
    <w:rsid w:val="7EC62364"/>
    <w:rsid w:val="7F0D410F"/>
    <w:rsid w:val="7FCA2AC4"/>
    <w:rsid w:val="7FF43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spacing w:before="30"/>
      <w:ind w:left="83" w:right="323"/>
      <w:jc w:val="center"/>
      <w:outlineLvl w:val="0"/>
    </w:pPr>
    <w:rPr>
      <w:b/>
      <w:bCs/>
      <w:sz w:val="32"/>
      <w:szCs w:val="32"/>
    </w:rPr>
  </w:style>
  <w:style w:type="paragraph" w:styleId="3">
    <w:name w:val="heading 2"/>
    <w:basedOn w:val="1"/>
    <w:next w:val="1"/>
    <w:qFormat/>
    <w:uiPriority w:val="1"/>
    <w:pPr>
      <w:ind w:left="120"/>
      <w:outlineLvl w:val="1"/>
    </w:pPr>
    <w:rPr>
      <w:sz w:val="32"/>
      <w:szCs w:val="32"/>
    </w:rPr>
  </w:style>
  <w:style w:type="paragraph" w:styleId="4">
    <w:name w:val="heading 3"/>
    <w:basedOn w:val="1"/>
    <w:next w:val="1"/>
    <w:qFormat/>
    <w:uiPriority w:val="1"/>
    <w:pPr>
      <w:ind w:left="120"/>
      <w:outlineLvl w:val="2"/>
    </w:pPr>
    <w:rPr>
      <w:b/>
      <w:bCs/>
      <w:sz w:val="28"/>
      <w:szCs w:val="28"/>
    </w:rPr>
  </w:style>
  <w:style w:type="paragraph" w:styleId="5">
    <w:name w:val="heading 4"/>
    <w:basedOn w:val="1"/>
    <w:next w:val="1"/>
    <w:qFormat/>
    <w:uiPriority w:val="1"/>
    <w:pPr>
      <w:ind w:left="120"/>
      <w:outlineLvl w:val="3"/>
    </w:pPr>
    <w:rPr>
      <w:b/>
      <w:bCs/>
      <w:sz w:val="24"/>
      <w:szCs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rPr>
      <w:rFonts w:ascii="宋体" w:hAnsi="宋体"/>
      <w:color w:val="000000"/>
      <w:szCs w:val="21"/>
    </w:rPr>
  </w:style>
  <w:style w:type="paragraph" w:styleId="7">
    <w:name w:val="annotation text"/>
    <w:basedOn w:val="1"/>
    <w:link w:val="25"/>
    <w:qFormat/>
    <w:uiPriority w:val="0"/>
    <w:pPr>
      <w:autoSpaceDE/>
      <w:autoSpaceDN/>
    </w:pPr>
    <w:rPr>
      <w:rFonts w:ascii="Times New Roman" w:hAnsi="Times New Roman" w:cs="Times New Roman"/>
      <w:kern w:val="2"/>
      <w:sz w:val="21"/>
      <w:szCs w:val="24"/>
      <w:lang w:eastAsia="zh-CN"/>
    </w:rPr>
  </w:style>
  <w:style w:type="paragraph" w:styleId="8">
    <w:name w:val="Body Text"/>
    <w:basedOn w:val="1"/>
    <w:next w:val="1"/>
    <w:link w:val="27"/>
    <w:qFormat/>
    <w:uiPriority w:val="1"/>
    <w:pPr>
      <w:ind w:left="120" w:firstLine="480"/>
    </w:pPr>
    <w:rPr>
      <w:sz w:val="24"/>
      <w:szCs w:val="24"/>
    </w:rPr>
  </w:style>
  <w:style w:type="paragraph" w:styleId="9">
    <w:name w:val="Plain Text"/>
    <w:basedOn w:val="1"/>
    <w:next w:val="1"/>
    <w:qFormat/>
    <w:uiPriority w:val="0"/>
    <w:rPr>
      <w:rFonts w:ascii="宋体" w:hAnsi="Courier New"/>
    </w:rPr>
  </w:style>
  <w:style w:type="paragraph" w:styleId="10">
    <w:name w:val="Balloon Text"/>
    <w:basedOn w:val="1"/>
    <w:link w:val="24"/>
    <w:semiHidden/>
    <w:unhideWhenUsed/>
    <w:qFormat/>
    <w:uiPriority w:val="99"/>
    <w:rPr>
      <w:sz w:val="18"/>
      <w:szCs w:val="18"/>
    </w:rPr>
  </w:style>
  <w:style w:type="paragraph" w:styleId="11">
    <w:name w:val="footer"/>
    <w:basedOn w:val="1"/>
    <w:link w:val="30"/>
    <w:unhideWhenUsed/>
    <w:qFormat/>
    <w:uiPriority w:val="99"/>
    <w:pPr>
      <w:tabs>
        <w:tab w:val="center" w:pos="4153"/>
        <w:tab w:val="right" w:pos="8306"/>
      </w:tabs>
      <w:snapToGrid w:val="0"/>
    </w:pPr>
    <w:rPr>
      <w:sz w:val="18"/>
      <w:szCs w:val="18"/>
    </w:rPr>
  </w:style>
  <w:style w:type="paragraph" w:styleId="12">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1"/>
    <w:pPr>
      <w:spacing w:before="360"/>
      <w:ind w:right="248"/>
      <w:jc w:val="center"/>
    </w:pPr>
    <w:rPr>
      <w:b/>
      <w:bCs/>
      <w:sz w:val="30"/>
      <w:szCs w:val="30"/>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annotation subject"/>
    <w:basedOn w:val="7"/>
    <w:next w:val="7"/>
    <w:link w:val="26"/>
    <w:semiHidden/>
    <w:unhideWhenUsed/>
    <w:qFormat/>
    <w:uiPriority w:val="99"/>
    <w:pPr>
      <w:autoSpaceDE w:val="0"/>
      <w:autoSpaceDN w:val="0"/>
    </w:pPr>
    <w:rPr>
      <w:rFonts w:ascii="宋体" w:hAnsi="宋体" w:cs="宋体"/>
      <w:b/>
      <w:bCs/>
      <w:kern w:val="0"/>
      <w:sz w:val="22"/>
      <w:szCs w:val="22"/>
      <w:lang w:eastAsia="en-US"/>
    </w:rPr>
  </w:style>
  <w:style w:type="paragraph" w:styleId="16">
    <w:name w:val="Body Text First Indent"/>
    <w:basedOn w:val="8"/>
    <w:link w:val="28"/>
    <w:semiHidden/>
    <w:unhideWhenUsed/>
    <w:qFormat/>
    <w:uiPriority w:val="99"/>
    <w:pPr>
      <w:spacing w:after="120"/>
      <w:ind w:left="0" w:firstLine="420" w:firstLineChars="100"/>
    </w:pPr>
    <w:rPr>
      <w:sz w:val="22"/>
      <w:szCs w:val="22"/>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qFormat/>
    <w:uiPriority w:val="0"/>
    <w:rPr>
      <w:sz w:val="21"/>
      <w:szCs w:val="21"/>
    </w:rPr>
  </w:style>
  <w:style w:type="table" w:customStyle="1" w:styleId="21">
    <w:name w:val="Table Normal"/>
    <w:semiHidden/>
    <w:unhideWhenUsed/>
    <w:qFormat/>
    <w:uiPriority w:val="2"/>
    <w:tblPr>
      <w:tblCellMar>
        <w:top w:w="0" w:type="dxa"/>
        <w:left w:w="0" w:type="dxa"/>
        <w:bottom w:w="0" w:type="dxa"/>
        <w:right w:w="0" w:type="dxa"/>
      </w:tblCellMar>
    </w:tblPr>
  </w:style>
  <w:style w:type="paragraph" w:styleId="22">
    <w:name w:val="List Paragraph"/>
    <w:basedOn w:val="1"/>
    <w:qFormat/>
    <w:uiPriority w:val="1"/>
    <w:pPr>
      <w:spacing w:before="160"/>
      <w:ind w:left="120" w:firstLine="480"/>
    </w:pPr>
  </w:style>
  <w:style w:type="paragraph" w:customStyle="1" w:styleId="23">
    <w:name w:val="Table Paragraph"/>
    <w:basedOn w:val="1"/>
    <w:qFormat/>
    <w:uiPriority w:val="1"/>
    <w:pPr>
      <w:jc w:val="center"/>
    </w:pPr>
  </w:style>
  <w:style w:type="character" w:customStyle="1" w:styleId="24">
    <w:name w:val="批注框文本 Char"/>
    <w:basedOn w:val="19"/>
    <w:link w:val="10"/>
    <w:semiHidden/>
    <w:qFormat/>
    <w:uiPriority w:val="99"/>
    <w:rPr>
      <w:rFonts w:ascii="宋体" w:hAnsi="宋体" w:eastAsia="宋体" w:cs="宋体"/>
      <w:sz w:val="18"/>
      <w:szCs w:val="18"/>
    </w:rPr>
  </w:style>
  <w:style w:type="character" w:customStyle="1" w:styleId="25">
    <w:name w:val="批注文字 Char"/>
    <w:basedOn w:val="19"/>
    <w:link w:val="7"/>
    <w:qFormat/>
    <w:uiPriority w:val="0"/>
    <w:rPr>
      <w:rFonts w:ascii="Times New Roman" w:hAnsi="Times New Roman" w:eastAsia="宋体" w:cs="Times New Roman"/>
      <w:kern w:val="2"/>
      <w:sz w:val="21"/>
      <w:szCs w:val="24"/>
      <w:lang w:eastAsia="zh-CN"/>
    </w:rPr>
  </w:style>
  <w:style w:type="character" w:customStyle="1" w:styleId="26">
    <w:name w:val="批注主题 Char"/>
    <w:basedOn w:val="25"/>
    <w:link w:val="15"/>
    <w:semiHidden/>
    <w:qFormat/>
    <w:uiPriority w:val="99"/>
    <w:rPr>
      <w:rFonts w:ascii="宋体" w:hAnsi="宋体" w:eastAsia="宋体" w:cs="宋体"/>
      <w:b/>
      <w:bCs/>
      <w:kern w:val="2"/>
      <w:sz w:val="21"/>
      <w:szCs w:val="24"/>
      <w:lang w:eastAsia="zh-CN"/>
    </w:rPr>
  </w:style>
  <w:style w:type="character" w:customStyle="1" w:styleId="27">
    <w:name w:val="正文文本 Char"/>
    <w:basedOn w:val="19"/>
    <w:link w:val="8"/>
    <w:qFormat/>
    <w:uiPriority w:val="1"/>
    <w:rPr>
      <w:rFonts w:ascii="宋体" w:hAnsi="宋体" w:eastAsia="宋体" w:cs="宋体"/>
      <w:sz w:val="24"/>
      <w:szCs w:val="24"/>
    </w:rPr>
  </w:style>
  <w:style w:type="character" w:customStyle="1" w:styleId="28">
    <w:name w:val="正文首行缩进 Char"/>
    <w:basedOn w:val="27"/>
    <w:link w:val="16"/>
    <w:semiHidden/>
    <w:qFormat/>
    <w:uiPriority w:val="99"/>
    <w:rPr>
      <w:rFonts w:ascii="宋体" w:hAnsi="宋体" w:eastAsia="宋体" w:cs="宋体"/>
      <w:sz w:val="24"/>
      <w:szCs w:val="24"/>
    </w:rPr>
  </w:style>
  <w:style w:type="character" w:customStyle="1" w:styleId="29">
    <w:name w:val="页眉 Char"/>
    <w:basedOn w:val="19"/>
    <w:link w:val="12"/>
    <w:qFormat/>
    <w:uiPriority w:val="99"/>
    <w:rPr>
      <w:rFonts w:ascii="宋体" w:hAnsi="宋体" w:eastAsia="宋体" w:cs="宋体"/>
      <w:sz w:val="18"/>
      <w:szCs w:val="18"/>
    </w:rPr>
  </w:style>
  <w:style w:type="character" w:customStyle="1" w:styleId="30">
    <w:name w:val="页脚 Char"/>
    <w:basedOn w:val="19"/>
    <w:link w:val="11"/>
    <w:qFormat/>
    <w:uiPriority w:val="99"/>
    <w:rPr>
      <w:rFonts w:ascii="宋体" w:hAnsi="宋体" w:eastAsia="宋体" w:cs="宋体"/>
      <w:sz w:val="18"/>
      <w:szCs w:val="18"/>
    </w:rPr>
  </w:style>
  <w:style w:type="paragraph" w:customStyle="1" w:styleId="31">
    <w:name w:val="样式 宋体 行距: 1.5 倍行距"/>
    <w:basedOn w:val="1"/>
    <w:qFormat/>
    <w:uiPriority w:val="99"/>
    <w:pPr>
      <w:jc w:val="center"/>
    </w:pPr>
    <w:rPr>
      <w:b/>
      <w:bCs/>
    </w:rPr>
  </w:style>
  <w:style w:type="paragraph" w:customStyle="1" w:styleId="32">
    <w:name w:val="正文 New New New New New"/>
    <w:qFormat/>
    <w:uiPriority w:val="0"/>
    <w:pPr>
      <w:widowControl w:val="0"/>
      <w:jc w:val="both"/>
    </w:pPr>
    <w:rPr>
      <w:rFonts w:ascii="黑体" w:hAnsi="黑体"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82BDB0-9BD7-4A49-8828-7E1C73E7E4BE}">
  <ds:schemaRefs/>
</ds:datastoreItem>
</file>

<file path=docProps/app.xml><?xml version="1.0" encoding="utf-8"?>
<Properties xmlns="http://schemas.openxmlformats.org/officeDocument/2006/extended-properties" xmlns:vt="http://schemas.openxmlformats.org/officeDocument/2006/docPropsVTypes">
  <Template>Normal</Template>
  <Company>HP</Company>
  <Pages>30</Pages>
  <Words>14872</Words>
  <Characters>15110</Characters>
  <Lines>125</Lines>
  <Paragraphs>35</Paragraphs>
  <TotalTime>1</TotalTime>
  <ScaleCrop>false</ScaleCrop>
  <LinksUpToDate>false</LinksUpToDate>
  <CharactersWithSpaces>15499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2022-05-16T04:07:00Z</dcterms:created>
  <dc:creator>叶赝慈</dc:creator>
  <cp:lastModifiedBy>胡工</cp:lastModifiedBy>
  <dcterms:modified xsi:type="dcterms:W3CDTF">2025-10-23T01:41:19Z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2022-05-05T00:00:00Z</vt:filetime>
  </property>
  <property fmtid="{D5CDD505-2E9C-101B-9397-08002B2CF9AE}" pid="3" name="Creator">
    <vt:lpwstr>WPS 文字</vt:lpwstr>
  </property>
  <property fmtid="{D5CDD505-2E9C-101B-9397-08002B2CF9AE}" pid="4" name="LastSaved">
    <vt:filetime>2022-05-06T00:00:00Z</vt:filetime>
  </property>
  <property fmtid="{D5CDD505-2E9C-101B-9397-08002B2CF9AE}" pid="5" name="KSOProductBuildVer">
    <vt:lpwstr>2052-12.1.0.23125</vt:lpwstr>
  </property>
  <property fmtid="{D5CDD505-2E9C-101B-9397-08002B2CF9AE}" pid="6" name="ICV">
    <vt:lpwstr>E14851755F00419C865E95961C9D841B_13</vt:lpwstr>
  </property>
  <property fmtid="{D5CDD505-2E9C-101B-9397-08002B2CF9AE}" pid="7" name="KSOTemplateDocerSaveRecord">
    <vt:lpwstr>eyJoZGlkIjoiYTMwOTAyY2ViNTlhNWRkOWU4MTllOTkzNzBmODlkNzEiLCJ1c2VySWQiOiIzMjU5MTMwODYifQ==</vt:lpwstr>
  </property>
</Properties>
</file>