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附件</w:t>
      </w:r>
      <w:r>
        <w:rPr>
          <w:rFonts w:hint="default"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rPr>
        <w:t>：资格审查条件（附录1-6）</w:t>
      </w:r>
    </w:p>
    <w:p>
      <w:pPr>
        <w:pStyle w:val="2"/>
        <w:jc w:val="center"/>
        <w:rPr>
          <w:rFonts w:hint="eastAsia" w:ascii="仿宋" w:hAnsi="仿宋" w:eastAsia="仿宋" w:cs="仿宋"/>
          <w:color w:val="auto"/>
          <w:sz w:val="30"/>
          <w:szCs w:val="30"/>
          <w:highlight w:val="none"/>
        </w:rPr>
      </w:pPr>
      <w:bookmarkStart w:id="0" w:name="_Toc20737"/>
      <w:r>
        <w:rPr>
          <w:rFonts w:hint="eastAsia" w:ascii="仿宋" w:hAnsi="仿宋" w:eastAsia="仿宋" w:cs="仿宋"/>
          <w:color w:val="auto"/>
          <w:sz w:val="30"/>
          <w:szCs w:val="30"/>
          <w:highlight w:val="none"/>
        </w:rPr>
        <w:t>附录1资格审查条件(资质最低要求)</w:t>
      </w:r>
      <w:bookmarkEnd w:id="0"/>
    </w:p>
    <w:p>
      <w:pPr>
        <w:adjustRightInd w:val="0"/>
        <w:snapToGrid w:val="0"/>
        <w:spacing w:line="400" w:lineRule="atLeast"/>
        <w:rPr>
          <w:rFonts w:hint="eastAsia" w:ascii="仿宋" w:hAnsi="仿宋" w:eastAsia="仿宋" w:cs="仿宋"/>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523" w:type="dxa"/>
            <w:noWrap w:val="0"/>
            <w:vAlign w:val="center"/>
          </w:tcPr>
          <w:p>
            <w:pPr>
              <w:adjustRightInd w:val="0"/>
              <w:snapToGrid w:val="0"/>
              <w:spacing w:line="400" w:lineRule="atLeast"/>
              <w:jc w:val="center"/>
              <w:rPr>
                <w:rFonts w:hint="default" w:ascii="仿宋" w:hAnsi="仿宋" w:eastAsia="仿宋" w:cs="仿宋"/>
                <w:color w:val="auto"/>
                <w:szCs w:val="21"/>
                <w:highlight w:val="none"/>
              </w:rPr>
            </w:pPr>
            <w:r>
              <w:rPr>
                <w:rFonts w:hint="default" w:ascii="仿宋" w:hAnsi="仿宋" w:eastAsia="仿宋" w:cs="仿宋"/>
                <w:b/>
                <w:bCs/>
                <w:color w:val="auto"/>
                <w:kern w:val="2"/>
                <w:szCs w:val="21"/>
                <w:highlight w:val="none"/>
              </w:rPr>
              <w:t>本表适用于</w:t>
            </w:r>
            <w:r>
              <w:rPr>
                <w:rFonts w:hint="eastAsia" w:ascii="仿宋" w:hAnsi="仿宋" w:eastAsia="仿宋" w:cs="仿宋"/>
                <w:b/>
                <w:bCs/>
                <w:color w:val="auto"/>
                <w:kern w:val="2"/>
                <w:szCs w:val="21"/>
                <w:highlight w:val="none"/>
                <w:lang w:val="en-US" w:eastAsia="zh-CN"/>
              </w:rPr>
              <w:t>各</w:t>
            </w:r>
            <w:r>
              <w:rPr>
                <w:rFonts w:hint="default" w:ascii="仿宋" w:hAnsi="仿宋" w:eastAsia="仿宋" w:cs="仿宋"/>
                <w:b/>
                <w:bCs/>
                <w:color w:val="auto"/>
                <w:kern w:val="2"/>
                <w:szCs w:val="21"/>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523" w:type="dxa"/>
            <w:noWrap w:val="0"/>
            <w:vAlign w:val="center"/>
          </w:tcPr>
          <w:p>
            <w:pPr>
              <w:adjustRightInd w:val="0"/>
              <w:snapToGrid w:val="0"/>
              <w:spacing w:line="400" w:lineRule="atLeast"/>
              <w:jc w:val="center"/>
              <w:rPr>
                <w:rFonts w:hint="default" w:ascii="仿宋" w:hAnsi="仿宋" w:eastAsia="仿宋" w:cs="仿宋"/>
                <w:color w:val="auto"/>
                <w:szCs w:val="21"/>
                <w:highlight w:val="none"/>
              </w:rPr>
            </w:pPr>
            <w:r>
              <w:rPr>
                <w:rFonts w:hint="default" w:ascii="仿宋" w:hAnsi="仿宋" w:eastAsia="仿宋" w:cs="仿宋"/>
                <w:color w:val="auto"/>
                <w:szCs w:val="21"/>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8523" w:type="dxa"/>
            <w:noWrap w:val="0"/>
            <w:vAlign w:val="center"/>
          </w:tcPr>
          <w:p>
            <w:pPr>
              <w:adjustRightInd w:val="0"/>
              <w:snapToGrid w:val="0"/>
              <w:spacing w:line="400" w:lineRule="atLeast"/>
              <w:jc w:val="left"/>
              <w:rPr>
                <w:rFonts w:hint="default" w:ascii="仿宋" w:hAnsi="仿宋" w:eastAsia="仿宋" w:cs="仿宋"/>
                <w:color w:val="auto"/>
                <w:szCs w:val="21"/>
                <w:highlight w:val="none"/>
              </w:rPr>
            </w:pPr>
            <w:r>
              <w:rPr>
                <w:rFonts w:hint="default" w:ascii="仿宋" w:hAnsi="仿宋" w:eastAsia="仿宋" w:cs="仿宋"/>
                <w:color w:val="auto"/>
                <w:szCs w:val="21"/>
                <w:highlight w:val="none"/>
              </w:rPr>
              <w:t>必须具有：</w:t>
            </w:r>
          </w:p>
          <w:p>
            <w:pPr>
              <w:adjustRightInd w:val="0"/>
              <w:snapToGrid w:val="0"/>
              <w:spacing w:line="400" w:lineRule="atLeast"/>
              <w:jc w:val="left"/>
              <w:rPr>
                <w:rFonts w:hint="default" w:ascii="仿宋" w:hAnsi="仿宋" w:eastAsia="仿宋" w:cs="仿宋"/>
                <w:color w:val="auto"/>
                <w:szCs w:val="21"/>
                <w:highlight w:val="none"/>
              </w:rPr>
            </w:pPr>
            <w:r>
              <w:rPr>
                <w:rFonts w:hint="default" w:ascii="仿宋" w:hAnsi="仿宋" w:eastAsia="仿宋" w:cs="仿宋"/>
                <w:color w:val="auto"/>
                <w:szCs w:val="21"/>
                <w:highlight w:val="none"/>
              </w:rPr>
              <w:t>1.独立法人资格，持有有效的营业执照或事业单位法人证书；</w:t>
            </w:r>
          </w:p>
          <w:p>
            <w:pPr>
              <w:adjustRightInd w:val="0"/>
              <w:snapToGrid w:val="0"/>
              <w:spacing w:line="400" w:lineRule="atLeast"/>
              <w:jc w:val="left"/>
              <w:rPr>
                <w:rFonts w:hint="default" w:ascii="仿宋" w:hAnsi="仿宋" w:eastAsia="仿宋" w:cs="仿宋"/>
                <w:bCs w:val="0"/>
                <w:color w:val="auto"/>
                <w:spacing w:val="0"/>
                <w:szCs w:val="21"/>
                <w:highlight w:val="none"/>
              </w:rPr>
            </w:pPr>
          </w:p>
        </w:tc>
      </w:tr>
    </w:tbl>
    <w:p>
      <w:pPr>
        <w:adjustRightInd w:val="0"/>
        <w:snapToGrid w:val="0"/>
        <w:spacing w:line="400" w:lineRule="atLeast"/>
        <w:jc w:val="center"/>
        <w:rPr>
          <w:rFonts w:hint="eastAsia" w:ascii="仿宋" w:hAnsi="仿宋" w:eastAsia="仿宋" w:cs="仿宋"/>
          <w:color w:val="auto"/>
          <w:sz w:val="32"/>
          <w:highlight w:val="none"/>
        </w:rPr>
      </w:pPr>
    </w:p>
    <w:p>
      <w:pPr>
        <w:adjustRightInd w:val="0"/>
        <w:snapToGrid w:val="0"/>
        <w:spacing w:line="400" w:lineRule="atLeast"/>
        <w:jc w:val="center"/>
        <w:rPr>
          <w:rFonts w:hint="eastAsia" w:ascii="仿宋" w:hAnsi="仿宋" w:eastAsia="仿宋" w:cs="仿宋"/>
          <w:color w:val="auto"/>
          <w:sz w:val="32"/>
          <w:highlight w:val="none"/>
        </w:rPr>
      </w:pPr>
    </w:p>
    <w:p>
      <w:pPr>
        <w:pStyle w:val="2"/>
        <w:jc w:val="center"/>
        <w:rPr>
          <w:rFonts w:hint="eastAsia" w:ascii="仿宋" w:hAnsi="仿宋" w:eastAsia="仿宋" w:cs="仿宋"/>
          <w:color w:val="auto"/>
          <w:sz w:val="30"/>
          <w:szCs w:val="30"/>
          <w:highlight w:val="none"/>
        </w:rPr>
      </w:pPr>
      <w:bookmarkStart w:id="1" w:name="_Toc16669"/>
      <w:r>
        <w:rPr>
          <w:rFonts w:hint="eastAsia" w:ascii="仿宋" w:hAnsi="仿宋" w:eastAsia="仿宋" w:cs="仿宋"/>
          <w:color w:val="auto"/>
          <w:sz w:val="30"/>
          <w:szCs w:val="30"/>
          <w:highlight w:val="none"/>
        </w:rPr>
        <w:t>附录2资格审查条件(财务最低要求)</w:t>
      </w:r>
      <w:bookmarkEnd w:id="1"/>
    </w:p>
    <w:p>
      <w:pPr>
        <w:adjustRightInd w:val="0"/>
        <w:snapToGrid w:val="0"/>
        <w:spacing w:line="400" w:lineRule="atLeast"/>
        <w:rPr>
          <w:rFonts w:hint="eastAsia" w:ascii="仿宋" w:hAnsi="仿宋" w:eastAsia="仿宋" w:cs="仿宋"/>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7" w:hRule="atLeast"/>
          <w:jc w:val="center"/>
        </w:trPr>
        <w:tc>
          <w:tcPr>
            <w:tcW w:w="8523" w:type="dxa"/>
            <w:noWrap w:val="0"/>
            <w:vAlign w:val="center"/>
          </w:tcPr>
          <w:p>
            <w:pPr>
              <w:adjustRightInd w:val="0"/>
              <w:snapToGrid w:val="0"/>
              <w:spacing w:line="400" w:lineRule="atLeast"/>
              <w:jc w:val="center"/>
              <w:rPr>
                <w:rFonts w:hint="eastAsia" w:ascii="仿宋" w:hAnsi="仿宋" w:eastAsia="仿宋" w:cs="仿宋"/>
                <w:color w:val="auto"/>
                <w:szCs w:val="21"/>
                <w:highlight w:val="none"/>
              </w:rPr>
            </w:pPr>
            <w:r>
              <w:rPr>
                <w:rFonts w:hint="eastAsia" w:ascii="仿宋" w:hAnsi="仿宋" w:eastAsia="仿宋" w:cs="仿宋"/>
                <w:b/>
                <w:color w:val="auto"/>
                <w:kern w:val="0"/>
                <w:highlight w:val="none"/>
              </w:rPr>
              <w:t>本表适用于</w:t>
            </w:r>
            <w:r>
              <w:rPr>
                <w:rFonts w:hint="eastAsia" w:ascii="仿宋" w:hAnsi="仿宋" w:eastAsia="仿宋" w:cs="仿宋"/>
                <w:b/>
                <w:bCs/>
                <w:color w:val="auto"/>
                <w:kern w:val="2"/>
                <w:szCs w:val="21"/>
                <w:highlight w:val="none"/>
                <w:lang w:val="en-US" w:eastAsia="zh-CN"/>
              </w:rPr>
              <w:t>各</w:t>
            </w:r>
            <w:r>
              <w:rPr>
                <w:rFonts w:hint="eastAsia" w:ascii="仿宋" w:hAnsi="仿宋" w:eastAsia="仿宋" w:cs="仿宋"/>
                <w:b/>
                <w:color w:val="auto"/>
                <w:kern w:val="0"/>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523" w:type="dxa"/>
            <w:noWrap w:val="0"/>
            <w:vAlign w:val="center"/>
          </w:tcPr>
          <w:p>
            <w:pPr>
              <w:adjustRightInd w:val="0"/>
              <w:snapToGrid w:val="0"/>
              <w:spacing w:line="40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8523" w:type="dxa"/>
            <w:noWrap w:val="0"/>
            <w:vAlign w:val="center"/>
          </w:tcPr>
          <w:p>
            <w:pPr>
              <w:adjustRightInd w:val="0"/>
              <w:snapToGrid w:val="0"/>
              <w:spacing w:line="400" w:lineRule="atLeas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1、企业注册资金不少于1000万元人民币；</w:t>
            </w:r>
          </w:p>
          <w:p>
            <w:pPr>
              <w:adjustRightInd w:val="0"/>
              <w:snapToGrid w:val="0"/>
              <w:spacing w:line="400"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2、近三年的平均营业收入不少于1000万元人民币；</w:t>
            </w:r>
          </w:p>
          <w:p>
            <w:pPr>
              <w:adjustRightInd w:val="0"/>
              <w:snapToGrid w:val="0"/>
              <w:spacing w:line="400"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3、近三年至少有2年盈利。</w:t>
            </w:r>
          </w:p>
        </w:tc>
      </w:tr>
    </w:tbl>
    <w:p>
      <w:pPr>
        <w:spacing w:after="120" w:afterLines="50"/>
        <w:jc w:val="left"/>
        <w:rPr>
          <w:rFonts w:hint="eastAsia" w:ascii="仿宋" w:hAnsi="仿宋" w:eastAsia="仿宋" w:cs="仿宋"/>
          <w:color w:val="auto"/>
          <w:kern w:val="0"/>
          <w:sz w:val="18"/>
          <w:szCs w:val="18"/>
          <w:highlight w:val="none"/>
          <w:lang w:eastAsia="zh-CN"/>
        </w:rPr>
      </w:pPr>
    </w:p>
    <w:p>
      <w:pPr>
        <w:spacing w:after="120" w:afterLines="5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注：1. 近三年是指20</w:t>
      </w:r>
      <w:r>
        <w:rPr>
          <w:rFonts w:hint="eastAsia" w:ascii="仿宋" w:hAnsi="仿宋" w:eastAsia="仿宋" w:cs="仿宋"/>
          <w:color w:val="auto"/>
          <w:kern w:val="0"/>
          <w:sz w:val="18"/>
          <w:szCs w:val="18"/>
          <w:highlight w:val="none"/>
          <w:lang w:val="en-US" w:eastAsia="zh-CN"/>
        </w:rPr>
        <w:t>22</w:t>
      </w:r>
      <w:r>
        <w:rPr>
          <w:rFonts w:hint="eastAsia" w:ascii="仿宋" w:hAnsi="仿宋" w:eastAsia="仿宋" w:cs="仿宋"/>
          <w:color w:val="auto"/>
          <w:kern w:val="0"/>
          <w:sz w:val="18"/>
          <w:szCs w:val="18"/>
          <w:highlight w:val="none"/>
        </w:rPr>
        <w:t>-202</w:t>
      </w:r>
      <w:r>
        <w:rPr>
          <w:rFonts w:hint="eastAsia" w:ascii="仿宋" w:hAnsi="仿宋" w:eastAsia="仿宋" w:cs="仿宋"/>
          <w:color w:val="auto"/>
          <w:kern w:val="0"/>
          <w:sz w:val="18"/>
          <w:szCs w:val="18"/>
          <w:highlight w:val="none"/>
          <w:lang w:val="en-US" w:eastAsia="zh-CN"/>
        </w:rPr>
        <w:t>4</w:t>
      </w:r>
      <w:r>
        <w:rPr>
          <w:rFonts w:hint="eastAsia" w:ascii="仿宋" w:hAnsi="仿宋" w:eastAsia="仿宋" w:cs="仿宋"/>
          <w:color w:val="auto"/>
          <w:kern w:val="0"/>
          <w:sz w:val="18"/>
          <w:szCs w:val="18"/>
          <w:highlight w:val="none"/>
        </w:rPr>
        <w:t>年。</w:t>
      </w:r>
    </w:p>
    <w:p>
      <w:pPr>
        <w:spacing w:after="120" w:afterLines="50"/>
        <w:ind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2．注册资金是以营业执照或经会计师事务所审计并出具无保留意见的202</w:t>
      </w:r>
      <w:r>
        <w:rPr>
          <w:rFonts w:hint="eastAsia" w:ascii="仿宋" w:hAnsi="仿宋" w:eastAsia="仿宋" w:cs="仿宋"/>
          <w:color w:val="auto"/>
          <w:kern w:val="0"/>
          <w:sz w:val="18"/>
          <w:szCs w:val="18"/>
          <w:highlight w:val="none"/>
          <w:lang w:val="en-US" w:eastAsia="zh-CN"/>
        </w:rPr>
        <w:t>4</w:t>
      </w:r>
      <w:r>
        <w:rPr>
          <w:rFonts w:hint="eastAsia" w:ascii="仿宋" w:hAnsi="仿宋" w:eastAsia="仿宋" w:cs="仿宋"/>
          <w:color w:val="auto"/>
          <w:kern w:val="0"/>
          <w:sz w:val="18"/>
          <w:szCs w:val="18"/>
          <w:highlight w:val="none"/>
        </w:rPr>
        <w:t>年审计报告所列的实收资本（股本）为准。</w:t>
      </w:r>
    </w:p>
    <w:p>
      <w:pPr>
        <w:spacing w:after="120" w:afterLines="50"/>
        <w:ind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3．投标人应提供近三年（20</w:t>
      </w:r>
      <w:r>
        <w:rPr>
          <w:rFonts w:hint="eastAsia" w:ascii="仿宋" w:hAnsi="仿宋" w:eastAsia="仿宋" w:cs="仿宋"/>
          <w:color w:val="auto"/>
          <w:kern w:val="0"/>
          <w:sz w:val="18"/>
          <w:szCs w:val="18"/>
          <w:highlight w:val="none"/>
          <w:lang w:val="en-US" w:eastAsia="zh-CN"/>
        </w:rPr>
        <w:t>22</w:t>
      </w:r>
      <w:r>
        <w:rPr>
          <w:rFonts w:hint="eastAsia" w:ascii="仿宋" w:hAnsi="仿宋" w:eastAsia="仿宋" w:cs="仿宋"/>
          <w:color w:val="auto"/>
          <w:kern w:val="0"/>
          <w:sz w:val="18"/>
          <w:szCs w:val="18"/>
          <w:highlight w:val="none"/>
        </w:rPr>
        <w:t>-202</w:t>
      </w:r>
      <w:r>
        <w:rPr>
          <w:rFonts w:hint="eastAsia" w:ascii="仿宋" w:hAnsi="仿宋" w:eastAsia="仿宋" w:cs="仿宋"/>
          <w:color w:val="auto"/>
          <w:kern w:val="0"/>
          <w:sz w:val="18"/>
          <w:szCs w:val="18"/>
          <w:highlight w:val="none"/>
          <w:lang w:val="en-US" w:eastAsia="zh-CN"/>
        </w:rPr>
        <w:t>4</w:t>
      </w:r>
      <w:r>
        <w:rPr>
          <w:rFonts w:hint="eastAsia" w:ascii="仿宋" w:hAnsi="仿宋" w:eastAsia="仿宋" w:cs="仿宋"/>
          <w:color w:val="auto"/>
          <w:kern w:val="0"/>
          <w:sz w:val="18"/>
          <w:szCs w:val="18"/>
          <w:highlight w:val="none"/>
        </w:rPr>
        <w:t>年）经会计事务所或审计机构审计的真实、有效的财务审计意见（报告），主要提供（不限于）资产负债表、现金流量表、利润表等的复印件。复印件必须清晰、可辨，不允许三页或以上拼接在同一张上复印。</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2"/>
        <w:jc w:val="both"/>
        <w:rPr>
          <w:rFonts w:hint="eastAsia" w:ascii="仿宋" w:hAnsi="仿宋" w:eastAsia="仿宋" w:cs="仿宋"/>
          <w:color w:val="auto"/>
          <w:sz w:val="30"/>
          <w:szCs w:val="30"/>
          <w:highlight w:val="none"/>
        </w:rPr>
      </w:pPr>
    </w:p>
    <w:p>
      <w:pPr>
        <w:pStyle w:val="2"/>
        <w:jc w:val="center"/>
        <w:rPr>
          <w:rFonts w:hint="eastAsia" w:ascii="仿宋" w:hAnsi="仿宋" w:eastAsia="仿宋" w:cs="仿宋"/>
          <w:color w:val="auto"/>
          <w:sz w:val="30"/>
          <w:szCs w:val="30"/>
          <w:highlight w:val="none"/>
        </w:rPr>
      </w:pPr>
      <w:bookmarkStart w:id="2" w:name="_Toc63"/>
      <w:r>
        <w:rPr>
          <w:rFonts w:hint="eastAsia" w:ascii="仿宋" w:hAnsi="仿宋" w:eastAsia="仿宋" w:cs="仿宋"/>
          <w:color w:val="auto"/>
          <w:sz w:val="30"/>
          <w:szCs w:val="30"/>
          <w:highlight w:val="none"/>
        </w:rPr>
        <w:t>附录3资格审查条件(业绩最低要求)</w:t>
      </w:r>
      <w:bookmarkEnd w:id="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644" w:type="dxa"/>
            <w:noWrap w:val="0"/>
            <w:vAlign w:val="center"/>
          </w:tcPr>
          <w:p>
            <w:pPr>
              <w:adjustRightInd w:val="0"/>
              <w:snapToGrid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b/>
                <w:color w:val="auto"/>
                <w:kern w:val="0"/>
                <w:highlight w:val="none"/>
              </w:rPr>
              <w:t>本表适用于</w:t>
            </w:r>
            <w:r>
              <w:rPr>
                <w:rFonts w:hint="eastAsia" w:ascii="仿宋" w:hAnsi="仿宋" w:eastAsia="仿宋" w:cs="仿宋"/>
                <w:b/>
                <w:bCs/>
                <w:color w:val="auto"/>
                <w:kern w:val="2"/>
                <w:szCs w:val="21"/>
                <w:highlight w:val="none"/>
                <w:lang w:val="en-US" w:eastAsia="zh-CN"/>
              </w:rPr>
              <w:t>各</w:t>
            </w:r>
            <w:r>
              <w:rPr>
                <w:rFonts w:hint="eastAsia" w:ascii="仿宋" w:hAnsi="仿宋" w:eastAsia="仿宋" w:cs="仿宋"/>
                <w:b/>
                <w:color w:val="auto"/>
                <w:kern w:val="0"/>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644" w:type="dxa"/>
            <w:noWrap w:val="0"/>
            <w:vAlign w:val="center"/>
          </w:tcPr>
          <w:p>
            <w:pPr>
              <w:adjustRightInd w:val="0"/>
              <w:snapToGrid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644" w:type="dxa"/>
            <w:noWrap w:val="0"/>
            <w:vAlign w:val="center"/>
          </w:tcPr>
          <w:p>
            <w:pPr>
              <w:ind w:right="-51"/>
              <w:rPr>
                <w:rFonts w:hint="eastAsia" w:ascii="仿宋" w:hAnsi="仿宋" w:eastAsia="仿宋" w:cs="仿宋"/>
                <w:color w:val="auto"/>
                <w:szCs w:val="21"/>
                <w:highlight w:val="none"/>
              </w:rPr>
            </w:pPr>
            <w:r>
              <w:rPr>
                <w:rFonts w:hint="eastAsia" w:ascii="仿宋" w:hAnsi="仿宋" w:eastAsia="仿宋" w:cs="仿宋"/>
                <w:color w:val="auto"/>
                <w:szCs w:val="21"/>
                <w:highlight w:val="none"/>
              </w:rPr>
              <w:t>近五年成功独立</w:t>
            </w:r>
            <w:r>
              <w:rPr>
                <w:rFonts w:hint="eastAsia" w:ascii="仿宋" w:hAnsi="仿宋" w:eastAsia="仿宋" w:cs="仿宋"/>
                <w:color w:val="auto"/>
                <w:szCs w:val="21"/>
                <w:highlight w:val="none"/>
                <w:lang w:val="en-US" w:eastAsia="zh-CN"/>
              </w:rPr>
              <w:t>完成</w:t>
            </w:r>
            <w:r>
              <w:rPr>
                <w:rFonts w:hint="eastAsia" w:ascii="仿宋" w:hAnsi="仿宋" w:eastAsia="仿宋" w:cs="仿宋"/>
                <w:color w:val="auto"/>
                <w:szCs w:val="21"/>
                <w:highlight w:val="none"/>
              </w:rPr>
              <w:t>以下业绩之一：</w:t>
            </w:r>
          </w:p>
          <w:p>
            <w:pPr>
              <w:numPr>
                <w:ilvl w:val="0"/>
                <w:numId w:val="1"/>
              </w:numPr>
              <w:ind w:right="-51"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至少3个营运高速公路养护工程造价咨询服务</w:t>
            </w:r>
            <w:r>
              <w:rPr>
                <w:rFonts w:hint="eastAsia" w:ascii="仿宋" w:hAnsi="仿宋" w:eastAsia="仿宋" w:cs="仿宋"/>
                <w:color w:val="auto"/>
                <w:szCs w:val="21"/>
                <w:highlight w:val="none"/>
                <w:lang w:val="en-US" w:eastAsia="zh-CN"/>
              </w:rPr>
              <w:t>合同</w:t>
            </w:r>
            <w:r>
              <w:rPr>
                <w:rFonts w:hint="eastAsia" w:ascii="仿宋" w:hAnsi="仿宋" w:eastAsia="仿宋" w:cs="仿宋"/>
                <w:color w:val="auto"/>
                <w:szCs w:val="21"/>
                <w:highlight w:val="none"/>
              </w:rPr>
              <w:t>，且每个</w:t>
            </w:r>
            <w:r>
              <w:rPr>
                <w:rFonts w:hint="eastAsia" w:ascii="仿宋" w:hAnsi="仿宋" w:eastAsia="仿宋" w:cs="仿宋"/>
                <w:color w:val="auto"/>
                <w:szCs w:val="21"/>
                <w:highlight w:val="none"/>
                <w:lang w:val="en-US" w:eastAsia="zh-CN"/>
              </w:rPr>
              <w:t>合同</w:t>
            </w:r>
            <w:r>
              <w:rPr>
                <w:rFonts w:hint="eastAsia" w:ascii="仿宋" w:hAnsi="仿宋" w:eastAsia="仿宋" w:cs="仿宋"/>
                <w:color w:val="auto"/>
                <w:szCs w:val="21"/>
                <w:highlight w:val="none"/>
              </w:rPr>
              <w:t>造价金额在1千万元及以上；</w:t>
            </w:r>
          </w:p>
          <w:p>
            <w:pPr>
              <w:ind w:right="-5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w:t>
            </w:r>
          </w:p>
          <w:p>
            <w:pPr>
              <w:ind w:right="-51"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（2）至少2个新建高速公路项目造价咨询服务</w:t>
            </w:r>
            <w:r>
              <w:rPr>
                <w:rFonts w:hint="eastAsia" w:ascii="仿宋" w:hAnsi="仿宋" w:eastAsia="仿宋" w:cs="仿宋"/>
                <w:color w:val="auto"/>
                <w:szCs w:val="21"/>
                <w:highlight w:val="none"/>
                <w:lang w:val="en-US" w:eastAsia="zh-CN"/>
              </w:rPr>
              <w:t>合同</w:t>
            </w:r>
            <w:r>
              <w:rPr>
                <w:rFonts w:hint="eastAsia" w:ascii="仿宋" w:hAnsi="仿宋" w:eastAsia="仿宋" w:cs="仿宋"/>
                <w:color w:val="auto"/>
                <w:szCs w:val="21"/>
                <w:highlight w:val="none"/>
              </w:rPr>
              <w:t>，且其中至少1个</w:t>
            </w:r>
            <w:r>
              <w:rPr>
                <w:rFonts w:hint="eastAsia" w:ascii="仿宋" w:hAnsi="仿宋" w:eastAsia="仿宋" w:cs="仿宋"/>
                <w:color w:val="auto"/>
                <w:szCs w:val="21"/>
                <w:highlight w:val="none"/>
                <w:lang w:val="en-US" w:eastAsia="zh-CN"/>
              </w:rPr>
              <w:t>合同</w:t>
            </w:r>
            <w:r>
              <w:rPr>
                <w:rFonts w:hint="eastAsia" w:ascii="仿宋" w:hAnsi="仿宋" w:eastAsia="仿宋" w:cs="仿宋"/>
                <w:color w:val="auto"/>
                <w:szCs w:val="21"/>
                <w:highlight w:val="none"/>
              </w:rPr>
              <w:t>造价金额在10亿元及以上。</w:t>
            </w:r>
          </w:p>
        </w:tc>
      </w:tr>
    </w:tbl>
    <w:p>
      <w:pPr>
        <w:adjustRightInd w:val="0"/>
        <w:snapToGrid w:val="0"/>
        <w:spacing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numPr>
          <w:ilvl w:val="0"/>
          <w:numId w:val="2"/>
        </w:numPr>
        <w:adjustRightInd w:val="0"/>
        <w:snapToGrid w:val="0"/>
        <w:spacing w:line="360" w:lineRule="auto"/>
        <w:ind w:left="2" w:leftChars="1" w:firstLine="360" w:firstLineChars="200"/>
        <w:rPr>
          <w:rFonts w:hint="eastAsia" w:ascii="仿宋" w:hAnsi="仿宋" w:eastAsia="仿宋" w:cs="仿宋"/>
          <w:strike w:val="0"/>
          <w:dstrike w:val="0"/>
          <w:color w:val="auto"/>
          <w:sz w:val="18"/>
          <w:szCs w:val="18"/>
          <w:highlight w:val="none"/>
        </w:rPr>
      </w:pPr>
      <w:r>
        <w:rPr>
          <w:rFonts w:hint="eastAsia" w:ascii="仿宋" w:hAnsi="仿宋" w:eastAsia="仿宋" w:cs="仿宋"/>
          <w:strike w:val="0"/>
          <w:dstrike w:val="0"/>
          <w:color w:val="auto"/>
          <w:sz w:val="18"/>
          <w:szCs w:val="18"/>
          <w:highlight w:val="none"/>
          <w:lang w:val="en-US" w:eastAsia="zh-CN"/>
        </w:rPr>
        <w:t>近5年指2020年1月1日至投标文件递交之日</w:t>
      </w:r>
    </w:p>
    <w:p>
      <w:pPr>
        <w:numPr>
          <w:ilvl w:val="0"/>
          <w:numId w:val="2"/>
        </w:numPr>
        <w:adjustRightInd w:val="0"/>
        <w:snapToGrid w:val="0"/>
        <w:spacing w:line="360" w:lineRule="auto"/>
        <w:ind w:left="2" w:leftChars="1" w:firstLine="360" w:firstLineChars="200"/>
        <w:rPr>
          <w:rFonts w:hint="eastAsia" w:ascii="仿宋" w:hAnsi="仿宋" w:eastAsia="仿宋" w:cs="仿宋"/>
          <w:strike w:val="0"/>
          <w:dstrike w:val="0"/>
          <w:color w:val="auto"/>
          <w:sz w:val="18"/>
          <w:szCs w:val="18"/>
          <w:highlight w:val="none"/>
        </w:rPr>
      </w:pPr>
      <w:r>
        <w:rPr>
          <w:rFonts w:hint="eastAsia" w:ascii="仿宋" w:hAnsi="仿宋" w:eastAsia="仿宋" w:cs="仿宋"/>
          <w:strike w:val="0"/>
          <w:dstrike w:val="0"/>
          <w:color w:val="auto"/>
          <w:sz w:val="18"/>
          <w:szCs w:val="18"/>
          <w:highlight w:val="none"/>
        </w:rPr>
        <w:t>投标人所列业绩应提供：</w:t>
      </w:r>
    </w:p>
    <w:p>
      <w:pPr>
        <w:numPr>
          <w:ilvl w:val="0"/>
          <w:numId w:val="0"/>
        </w:numPr>
        <w:adjustRightInd w:val="0"/>
        <w:snapToGrid w:val="0"/>
        <w:spacing w:line="360" w:lineRule="auto"/>
        <w:ind w:left="0" w:leftChars="0" w:firstLine="360" w:firstLineChars="200"/>
        <w:rPr>
          <w:rFonts w:hint="eastAsia" w:ascii="仿宋" w:hAnsi="仿宋" w:eastAsia="仿宋" w:cs="仿宋"/>
          <w:strike w:val="0"/>
          <w:dstrike w:val="0"/>
          <w:color w:val="auto"/>
          <w:sz w:val="18"/>
          <w:szCs w:val="18"/>
          <w:highlight w:val="none"/>
        </w:rPr>
      </w:pPr>
      <w:r>
        <w:rPr>
          <w:rFonts w:hint="eastAsia" w:ascii="仿宋" w:hAnsi="仿宋" w:eastAsia="仿宋" w:cs="仿宋"/>
          <w:strike w:val="0"/>
          <w:dstrike w:val="0"/>
          <w:color w:val="auto"/>
          <w:sz w:val="18"/>
          <w:szCs w:val="18"/>
          <w:highlight w:val="none"/>
          <w:lang w:eastAsia="zh-CN"/>
        </w:rPr>
        <w:t>（</w:t>
      </w:r>
      <w:r>
        <w:rPr>
          <w:rFonts w:hint="eastAsia" w:ascii="仿宋" w:hAnsi="仿宋" w:eastAsia="仿宋" w:cs="仿宋"/>
          <w:strike w:val="0"/>
          <w:dstrike w:val="0"/>
          <w:color w:val="auto"/>
          <w:sz w:val="18"/>
          <w:szCs w:val="18"/>
          <w:highlight w:val="none"/>
          <w:lang w:val="en-US" w:eastAsia="zh-CN"/>
        </w:rPr>
        <w:t>1</w:t>
      </w:r>
      <w:r>
        <w:rPr>
          <w:rFonts w:hint="eastAsia" w:ascii="仿宋" w:hAnsi="仿宋" w:eastAsia="仿宋" w:cs="仿宋"/>
          <w:strike w:val="0"/>
          <w:dstrike w:val="0"/>
          <w:color w:val="auto"/>
          <w:sz w:val="18"/>
          <w:szCs w:val="18"/>
          <w:highlight w:val="none"/>
          <w:lang w:eastAsia="zh-CN"/>
        </w:rPr>
        <w:t>）</w:t>
      </w:r>
      <w:r>
        <w:rPr>
          <w:rFonts w:hint="eastAsia" w:ascii="仿宋" w:hAnsi="仿宋" w:eastAsia="仿宋" w:cs="仿宋"/>
          <w:strike w:val="0"/>
          <w:dstrike w:val="0"/>
          <w:color w:val="auto"/>
          <w:sz w:val="18"/>
          <w:szCs w:val="18"/>
          <w:highlight w:val="none"/>
        </w:rPr>
        <w:t>中标通知书（如有）；</w:t>
      </w:r>
    </w:p>
    <w:p>
      <w:pPr>
        <w:numPr>
          <w:ilvl w:val="0"/>
          <w:numId w:val="1"/>
        </w:numPr>
        <w:adjustRightInd w:val="0"/>
        <w:snapToGrid w:val="0"/>
        <w:spacing w:line="360" w:lineRule="auto"/>
        <w:ind w:firstLine="360" w:firstLineChars="200"/>
        <w:rPr>
          <w:rFonts w:hint="eastAsia" w:ascii="仿宋" w:hAnsi="仿宋" w:eastAsia="仿宋" w:cs="仿宋"/>
          <w:color w:val="auto"/>
          <w:sz w:val="18"/>
          <w:szCs w:val="18"/>
          <w:highlight w:val="none"/>
          <w:lang w:eastAsia="zh-CN"/>
        </w:rPr>
      </w:pPr>
      <w:r>
        <w:rPr>
          <w:rFonts w:hint="eastAsia" w:ascii="仿宋" w:hAnsi="仿宋" w:eastAsia="仿宋" w:cs="仿宋"/>
          <w:strike w:val="0"/>
          <w:dstrike w:val="0"/>
          <w:color w:val="auto"/>
          <w:sz w:val="18"/>
          <w:szCs w:val="18"/>
          <w:highlight w:val="none"/>
        </w:rPr>
        <w:t>合同协议书</w:t>
      </w:r>
      <w:r>
        <w:rPr>
          <w:rFonts w:hint="eastAsia" w:ascii="仿宋" w:hAnsi="仿宋" w:eastAsia="仿宋" w:cs="仿宋"/>
          <w:strike w:val="0"/>
          <w:dstrike w:val="0"/>
          <w:color w:val="auto"/>
          <w:sz w:val="18"/>
          <w:szCs w:val="18"/>
          <w:highlight w:val="none"/>
          <w:lang w:val="en-US" w:eastAsia="zh-CN"/>
        </w:rPr>
        <w:t>：</w:t>
      </w:r>
      <w:r>
        <w:rPr>
          <w:rFonts w:hint="eastAsia" w:ascii="仿宋" w:hAnsi="仿宋" w:eastAsia="仿宋" w:cs="仿宋"/>
          <w:strike w:val="0"/>
          <w:dstrike w:val="0"/>
          <w:color w:val="auto"/>
          <w:sz w:val="18"/>
          <w:szCs w:val="18"/>
          <w:highlight w:val="none"/>
        </w:rPr>
        <w:t>合同协议书应至少包含</w:t>
      </w:r>
      <w:r>
        <w:rPr>
          <w:rFonts w:hint="eastAsia" w:ascii="仿宋" w:hAnsi="仿宋" w:eastAsia="仿宋" w:cs="仿宋"/>
          <w:strike w:val="0"/>
          <w:dstrike w:val="0"/>
          <w:color w:val="auto"/>
          <w:sz w:val="18"/>
          <w:szCs w:val="18"/>
          <w:highlight w:val="none"/>
          <w:lang w:val="en-US" w:eastAsia="zh-CN"/>
        </w:rPr>
        <w:t>合同主体</w:t>
      </w:r>
      <w:r>
        <w:rPr>
          <w:rFonts w:hint="eastAsia" w:ascii="仿宋" w:hAnsi="仿宋" w:eastAsia="仿宋" w:cs="仿宋"/>
          <w:strike w:val="0"/>
          <w:dstrike w:val="0"/>
          <w:color w:val="auto"/>
          <w:sz w:val="18"/>
          <w:szCs w:val="18"/>
          <w:highlight w:val="none"/>
        </w:rPr>
        <w:t>、项目名称、工作内容、签订日期等关键信息</w:t>
      </w:r>
      <w:r>
        <w:rPr>
          <w:rFonts w:hint="eastAsia" w:ascii="仿宋" w:hAnsi="仿宋" w:eastAsia="仿宋" w:cs="仿宋"/>
          <w:strike w:val="0"/>
          <w:dstrike w:val="0"/>
          <w:color w:val="auto"/>
          <w:sz w:val="18"/>
          <w:szCs w:val="18"/>
          <w:highlight w:val="none"/>
          <w:lang w:eastAsia="zh-CN"/>
        </w:rPr>
        <w:t>；</w:t>
      </w:r>
    </w:p>
    <w:p>
      <w:pPr>
        <w:pStyle w:val="11"/>
        <w:rPr>
          <w:rFonts w:hint="default"/>
          <w:color w:val="auto"/>
          <w:highlight w:val="none"/>
          <w:lang w:eastAsia="zh-CN"/>
        </w:rPr>
      </w:pPr>
      <w:r>
        <w:rPr>
          <w:rFonts w:hint="eastAsia" w:ascii="仿宋" w:hAnsi="仿宋" w:eastAsia="仿宋" w:cs="仿宋"/>
          <w:strike w:val="0"/>
          <w:dstrike w:val="0"/>
          <w:color w:val="auto"/>
          <w:sz w:val="18"/>
          <w:szCs w:val="18"/>
          <w:highlight w:val="none"/>
          <w:lang w:eastAsia="zh-CN"/>
        </w:rPr>
        <w:t>（</w:t>
      </w:r>
      <w:r>
        <w:rPr>
          <w:rFonts w:hint="eastAsia" w:ascii="仿宋" w:hAnsi="仿宋" w:eastAsia="仿宋" w:cs="仿宋"/>
          <w:strike w:val="0"/>
          <w:dstrike w:val="0"/>
          <w:color w:val="auto"/>
          <w:sz w:val="18"/>
          <w:szCs w:val="18"/>
          <w:highlight w:val="none"/>
          <w:lang w:val="en-US" w:eastAsia="zh-CN"/>
        </w:rPr>
        <w:t>3</w:t>
      </w:r>
      <w:r>
        <w:rPr>
          <w:rFonts w:hint="eastAsia" w:ascii="仿宋" w:hAnsi="仿宋" w:eastAsia="仿宋" w:cs="仿宋"/>
          <w:strike w:val="0"/>
          <w:dstrike w:val="0"/>
          <w:color w:val="auto"/>
          <w:sz w:val="18"/>
          <w:szCs w:val="18"/>
          <w:highlight w:val="none"/>
          <w:lang w:eastAsia="zh-CN"/>
        </w:rPr>
        <w:t>）</w:t>
      </w:r>
      <w:r>
        <w:rPr>
          <w:rFonts w:hint="eastAsia" w:ascii="仿宋" w:hAnsi="仿宋" w:eastAsia="仿宋" w:cs="仿宋"/>
          <w:strike w:val="0"/>
          <w:dstrike w:val="0"/>
          <w:color w:val="auto"/>
          <w:sz w:val="18"/>
          <w:szCs w:val="18"/>
          <w:highlight w:val="none"/>
          <w:lang w:val="en-US" w:eastAsia="zh-CN"/>
        </w:rPr>
        <w:t>合同结算书或成果文件：结算书为双方盖章签字完善的结算书，并能显示合同造价金额；若提供成果文件，则需包含成果封面、扉页、造价金额，一个合同存在多个成果文件，需有效证明该成果与合同之间的所属关系（如合同清单或业主证明等）。</w:t>
      </w:r>
    </w:p>
    <w:p>
      <w:pPr>
        <w:numPr>
          <w:ilvl w:val="0"/>
          <w:numId w:val="0"/>
        </w:numPr>
        <w:adjustRightInd w:val="0"/>
        <w:snapToGrid w:val="0"/>
        <w:spacing w:line="360" w:lineRule="auto"/>
        <w:ind w:firstLine="360" w:firstLineChars="200"/>
        <w:rPr>
          <w:rFonts w:hint="eastAsia" w:ascii="仿宋" w:hAnsi="仿宋" w:eastAsia="仿宋" w:cs="仿宋"/>
          <w:strike w:val="0"/>
          <w:dstrike w:val="0"/>
          <w:color w:val="auto"/>
          <w:sz w:val="18"/>
          <w:szCs w:val="18"/>
          <w:highlight w:val="none"/>
        </w:rPr>
      </w:pPr>
      <w:r>
        <w:rPr>
          <w:rFonts w:hint="eastAsia" w:ascii="仿宋" w:hAnsi="仿宋" w:eastAsia="仿宋" w:cs="仿宋"/>
          <w:strike w:val="0"/>
          <w:dstrike w:val="0"/>
          <w:color w:val="auto"/>
          <w:sz w:val="18"/>
          <w:szCs w:val="18"/>
          <w:highlight w:val="none"/>
          <w:lang w:val="en-US" w:eastAsia="zh-CN"/>
        </w:rPr>
        <w:t>3.</w:t>
      </w:r>
      <w:r>
        <w:rPr>
          <w:rFonts w:hint="eastAsia" w:ascii="仿宋" w:hAnsi="仿宋" w:eastAsia="仿宋" w:cs="仿宋"/>
          <w:strike w:val="0"/>
          <w:dstrike w:val="0"/>
          <w:color w:val="auto"/>
          <w:sz w:val="18"/>
          <w:szCs w:val="18"/>
          <w:highlight w:val="none"/>
        </w:rPr>
        <w:t>项目业绩的界定时间以造价咨询合同</w:t>
      </w:r>
      <w:r>
        <w:rPr>
          <w:rFonts w:hint="eastAsia" w:ascii="仿宋" w:hAnsi="仿宋" w:eastAsia="仿宋" w:cs="仿宋"/>
          <w:strike w:val="0"/>
          <w:dstrike w:val="0"/>
          <w:color w:val="auto"/>
          <w:sz w:val="18"/>
          <w:szCs w:val="18"/>
          <w:highlight w:val="none"/>
          <w:lang w:val="en-US" w:eastAsia="zh-CN"/>
        </w:rPr>
        <w:t>签订时间</w:t>
      </w:r>
      <w:r>
        <w:rPr>
          <w:rFonts w:hint="eastAsia" w:ascii="仿宋" w:hAnsi="仿宋" w:eastAsia="仿宋" w:cs="仿宋"/>
          <w:strike w:val="0"/>
          <w:dstrike w:val="0"/>
          <w:color w:val="auto"/>
          <w:sz w:val="18"/>
          <w:szCs w:val="18"/>
          <w:highlight w:val="none"/>
        </w:rPr>
        <w:t>为准；</w:t>
      </w:r>
    </w:p>
    <w:p>
      <w:pPr>
        <w:numPr>
          <w:ilvl w:val="0"/>
          <w:numId w:val="0"/>
        </w:numPr>
        <w:adjustRightInd w:val="0"/>
        <w:snapToGrid w:val="0"/>
        <w:spacing w:line="360" w:lineRule="auto"/>
        <w:ind w:firstLine="360" w:firstLineChars="200"/>
        <w:rPr>
          <w:rFonts w:hint="eastAsia" w:ascii="仿宋" w:hAnsi="仿宋" w:eastAsia="仿宋" w:cs="仿宋"/>
          <w:strike w:val="0"/>
          <w:dstrike w:val="0"/>
          <w:color w:val="auto"/>
          <w:sz w:val="18"/>
          <w:szCs w:val="18"/>
          <w:highlight w:val="none"/>
          <w:lang w:eastAsia="zh-CN"/>
        </w:rPr>
      </w:pPr>
      <w:r>
        <w:rPr>
          <w:rFonts w:hint="eastAsia" w:ascii="仿宋" w:hAnsi="仿宋" w:eastAsia="仿宋" w:cs="仿宋"/>
          <w:strike w:val="0"/>
          <w:dstrike w:val="0"/>
          <w:color w:val="auto"/>
          <w:sz w:val="18"/>
          <w:szCs w:val="18"/>
          <w:highlight w:val="none"/>
          <w:lang w:val="en-US" w:eastAsia="zh-CN"/>
        </w:rPr>
        <w:t>4.</w:t>
      </w:r>
      <w:r>
        <w:rPr>
          <w:rFonts w:hint="eastAsia" w:ascii="仿宋" w:hAnsi="仿宋" w:eastAsia="仿宋" w:cs="仿宋"/>
          <w:strike w:val="0"/>
          <w:dstrike w:val="0"/>
          <w:color w:val="auto"/>
          <w:sz w:val="18"/>
          <w:szCs w:val="18"/>
          <w:highlight w:val="none"/>
        </w:rPr>
        <w:t>业绩金额以咨询服务合同载明的</w:t>
      </w:r>
      <w:r>
        <w:rPr>
          <w:rFonts w:hint="eastAsia" w:ascii="仿宋" w:hAnsi="仿宋" w:eastAsia="仿宋" w:cs="仿宋"/>
          <w:strike w:val="0"/>
          <w:dstrike w:val="0"/>
          <w:color w:val="auto"/>
          <w:sz w:val="18"/>
          <w:szCs w:val="18"/>
          <w:highlight w:val="none"/>
          <w:lang w:val="en-US" w:eastAsia="zh-CN"/>
        </w:rPr>
        <w:t>工程</w:t>
      </w:r>
      <w:r>
        <w:rPr>
          <w:rFonts w:hint="eastAsia" w:ascii="仿宋" w:hAnsi="仿宋" w:eastAsia="仿宋" w:cs="仿宋"/>
          <w:strike w:val="0"/>
          <w:dstrike w:val="0"/>
          <w:color w:val="auto"/>
          <w:sz w:val="18"/>
          <w:szCs w:val="18"/>
          <w:highlight w:val="none"/>
        </w:rPr>
        <w:t>项目造价金额</w:t>
      </w:r>
      <w:r>
        <w:rPr>
          <w:rFonts w:hint="eastAsia" w:ascii="仿宋" w:hAnsi="仿宋" w:eastAsia="仿宋" w:cs="仿宋"/>
          <w:strike w:val="0"/>
          <w:dstrike w:val="0"/>
          <w:color w:val="auto"/>
          <w:sz w:val="18"/>
          <w:szCs w:val="18"/>
          <w:highlight w:val="none"/>
          <w:lang w:val="en-US" w:eastAsia="zh-CN"/>
        </w:rPr>
        <w:t>为准，若合同内未显示工程造价金额则以成果文件显示的金额</w:t>
      </w:r>
      <w:r>
        <w:rPr>
          <w:rFonts w:hint="eastAsia" w:ascii="仿宋" w:hAnsi="仿宋" w:eastAsia="仿宋" w:cs="仿宋"/>
          <w:strike w:val="0"/>
          <w:dstrike w:val="0"/>
          <w:color w:val="auto"/>
          <w:sz w:val="18"/>
          <w:szCs w:val="18"/>
          <w:highlight w:val="none"/>
        </w:rPr>
        <w:t>为准</w:t>
      </w:r>
      <w:r>
        <w:rPr>
          <w:rFonts w:hint="eastAsia" w:ascii="仿宋" w:hAnsi="仿宋" w:eastAsia="仿宋" w:cs="仿宋"/>
          <w:strike w:val="0"/>
          <w:dstrike w:val="0"/>
          <w:color w:val="auto"/>
          <w:sz w:val="18"/>
          <w:szCs w:val="18"/>
          <w:highlight w:val="none"/>
          <w:lang w:eastAsia="zh-CN"/>
        </w:rPr>
        <w:t>；</w:t>
      </w:r>
    </w:p>
    <w:p>
      <w:pPr>
        <w:adjustRightInd w:val="0"/>
        <w:snapToGrid w:val="0"/>
        <w:spacing w:line="360" w:lineRule="auto"/>
        <w:ind w:firstLine="360" w:firstLineChars="200"/>
        <w:rPr>
          <w:rFonts w:hint="eastAsia" w:ascii="仿宋" w:hAnsi="仿宋" w:eastAsia="仿宋" w:cs="仿宋"/>
          <w:b/>
          <w:bCs/>
          <w:strike w:val="0"/>
          <w:dstrike w:val="0"/>
          <w:color w:val="auto"/>
          <w:sz w:val="18"/>
          <w:szCs w:val="18"/>
          <w:highlight w:val="none"/>
        </w:rPr>
      </w:pPr>
      <w:r>
        <w:rPr>
          <w:rFonts w:hint="eastAsia" w:ascii="仿宋" w:hAnsi="仿宋" w:eastAsia="仿宋" w:cs="仿宋"/>
          <w:strike w:val="0"/>
          <w:dstrike w:val="0"/>
          <w:color w:val="auto"/>
          <w:sz w:val="18"/>
          <w:szCs w:val="18"/>
          <w:highlight w:val="none"/>
          <w:lang w:val="en-US" w:eastAsia="zh-CN"/>
        </w:rPr>
        <w:t>5</w:t>
      </w:r>
      <w:r>
        <w:rPr>
          <w:rFonts w:hint="eastAsia" w:ascii="仿宋" w:hAnsi="仿宋" w:eastAsia="仿宋" w:cs="仿宋"/>
          <w:b/>
          <w:bCs/>
          <w:strike w:val="0"/>
          <w:dstrike w:val="0"/>
          <w:color w:val="auto"/>
          <w:sz w:val="18"/>
          <w:szCs w:val="18"/>
          <w:highlight w:val="none"/>
        </w:rPr>
        <w:t>.造价咨询服务工作指工程估算、概算、预算、工程量清单、工程变更、结算的编制或审核工作</w:t>
      </w:r>
      <w:r>
        <w:rPr>
          <w:rFonts w:hint="eastAsia" w:ascii="仿宋" w:hAnsi="仿宋" w:eastAsia="仿宋" w:cs="仿宋"/>
          <w:b/>
          <w:bCs/>
          <w:strike w:val="0"/>
          <w:dstrike w:val="0"/>
          <w:color w:val="auto"/>
          <w:sz w:val="18"/>
          <w:szCs w:val="18"/>
          <w:highlight w:val="none"/>
          <w:lang w:eastAsia="zh-CN"/>
        </w:rPr>
        <w:t>，</w:t>
      </w:r>
      <w:r>
        <w:rPr>
          <w:rFonts w:hint="eastAsia" w:ascii="仿宋" w:hAnsi="仿宋" w:eastAsia="仿宋" w:cs="仿宋"/>
          <w:b/>
          <w:bCs/>
          <w:strike w:val="0"/>
          <w:dstrike w:val="0"/>
          <w:color w:val="auto"/>
          <w:sz w:val="18"/>
          <w:szCs w:val="18"/>
          <w:highlight w:val="none"/>
          <w:lang w:val="en-US" w:eastAsia="zh-CN"/>
        </w:rPr>
        <w:t>全过程造价咨询仅按其中一项统计</w:t>
      </w:r>
      <w:r>
        <w:rPr>
          <w:rFonts w:hint="eastAsia" w:ascii="仿宋" w:hAnsi="仿宋" w:eastAsia="仿宋" w:cs="仿宋"/>
          <w:b/>
          <w:bCs/>
          <w:strike w:val="0"/>
          <w:dstrike w:val="0"/>
          <w:color w:val="auto"/>
          <w:sz w:val="18"/>
          <w:szCs w:val="18"/>
          <w:highlight w:val="none"/>
        </w:rPr>
        <w:t>。</w:t>
      </w:r>
    </w:p>
    <w:p>
      <w:pPr>
        <w:pStyle w:val="5"/>
        <w:rPr>
          <w:rFonts w:hint="eastAsia" w:ascii="仿宋" w:hAnsi="仿宋" w:eastAsia="仿宋" w:cs="仿宋"/>
          <w:strike w:val="0"/>
          <w:dstrike w:val="0"/>
          <w:color w:val="auto"/>
          <w:sz w:val="18"/>
          <w:szCs w:val="18"/>
          <w:highlight w:val="none"/>
          <w:lang w:val="en-US" w:eastAsia="zh-CN"/>
        </w:rPr>
      </w:pPr>
      <w:r>
        <w:rPr>
          <w:rFonts w:hint="eastAsia" w:ascii="仿宋" w:hAnsi="仿宋" w:eastAsia="仿宋" w:cs="仿宋"/>
          <w:b w:val="0"/>
          <w:bCs w:val="0"/>
          <w:strike w:val="0"/>
          <w:dstrike w:val="0"/>
          <w:color w:val="auto"/>
          <w:sz w:val="18"/>
          <w:szCs w:val="18"/>
          <w:highlight w:val="none"/>
          <w:lang w:val="en-US" w:eastAsia="zh-CN"/>
        </w:rPr>
        <w:t>6.</w:t>
      </w:r>
      <w:r>
        <w:rPr>
          <w:rFonts w:hint="eastAsia" w:ascii="仿宋" w:hAnsi="仿宋" w:eastAsia="仿宋" w:cs="仿宋"/>
          <w:strike w:val="0"/>
          <w:dstrike w:val="0"/>
          <w:color w:val="auto"/>
          <w:sz w:val="18"/>
          <w:szCs w:val="18"/>
          <w:highlight w:val="none"/>
        </w:rPr>
        <w:t>项目造价金额</w:t>
      </w:r>
      <w:r>
        <w:rPr>
          <w:rFonts w:hint="eastAsia" w:ascii="仿宋" w:hAnsi="仿宋" w:eastAsia="仿宋" w:cs="仿宋"/>
          <w:strike w:val="0"/>
          <w:dstrike w:val="0"/>
          <w:color w:val="auto"/>
          <w:sz w:val="18"/>
          <w:szCs w:val="18"/>
          <w:highlight w:val="none"/>
          <w:lang w:val="en-US" w:eastAsia="zh-CN"/>
        </w:rPr>
        <w:t>:指是工程建安费（或施工工程费用）。</w:t>
      </w:r>
    </w:p>
    <w:p>
      <w:pPr>
        <w:adjustRightInd w:val="0"/>
        <w:snapToGrid w:val="0"/>
        <w:spacing w:line="360" w:lineRule="auto"/>
        <w:ind w:firstLine="361" w:firstLineChars="200"/>
        <w:rPr>
          <w:rFonts w:hint="eastAsia" w:ascii="仿宋" w:hAnsi="仿宋" w:eastAsia="仿宋" w:cs="仿宋"/>
          <w:b/>
          <w:bCs/>
          <w:color w:val="auto"/>
          <w:sz w:val="18"/>
          <w:szCs w:val="18"/>
          <w:highlight w:val="none"/>
        </w:rPr>
      </w:pPr>
    </w:p>
    <w:p>
      <w:pPr>
        <w:adjustRightInd w:val="0"/>
        <w:snapToGrid w:val="0"/>
        <w:spacing w:line="360" w:lineRule="auto"/>
        <w:rPr>
          <w:rFonts w:hint="eastAsia" w:ascii="仿宋" w:hAnsi="仿宋" w:eastAsia="仿宋" w:cs="仿宋"/>
          <w:color w:val="auto"/>
          <w:sz w:val="18"/>
          <w:szCs w:val="18"/>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2"/>
        <w:jc w:val="center"/>
        <w:rPr>
          <w:rFonts w:hint="eastAsia" w:ascii="仿宋" w:hAnsi="仿宋" w:eastAsia="仿宋" w:cs="仿宋"/>
          <w:color w:val="auto"/>
          <w:sz w:val="30"/>
          <w:szCs w:val="30"/>
          <w:highlight w:val="none"/>
        </w:rPr>
      </w:pPr>
      <w:bookmarkStart w:id="3" w:name="_Toc15077"/>
      <w:r>
        <w:rPr>
          <w:rFonts w:hint="eastAsia" w:ascii="仿宋" w:hAnsi="仿宋" w:eastAsia="仿宋" w:cs="仿宋"/>
          <w:color w:val="auto"/>
          <w:sz w:val="30"/>
          <w:szCs w:val="30"/>
          <w:highlight w:val="none"/>
        </w:rPr>
        <w:t>附录4资格审查条件(信誉最低要求)</w:t>
      </w:r>
      <w:bookmarkEnd w:id="3"/>
    </w:p>
    <w:p>
      <w:pPr>
        <w:adjustRightInd w:val="0"/>
        <w:snapToGrid w:val="0"/>
        <w:spacing w:line="400" w:lineRule="atLeast"/>
        <w:jc w:val="center"/>
        <w:rPr>
          <w:rFonts w:hint="eastAsia" w:ascii="仿宋" w:hAnsi="仿宋" w:eastAsia="仿宋" w:cs="仿宋"/>
          <w:color w:val="auto"/>
          <w:sz w:val="24"/>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8620" w:type="dxa"/>
            <w:noWrap w:val="0"/>
            <w:vAlign w:val="center"/>
          </w:tcPr>
          <w:p>
            <w:pPr>
              <w:adjustRightInd w:val="0"/>
              <w:snapToGrid w:val="0"/>
              <w:spacing w:line="30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highlight w:val="none"/>
              </w:rPr>
              <w:t>本表适用于</w:t>
            </w:r>
            <w:r>
              <w:rPr>
                <w:rFonts w:hint="eastAsia" w:ascii="仿宋" w:hAnsi="仿宋" w:eastAsia="仿宋" w:cs="仿宋"/>
                <w:b/>
                <w:bCs/>
                <w:color w:val="auto"/>
                <w:kern w:val="2"/>
                <w:szCs w:val="21"/>
                <w:highlight w:val="none"/>
                <w:lang w:val="en-US" w:eastAsia="zh-CN"/>
              </w:rPr>
              <w:t>各</w:t>
            </w:r>
            <w:r>
              <w:rPr>
                <w:rFonts w:hint="eastAsia" w:ascii="仿宋" w:hAnsi="仿宋" w:eastAsia="仿宋" w:cs="仿宋"/>
                <w:b/>
                <w:color w:val="auto"/>
                <w:kern w:val="0"/>
                <w:highlight w:val="none"/>
              </w:rPr>
              <w:t>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8620" w:type="dxa"/>
            <w:noWrap w:val="0"/>
            <w:vAlign w:val="center"/>
          </w:tcPr>
          <w:p>
            <w:pPr>
              <w:adjustRightInd w:val="0"/>
              <w:snapToGrid w:val="0"/>
              <w:spacing w:line="30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0" w:hRule="atLeast"/>
          <w:jc w:val="center"/>
        </w:trPr>
        <w:tc>
          <w:tcPr>
            <w:tcW w:w="8620" w:type="dxa"/>
            <w:noWrap w:val="0"/>
            <w:vAlign w:val="center"/>
          </w:tcPr>
          <w:p>
            <w:pPr>
              <w:spacing w:line="360" w:lineRule="auto"/>
              <w:ind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(1)被省级及以上交通运输主管部门取消招标项目所在地的投标资格且处于有效期内；</w:t>
            </w:r>
          </w:p>
          <w:p>
            <w:pPr>
              <w:spacing w:line="360" w:lineRule="auto"/>
              <w:ind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(2)被责令停业、暂扣或吊销执照；</w:t>
            </w:r>
          </w:p>
          <w:p>
            <w:pPr>
              <w:spacing w:line="360" w:lineRule="auto"/>
              <w:ind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(3)进入清算程序，或被宣告破产，或其他丧失履约能力的情形；</w:t>
            </w:r>
          </w:p>
          <w:p>
            <w:pPr>
              <w:spacing w:line="360" w:lineRule="auto"/>
              <w:ind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(4)在国家企业信用信息公示系统（http://www.gsxt.gov.vn/）中被列入严重违法失信企业名单；</w:t>
            </w:r>
          </w:p>
          <w:p>
            <w:pPr>
              <w:spacing w:line="360" w:lineRule="auto"/>
              <w:ind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(5)在“信用中国”网站（</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"http://www.creditchina"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http://www.creditchina</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.gov.cn）中被列入失信被执行人名单；</w:t>
            </w:r>
          </w:p>
          <w:p>
            <w:pPr>
              <w:spacing w:line="360" w:lineRule="auto"/>
              <w:ind w:firstLine="218" w:firstLineChars="104"/>
              <w:rPr>
                <w:rFonts w:ascii="仿宋" w:hAnsi="仿宋" w:eastAsia="仿宋" w:cs="仿宋"/>
                <w:color w:val="auto"/>
                <w:szCs w:val="21"/>
                <w:highlight w:val="none"/>
              </w:rPr>
            </w:pPr>
            <w:r>
              <w:rPr>
                <w:rFonts w:hint="eastAsia" w:ascii="仿宋" w:hAnsi="仿宋" w:eastAsia="仿宋" w:cs="仿宋"/>
                <w:color w:val="auto"/>
                <w:szCs w:val="21"/>
                <w:highlight w:val="none"/>
              </w:rPr>
              <w:t>(6)申请人或其法定代表人、拟委任的项目负责人在近三年内有行贿犯罪行为的；</w:t>
            </w:r>
          </w:p>
          <w:p>
            <w:pPr>
              <w:pStyle w:val="12"/>
              <w:spacing w:line="360" w:lineRule="auto"/>
              <w:ind w:right="-51" w:firstLine="218" w:firstLineChars="104"/>
              <w:rPr>
                <w:rFonts w:hint="eastAsia" w:ascii="仿宋" w:hAnsi="仿宋" w:eastAsia="仿宋" w:cs="仿宋"/>
                <w:color w:val="auto"/>
                <w:szCs w:val="21"/>
                <w:highlight w:val="none"/>
              </w:rPr>
            </w:pPr>
            <w:r>
              <w:rPr>
                <w:rFonts w:hint="eastAsia" w:ascii="仿宋" w:hAnsi="仿宋" w:eastAsia="仿宋" w:cs="仿宋"/>
                <w:color w:val="auto"/>
                <w:szCs w:val="21"/>
                <w:highlight w:val="none"/>
              </w:rPr>
              <w:t>(7)法律法规或申请人须知前附表规定的其他情形。</w:t>
            </w:r>
          </w:p>
          <w:p>
            <w:pPr>
              <w:pStyle w:val="12"/>
              <w:spacing w:line="360" w:lineRule="auto"/>
              <w:ind w:right="-51" w:firstLine="210" w:firstLineChars="100"/>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在最新年度广东省公路工程从业单位（</w:t>
            </w:r>
            <w:r>
              <w:rPr>
                <w:rFonts w:hint="eastAsia" w:ascii="仿宋" w:hAnsi="仿宋" w:eastAsia="仿宋" w:cs="仿宋"/>
                <w:color w:val="auto"/>
                <w:sz w:val="21"/>
                <w:szCs w:val="21"/>
                <w:highlight w:val="none"/>
                <w:lang w:val="en-US" w:eastAsia="zh-CN"/>
              </w:rPr>
              <w:t>工程咨询单位</w:t>
            </w:r>
            <w:r>
              <w:rPr>
                <w:rFonts w:hint="eastAsia" w:ascii="仿宋" w:hAnsi="仿宋" w:eastAsia="仿宋" w:cs="仿宋"/>
                <w:color w:val="auto"/>
                <w:sz w:val="21"/>
                <w:szCs w:val="21"/>
                <w:highlight w:val="none"/>
              </w:rPr>
              <w:t>）信用评价（含无最新年度而上一年度有信用评价）中，信用等级未被评为D级；且初次进入广东省的投标人，在最新年度全国公路从业单位（</w:t>
            </w:r>
            <w:r>
              <w:rPr>
                <w:rFonts w:hint="eastAsia" w:ascii="仿宋" w:hAnsi="仿宋" w:eastAsia="仿宋" w:cs="仿宋"/>
                <w:color w:val="auto"/>
                <w:sz w:val="21"/>
                <w:szCs w:val="21"/>
                <w:highlight w:val="none"/>
                <w:lang w:val="en-US" w:eastAsia="zh-CN"/>
              </w:rPr>
              <w:t>工程咨询单位</w:t>
            </w:r>
            <w:r>
              <w:rPr>
                <w:rFonts w:hint="eastAsia" w:ascii="仿宋" w:hAnsi="仿宋" w:eastAsia="仿宋" w:cs="仿宋"/>
                <w:color w:val="auto"/>
                <w:sz w:val="21"/>
                <w:szCs w:val="21"/>
                <w:highlight w:val="none"/>
              </w:rPr>
              <w:t>）信用评价结果中未被评为D级。</w:t>
            </w:r>
          </w:p>
          <w:p>
            <w:pPr>
              <w:pStyle w:val="12"/>
              <w:spacing w:line="360" w:lineRule="auto"/>
              <w:ind w:right="-51" w:firstLine="480"/>
              <w:rPr>
                <w:rFonts w:hint="eastAsia" w:ascii="仿宋" w:hAnsi="仿宋" w:eastAsia="仿宋" w:cs="仿宋"/>
                <w:color w:val="auto"/>
                <w:sz w:val="24"/>
                <w:szCs w:val="24"/>
                <w:highlight w:val="none"/>
              </w:rPr>
            </w:pPr>
          </w:p>
        </w:tc>
      </w:tr>
    </w:tbl>
    <w:p>
      <w:pPr>
        <w:adjustRightInd w:val="0"/>
        <w:snapToGrid w:val="0"/>
        <w:spacing w:line="400" w:lineRule="atLeast"/>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注：1、近3年是指2022年1月1日至投标文件递交之日。</w:t>
      </w:r>
    </w:p>
    <w:p>
      <w:pPr>
        <w:pStyle w:val="11"/>
        <w:rPr>
          <w:rFonts w:hint="default"/>
          <w:color w:val="auto"/>
          <w:highlight w:val="none"/>
          <w:lang w:val="en-US" w:eastAsia="zh-CN"/>
        </w:rPr>
      </w:pPr>
      <w:r>
        <w:rPr>
          <w:rFonts w:hint="eastAsia" w:ascii="仿宋" w:hAnsi="仿宋" w:eastAsia="仿宋" w:cs="仿宋"/>
          <w:color w:val="auto"/>
          <w:kern w:val="0"/>
          <w:sz w:val="18"/>
          <w:szCs w:val="18"/>
          <w:highlight w:val="none"/>
          <w:lang w:val="en-US" w:eastAsia="zh-CN"/>
        </w:rPr>
        <w:t>2、信用等级的确定原则遵循投标人须知附表10.2款的规定。</w:t>
      </w:r>
    </w:p>
    <w:p>
      <w:pPr>
        <w:adjustRightInd w:val="0"/>
        <w:snapToGrid w:val="0"/>
        <w:spacing w:line="400" w:lineRule="atLeast"/>
        <w:jc w:val="cente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2"/>
        <w:jc w:val="center"/>
        <w:rPr>
          <w:rFonts w:hint="eastAsia" w:ascii="仿宋" w:hAnsi="仿宋" w:eastAsia="仿宋" w:cs="仿宋"/>
          <w:color w:val="auto"/>
          <w:sz w:val="30"/>
          <w:szCs w:val="30"/>
          <w:highlight w:val="none"/>
        </w:rPr>
      </w:pPr>
      <w:bookmarkStart w:id="4" w:name="_Toc28545"/>
      <w:r>
        <w:rPr>
          <w:rFonts w:hint="eastAsia" w:ascii="仿宋" w:hAnsi="仿宋" w:eastAsia="仿宋" w:cs="仿宋"/>
          <w:color w:val="auto"/>
          <w:sz w:val="30"/>
          <w:szCs w:val="30"/>
          <w:highlight w:val="none"/>
        </w:rPr>
        <w:t>附录5资格审查条件(项目负责人和造价工程师最低要求)</w:t>
      </w:r>
      <w:bookmarkEnd w:id="4"/>
    </w:p>
    <w:p>
      <w:pPr>
        <w:snapToGrid w:val="0"/>
        <w:jc w:val="center"/>
        <w:rPr>
          <w:rFonts w:hint="eastAsia" w:ascii="仿宋" w:hAnsi="仿宋" w:eastAsia="仿宋" w:cs="仿宋"/>
          <w:b/>
          <w:bCs/>
          <w:strike/>
          <w:color w:val="auto"/>
          <w:spacing w:val="-4"/>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52"/>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8523" w:type="dxa"/>
            <w:gridSpan w:val="3"/>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b/>
                <w:color w:val="auto"/>
                <w:kern w:val="0"/>
                <w:highlight w:val="none"/>
              </w:rPr>
              <w:t>本表适用于</w:t>
            </w:r>
            <w:r>
              <w:rPr>
                <w:rFonts w:hint="eastAsia" w:ascii="仿宋" w:hAnsi="仿宋" w:eastAsia="仿宋" w:cs="仿宋"/>
                <w:b/>
                <w:bCs/>
                <w:color w:val="auto"/>
                <w:kern w:val="2"/>
                <w:szCs w:val="21"/>
                <w:highlight w:val="none"/>
                <w:lang w:val="en-US" w:eastAsia="zh-CN"/>
              </w:rPr>
              <w:t>各</w:t>
            </w:r>
            <w:r>
              <w:rPr>
                <w:rFonts w:hint="eastAsia" w:ascii="仿宋" w:hAnsi="仿宋" w:eastAsia="仿宋" w:cs="仿宋"/>
                <w:b/>
                <w:color w:val="auto"/>
                <w:kern w:val="0"/>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979"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人员</w:t>
            </w:r>
          </w:p>
        </w:tc>
        <w:tc>
          <w:tcPr>
            <w:tcW w:w="1352"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5192"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atLeast"/>
          <w:jc w:val="center"/>
        </w:trPr>
        <w:tc>
          <w:tcPr>
            <w:tcW w:w="1979" w:type="dxa"/>
            <w:noWrap w:val="0"/>
            <w:vAlign w:val="center"/>
          </w:tcPr>
          <w:p>
            <w:pPr>
              <w:spacing w:line="240" w:lineRule="auto"/>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项目负责人</w:t>
            </w:r>
          </w:p>
        </w:tc>
        <w:tc>
          <w:tcPr>
            <w:tcW w:w="1352" w:type="dxa"/>
            <w:noWrap w:val="0"/>
            <w:vAlign w:val="center"/>
          </w:tcPr>
          <w:p>
            <w:pPr>
              <w:spacing w:line="240" w:lineRule="auto"/>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5192" w:type="dxa"/>
            <w:noWrap w:val="0"/>
            <w:vAlign w:val="center"/>
          </w:tcPr>
          <w:p>
            <w:pPr>
              <w:spacing w:line="400" w:lineRule="atLeas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同时满足</w:t>
            </w:r>
            <w:r>
              <w:rPr>
                <w:rFonts w:hint="eastAsia" w:ascii="仿宋" w:hAnsi="仿宋" w:eastAsia="仿宋" w:cs="仿宋"/>
                <w:color w:val="auto"/>
                <w:sz w:val="21"/>
                <w:szCs w:val="21"/>
                <w:highlight w:val="none"/>
              </w:rPr>
              <w:t>以下所有条件</w:t>
            </w:r>
            <w:r>
              <w:rPr>
                <w:rFonts w:hint="eastAsia" w:ascii="仿宋" w:hAnsi="仿宋" w:eastAsia="仿宋" w:cs="仿宋"/>
                <w:color w:val="auto"/>
                <w:sz w:val="21"/>
                <w:szCs w:val="21"/>
                <w:highlight w:val="none"/>
                <w:lang w:eastAsia="zh-CN"/>
              </w:rPr>
              <w:t>：</w:t>
            </w:r>
          </w:p>
          <w:p>
            <w:pPr>
              <w:numPr>
                <w:ilvl w:val="0"/>
                <w:numId w:val="0"/>
              </w:numPr>
              <w:spacing w:line="40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工程或工程经济类中级及以上专业技术职称，且具有注册造价师</w:t>
            </w:r>
            <w:r>
              <w:rPr>
                <w:rFonts w:hint="eastAsia" w:ascii="仿宋" w:hAnsi="仿宋" w:eastAsia="仿宋" w:cs="仿宋"/>
                <w:color w:val="auto"/>
                <w:szCs w:val="21"/>
                <w:highlight w:val="none"/>
                <w:lang w:val="en-US" w:eastAsia="zh-CN"/>
              </w:rPr>
              <w:t>或一级造价工程师</w:t>
            </w:r>
            <w:r>
              <w:rPr>
                <w:rFonts w:hint="eastAsia" w:ascii="仿宋" w:hAnsi="仿宋" w:eastAsia="仿宋" w:cs="仿宋"/>
                <w:color w:val="auto"/>
                <w:szCs w:val="21"/>
                <w:highlight w:val="none"/>
              </w:rPr>
              <w:t>或交通运输部甲级造价工程师资格</w:t>
            </w:r>
            <w:r>
              <w:rPr>
                <w:rFonts w:hint="eastAsia" w:ascii="仿宋" w:hAnsi="仿宋" w:eastAsia="仿宋" w:cs="仿宋"/>
                <w:color w:val="auto"/>
                <w:sz w:val="21"/>
                <w:szCs w:val="21"/>
                <w:highlight w:val="none"/>
              </w:rPr>
              <w:t>；</w:t>
            </w:r>
          </w:p>
          <w:p>
            <w:pPr>
              <w:numPr>
                <w:ilvl w:val="0"/>
                <w:numId w:val="0"/>
              </w:numPr>
              <w:spacing w:line="400" w:lineRule="atLeas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w:t>
            </w:r>
            <w:r>
              <w:rPr>
                <w:rFonts w:hint="eastAsia" w:ascii="仿宋" w:hAnsi="仿宋" w:eastAsia="仿宋" w:cs="仿宋"/>
                <w:color w:val="auto"/>
                <w:szCs w:val="21"/>
                <w:highlight w:val="none"/>
              </w:rPr>
              <w:t>15年及以上工程造价工作经验</w:t>
            </w:r>
            <w:r>
              <w:rPr>
                <w:rFonts w:hint="eastAsia" w:ascii="仿宋" w:hAnsi="仿宋" w:eastAsia="仿宋" w:cs="仿宋"/>
                <w:color w:val="auto"/>
                <w:sz w:val="21"/>
                <w:szCs w:val="21"/>
                <w:highlight w:val="none"/>
              </w:rPr>
              <w:t>；</w:t>
            </w:r>
          </w:p>
          <w:p>
            <w:pPr>
              <w:spacing w:line="400" w:lineRule="atLeas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Cs w:val="21"/>
                <w:highlight w:val="none"/>
              </w:rPr>
              <w:t>至少担任过3个高速公路养护项目造价咨询服务工程，且每个项目造价金额在1千万元及以上</w:t>
            </w:r>
            <w:r>
              <w:rPr>
                <w:rFonts w:hint="eastAsia" w:ascii="仿宋" w:hAnsi="仿宋" w:eastAsia="仿宋" w:cs="仿宋"/>
                <w:color w:val="auto"/>
                <w:szCs w:val="21"/>
                <w:highlight w:val="none"/>
                <w:lang w:eastAsia="zh-CN"/>
              </w:rPr>
              <w:t>。</w:t>
            </w:r>
          </w:p>
          <w:p>
            <w:pPr>
              <w:spacing w:line="240" w:lineRule="auto"/>
              <w:jc w:val="center"/>
              <w:rPr>
                <w:rFonts w:hint="eastAsia" w:ascii="仿宋" w:hAnsi="仿宋" w:eastAsia="仿宋" w:cs="仿宋"/>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jc w:val="center"/>
        </w:trPr>
        <w:tc>
          <w:tcPr>
            <w:tcW w:w="1979"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造价工程师</w:t>
            </w:r>
          </w:p>
        </w:tc>
        <w:tc>
          <w:tcPr>
            <w:tcW w:w="1352"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5192" w:type="dxa"/>
            <w:noWrap w:val="0"/>
            <w:vAlign w:val="center"/>
          </w:tcPr>
          <w:p>
            <w:pPr>
              <w:spacing w:line="400" w:lineRule="atLeas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同时满足</w:t>
            </w:r>
            <w:r>
              <w:rPr>
                <w:rFonts w:hint="eastAsia" w:ascii="仿宋" w:hAnsi="仿宋" w:eastAsia="仿宋" w:cs="仿宋"/>
                <w:color w:val="auto"/>
                <w:sz w:val="21"/>
                <w:szCs w:val="21"/>
                <w:highlight w:val="none"/>
              </w:rPr>
              <w:t>以下所有条件</w:t>
            </w:r>
            <w:r>
              <w:rPr>
                <w:rFonts w:hint="eastAsia" w:ascii="仿宋" w:hAnsi="仿宋" w:eastAsia="仿宋" w:cs="仿宋"/>
                <w:color w:val="auto"/>
                <w:sz w:val="21"/>
                <w:szCs w:val="21"/>
                <w:highlight w:val="none"/>
                <w:lang w:eastAsia="zh-CN"/>
              </w:rPr>
              <w:t>：</w:t>
            </w:r>
          </w:p>
          <w:p>
            <w:pPr>
              <w:numPr>
                <w:ilvl w:val="0"/>
                <w:numId w:val="0"/>
              </w:numPr>
              <w:spacing w:line="400" w:lineRule="atLeast"/>
              <w:ind w:left="0"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工程或工程经济类中级及以上专业技术职称，且具有注册造价师</w:t>
            </w:r>
            <w:r>
              <w:rPr>
                <w:rFonts w:hint="eastAsia" w:ascii="仿宋" w:hAnsi="仿宋" w:eastAsia="仿宋" w:cs="仿宋"/>
                <w:color w:val="auto"/>
                <w:szCs w:val="21"/>
                <w:highlight w:val="none"/>
                <w:lang w:val="en-US" w:eastAsia="zh-CN"/>
              </w:rPr>
              <w:t>或一级造价工程师</w:t>
            </w:r>
            <w:r>
              <w:rPr>
                <w:rFonts w:hint="eastAsia" w:ascii="仿宋" w:hAnsi="仿宋" w:eastAsia="仿宋" w:cs="仿宋"/>
                <w:color w:val="auto"/>
                <w:szCs w:val="21"/>
                <w:highlight w:val="none"/>
              </w:rPr>
              <w:t>或交通运输部甲级造价工程师资格</w:t>
            </w:r>
            <w:r>
              <w:rPr>
                <w:rFonts w:hint="eastAsia" w:ascii="仿宋" w:hAnsi="仿宋" w:eastAsia="仿宋" w:cs="仿宋"/>
                <w:color w:val="auto"/>
                <w:sz w:val="21"/>
                <w:szCs w:val="21"/>
                <w:highlight w:val="none"/>
              </w:rPr>
              <w:t>；</w:t>
            </w:r>
          </w:p>
          <w:p>
            <w:pPr>
              <w:numPr>
                <w:ilvl w:val="0"/>
                <w:numId w:val="0"/>
              </w:numPr>
              <w:spacing w:line="400" w:lineRule="atLeast"/>
              <w:ind w:left="0"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10年及以上工程造价工作经验</w:t>
            </w:r>
            <w:r>
              <w:rPr>
                <w:rFonts w:hint="eastAsia" w:ascii="仿宋" w:hAnsi="仿宋" w:eastAsia="仿宋" w:cs="仿宋"/>
                <w:color w:val="auto"/>
                <w:sz w:val="21"/>
                <w:szCs w:val="21"/>
                <w:highlight w:val="none"/>
              </w:rPr>
              <w:t>；</w:t>
            </w:r>
          </w:p>
          <w:p>
            <w:pPr>
              <w:numPr>
                <w:ilvl w:val="0"/>
                <w:numId w:val="0"/>
              </w:numPr>
              <w:spacing w:line="400" w:lineRule="atLeast"/>
              <w:ind w:left="0" w:firstLine="210" w:firstLineChars="100"/>
              <w:rPr>
                <w:rFonts w:hint="eastAsia" w:ascii="仿宋" w:hAnsi="仿宋" w:eastAsia="仿宋" w:cs="仿宋"/>
                <w:color w:val="auto"/>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Cs w:val="21"/>
                <w:highlight w:val="none"/>
              </w:rPr>
              <w:t>至少担任过2个高速公路养护项目造价咨询服务工程，且每个项目造价金额在500万元及以上。</w:t>
            </w:r>
          </w:p>
          <w:p>
            <w:pPr>
              <w:spacing w:line="360" w:lineRule="auto"/>
              <w:rPr>
                <w:rFonts w:hint="eastAsia" w:ascii="仿宋" w:hAnsi="仿宋" w:eastAsia="仿宋" w:cs="仿宋"/>
                <w:color w:val="auto"/>
                <w:szCs w:val="21"/>
                <w:highlight w:val="none"/>
              </w:rPr>
            </w:pPr>
          </w:p>
        </w:tc>
      </w:tr>
    </w:tbl>
    <w:p>
      <w:pPr>
        <w:adjustRightInd w:val="0"/>
        <w:snapToGrid w:val="0"/>
        <w:spacing w:line="360" w:lineRule="auto"/>
        <w:ind w:left="2" w:leftChars="1" w:firstLine="540" w:firstLineChars="300"/>
        <w:rPr>
          <w:rFonts w:hint="eastAsia" w:ascii="仿宋" w:hAnsi="仿宋" w:eastAsia="仿宋" w:cs="仿宋"/>
          <w:color w:val="auto"/>
          <w:sz w:val="18"/>
          <w:szCs w:val="18"/>
          <w:highlight w:val="none"/>
        </w:rPr>
      </w:pPr>
    </w:p>
    <w:p>
      <w:pPr>
        <w:numPr>
          <w:ilvl w:val="0"/>
          <w:numId w:val="3"/>
        </w:numPr>
        <w:spacing w:line="360" w:lineRule="auto"/>
        <w:ind w:firstLine="542" w:firstLineChars="300"/>
        <w:jc w:val="left"/>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上述人员要求为最低条件，如上述人员最低数量无法满足工作实际需要时，投标人应增加同等条件的造价人员，</w:t>
      </w:r>
      <w:r>
        <w:rPr>
          <w:rFonts w:hint="eastAsia" w:ascii="仿宋" w:hAnsi="仿宋" w:eastAsia="仿宋" w:cs="仿宋"/>
          <w:b/>
          <w:bCs/>
          <w:color w:val="auto"/>
          <w:sz w:val="18"/>
          <w:szCs w:val="18"/>
          <w:highlight w:val="none"/>
          <w:lang w:val="en-US" w:eastAsia="zh-CN"/>
        </w:rPr>
        <w:t>承包</w:t>
      </w:r>
      <w:r>
        <w:rPr>
          <w:rFonts w:hint="eastAsia" w:ascii="仿宋" w:hAnsi="仿宋" w:eastAsia="仿宋" w:cs="仿宋"/>
          <w:b/>
          <w:bCs/>
          <w:color w:val="auto"/>
          <w:sz w:val="18"/>
          <w:szCs w:val="18"/>
          <w:highlight w:val="none"/>
        </w:rPr>
        <w:t>人不因此增加咨询服务费。</w:t>
      </w:r>
    </w:p>
    <w:p>
      <w:pPr>
        <w:numPr>
          <w:ilvl w:val="0"/>
          <w:numId w:val="3"/>
        </w:numPr>
        <w:spacing w:line="360" w:lineRule="auto"/>
        <w:ind w:firstLine="540" w:firstLineChars="300"/>
        <w:jc w:val="left"/>
        <w:rPr>
          <w:rFonts w:hint="eastAsia" w:ascii="仿宋" w:hAnsi="仿宋" w:eastAsia="仿宋" w:cs="仿宋"/>
          <w:b/>
          <w:bCs/>
          <w:color w:val="auto"/>
          <w:sz w:val="18"/>
          <w:szCs w:val="18"/>
          <w:highlight w:val="none"/>
        </w:rPr>
      </w:pPr>
      <w:r>
        <w:rPr>
          <w:rFonts w:hint="eastAsia" w:ascii="仿宋" w:hAnsi="仿宋" w:eastAsia="仿宋" w:cs="仿宋"/>
          <w:color w:val="auto"/>
          <w:sz w:val="18"/>
          <w:szCs w:val="18"/>
          <w:highlight w:val="none"/>
          <w:lang w:val="en-US" w:eastAsia="zh-CN"/>
        </w:rPr>
        <w:t>工作经验</w:t>
      </w:r>
      <w:r>
        <w:rPr>
          <w:rFonts w:hint="eastAsia" w:ascii="仿宋" w:hAnsi="仿宋" w:eastAsia="仿宋" w:cs="仿宋"/>
          <w:color w:val="auto"/>
          <w:sz w:val="18"/>
          <w:szCs w:val="18"/>
          <w:highlight w:val="none"/>
        </w:rPr>
        <w:t>以</w:t>
      </w:r>
      <w:r>
        <w:rPr>
          <w:rFonts w:hint="eastAsia" w:ascii="仿宋" w:hAnsi="仿宋" w:eastAsia="仿宋" w:cs="仿宋"/>
          <w:color w:val="auto"/>
          <w:sz w:val="18"/>
          <w:szCs w:val="18"/>
          <w:highlight w:val="none"/>
          <w:lang w:val="en-US" w:eastAsia="zh-CN"/>
        </w:rPr>
        <w:t>填报的第一个项目经历的时间为起始时间至投标截止之日止，所报人员须附有效的证明材料（如出具能证明工作经验的造价审核报告等或业主证明文件等），否则视为无效。</w:t>
      </w:r>
    </w:p>
    <w:p>
      <w:pPr>
        <w:widowControl/>
        <w:autoSpaceDE w:val="0"/>
        <w:autoSpaceDN w:val="0"/>
        <w:spacing w:line="400" w:lineRule="atLeast"/>
        <w:ind w:firstLine="542" w:firstLineChars="300"/>
        <w:textAlignment w:val="bottom"/>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3.同时对两个标段进行投标的投标人，同1个项目负责人、造价工程师可以在不同标段填报。</w:t>
      </w:r>
    </w:p>
    <w:p>
      <w:pPr>
        <w:spacing w:line="360" w:lineRule="auto"/>
        <w:jc w:val="left"/>
        <w:rPr>
          <w:rFonts w:hint="eastAsia" w:ascii="仿宋" w:hAnsi="仿宋" w:eastAsia="仿宋" w:cs="仿宋"/>
          <w:b/>
          <w:bCs/>
          <w:color w:val="auto"/>
          <w:sz w:val="18"/>
          <w:szCs w:val="18"/>
          <w:highlight w:val="none"/>
        </w:rPr>
      </w:pPr>
    </w:p>
    <w:p>
      <w:pPr>
        <w:adjustRightInd w:val="0"/>
        <w:snapToGrid w:val="0"/>
        <w:spacing w:line="360" w:lineRule="auto"/>
        <w:ind w:left="2" w:leftChars="1" w:firstLine="540" w:firstLineChars="300"/>
        <w:rPr>
          <w:rFonts w:hint="default" w:ascii="仿宋" w:hAnsi="仿宋" w:eastAsia="仿宋" w:cs="仿宋"/>
          <w:color w:val="auto"/>
          <w:sz w:val="18"/>
          <w:szCs w:val="18"/>
          <w:highlight w:val="none"/>
          <w:lang w:val="en-US" w:eastAsia="zh-CN"/>
        </w:rPr>
      </w:pPr>
    </w:p>
    <w:p>
      <w:pPr>
        <w:adjustRightInd w:val="0"/>
        <w:snapToGrid w:val="0"/>
        <w:spacing w:line="360" w:lineRule="auto"/>
        <w:ind w:left="2" w:leftChars="1" w:firstLine="540" w:firstLineChars="300"/>
        <w:rPr>
          <w:rFonts w:hint="eastAsia" w:ascii="仿宋" w:hAnsi="仿宋" w:eastAsia="仿宋" w:cs="仿宋"/>
          <w:color w:val="auto"/>
          <w:sz w:val="18"/>
          <w:szCs w:val="18"/>
          <w:highlight w:val="none"/>
        </w:rPr>
      </w:pPr>
    </w:p>
    <w:p>
      <w:pPr>
        <w:spacing w:line="360" w:lineRule="auto"/>
        <w:rPr>
          <w:rFonts w:hint="eastAsia" w:ascii="仿宋" w:hAnsi="仿宋" w:eastAsia="仿宋" w:cs="仿宋"/>
          <w:color w:val="auto"/>
          <w:sz w:val="18"/>
          <w:szCs w:val="18"/>
          <w:highlight w:val="none"/>
        </w:rPr>
      </w:pPr>
    </w:p>
    <w:p>
      <w:pPr>
        <w:spacing w:line="360" w:lineRule="auto"/>
        <w:rPr>
          <w:rFonts w:hint="eastAsia" w:ascii="仿宋" w:hAnsi="仿宋" w:eastAsia="仿宋" w:cs="仿宋"/>
          <w:color w:val="auto"/>
          <w:sz w:val="18"/>
          <w:szCs w:val="18"/>
          <w:highlight w:val="none"/>
        </w:rPr>
      </w:pPr>
    </w:p>
    <w:p>
      <w:pPr>
        <w:spacing w:line="360" w:lineRule="auto"/>
        <w:rPr>
          <w:rFonts w:hint="eastAsia" w:ascii="仿宋" w:hAnsi="仿宋" w:eastAsia="仿宋" w:cs="仿宋"/>
          <w:color w:val="auto"/>
          <w:sz w:val="18"/>
          <w:szCs w:val="18"/>
          <w:highlight w:val="none"/>
        </w:rPr>
      </w:pPr>
    </w:p>
    <w:p>
      <w:pPr>
        <w:spacing w:line="360" w:lineRule="auto"/>
        <w:rPr>
          <w:rFonts w:hint="eastAsia" w:ascii="仿宋" w:hAnsi="仿宋" w:eastAsia="仿宋" w:cs="仿宋"/>
          <w:color w:val="auto"/>
          <w:sz w:val="18"/>
          <w:szCs w:val="18"/>
          <w:highlight w:val="none"/>
        </w:rPr>
      </w:pPr>
    </w:p>
    <w:p>
      <w:pPr>
        <w:pStyle w:val="2"/>
        <w:jc w:val="center"/>
        <w:rPr>
          <w:rFonts w:hint="eastAsia" w:ascii="仿宋" w:hAnsi="仿宋" w:eastAsia="仿宋" w:cs="仿宋"/>
          <w:color w:val="auto"/>
          <w:sz w:val="30"/>
          <w:szCs w:val="30"/>
          <w:highlight w:val="none"/>
        </w:rPr>
      </w:pPr>
      <w:bookmarkStart w:id="5" w:name="_Toc32244"/>
      <w:r>
        <w:rPr>
          <w:rFonts w:hint="eastAsia" w:ascii="仿宋" w:hAnsi="仿宋" w:eastAsia="仿宋" w:cs="仿宋"/>
          <w:color w:val="auto"/>
          <w:sz w:val="30"/>
          <w:szCs w:val="30"/>
          <w:highlight w:val="none"/>
        </w:rPr>
        <w:t>附录6资格审查条件(其他造价员最低要求)</w:t>
      </w:r>
      <w:bookmarkEnd w:id="5"/>
    </w:p>
    <w:p>
      <w:pPr>
        <w:snapToGrid w:val="0"/>
        <w:jc w:val="center"/>
        <w:rPr>
          <w:rFonts w:hint="eastAsia" w:ascii="仿宋" w:hAnsi="仿宋" w:eastAsia="仿宋" w:cs="仿宋"/>
          <w:color w:val="auto"/>
          <w:sz w:val="24"/>
          <w:highlight w:val="none"/>
        </w:rPr>
      </w:pPr>
    </w:p>
    <w:p>
      <w:pPr>
        <w:snapToGrid w:val="0"/>
        <w:jc w:val="center"/>
        <w:rPr>
          <w:rFonts w:hint="eastAsia" w:ascii="仿宋" w:hAnsi="仿宋" w:eastAsia="仿宋" w:cs="仿宋"/>
          <w:b/>
          <w:bCs/>
          <w:strike/>
          <w:color w:val="auto"/>
          <w:spacing w:val="-4"/>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52"/>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8523" w:type="dxa"/>
            <w:gridSpan w:val="3"/>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b/>
                <w:color w:val="auto"/>
                <w:kern w:val="0"/>
                <w:highlight w:val="none"/>
              </w:rPr>
              <w:t>本表适用于</w:t>
            </w:r>
            <w:r>
              <w:rPr>
                <w:rFonts w:hint="eastAsia" w:ascii="仿宋" w:hAnsi="仿宋" w:eastAsia="仿宋" w:cs="仿宋"/>
                <w:b/>
                <w:bCs/>
                <w:color w:val="auto"/>
                <w:kern w:val="2"/>
                <w:szCs w:val="21"/>
                <w:highlight w:val="none"/>
                <w:lang w:val="en-US" w:eastAsia="zh-CN"/>
              </w:rPr>
              <w:t>各</w:t>
            </w:r>
            <w:r>
              <w:rPr>
                <w:rFonts w:hint="eastAsia" w:ascii="仿宋" w:hAnsi="仿宋" w:eastAsia="仿宋" w:cs="仿宋"/>
                <w:b/>
                <w:color w:val="auto"/>
                <w:kern w:val="0"/>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979"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人员</w:t>
            </w:r>
          </w:p>
        </w:tc>
        <w:tc>
          <w:tcPr>
            <w:tcW w:w="1352"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5192" w:type="dxa"/>
            <w:noWrap w:val="0"/>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jc w:val="center"/>
        </w:trPr>
        <w:tc>
          <w:tcPr>
            <w:tcW w:w="1979"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其他造价员</w:t>
            </w:r>
          </w:p>
        </w:tc>
        <w:tc>
          <w:tcPr>
            <w:tcW w:w="1352"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5192" w:type="dxa"/>
            <w:noWrap w:val="0"/>
            <w:vAlign w:val="center"/>
          </w:tcPr>
          <w:p>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同时满足</w:t>
            </w:r>
            <w:r>
              <w:rPr>
                <w:rFonts w:hint="eastAsia" w:ascii="仿宋" w:hAnsi="仿宋" w:eastAsia="仿宋" w:cs="仿宋"/>
                <w:color w:val="auto"/>
                <w:sz w:val="21"/>
                <w:szCs w:val="21"/>
                <w:highlight w:val="none"/>
              </w:rPr>
              <w:t>以下所有条件</w:t>
            </w:r>
            <w:r>
              <w:rPr>
                <w:rFonts w:hint="eastAsia" w:ascii="仿宋" w:hAnsi="仿宋" w:eastAsia="仿宋" w:cs="仿宋"/>
                <w:color w:val="auto"/>
                <w:sz w:val="21"/>
                <w:szCs w:val="21"/>
                <w:highlight w:val="none"/>
                <w:lang w:eastAsia="zh-CN"/>
              </w:rPr>
              <w:t>：</w:t>
            </w:r>
          </w:p>
          <w:p>
            <w:pPr>
              <w:numPr>
                <w:ilvl w:val="0"/>
                <w:numId w:val="0"/>
              </w:numPr>
              <w:spacing w:line="400" w:lineRule="atLeast"/>
              <w:ind w:firstLine="210" w:firstLineChars="1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工程或工程经济类助理级及以上职称</w:t>
            </w:r>
            <w:r>
              <w:rPr>
                <w:rFonts w:hint="eastAsia" w:ascii="仿宋" w:hAnsi="仿宋" w:eastAsia="仿宋" w:cs="仿宋"/>
                <w:color w:val="auto"/>
                <w:szCs w:val="21"/>
                <w:highlight w:val="none"/>
                <w:lang w:eastAsia="zh-CN"/>
              </w:rPr>
              <w:t>；</w:t>
            </w:r>
          </w:p>
          <w:p>
            <w:pPr>
              <w:numPr>
                <w:ilvl w:val="0"/>
                <w:numId w:val="0"/>
              </w:numPr>
              <w:spacing w:line="400" w:lineRule="atLeast"/>
              <w:ind w:firstLine="210" w:firstLineChars="1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5年及以上工程造价工作经验</w:t>
            </w:r>
            <w:r>
              <w:rPr>
                <w:rFonts w:hint="eastAsia" w:ascii="仿宋" w:hAnsi="仿宋" w:eastAsia="仿宋" w:cs="仿宋"/>
                <w:color w:val="auto"/>
                <w:szCs w:val="21"/>
                <w:highlight w:val="none"/>
                <w:lang w:eastAsia="zh-CN"/>
              </w:rPr>
              <w:t>；</w:t>
            </w:r>
          </w:p>
          <w:p>
            <w:pPr>
              <w:numPr>
                <w:ilvl w:val="0"/>
                <w:numId w:val="0"/>
              </w:numPr>
              <w:spacing w:line="400" w:lineRule="atLeast"/>
              <w:ind w:left="0"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至少担任过1个高速公路养护项目造价咨询服务工程，且造价金额在100万元及以上。</w:t>
            </w:r>
          </w:p>
        </w:tc>
      </w:tr>
    </w:tbl>
    <w:p>
      <w:pPr>
        <w:spacing w:line="360" w:lineRule="auto"/>
        <w:rPr>
          <w:rFonts w:hint="eastAsia" w:ascii="仿宋" w:hAnsi="仿宋" w:eastAsia="仿宋" w:cs="仿宋"/>
          <w:color w:val="auto"/>
          <w:sz w:val="18"/>
          <w:szCs w:val="18"/>
          <w:highlight w:val="none"/>
        </w:rPr>
      </w:pPr>
    </w:p>
    <w:p>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1.投标人对上表所要求的人员不需提供具体资料，只须</w:t>
      </w:r>
      <w:r>
        <w:rPr>
          <w:rFonts w:hint="eastAsia" w:ascii="仿宋" w:hAnsi="仿宋" w:eastAsia="仿宋" w:cs="仿宋"/>
          <w:color w:val="auto"/>
          <w:sz w:val="18"/>
          <w:szCs w:val="18"/>
          <w:highlight w:val="none"/>
          <w:lang w:eastAsia="zh-CN"/>
        </w:rPr>
        <w:t>在</w:t>
      </w:r>
      <w:r>
        <w:rPr>
          <w:rFonts w:hint="eastAsia" w:ascii="仿宋" w:hAnsi="仿宋" w:eastAsia="仿宋" w:cs="仿宋"/>
          <w:color w:val="auto"/>
          <w:sz w:val="18"/>
          <w:szCs w:val="18"/>
          <w:highlight w:val="none"/>
        </w:rPr>
        <w:t>投标函</w:t>
      </w:r>
      <w:r>
        <w:rPr>
          <w:rFonts w:hint="eastAsia" w:ascii="仿宋" w:hAnsi="仿宋" w:eastAsia="仿宋" w:cs="仿宋"/>
          <w:color w:val="auto"/>
          <w:sz w:val="18"/>
          <w:szCs w:val="18"/>
          <w:highlight w:val="none"/>
          <w:lang w:val="en-US" w:eastAsia="zh-CN"/>
        </w:rPr>
        <w:t>中承诺即可</w:t>
      </w:r>
      <w:r>
        <w:rPr>
          <w:rFonts w:hint="eastAsia" w:ascii="仿宋" w:hAnsi="仿宋" w:eastAsia="仿宋" w:cs="仿宋"/>
          <w:color w:val="auto"/>
          <w:sz w:val="18"/>
          <w:szCs w:val="18"/>
          <w:highlight w:val="none"/>
        </w:rPr>
        <w:t>，中标人在签订合同后招标人提交实际投入的人员名单，</w:t>
      </w:r>
      <w:r>
        <w:rPr>
          <w:rFonts w:hint="eastAsia" w:ascii="仿宋" w:hAnsi="仿宋" w:eastAsia="仿宋" w:cs="仿宋"/>
          <w:b/>
          <w:bCs/>
          <w:color w:val="auto"/>
          <w:sz w:val="18"/>
          <w:szCs w:val="18"/>
          <w:highlight w:val="none"/>
        </w:rPr>
        <w:t>如上述人员最低数量无法满足工作实际需要时，投标人应增加同等条件的其他造价人员，招标人不因此增加咨询服务费</w:t>
      </w:r>
      <w:r>
        <w:rPr>
          <w:rFonts w:hint="eastAsia" w:ascii="仿宋" w:hAnsi="仿宋" w:eastAsia="仿宋" w:cs="仿宋"/>
          <w:color w:val="auto"/>
          <w:sz w:val="18"/>
          <w:szCs w:val="18"/>
          <w:highlight w:val="none"/>
        </w:rPr>
        <w:t>。</w:t>
      </w:r>
    </w:p>
    <w:p>
      <w:pPr>
        <w:rPr>
          <w:rFonts w:hint="eastAsia" w:ascii="仿宋" w:hAnsi="仿宋" w:eastAsia="仿宋" w:cs="仿宋"/>
          <w:color w:val="auto"/>
          <w:sz w:val="18"/>
          <w:szCs w:val="18"/>
          <w:highlight w:val="none"/>
        </w:rPr>
      </w:pPr>
    </w:p>
    <w:p>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br w:type="page"/>
      </w:r>
    </w:p>
    <w:p>
      <w:pPr>
        <w:spacing w:line="360" w:lineRule="auto"/>
        <w:ind w:firstLine="0" w:firstLineChars="0"/>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附件</w:t>
      </w:r>
      <w:r>
        <w:rPr>
          <w:rFonts w:hint="default"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rPr>
        <w:t>：评标办法</w:t>
      </w:r>
    </w:p>
    <w:p>
      <w:pPr>
        <w:spacing w:line="30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第三章</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评标办法</w:t>
      </w:r>
    </w:p>
    <w:p>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评标办法前附表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6"/>
        <w:gridCol w:w="946"/>
        <w:gridCol w:w="7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42" w:type="dxa"/>
            <w:gridSpan w:val="2"/>
            <w:noWrap w:val="0"/>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7154" w:type="dxa"/>
            <w:noWrap w:val="0"/>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评审因素与评审标准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8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46"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方法</w:t>
            </w:r>
          </w:p>
        </w:tc>
        <w:tc>
          <w:tcPr>
            <w:tcW w:w="7154" w:type="dxa"/>
            <w:noWrap w:val="0"/>
            <w:vAlign w:val="center"/>
          </w:tcPr>
          <w:p>
            <w:pPr>
              <w:pStyle w:val="13"/>
              <w:kinsoku w:val="0"/>
              <w:overflowPunct w:val="0"/>
              <w:spacing w:before="157" w:line="331" w:lineRule="auto"/>
              <w:ind w:right="139"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综合评分相等时，评标委员会依次按照以下优先顺序推荐中标候选人：</w:t>
            </w:r>
          </w:p>
          <w:p>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（1）以投标折扣系数较低的投标人排名优先；</w:t>
            </w:r>
          </w:p>
          <w:p>
            <w:pPr>
              <w:pStyle w:val="13"/>
              <w:kinsoku w:val="0"/>
              <w:overflowPunct w:val="0"/>
              <w:spacing w:before="22" w:line="360" w:lineRule="auto"/>
              <w:ind w:firstLine="273" w:firstLineChars="114"/>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（2）以投标人企业最新年度（202</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年）营业收入较高的优先；</w:t>
            </w:r>
          </w:p>
          <w:p>
            <w:pPr>
              <w:pStyle w:val="13"/>
              <w:kinsoku w:val="0"/>
              <w:overflowPunct w:val="0"/>
              <w:spacing w:before="22"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（3）评标委员会视投标人情况综合比较，投票确定其名次。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6"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p>
            <w:pP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2.1.3</w:t>
            </w:r>
          </w:p>
        </w:tc>
        <w:tc>
          <w:tcPr>
            <w:tcW w:w="946" w:type="dxa"/>
            <w:noWrap w:val="0"/>
            <w:vAlign w:val="center"/>
          </w:tcPr>
          <w:p>
            <w:pPr>
              <w:spacing w:line="360" w:lineRule="auto"/>
              <w:ind w:firstLine="390"/>
              <w:jc w:val="left"/>
              <w:rPr>
                <w:rFonts w:hint="eastAsia" w:ascii="仿宋" w:hAnsi="仿宋" w:eastAsia="仿宋" w:cs="仿宋"/>
                <w:color w:val="auto"/>
                <w:szCs w:val="21"/>
                <w:highlight w:val="none"/>
              </w:rPr>
            </w:pPr>
            <w:bookmarkStart w:id="6" w:name="OLE_LINK3"/>
            <w:r>
              <w:rPr>
                <w:rFonts w:hint="eastAsia" w:ascii="仿宋" w:hAnsi="仿宋" w:eastAsia="仿宋" w:cs="仿宋"/>
                <w:color w:val="auto"/>
                <w:sz w:val="24"/>
                <w:szCs w:val="24"/>
                <w:highlight w:val="none"/>
              </w:rPr>
              <w:t>形式评审与响应性评审标准</w:t>
            </w:r>
            <w:bookmarkEnd w:id="6"/>
          </w:p>
        </w:tc>
        <w:tc>
          <w:tcPr>
            <w:tcW w:w="7154" w:type="dxa"/>
            <w:noWrap w:val="0"/>
            <w:vAlign w:val="center"/>
          </w:tcPr>
          <w:p>
            <w:pPr>
              <w:spacing w:line="38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第一个信封（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）评审标准：</w:t>
            </w:r>
          </w:p>
          <w:p>
            <w:pPr>
              <w:pStyle w:val="13"/>
              <w:spacing w:before="91" w:line="380" w:lineRule="exact"/>
              <w:ind w:left="0" w:right="93"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（1）投标文件按照招标文件规定的格式、内容填写，字迹清晰可辨：</w:t>
            </w:r>
          </w:p>
          <w:p>
            <w:pPr>
              <w:pStyle w:val="13"/>
              <w:spacing w:line="380" w:lineRule="exact"/>
              <w:ind w:left="0" w:right="93"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w:t>
            </w:r>
            <w:r>
              <w:rPr>
                <w:rFonts w:hint="eastAsia" w:ascii="仿宋" w:hAnsi="仿宋" w:eastAsia="仿宋" w:cs="仿宋"/>
                <w:color w:val="auto"/>
                <w:spacing w:val="0"/>
                <w:szCs w:val="24"/>
                <w:highlight w:val="none"/>
              </w:rPr>
              <w:t>投标函按招标文件规定填报了项目名称、标段号、补遗书编号</w:t>
            </w:r>
            <w:r>
              <w:rPr>
                <w:rFonts w:hint="eastAsia" w:ascii="仿宋" w:hAnsi="仿宋" w:eastAsia="仿宋" w:cs="仿宋"/>
                <w:color w:val="auto"/>
                <w:szCs w:val="24"/>
                <w:highlight w:val="none"/>
              </w:rPr>
              <w:t>（如有</w:t>
            </w:r>
            <w:r>
              <w:rPr>
                <w:rFonts w:hint="eastAsia" w:ascii="仿宋" w:hAnsi="仿宋" w:eastAsia="仿宋" w:cs="仿宋"/>
                <w:color w:val="auto"/>
                <w:spacing w:val="0"/>
                <w:szCs w:val="24"/>
                <w:highlight w:val="none"/>
              </w:rPr>
              <w:t>）、质量要求；</w:t>
            </w:r>
          </w:p>
          <w:p>
            <w:pPr>
              <w:pStyle w:val="13"/>
              <w:spacing w:before="90" w:line="380" w:lineRule="exact"/>
              <w:ind w:left="0" w:right="90" w:firstLine="452" w:firstLineChars="200"/>
              <w:rPr>
                <w:rFonts w:hint="eastAsia" w:ascii="仿宋" w:hAnsi="仿宋" w:eastAsia="仿宋" w:cs="仿宋"/>
                <w:color w:val="auto"/>
                <w:spacing w:val="-7"/>
                <w:szCs w:val="24"/>
                <w:highlight w:val="none"/>
              </w:rPr>
            </w:pPr>
            <w:r>
              <w:rPr>
                <w:rFonts w:hint="eastAsia" w:ascii="仿宋" w:hAnsi="仿宋" w:eastAsia="仿宋" w:cs="仿宋"/>
                <w:color w:val="auto"/>
                <w:spacing w:val="-7"/>
                <w:szCs w:val="24"/>
                <w:highlight w:val="none"/>
                <w:lang w:val="en-US" w:eastAsia="zh-CN"/>
              </w:rPr>
              <w:t>b</w:t>
            </w:r>
            <w:r>
              <w:rPr>
                <w:rFonts w:hint="eastAsia" w:ascii="仿宋" w:hAnsi="仿宋" w:eastAsia="仿宋" w:cs="仿宋"/>
                <w:color w:val="auto"/>
                <w:spacing w:val="-7"/>
                <w:szCs w:val="24"/>
                <w:highlight w:val="none"/>
              </w:rPr>
              <w:t>.投标文件组成齐全完整，内容均按规定填写。</w:t>
            </w:r>
          </w:p>
          <w:p>
            <w:pPr>
              <w:pStyle w:val="13"/>
              <w:spacing w:before="90" w:line="380" w:lineRule="exact"/>
              <w:ind w:left="0" w:right="90" w:firstLine="452" w:firstLineChars="200"/>
              <w:rPr>
                <w:rFonts w:hint="eastAsia" w:ascii="仿宋" w:hAnsi="仿宋" w:eastAsia="仿宋" w:cs="仿宋"/>
                <w:color w:val="auto"/>
                <w:spacing w:val="-7"/>
                <w:szCs w:val="24"/>
                <w:highlight w:val="none"/>
              </w:rPr>
            </w:pPr>
            <w:r>
              <w:rPr>
                <w:rFonts w:hint="eastAsia" w:ascii="仿宋" w:hAnsi="仿宋" w:eastAsia="仿宋" w:cs="仿宋"/>
                <w:color w:val="auto"/>
                <w:spacing w:val="-7"/>
                <w:szCs w:val="24"/>
                <w:highlight w:val="none"/>
              </w:rPr>
              <w:t>（2）投标文件上法定代表人或其委托代理人的签字、投标人的单位章盖章齐全，符合招标文件的规定。</w:t>
            </w:r>
          </w:p>
          <w:p>
            <w:pPr>
              <w:pStyle w:val="13"/>
              <w:spacing w:before="90" w:line="380" w:lineRule="exact"/>
              <w:ind w:right="90" w:firstLine="452" w:firstLineChars="200"/>
              <w:rPr>
                <w:rFonts w:hint="eastAsia" w:ascii="仿宋" w:hAnsi="仿宋" w:eastAsia="仿宋" w:cs="仿宋"/>
                <w:color w:val="auto"/>
                <w:spacing w:val="-7"/>
                <w:szCs w:val="24"/>
                <w:highlight w:val="none"/>
              </w:rPr>
            </w:pPr>
            <w:r>
              <w:rPr>
                <w:rFonts w:hint="eastAsia" w:ascii="仿宋" w:hAnsi="仿宋" w:eastAsia="仿宋" w:cs="仿宋"/>
                <w:color w:val="auto"/>
                <w:spacing w:val="-7"/>
                <w:szCs w:val="24"/>
                <w:highlight w:val="none"/>
              </w:rPr>
              <w:t>（3）投标人按照招标文件的规定提供了投标保证金：</w:t>
            </w:r>
          </w:p>
          <w:p>
            <w:pPr>
              <w:pStyle w:val="13"/>
              <w:spacing w:before="90" w:line="380" w:lineRule="exact"/>
              <w:ind w:right="90" w:firstLine="452" w:firstLineChars="200"/>
              <w:rPr>
                <w:rFonts w:hint="eastAsia" w:ascii="仿宋" w:hAnsi="仿宋" w:eastAsia="仿宋" w:cs="仿宋"/>
                <w:color w:val="auto"/>
                <w:spacing w:val="-7"/>
                <w:szCs w:val="24"/>
                <w:highlight w:val="none"/>
              </w:rPr>
            </w:pPr>
            <w:r>
              <w:rPr>
                <w:rFonts w:hint="eastAsia" w:ascii="仿宋" w:hAnsi="仿宋" w:eastAsia="仿宋" w:cs="仿宋"/>
                <w:color w:val="auto"/>
                <w:spacing w:val="-7"/>
                <w:szCs w:val="24"/>
                <w:highlight w:val="none"/>
              </w:rPr>
              <w:t>a.投标保证金金额符合招标文件规定的金额，且投标保证金有效期不少于投标有效期；</w:t>
            </w:r>
          </w:p>
          <w:p>
            <w:pPr>
              <w:pStyle w:val="13"/>
              <w:spacing w:before="90" w:line="380" w:lineRule="exact"/>
              <w:ind w:left="0" w:right="9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w:t>
            </w:r>
            <w:r>
              <w:rPr>
                <w:rFonts w:hint="eastAsia" w:ascii="仿宋" w:hAnsi="仿宋" w:eastAsia="仿宋" w:cs="仿宋"/>
                <w:color w:val="auto"/>
                <w:spacing w:val="-7"/>
                <w:szCs w:val="24"/>
                <w:highlight w:val="none"/>
              </w:rPr>
              <w:t>若投标保证金采用现金或支票形式提交，投标人应在投标人须知3.4.1款规定的时间，将投标保证金由投标人的基本账户转入招标人指定账户；</w:t>
            </w:r>
          </w:p>
          <w:p>
            <w:pPr>
              <w:pStyle w:val="13"/>
              <w:spacing w:line="380" w:lineRule="exact"/>
              <w:ind w:left="0" w:right="9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w:t>
            </w:r>
            <w:r>
              <w:rPr>
                <w:rFonts w:hint="eastAsia" w:ascii="仿宋" w:hAnsi="仿宋" w:eastAsia="仿宋" w:cs="仿宋"/>
                <w:color w:val="auto"/>
                <w:spacing w:val="-5"/>
                <w:szCs w:val="24"/>
                <w:highlight w:val="none"/>
              </w:rPr>
              <w:t>若投标保证金采用银行保函形式提交，银行保函的格式、开具保函的银行均满足招标文件要求，银行保函原件在递交投标文件时单独密封递交</w:t>
            </w:r>
            <w:r>
              <w:rPr>
                <w:rFonts w:hint="eastAsia" w:ascii="仿宋" w:hAnsi="仿宋" w:eastAsia="仿宋" w:cs="仿宋"/>
                <w:color w:val="auto"/>
                <w:spacing w:val="-4"/>
                <w:szCs w:val="24"/>
                <w:highlight w:val="none"/>
              </w:rPr>
              <w:t>，其复印件装订在投标文件中。</w:t>
            </w:r>
          </w:p>
          <w:p>
            <w:pPr>
              <w:spacing w:line="3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（4）投标人法定代表人授权委托代理人签署投标文件的，须提交授权委托书，且授权人和被授权人均在授权委托书上签名，未使用印章、签名章或其他电子制版签名代替。</w:t>
            </w:r>
          </w:p>
          <w:p>
            <w:pPr>
              <w:pStyle w:val="13"/>
              <w:spacing w:line="380" w:lineRule="exact"/>
              <w:ind w:left="108" w:right="-15"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5）</w:t>
            </w:r>
            <w:r>
              <w:rPr>
                <w:rFonts w:hint="eastAsia" w:ascii="仿宋" w:hAnsi="仿宋" w:eastAsia="仿宋" w:cs="仿宋"/>
                <w:color w:val="auto"/>
                <w:spacing w:val="-2"/>
                <w:szCs w:val="24"/>
                <w:highlight w:val="none"/>
              </w:rPr>
              <w:t>投标人法定代表人亲自签署投标文件的，提供了法定代表人</w:t>
            </w:r>
            <w:r>
              <w:rPr>
                <w:rFonts w:hint="eastAsia" w:ascii="仿宋" w:hAnsi="仿宋" w:eastAsia="仿宋" w:cs="仿宋"/>
                <w:color w:val="auto"/>
                <w:spacing w:val="-5"/>
                <w:szCs w:val="24"/>
                <w:highlight w:val="none"/>
              </w:rPr>
              <w:t>身份证明，且法定代表人在法定代表人身份证明上签名，未使用印章、</w:t>
            </w:r>
            <w:r>
              <w:rPr>
                <w:rFonts w:hint="eastAsia" w:ascii="仿宋" w:hAnsi="仿宋" w:eastAsia="仿宋" w:cs="仿宋"/>
                <w:color w:val="auto"/>
                <w:spacing w:val="-4"/>
                <w:szCs w:val="24"/>
                <w:highlight w:val="none"/>
              </w:rPr>
              <w:t>签名章或其他电子制版签名代替。</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（6）投标人如有分包计划，符合招标文件第二章“投标人须知”第1.11款规定，且按招标文件第五章“投标文件格式”的要求填写了“拟分包项目情况表”。</w:t>
            </w:r>
          </w:p>
          <w:p>
            <w:pPr>
              <w:pStyle w:val="13"/>
              <w:keepNext w:val="0"/>
              <w:keepLines w:val="0"/>
              <w:pageBreakBefore w:val="0"/>
              <w:widowControl w:val="0"/>
              <w:kinsoku/>
              <w:wordWrap/>
              <w:overflowPunct/>
              <w:topLinePunct w:val="0"/>
              <w:autoSpaceDE/>
              <w:autoSpaceDN/>
              <w:bidi w:val="0"/>
              <w:adjustRightInd/>
              <w:snapToGrid/>
              <w:spacing w:before="88" w:line="380" w:lineRule="exact"/>
              <w:ind w:left="108" w:right="91" w:firstLine="384"/>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（7）同一投标人未提交两个以上不同的投标文件，但招标文件要求提交备选投标的除外。</w:t>
            </w:r>
          </w:p>
          <w:p>
            <w:pPr>
              <w:pStyle w:val="13"/>
              <w:keepNext w:val="0"/>
              <w:keepLines w:val="0"/>
              <w:pageBreakBefore w:val="0"/>
              <w:widowControl w:val="0"/>
              <w:kinsoku/>
              <w:wordWrap/>
              <w:overflowPunct/>
              <w:topLinePunct w:val="0"/>
              <w:autoSpaceDE/>
              <w:autoSpaceDN/>
              <w:bidi w:val="0"/>
              <w:adjustRightInd/>
              <w:snapToGrid/>
              <w:spacing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（8）投标文件中未出现有关投标折扣系数的内容。</w:t>
            </w:r>
          </w:p>
          <w:p>
            <w:pPr>
              <w:pStyle w:val="13"/>
              <w:keepNext w:val="0"/>
              <w:keepLines w:val="0"/>
              <w:pageBreakBefore w:val="0"/>
              <w:widowControl w:val="0"/>
              <w:kinsoku/>
              <w:wordWrap/>
              <w:overflowPunct/>
              <w:topLinePunct w:val="0"/>
              <w:autoSpaceDE/>
              <w:autoSpaceDN/>
              <w:bidi w:val="0"/>
              <w:adjustRightInd/>
              <w:snapToGrid/>
              <w:spacing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（9）投标文件对招标文件的实质性要求和条件作出响应。</w:t>
            </w:r>
          </w:p>
          <w:p>
            <w:pPr>
              <w:pStyle w:val="13"/>
              <w:keepNext w:val="0"/>
              <w:keepLines w:val="0"/>
              <w:pageBreakBefore w:val="0"/>
              <w:widowControl w:val="0"/>
              <w:kinsoku/>
              <w:wordWrap/>
              <w:overflowPunct/>
              <w:topLinePunct w:val="0"/>
              <w:autoSpaceDE/>
              <w:autoSpaceDN/>
              <w:bidi w:val="0"/>
              <w:adjustRightInd/>
              <w:snapToGrid/>
              <w:spacing w:before="91"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（10）权利义务符合招标文件规定：</w:t>
            </w:r>
          </w:p>
          <w:p>
            <w:pPr>
              <w:pStyle w:val="13"/>
              <w:keepNext w:val="0"/>
              <w:keepLines w:val="0"/>
              <w:pageBreakBefore w:val="0"/>
              <w:widowControl w:val="0"/>
              <w:kinsoku/>
              <w:wordWrap/>
              <w:overflowPunct/>
              <w:topLinePunct w:val="0"/>
              <w:autoSpaceDE/>
              <w:autoSpaceDN/>
              <w:bidi w:val="0"/>
              <w:adjustRightInd/>
              <w:snapToGrid/>
              <w:spacing w:before="91" w:line="380" w:lineRule="exact"/>
              <w:ind w:left="108" w:right="47" w:firstLine="384"/>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a.投标人应接受招标文件规定的风险划分原则，未提出新的风险划分办法；</w:t>
            </w:r>
          </w:p>
          <w:p>
            <w:pPr>
              <w:pStyle w:val="13"/>
              <w:keepNext w:val="0"/>
              <w:keepLines w:val="0"/>
              <w:pageBreakBefore w:val="0"/>
              <w:widowControl w:val="0"/>
              <w:kinsoku/>
              <w:wordWrap/>
              <w:overflowPunct/>
              <w:topLinePunct w:val="0"/>
              <w:autoSpaceDE/>
              <w:autoSpaceDN/>
              <w:bidi w:val="0"/>
              <w:adjustRightInd/>
              <w:snapToGrid/>
              <w:spacing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b.投标人未增加发包人的责任范围，或减少投标人义务；</w:t>
            </w:r>
          </w:p>
          <w:p>
            <w:pPr>
              <w:pStyle w:val="13"/>
              <w:keepNext w:val="0"/>
              <w:keepLines w:val="0"/>
              <w:pageBreakBefore w:val="0"/>
              <w:widowControl w:val="0"/>
              <w:kinsoku/>
              <w:wordWrap/>
              <w:overflowPunct/>
              <w:topLinePunct w:val="0"/>
              <w:autoSpaceDE/>
              <w:autoSpaceDN/>
              <w:bidi w:val="0"/>
              <w:adjustRightInd/>
              <w:snapToGrid/>
              <w:spacing w:before="91"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c.投标人未提出不同的支付办法；</w:t>
            </w:r>
          </w:p>
          <w:p>
            <w:pPr>
              <w:pStyle w:val="13"/>
              <w:keepNext w:val="0"/>
              <w:keepLines w:val="0"/>
              <w:pageBreakBefore w:val="0"/>
              <w:widowControl w:val="0"/>
              <w:kinsoku/>
              <w:wordWrap/>
              <w:overflowPunct/>
              <w:topLinePunct w:val="0"/>
              <w:autoSpaceDE/>
              <w:autoSpaceDN/>
              <w:bidi w:val="0"/>
              <w:adjustRightInd/>
              <w:snapToGrid/>
              <w:spacing w:before="91"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d.投标人对合同纠纷、事故处理办法未提出异议；</w:t>
            </w:r>
          </w:p>
          <w:p>
            <w:pPr>
              <w:pStyle w:val="13"/>
              <w:keepNext w:val="0"/>
              <w:keepLines w:val="0"/>
              <w:pageBreakBefore w:val="0"/>
              <w:widowControl w:val="0"/>
              <w:kinsoku/>
              <w:wordWrap/>
              <w:overflowPunct/>
              <w:topLinePunct w:val="0"/>
              <w:autoSpaceDE/>
              <w:autoSpaceDN/>
              <w:bidi w:val="0"/>
              <w:adjustRightInd/>
              <w:snapToGrid/>
              <w:spacing w:line="380" w:lineRule="exact"/>
              <w:ind w:left="492"/>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e.投标人在投标活动中无欺诈行为；</w:t>
            </w:r>
          </w:p>
          <w:p>
            <w:pPr>
              <w:pStyle w:val="13"/>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f.投标人未对合同条款有重要保留。</w:t>
            </w:r>
          </w:p>
          <w:p>
            <w:pPr>
              <w:pStyle w:val="13"/>
              <w:keepNext w:val="0"/>
              <w:keepLines w:val="0"/>
              <w:pageBreakBefore w:val="0"/>
              <w:widowControl w:val="0"/>
              <w:kinsoku/>
              <w:wordWrap/>
              <w:overflowPunct/>
              <w:topLinePunct w:val="0"/>
              <w:autoSpaceDE/>
              <w:autoSpaceDN/>
              <w:bidi w:val="0"/>
              <w:adjustRightInd/>
              <w:snapToGrid/>
              <w:spacing w:before="90" w:line="380" w:lineRule="exact"/>
              <w:ind w:right="90"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（11）投标文件正、副本份数符合招标文件第二章“投标人须知”第3.7.4项规定。</w:t>
            </w:r>
          </w:p>
          <w:p>
            <w:pPr>
              <w:pStyle w:val="13"/>
              <w:keepNext w:val="0"/>
              <w:keepLines w:val="0"/>
              <w:pageBreakBefore w:val="0"/>
              <w:widowControl w:val="0"/>
              <w:kinsoku/>
              <w:wordWrap/>
              <w:overflowPunct/>
              <w:topLinePunct w:val="0"/>
              <w:autoSpaceDE/>
              <w:autoSpaceDN/>
              <w:bidi w:val="0"/>
              <w:adjustRightInd/>
              <w:snapToGrid/>
              <w:spacing w:before="90" w:line="380" w:lineRule="exact"/>
              <w:ind w:left="492" w:right="9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（12）投标文件未附有招标人不能接受的条件。</w:t>
            </w:r>
          </w:p>
          <w:p>
            <w:pPr>
              <w:pStyle w:val="13"/>
              <w:keepNext w:val="0"/>
              <w:keepLines w:val="0"/>
              <w:pageBreakBefore w:val="0"/>
              <w:widowControl w:val="0"/>
              <w:kinsoku/>
              <w:wordWrap/>
              <w:overflowPunct/>
              <w:topLinePunct w:val="0"/>
              <w:autoSpaceDE/>
              <w:autoSpaceDN/>
              <w:bidi w:val="0"/>
              <w:adjustRightInd/>
              <w:snapToGrid/>
              <w:spacing w:before="173" w:line="380" w:lineRule="exact"/>
              <w:ind w:left="495"/>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第二个信封（报价文件）评审标准：</w:t>
            </w:r>
          </w:p>
          <w:p>
            <w:pPr>
              <w:pStyle w:val="13"/>
              <w:keepNext w:val="0"/>
              <w:keepLines w:val="0"/>
              <w:pageBreakBefore w:val="0"/>
              <w:widowControl w:val="0"/>
              <w:kinsoku/>
              <w:wordWrap/>
              <w:overflowPunct/>
              <w:topLinePunct w:val="0"/>
              <w:autoSpaceDE/>
              <w:autoSpaceDN/>
              <w:bidi w:val="0"/>
              <w:adjustRightInd/>
              <w:snapToGrid/>
              <w:spacing w:before="92" w:line="380" w:lineRule="exact"/>
              <w:ind w:left="108" w:right="50"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（1）投标文件按照招标文件规定的格式、内容填写，字迹清晰可辨：</w:t>
            </w:r>
          </w:p>
          <w:p>
            <w:pPr>
              <w:pStyle w:val="13"/>
              <w:keepNext w:val="0"/>
              <w:keepLines w:val="0"/>
              <w:pageBreakBefore w:val="0"/>
              <w:widowControl w:val="0"/>
              <w:kinsoku/>
              <w:wordWrap/>
              <w:overflowPunct/>
              <w:topLinePunct w:val="0"/>
              <w:autoSpaceDE/>
              <w:autoSpaceDN/>
              <w:bidi w:val="0"/>
              <w:adjustRightInd/>
              <w:snapToGrid/>
              <w:spacing w:line="380" w:lineRule="exact"/>
              <w:ind w:left="108" w:right="93"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a.投标函按招标文件规定填报了项目名称、标段号、补遗书编号（如有）、投标价；</w:t>
            </w:r>
          </w:p>
          <w:p>
            <w:pPr>
              <w:pStyle w:val="13"/>
              <w:keepNext w:val="0"/>
              <w:keepLines w:val="0"/>
              <w:pageBreakBefore w:val="0"/>
              <w:widowControl w:val="0"/>
              <w:kinsoku/>
              <w:wordWrap/>
              <w:overflowPunct/>
              <w:topLinePunct w:val="0"/>
              <w:autoSpaceDE/>
              <w:autoSpaceDN/>
              <w:bidi w:val="0"/>
              <w:adjustRightInd/>
              <w:snapToGrid/>
              <w:spacing w:line="380" w:lineRule="exact"/>
              <w:ind w:left="108" w:right="22"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b.已标价工程量清单说明文字与招标文件规定一致，未进行实质性修改和删减；</w:t>
            </w:r>
          </w:p>
          <w:p>
            <w:pPr>
              <w:pStyle w:val="13"/>
              <w:keepNext w:val="0"/>
              <w:keepLines w:val="0"/>
              <w:pageBreakBefore w:val="0"/>
              <w:widowControl w:val="0"/>
              <w:kinsoku/>
              <w:wordWrap/>
              <w:overflowPunct/>
              <w:topLinePunct w:val="0"/>
              <w:autoSpaceDE/>
              <w:autoSpaceDN/>
              <w:bidi w:val="0"/>
              <w:adjustRightInd/>
              <w:snapToGrid/>
              <w:spacing w:line="380" w:lineRule="exact"/>
              <w:ind w:left="528"/>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c.投标文件组成齐全完整，内容均按规定填写。</w:t>
            </w:r>
          </w:p>
          <w:p>
            <w:pPr>
              <w:pStyle w:val="13"/>
              <w:keepNext w:val="0"/>
              <w:keepLines w:val="0"/>
              <w:pageBreakBefore w:val="0"/>
              <w:widowControl w:val="0"/>
              <w:kinsoku/>
              <w:wordWrap/>
              <w:overflowPunct/>
              <w:topLinePunct w:val="0"/>
              <w:autoSpaceDE/>
              <w:autoSpaceDN/>
              <w:bidi w:val="0"/>
              <w:adjustRightInd/>
              <w:snapToGrid/>
              <w:spacing w:before="88" w:line="380" w:lineRule="exact"/>
              <w:ind w:left="108" w:right="49"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（2）投标文件上法定代表人或其委托代理人的签字、投标人的单位章盖章齐全，符合招标文件投标人须知3.7.3的规定。</w:t>
            </w:r>
          </w:p>
          <w:p>
            <w:pPr>
              <w:pStyle w:val="13"/>
              <w:keepNext w:val="0"/>
              <w:keepLines w:val="0"/>
              <w:pageBreakBefore w:val="0"/>
              <w:widowControl w:val="0"/>
              <w:kinsoku/>
              <w:wordWrap/>
              <w:overflowPunct/>
              <w:topLinePunct w:val="0"/>
              <w:autoSpaceDE/>
              <w:autoSpaceDN/>
              <w:bidi w:val="0"/>
              <w:adjustRightInd/>
              <w:snapToGrid/>
              <w:spacing w:line="380" w:lineRule="exact"/>
              <w:ind w:left="108" w:right="90" w:firstLine="420"/>
              <w:textAlignment w:val="auto"/>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（3）</w:t>
            </w:r>
            <w:r>
              <w:rPr>
                <w:rFonts w:hint="eastAsia" w:ascii="仿宋" w:hAnsi="仿宋" w:eastAsia="仿宋" w:cs="仿宋"/>
                <w:color w:val="auto"/>
                <w:spacing w:val="-3"/>
                <w:szCs w:val="24"/>
                <w:highlight w:val="none"/>
              </w:rPr>
              <w:t>投标折扣系数或调价函中的报价未超过招标文件设定的最高评标限价</w:t>
            </w:r>
            <w:r>
              <w:rPr>
                <w:rFonts w:hint="eastAsia" w:ascii="仿宋" w:hAnsi="仿宋" w:eastAsia="仿宋" w:cs="仿宋"/>
                <w:color w:val="auto"/>
                <w:szCs w:val="24"/>
                <w:highlight w:val="none"/>
              </w:rPr>
              <w:t>。</w:t>
            </w:r>
          </w:p>
          <w:p>
            <w:pPr>
              <w:pStyle w:val="13"/>
              <w:keepNext w:val="0"/>
              <w:keepLines w:val="0"/>
              <w:pageBreakBefore w:val="0"/>
              <w:widowControl w:val="0"/>
              <w:kinsoku/>
              <w:wordWrap/>
              <w:overflowPunct/>
              <w:topLinePunct w:val="0"/>
              <w:autoSpaceDE/>
              <w:autoSpaceDN/>
              <w:bidi w:val="0"/>
              <w:adjustRightInd/>
              <w:snapToGrid/>
              <w:spacing w:before="91" w:line="380" w:lineRule="exact"/>
              <w:ind w:left="108" w:right="50"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（4）同一投标人未提交两个以上不同的投标折扣系数，但招标文件要求提交备选投标的除外。</w:t>
            </w:r>
          </w:p>
          <w:p>
            <w:pPr>
              <w:pStyle w:val="13"/>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（5）投标文件正、副本份数符合招标文件第二章“投标人须知”第3.7.4项规定。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896" w:type="dxa"/>
            <w:noWrap w:val="0"/>
            <w:vAlign w:val="top"/>
          </w:tcPr>
          <w:p>
            <w:pPr>
              <w:pStyle w:val="13"/>
              <w:rPr>
                <w:rFonts w:hint="eastAsia" w:ascii="仿宋" w:hAnsi="仿宋" w:eastAsia="仿宋" w:cs="仿宋"/>
                <w:color w:val="auto"/>
                <w:sz w:val="22"/>
                <w:highlight w:val="none"/>
              </w:rPr>
            </w:pPr>
          </w:p>
          <w:p>
            <w:pPr>
              <w:pStyle w:val="13"/>
              <w:rPr>
                <w:rFonts w:hint="eastAsia" w:ascii="仿宋" w:hAnsi="仿宋" w:eastAsia="仿宋" w:cs="仿宋"/>
                <w:color w:val="auto"/>
                <w:sz w:val="22"/>
                <w:highlight w:val="none"/>
              </w:rPr>
            </w:pPr>
          </w:p>
          <w:p>
            <w:pPr>
              <w:pStyle w:val="13"/>
              <w:rPr>
                <w:rFonts w:hint="eastAsia" w:ascii="仿宋" w:hAnsi="仿宋" w:eastAsia="仿宋" w:cs="仿宋"/>
                <w:color w:val="auto"/>
                <w:sz w:val="22"/>
                <w:highlight w:val="none"/>
              </w:rPr>
            </w:pPr>
          </w:p>
          <w:p>
            <w:pPr>
              <w:pStyle w:val="13"/>
              <w:spacing w:before="187"/>
              <w:ind w:left="239"/>
              <w:rPr>
                <w:rFonts w:hint="eastAsia" w:ascii="仿宋" w:hAnsi="仿宋" w:eastAsia="仿宋" w:cs="仿宋"/>
                <w:color w:val="auto"/>
                <w:szCs w:val="21"/>
                <w:highlight w:val="none"/>
              </w:rPr>
            </w:pPr>
            <w:r>
              <w:rPr>
                <w:rFonts w:hint="eastAsia" w:ascii="仿宋" w:hAnsi="仿宋" w:eastAsia="仿宋" w:cs="仿宋"/>
                <w:color w:val="auto"/>
                <w:sz w:val="21"/>
                <w:highlight w:val="none"/>
              </w:rPr>
              <w:t>2.1.2</w:t>
            </w:r>
          </w:p>
        </w:tc>
        <w:tc>
          <w:tcPr>
            <w:tcW w:w="946" w:type="dxa"/>
            <w:noWrap w:val="0"/>
            <w:vAlign w:val="top"/>
          </w:tcPr>
          <w:p>
            <w:pPr>
              <w:pStyle w:val="13"/>
              <w:rPr>
                <w:rFonts w:hint="eastAsia" w:ascii="仿宋" w:hAnsi="仿宋" w:eastAsia="仿宋" w:cs="仿宋"/>
                <w:color w:val="auto"/>
                <w:sz w:val="22"/>
                <w:highlight w:val="none"/>
              </w:rPr>
            </w:pPr>
          </w:p>
          <w:p>
            <w:pPr>
              <w:pStyle w:val="13"/>
              <w:rPr>
                <w:rFonts w:hint="eastAsia" w:ascii="仿宋" w:hAnsi="仿宋" w:eastAsia="仿宋" w:cs="仿宋"/>
                <w:color w:val="auto"/>
                <w:sz w:val="22"/>
                <w:highlight w:val="none"/>
              </w:rPr>
            </w:pPr>
          </w:p>
          <w:p>
            <w:pPr>
              <w:pStyle w:val="13"/>
              <w:spacing w:line="321" w:lineRule="auto"/>
              <w:ind w:left="299" w:right="131" w:hanging="15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w:t>
            </w:r>
          </w:p>
          <w:p>
            <w:pPr>
              <w:pStyle w:val="13"/>
              <w:spacing w:line="321" w:lineRule="auto"/>
              <w:ind w:left="299" w:right="131" w:hanging="15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格</w:t>
            </w:r>
          </w:p>
          <w:p>
            <w:pPr>
              <w:pStyle w:val="13"/>
              <w:spacing w:line="321" w:lineRule="auto"/>
              <w:ind w:left="299" w:right="131" w:hanging="15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w:t>
            </w:r>
          </w:p>
          <w:p>
            <w:pPr>
              <w:pStyle w:val="13"/>
              <w:spacing w:line="321" w:lineRule="auto"/>
              <w:ind w:left="299" w:right="131" w:hanging="15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审</w:t>
            </w:r>
          </w:p>
          <w:p>
            <w:pPr>
              <w:pStyle w:val="13"/>
              <w:spacing w:line="321" w:lineRule="auto"/>
              <w:ind w:left="299" w:right="131" w:hanging="15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w:t>
            </w:r>
          </w:p>
          <w:p>
            <w:pPr>
              <w:pStyle w:val="13"/>
              <w:spacing w:line="321" w:lineRule="auto"/>
              <w:ind w:left="299" w:right="131" w:hanging="156"/>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准</w:t>
            </w:r>
          </w:p>
        </w:tc>
        <w:tc>
          <w:tcPr>
            <w:tcW w:w="7154" w:type="dxa"/>
            <w:tcBorders>
              <w:bottom w:val="single" w:color="auto" w:sz="4" w:space="0"/>
            </w:tcBorders>
            <w:noWrap w:val="0"/>
            <w:vAlign w:val="center"/>
          </w:tcPr>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（1）投标人具备有效的营业执照（或事业单位法人证书）、组织机构代码证（如有）、和基本账户开户许可证或基本存款账户信息或人民银行账户管理系统查询的基本账户信息截图。</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（2）投标人的资质等级符合招标文件规定。</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（3）投标人的财务状况符合招标文件规定。</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（4）投标人的类似项目业绩符合招标文件规定。</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（5）投标人的信誉符合招标文件规定。</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（6）投标人的人员符合招标文件规定。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（7）投标人不存在第二章“投标人须知”第1.4.3项或第1.4.4项规定的任何一种情形。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896" w:type="dxa"/>
            <w:noWrap w:val="0"/>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2.2.1</w:t>
            </w:r>
          </w:p>
        </w:tc>
        <w:tc>
          <w:tcPr>
            <w:tcW w:w="946" w:type="dxa"/>
            <w:noWrap w:val="0"/>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分值构成(总分100分)</w:t>
            </w:r>
          </w:p>
        </w:tc>
        <w:tc>
          <w:tcPr>
            <w:tcW w:w="7154" w:type="dxa"/>
            <w:tcBorders>
              <w:top w:val="nil"/>
              <w:bottom w:val="single" w:color="auto" w:sz="4" w:space="0"/>
            </w:tcBorders>
            <w:noWrap w:val="0"/>
            <w:vAlign w:val="center"/>
          </w:tcPr>
          <w:p>
            <w:pPr>
              <w:spacing w:line="360" w:lineRule="auto"/>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第一信封</w:t>
            </w:r>
            <w:r>
              <w:rPr>
                <w:rFonts w:hint="eastAsia" w:ascii="仿宋" w:hAnsi="仿宋" w:eastAsia="仿宋" w:cs="仿宋"/>
                <w:color w:val="auto"/>
                <w:kern w:val="0"/>
                <w:sz w:val="24"/>
                <w:szCs w:val="24"/>
                <w:highlight w:val="none"/>
                <w:lang w:eastAsia="zh-CN"/>
              </w:rPr>
              <w:t>商务及技术文件</w:t>
            </w:r>
            <w:r>
              <w:rPr>
                <w:rFonts w:hint="eastAsia" w:ascii="仿宋" w:hAnsi="仿宋" w:eastAsia="仿宋" w:cs="仿宋"/>
                <w:color w:val="auto"/>
                <w:kern w:val="0"/>
                <w:sz w:val="24"/>
                <w:szCs w:val="24"/>
                <w:highlight w:val="none"/>
              </w:rPr>
              <w:t>的分值：</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造价咨询方案（A）：</w:t>
            </w:r>
            <w:r>
              <w:rPr>
                <w:rFonts w:hint="eastAsia" w:ascii="仿宋" w:hAnsi="仿宋" w:eastAsia="仿宋" w:cs="仿宋"/>
                <w:color w:val="auto"/>
                <w:kern w:val="0"/>
                <w:sz w:val="24"/>
                <w:szCs w:val="24"/>
                <w:highlight w:val="none"/>
                <w:u w:val="single"/>
                <w:lang w:val="en-US" w:eastAsia="zh-CN"/>
              </w:rPr>
              <w:t>40</w:t>
            </w:r>
            <w:r>
              <w:rPr>
                <w:rFonts w:hint="eastAsia" w:ascii="仿宋" w:hAnsi="仿宋" w:eastAsia="仿宋" w:cs="仿宋"/>
                <w:color w:val="auto"/>
                <w:kern w:val="0"/>
                <w:sz w:val="24"/>
                <w:szCs w:val="24"/>
                <w:highlight w:val="none"/>
              </w:rPr>
              <w:t>分</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主要人员（造价工程师）(B)：</w:t>
            </w:r>
            <w:r>
              <w:rPr>
                <w:rFonts w:hint="eastAsia" w:ascii="仿宋" w:hAnsi="仿宋" w:eastAsia="仿宋" w:cs="仿宋"/>
                <w:color w:val="auto"/>
                <w:kern w:val="0"/>
                <w:sz w:val="24"/>
                <w:szCs w:val="24"/>
                <w:highlight w:val="none"/>
                <w:u w:val="single"/>
                <w:lang w:val="en-US" w:eastAsia="zh-CN"/>
              </w:rPr>
              <w:t>20</w:t>
            </w:r>
            <w:r>
              <w:rPr>
                <w:rFonts w:hint="eastAsia" w:ascii="仿宋" w:hAnsi="仿宋" w:eastAsia="仿宋" w:cs="仿宋"/>
                <w:color w:val="auto"/>
                <w:kern w:val="0"/>
                <w:sz w:val="24"/>
                <w:szCs w:val="24"/>
                <w:highlight w:val="none"/>
              </w:rPr>
              <w:t>分</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D</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lang w:eastAsia="zh-CN"/>
              </w:rPr>
              <w:t>2</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rPr>
              <w:t>分</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履约信誉</w:t>
            </w:r>
            <w:r>
              <w:rPr>
                <w:rFonts w:hint="eastAsia" w:ascii="仿宋" w:hAnsi="仿宋" w:eastAsia="仿宋" w:cs="仿宋"/>
                <w:color w:val="auto"/>
                <w:kern w:val="0"/>
                <w:sz w:val="24"/>
                <w:szCs w:val="24"/>
                <w:highlight w:val="none"/>
                <w:lang w:val="en-US" w:eastAsia="zh-CN"/>
              </w:rPr>
              <w:t>（D）</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rPr>
              <w:t>分</w:t>
            </w:r>
          </w:p>
          <w:p>
            <w:pPr>
              <w:spacing w:line="360" w:lineRule="auto"/>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第二信封报价（评标折扣系数）的分值(C)：</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评标折扣系数：</w:t>
            </w:r>
            <w:r>
              <w:rPr>
                <w:rFonts w:hint="eastAsia" w:ascii="仿宋" w:hAnsi="仿宋" w:eastAsia="仿宋" w:cs="仿宋"/>
                <w:color w:val="auto"/>
                <w:kern w:val="0"/>
                <w:sz w:val="24"/>
                <w:szCs w:val="24"/>
                <w:highlight w:val="none"/>
                <w:u w:val="single"/>
                <w:lang w:eastAsia="zh-CN"/>
              </w:rPr>
              <w:t>1</w:t>
            </w:r>
            <w:r>
              <w:rPr>
                <w:rFonts w:hint="eastAsia" w:ascii="仿宋" w:hAnsi="仿宋" w:eastAsia="仿宋" w:cs="仿宋"/>
                <w:color w:val="auto"/>
                <w:kern w:val="0"/>
                <w:sz w:val="24"/>
                <w:szCs w:val="24"/>
                <w:highlight w:val="none"/>
                <w:u w:val="single"/>
                <w:lang w:val="en-US" w:eastAsia="zh-CN"/>
              </w:rPr>
              <w:t>0</w:t>
            </w:r>
            <w:r>
              <w:rPr>
                <w:rFonts w:hint="eastAsia" w:ascii="仿宋" w:hAnsi="仿宋" w:eastAsia="仿宋" w:cs="仿宋"/>
                <w:color w:val="auto"/>
                <w:kern w:val="0"/>
                <w:sz w:val="24"/>
                <w:szCs w:val="24"/>
                <w:highlight w:val="none"/>
              </w:rPr>
              <w:t>分</w:t>
            </w:r>
          </w:p>
          <w:p>
            <w:pPr>
              <w:spacing w:line="360" w:lineRule="auto"/>
              <w:jc w:val="left"/>
              <w:rPr>
                <w:rFonts w:hint="eastAsia" w:ascii="仿宋" w:hAnsi="仿宋" w:eastAsia="仿宋" w:cs="仿宋"/>
                <w:bCs/>
                <w:snapToGrid w:val="0"/>
                <w:color w:val="auto"/>
                <w:szCs w:val="21"/>
                <w:highlight w:val="none"/>
              </w:rPr>
            </w:pPr>
          </w:p>
        </w:tc>
      </w:tr>
    </w:tbl>
    <w:p>
      <w:pPr>
        <w:autoSpaceDE w:val="0"/>
        <w:autoSpaceDN w:val="0"/>
        <w:adjustRightInd w:val="0"/>
        <w:spacing w:line="360" w:lineRule="auto"/>
        <w:jc w:val="center"/>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p>
      <w:pPr>
        <w:pStyle w:val="11"/>
        <w:rPr>
          <w:rFonts w:hint="eastAsia" w:ascii="仿宋" w:hAnsi="仿宋" w:eastAsia="仿宋" w:cs="仿宋"/>
          <w:b/>
          <w:color w:val="auto"/>
          <w:kern w:val="0"/>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44"/>
        <w:gridCol w:w="934"/>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2706" w:type="dxa"/>
            <w:gridSpan w:val="3"/>
            <w:noWrap w:val="0"/>
            <w:vAlign w:val="center"/>
          </w:tcPr>
          <w:p>
            <w:pPr>
              <w:snapToGrid w:val="0"/>
              <w:spacing w:line="360" w:lineRule="auto"/>
              <w:ind w:right="-58"/>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条款号</w:t>
            </w:r>
          </w:p>
        </w:tc>
        <w:tc>
          <w:tcPr>
            <w:tcW w:w="6309" w:type="dxa"/>
            <w:noWrap w:val="0"/>
            <w:vAlign w:val="center"/>
          </w:tcPr>
          <w:p>
            <w:pPr>
              <w:autoSpaceDE w:val="0"/>
              <w:autoSpaceDN w:val="0"/>
              <w:adjustRightInd w:val="0"/>
              <w:spacing w:line="440" w:lineRule="exact"/>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6" w:hRule="atLeast"/>
          <w:jc w:val="center"/>
        </w:trPr>
        <w:tc>
          <w:tcPr>
            <w:tcW w:w="828" w:type="dxa"/>
            <w:noWrap w:val="0"/>
            <w:vAlign w:val="center"/>
          </w:tcPr>
          <w:p>
            <w:pPr>
              <w:spacing w:line="360" w:lineRule="auto"/>
              <w:jc w:val="center"/>
              <w:rPr>
                <w:rFonts w:hint="eastAsia"/>
                <w:color w:val="auto"/>
                <w:highlight w:val="none"/>
              </w:rPr>
            </w:pPr>
            <w:r>
              <w:rPr>
                <w:rFonts w:hint="eastAsia"/>
                <w:color w:val="auto"/>
                <w:highlight w:val="none"/>
              </w:rPr>
              <w:t>2.2.2</w:t>
            </w:r>
          </w:p>
          <w:p>
            <w:pPr>
              <w:pStyle w:val="11"/>
              <w:rPr>
                <w:rFonts w:hint="eastAsia" w:ascii="仿宋" w:hAnsi="仿宋" w:eastAsia="仿宋" w:cs="仿宋"/>
                <w:color w:val="auto"/>
                <w:sz w:val="24"/>
                <w:szCs w:val="24"/>
                <w:highlight w:val="none"/>
              </w:rPr>
            </w:pPr>
          </w:p>
          <w:p>
            <w:pPr>
              <w:pStyle w:val="11"/>
              <w:ind w:firstLine="0" w:firstLineChars="0"/>
              <w:rPr>
                <w:rFonts w:hint="default" w:ascii="仿宋" w:hAnsi="仿宋" w:eastAsia="仿宋" w:cs="仿宋"/>
                <w:color w:val="auto"/>
                <w:sz w:val="24"/>
                <w:szCs w:val="24"/>
                <w:highlight w:val="none"/>
                <w:lang w:val="en-US" w:eastAsia="zh-CN"/>
              </w:rPr>
            </w:pPr>
          </w:p>
        </w:tc>
        <w:tc>
          <w:tcPr>
            <w:tcW w:w="944" w:type="dxa"/>
            <w:noWrap w:val="0"/>
            <w:vAlign w:val="center"/>
          </w:tcPr>
          <w:p>
            <w:pPr>
              <w:spacing w:line="360" w:lineRule="auto"/>
              <w:jc w:val="center"/>
              <w:rPr>
                <w:rFonts w:hint="eastAsia" w:ascii="仿宋" w:hAnsi="仿宋" w:eastAsia="仿宋" w:cs="仿宋"/>
                <w:snapToGrid w:val="0"/>
                <w:color w:val="auto"/>
                <w:sz w:val="24"/>
                <w:szCs w:val="24"/>
                <w:highlight w:val="none"/>
                <w:lang w:eastAsia="zh-CN"/>
              </w:rPr>
            </w:pPr>
            <w:r>
              <w:rPr>
                <w:rFonts w:hint="eastAsia" w:ascii="仿宋" w:hAnsi="仿宋" w:eastAsia="仿宋" w:cs="仿宋"/>
                <w:strike w:val="0"/>
                <w:dstrike w:val="0"/>
                <w:snapToGrid w:val="0"/>
                <w:color w:val="auto"/>
                <w:sz w:val="24"/>
                <w:szCs w:val="24"/>
                <w:highlight w:val="none"/>
                <w:lang w:eastAsia="zh-CN"/>
              </w:rPr>
              <w:t>评标基准价折扣系数计算方法及评标价</w:t>
            </w:r>
          </w:p>
        </w:tc>
        <w:tc>
          <w:tcPr>
            <w:tcW w:w="934" w:type="dxa"/>
            <w:noWrap w:val="0"/>
            <w:vAlign w:val="center"/>
          </w:tcPr>
          <w:p>
            <w:pPr>
              <w:snapToGrid w:val="0"/>
              <w:spacing w:line="360" w:lineRule="auto"/>
              <w:ind w:right="-58"/>
              <w:jc w:val="center"/>
              <w:rPr>
                <w:rFonts w:hint="eastAsia" w:ascii="仿宋" w:hAnsi="仿宋" w:eastAsia="仿宋" w:cs="仿宋"/>
                <w:color w:val="auto"/>
                <w:sz w:val="24"/>
                <w:szCs w:val="24"/>
                <w:highlight w:val="none"/>
              </w:rPr>
            </w:pPr>
            <w:bookmarkStart w:id="7" w:name="_Toc429404076"/>
            <w:bookmarkStart w:id="8" w:name="_Toc441148676"/>
            <w:r>
              <w:rPr>
                <w:rFonts w:hint="eastAsia" w:ascii="仿宋" w:hAnsi="仿宋" w:eastAsia="仿宋" w:cs="仿宋"/>
                <w:color w:val="auto"/>
                <w:sz w:val="24"/>
                <w:szCs w:val="24"/>
                <w:highlight w:val="none"/>
                <w:u w:val="single"/>
                <w:lang w:eastAsia="zh-CN"/>
              </w:rPr>
              <w:t>1</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w:t>
            </w:r>
            <w:bookmarkEnd w:id="7"/>
            <w:bookmarkEnd w:id="8"/>
          </w:p>
        </w:tc>
        <w:tc>
          <w:tcPr>
            <w:tcW w:w="6309" w:type="dxa"/>
            <w:noWrap w:val="0"/>
            <w:vAlign w:val="center"/>
          </w:tcPr>
          <w:p>
            <w:pPr>
              <w:autoSpaceDE w:val="0"/>
              <w:autoSpaceDN w:val="0"/>
              <w:adjustRightInd w:val="0"/>
              <w:spacing w:line="440" w:lineRule="exact"/>
              <w:rPr>
                <w:rFonts w:hint="eastAsia" w:ascii="仿宋" w:hAnsi="仿宋" w:eastAsia="仿宋" w:cs="仿宋"/>
                <w:bCs/>
                <w:color w:val="auto"/>
                <w:sz w:val="24"/>
                <w:szCs w:val="24"/>
                <w:highlight w:val="none"/>
              </w:rPr>
            </w:pPr>
            <w:bookmarkStart w:id="9" w:name="_Toc429404077"/>
            <w:bookmarkStart w:id="10" w:name="_Toc441148677"/>
            <w:r>
              <w:rPr>
                <w:rFonts w:hint="eastAsia" w:ascii="仿宋" w:hAnsi="仿宋" w:eastAsia="仿宋" w:cs="仿宋"/>
                <w:bCs/>
                <w:color w:val="auto"/>
                <w:sz w:val="24"/>
                <w:szCs w:val="24"/>
                <w:highlight w:val="none"/>
              </w:rPr>
              <w:t>评标基准折扣系数的计算：</w:t>
            </w:r>
            <w:bookmarkEnd w:id="9"/>
            <w:bookmarkEnd w:id="10"/>
          </w:p>
          <w:p>
            <w:pPr>
              <w:autoSpaceDE w:val="0"/>
              <w:autoSpaceDN w:val="0"/>
              <w:adjustRightInd w:val="0"/>
              <w:spacing w:line="440" w:lineRule="exact"/>
              <w:ind w:firstLine="420"/>
              <w:rPr>
                <w:rFonts w:hint="eastAsia" w:ascii="仿宋" w:hAnsi="仿宋" w:eastAsia="仿宋" w:cs="仿宋"/>
                <w:bCs/>
                <w:color w:val="auto"/>
                <w:sz w:val="24"/>
                <w:szCs w:val="24"/>
                <w:highlight w:val="none"/>
              </w:rPr>
            </w:pPr>
            <w:bookmarkStart w:id="11" w:name="_Toc429404078"/>
            <w:bookmarkStart w:id="12" w:name="_Toc441148678"/>
            <w:r>
              <w:rPr>
                <w:rFonts w:hint="eastAsia" w:ascii="仿宋" w:hAnsi="仿宋" w:eastAsia="仿宋" w:cs="仿宋"/>
                <w:bCs/>
                <w:color w:val="auto"/>
                <w:sz w:val="24"/>
                <w:szCs w:val="24"/>
                <w:highlight w:val="none"/>
              </w:rPr>
              <w:t>（1）评标折扣系数的确定：</w:t>
            </w:r>
            <w:bookmarkEnd w:id="11"/>
            <w:bookmarkEnd w:id="12"/>
          </w:p>
          <w:p>
            <w:pPr>
              <w:autoSpaceDE w:val="0"/>
              <w:autoSpaceDN w:val="0"/>
              <w:adjustRightInd w:val="0"/>
              <w:spacing w:line="440" w:lineRule="exact"/>
              <w:ind w:firstLine="420"/>
              <w:rPr>
                <w:rFonts w:hint="eastAsia" w:ascii="仿宋" w:hAnsi="仿宋" w:eastAsia="仿宋" w:cs="仿宋"/>
                <w:bCs/>
                <w:color w:val="auto"/>
                <w:sz w:val="24"/>
                <w:szCs w:val="24"/>
                <w:highlight w:val="none"/>
              </w:rPr>
            </w:pPr>
            <w:bookmarkStart w:id="13" w:name="_Toc429404079"/>
            <w:bookmarkStart w:id="14" w:name="_Toc441148679"/>
            <w:r>
              <w:rPr>
                <w:rFonts w:hint="eastAsia" w:ascii="仿宋" w:hAnsi="仿宋" w:eastAsia="仿宋" w:cs="仿宋"/>
                <w:bCs/>
                <w:color w:val="auto"/>
                <w:sz w:val="24"/>
                <w:szCs w:val="24"/>
                <w:highlight w:val="none"/>
              </w:rPr>
              <w:t>评标折扣系数＝</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rPr>
              <w:t>函</w:t>
            </w:r>
            <w:bookmarkEnd w:id="13"/>
            <w:bookmarkEnd w:id="14"/>
            <w:r>
              <w:rPr>
                <w:rFonts w:hint="eastAsia" w:ascii="仿宋" w:hAnsi="仿宋" w:eastAsia="仿宋" w:cs="仿宋"/>
                <w:bCs/>
                <w:color w:val="auto"/>
                <w:sz w:val="24"/>
                <w:szCs w:val="24"/>
                <w:highlight w:val="none"/>
                <w:lang w:val="en-US" w:eastAsia="zh-CN"/>
              </w:rPr>
              <w:t>折扣系数</w:t>
            </w:r>
            <w:r>
              <w:rPr>
                <w:rFonts w:hint="eastAsia" w:ascii="仿宋" w:hAnsi="仿宋" w:eastAsia="仿宋" w:cs="仿宋"/>
                <w:bCs/>
                <w:color w:val="auto"/>
                <w:sz w:val="24"/>
                <w:szCs w:val="24"/>
                <w:highlight w:val="none"/>
              </w:rPr>
              <w:t>，</w:t>
            </w:r>
          </w:p>
          <w:p>
            <w:pPr>
              <w:numPr>
                <w:ilvl w:val="0"/>
                <w:numId w:val="4"/>
              </w:numPr>
              <w:autoSpaceDE w:val="0"/>
              <w:autoSpaceDN w:val="0"/>
              <w:adjustRightInd w:val="0"/>
              <w:spacing w:line="4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招标人</w:t>
            </w:r>
            <w:r>
              <w:rPr>
                <w:rFonts w:hint="eastAsia" w:ascii="仿宋" w:hAnsi="仿宋" w:eastAsia="仿宋" w:cs="仿宋"/>
                <w:b/>
                <w:bCs/>
                <w:color w:val="auto"/>
                <w:sz w:val="24"/>
                <w:szCs w:val="24"/>
                <w:highlight w:val="none"/>
              </w:rPr>
              <w:t>最高投标折扣系数</w:t>
            </w:r>
            <w:r>
              <w:rPr>
                <w:rFonts w:hint="eastAsia" w:ascii="仿宋" w:hAnsi="仿宋" w:eastAsia="仿宋" w:cs="仿宋"/>
                <w:color w:val="auto"/>
                <w:kern w:val="0"/>
                <w:sz w:val="24"/>
                <w:szCs w:val="24"/>
                <w:highlight w:val="none"/>
              </w:rPr>
              <w:t>的确定：</w:t>
            </w:r>
          </w:p>
          <w:p>
            <w:pPr>
              <w:autoSpaceDE w:val="0"/>
              <w:autoSpaceDN w:val="0"/>
              <w:adjustRightInd w:val="0"/>
              <w:spacing w:line="440" w:lineRule="exact"/>
              <w:ind w:firstLine="482"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b/>
                <w:bCs/>
                <w:color w:val="auto"/>
                <w:sz w:val="24"/>
                <w:szCs w:val="24"/>
                <w:highlight w:val="none"/>
                <w:lang w:eastAsia="zh-CN"/>
              </w:rPr>
              <w:t>最高投标</w:t>
            </w:r>
            <w:r>
              <w:rPr>
                <w:rFonts w:hint="eastAsia" w:ascii="仿宋" w:hAnsi="仿宋" w:eastAsia="仿宋" w:cs="仿宋"/>
                <w:b/>
                <w:bCs/>
                <w:color w:val="auto"/>
                <w:sz w:val="24"/>
                <w:szCs w:val="24"/>
                <w:highlight w:val="none"/>
              </w:rPr>
              <w:t>折扣系数为</w:t>
            </w:r>
            <w:r>
              <w:rPr>
                <w:rFonts w:hint="eastAsia" w:ascii="仿宋" w:hAnsi="仿宋" w:eastAsia="仿宋" w:cs="仿宋"/>
                <w:b/>
                <w:bCs/>
                <w:color w:val="auto"/>
                <w:sz w:val="24"/>
                <w:szCs w:val="24"/>
                <w:highlight w:val="none"/>
                <w:u w:val="single"/>
              </w:rPr>
              <w:t>1.000</w:t>
            </w:r>
          </w:p>
          <w:p>
            <w:pPr>
              <w:spacing w:line="400" w:lineRule="exact"/>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下浮率k在开标前在开标现场采取摇珠方式确定。摇珠操作办法如下：在下浮率k值的取值范围内，以0.1%为一档次增序确定摇珠号码，共31个球，第一次一次性依次摇取出3个球（摇出的球不放回），摇出3个球对应下浮率的平均值即为本次招标</w:t>
            </w:r>
            <w:r>
              <w:rPr>
                <w:rFonts w:hint="eastAsia" w:ascii="仿宋" w:hAnsi="仿宋" w:eastAsia="仿宋" w:cs="仿宋"/>
                <w:color w:val="auto"/>
                <w:kern w:val="0"/>
                <w:sz w:val="24"/>
                <w:szCs w:val="24"/>
                <w:highlight w:val="none"/>
                <w:lang w:val="en-US" w:eastAsia="zh-CN"/>
              </w:rPr>
              <w:t>ZX1</w:t>
            </w:r>
            <w:r>
              <w:rPr>
                <w:rFonts w:hint="eastAsia" w:ascii="仿宋" w:hAnsi="仿宋" w:eastAsia="仿宋" w:cs="仿宋"/>
                <w:color w:val="auto"/>
                <w:kern w:val="0"/>
                <w:sz w:val="24"/>
                <w:szCs w:val="24"/>
                <w:highlight w:val="none"/>
              </w:rPr>
              <w:t>标段的下浮率K，第二次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把第一次</w:t>
            </w:r>
            <w:r>
              <w:rPr>
                <w:rFonts w:hint="eastAsia" w:ascii="仿宋" w:hAnsi="仿宋" w:eastAsia="仿宋" w:cs="仿宋"/>
                <w:color w:val="auto"/>
                <w:kern w:val="0"/>
                <w:sz w:val="24"/>
                <w:szCs w:val="24"/>
                <w:highlight w:val="none"/>
              </w:rPr>
              <w:t>摇出的球</w:t>
            </w:r>
            <w:r>
              <w:rPr>
                <w:rFonts w:hint="eastAsia" w:ascii="仿宋" w:hAnsi="仿宋" w:eastAsia="仿宋" w:cs="仿宋"/>
                <w:color w:val="auto"/>
                <w:kern w:val="0"/>
                <w:sz w:val="24"/>
                <w:szCs w:val="24"/>
                <w:highlight w:val="none"/>
                <w:lang w:val="en-US" w:eastAsia="zh-CN"/>
              </w:rPr>
              <w:t>全</w:t>
            </w:r>
            <w:r>
              <w:rPr>
                <w:rFonts w:hint="eastAsia" w:ascii="仿宋" w:hAnsi="仿宋" w:eastAsia="仿宋" w:cs="仿宋"/>
                <w:color w:val="auto"/>
                <w:kern w:val="0"/>
                <w:sz w:val="24"/>
                <w:szCs w:val="24"/>
                <w:highlight w:val="none"/>
              </w:rPr>
              <w:t>放回</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一次性依次摇取出3个球（摇出的球不放回），摇出3个球对应下浮率的平均值即为本次招标</w:t>
            </w:r>
            <w:r>
              <w:rPr>
                <w:rFonts w:hint="eastAsia" w:ascii="仿宋" w:hAnsi="仿宋" w:eastAsia="仿宋" w:cs="仿宋"/>
                <w:color w:val="auto"/>
                <w:kern w:val="0"/>
                <w:sz w:val="24"/>
                <w:szCs w:val="24"/>
                <w:highlight w:val="none"/>
                <w:lang w:val="en-US" w:eastAsia="zh-CN"/>
              </w:rPr>
              <w:t>ZX2</w:t>
            </w:r>
            <w:r>
              <w:rPr>
                <w:rFonts w:hint="eastAsia" w:ascii="仿宋" w:hAnsi="仿宋" w:eastAsia="仿宋" w:cs="仿宋"/>
                <w:color w:val="auto"/>
                <w:kern w:val="0"/>
                <w:sz w:val="24"/>
                <w:szCs w:val="24"/>
                <w:highlight w:val="none"/>
              </w:rPr>
              <w:t>段的下浮率K，</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各标</w:t>
            </w:r>
            <w:r>
              <w:rPr>
                <w:rFonts w:hint="eastAsia" w:ascii="仿宋" w:hAnsi="仿宋" w:eastAsia="仿宋" w:cs="仿宋"/>
                <w:b/>
                <w:bCs/>
                <w:color w:val="auto"/>
                <w:kern w:val="0"/>
                <w:sz w:val="24"/>
                <w:szCs w:val="24"/>
                <w:highlight w:val="none"/>
              </w:rPr>
              <w:t>段下浮率范围均为3%～6%，下浮率平均值四舍五入取整到0.001%）。</w:t>
            </w:r>
          </w:p>
          <w:p>
            <w:pPr>
              <w:pStyle w:val="5"/>
              <w:rPr>
                <w:rFonts w:hint="eastAsia"/>
                <w:color w:val="auto"/>
                <w:highlight w:val="none"/>
              </w:rPr>
            </w:pPr>
          </w:p>
          <w:p>
            <w:pPr>
              <w:spacing w:line="4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最高</w:t>
            </w:r>
            <w:r>
              <w:rPr>
                <w:rFonts w:hint="eastAsia" w:ascii="仿宋" w:hAnsi="仿宋" w:eastAsia="仿宋" w:cs="仿宋"/>
                <w:b/>
                <w:bCs/>
                <w:color w:val="auto"/>
                <w:sz w:val="24"/>
                <w:szCs w:val="24"/>
                <w:highlight w:val="none"/>
                <w:lang w:val="en-US" w:eastAsia="zh-CN"/>
              </w:rPr>
              <w:t>评</w:t>
            </w:r>
            <w:r>
              <w:rPr>
                <w:rFonts w:hint="eastAsia" w:ascii="仿宋" w:hAnsi="仿宋" w:eastAsia="仿宋" w:cs="仿宋"/>
                <w:b/>
                <w:bCs/>
                <w:color w:val="auto"/>
                <w:sz w:val="24"/>
                <w:szCs w:val="24"/>
                <w:highlight w:val="none"/>
              </w:rPr>
              <w:t>标折扣系数</w:t>
            </w:r>
            <w:r>
              <w:rPr>
                <w:rFonts w:hint="eastAsia" w:ascii="仿宋" w:hAnsi="仿宋" w:eastAsia="仿宋" w:cs="仿宋"/>
                <w:color w:val="auto"/>
                <w:sz w:val="24"/>
                <w:szCs w:val="24"/>
                <w:highlight w:val="none"/>
              </w:rPr>
              <w:t>A＝</w:t>
            </w:r>
            <w:r>
              <w:rPr>
                <w:rFonts w:hint="eastAsia" w:ascii="仿宋" w:hAnsi="仿宋" w:eastAsia="仿宋" w:cs="仿宋"/>
                <w:b/>
                <w:bCs/>
                <w:color w:val="auto"/>
                <w:sz w:val="24"/>
                <w:szCs w:val="24"/>
                <w:highlight w:val="none"/>
                <w:lang w:eastAsia="zh-CN"/>
              </w:rPr>
              <w:t>最高投标</w:t>
            </w:r>
            <w:r>
              <w:rPr>
                <w:rFonts w:hint="eastAsia" w:ascii="仿宋" w:hAnsi="仿宋" w:eastAsia="仿宋" w:cs="仿宋"/>
                <w:b/>
                <w:bCs/>
                <w:color w:val="auto"/>
                <w:sz w:val="24"/>
                <w:szCs w:val="24"/>
                <w:highlight w:val="none"/>
              </w:rPr>
              <w:t>折扣系数</w:t>
            </w:r>
            <w:r>
              <w:rPr>
                <w:rFonts w:hint="eastAsia" w:ascii="仿宋" w:hAnsi="仿宋" w:eastAsia="仿宋" w:cs="仿宋"/>
                <w:color w:val="auto"/>
                <w:sz w:val="24"/>
                <w:szCs w:val="24"/>
                <w:highlight w:val="none"/>
              </w:rPr>
              <w:t>×（1-下浮率K）</w:t>
            </w:r>
          </w:p>
          <w:p>
            <w:pPr>
              <w:autoSpaceDE w:val="0"/>
              <w:autoSpaceDN w:val="0"/>
              <w:adjustRightInd w:val="0"/>
              <w:spacing w:line="440" w:lineRule="exact"/>
              <w:rPr>
                <w:rFonts w:hint="eastAsia" w:ascii="仿宋" w:hAnsi="仿宋" w:eastAsia="仿宋" w:cs="仿宋"/>
                <w:color w:val="auto"/>
                <w:kern w:val="0"/>
                <w:sz w:val="24"/>
                <w:szCs w:val="24"/>
                <w:highlight w:val="none"/>
              </w:rPr>
            </w:pPr>
          </w:p>
          <w:p>
            <w:pPr>
              <w:spacing w:line="360" w:lineRule="auto"/>
              <w:rPr>
                <w:rFonts w:hint="eastAsia" w:ascii="仿宋" w:hAnsi="仿宋" w:eastAsia="仿宋" w:cs="仿宋"/>
                <w:color w:val="auto"/>
                <w:kern w:val="0"/>
                <w:sz w:val="24"/>
                <w:szCs w:val="24"/>
                <w:highlight w:val="none"/>
              </w:rPr>
            </w:pPr>
            <w:bookmarkStart w:id="15" w:name="_Toc441148689"/>
            <w:bookmarkStart w:id="16" w:name="_Toc429404088"/>
            <w:r>
              <w:rPr>
                <w:rFonts w:hint="eastAsia" w:ascii="仿宋" w:hAnsi="仿宋" w:eastAsia="仿宋" w:cs="仿宋"/>
                <w:color w:val="auto"/>
                <w:kern w:val="0"/>
                <w:sz w:val="24"/>
                <w:szCs w:val="24"/>
                <w:highlight w:val="none"/>
              </w:rPr>
              <w:t>（3）有效评标折扣系数范围</w:t>
            </w:r>
          </w:p>
          <w:p>
            <w:pPr>
              <w:autoSpaceDE w:val="0"/>
              <w:autoSpaceDN w:val="0"/>
              <w:adjustRightInd w:val="0"/>
              <w:spacing w:line="4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有效评标折扣系数范围为：投标人的投标折扣系数不大于</w:t>
            </w:r>
            <w:r>
              <w:rPr>
                <w:rFonts w:hint="eastAsia" w:ascii="仿宋" w:hAnsi="仿宋" w:eastAsia="仿宋" w:cs="仿宋"/>
                <w:b/>
                <w:bCs/>
                <w:color w:val="auto"/>
                <w:sz w:val="24"/>
                <w:szCs w:val="24"/>
                <w:highlight w:val="none"/>
              </w:rPr>
              <w:t>最高</w:t>
            </w:r>
            <w:r>
              <w:rPr>
                <w:rFonts w:hint="eastAsia" w:ascii="仿宋" w:hAnsi="仿宋" w:eastAsia="仿宋" w:cs="仿宋"/>
                <w:b/>
                <w:bCs/>
                <w:color w:val="auto"/>
                <w:sz w:val="24"/>
                <w:szCs w:val="24"/>
                <w:highlight w:val="none"/>
                <w:lang w:val="en-US" w:eastAsia="zh-CN"/>
              </w:rPr>
              <w:t>评</w:t>
            </w:r>
            <w:r>
              <w:rPr>
                <w:rFonts w:hint="eastAsia" w:ascii="仿宋" w:hAnsi="仿宋" w:eastAsia="仿宋" w:cs="仿宋"/>
                <w:b/>
                <w:bCs/>
                <w:color w:val="auto"/>
                <w:sz w:val="24"/>
                <w:szCs w:val="24"/>
                <w:highlight w:val="none"/>
              </w:rPr>
              <w:t>标折扣系数</w:t>
            </w:r>
            <w:r>
              <w:rPr>
                <w:rFonts w:hint="eastAsia" w:ascii="仿宋" w:hAnsi="仿宋" w:eastAsia="仿宋" w:cs="仿宋"/>
                <w:color w:val="auto"/>
                <w:kern w:val="0"/>
                <w:sz w:val="24"/>
                <w:szCs w:val="24"/>
                <w:highlight w:val="none"/>
              </w:rPr>
              <w:t>，为有效评标折扣系数。大于</w:t>
            </w:r>
            <w:r>
              <w:rPr>
                <w:rFonts w:hint="eastAsia" w:ascii="仿宋" w:hAnsi="仿宋" w:eastAsia="仿宋" w:cs="仿宋"/>
                <w:b/>
                <w:bCs/>
                <w:color w:val="auto"/>
                <w:sz w:val="24"/>
                <w:szCs w:val="24"/>
                <w:highlight w:val="none"/>
              </w:rPr>
              <w:t>最高</w:t>
            </w:r>
            <w:r>
              <w:rPr>
                <w:rFonts w:hint="eastAsia" w:ascii="仿宋" w:hAnsi="仿宋" w:eastAsia="仿宋" w:cs="仿宋"/>
                <w:b/>
                <w:bCs/>
                <w:color w:val="auto"/>
                <w:sz w:val="24"/>
                <w:szCs w:val="24"/>
                <w:highlight w:val="none"/>
                <w:lang w:val="en-US" w:eastAsia="zh-CN"/>
              </w:rPr>
              <w:t>评</w:t>
            </w:r>
            <w:r>
              <w:rPr>
                <w:rFonts w:hint="eastAsia" w:ascii="仿宋" w:hAnsi="仿宋" w:eastAsia="仿宋" w:cs="仿宋"/>
                <w:b/>
                <w:bCs/>
                <w:color w:val="auto"/>
                <w:sz w:val="24"/>
                <w:szCs w:val="24"/>
                <w:highlight w:val="none"/>
              </w:rPr>
              <w:t>标折扣系数</w:t>
            </w:r>
            <w:r>
              <w:rPr>
                <w:rFonts w:hint="eastAsia" w:ascii="仿宋" w:hAnsi="仿宋" w:eastAsia="仿宋" w:cs="仿宋"/>
                <w:color w:val="auto"/>
                <w:kern w:val="0"/>
                <w:sz w:val="24"/>
                <w:szCs w:val="24"/>
                <w:highlight w:val="none"/>
              </w:rPr>
              <w:t>的投标折扣系数，将否决其投标。本次招标不接受投标人对其投标折扣系数所作出的任何形式的调价函或调价说明。</w:t>
            </w:r>
          </w:p>
          <w:p>
            <w:pPr>
              <w:spacing w:line="360" w:lineRule="auto"/>
              <w:rPr>
                <w:rFonts w:hint="eastAsia" w:ascii="仿宋" w:hAnsi="仿宋" w:eastAsia="仿宋" w:cs="仿宋"/>
                <w:color w:val="auto"/>
                <w:kern w:val="0"/>
                <w:sz w:val="24"/>
                <w:szCs w:val="24"/>
                <w:highlight w:val="none"/>
              </w:rPr>
            </w:pP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（4）评标基准折扣系数D的确定</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评标基准折扣系数的计算公式为：D=A×（1-M）</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式中：A为</w:t>
            </w:r>
            <w:r>
              <w:rPr>
                <w:rFonts w:hint="eastAsia" w:ascii="仿宋" w:hAnsi="仿宋" w:eastAsia="仿宋" w:cs="仿宋"/>
                <w:b/>
                <w:bCs/>
                <w:color w:val="auto"/>
                <w:sz w:val="24"/>
                <w:szCs w:val="24"/>
                <w:highlight w:val="none"/>
              </w:rPr>
              <w:t>招标人最高</w:t>
            </w:r>
            <w:r>
              <w:rPr>
                <w:rFonts w:hint="eastAsia" w:ascii="仿宋" w:hAnsi="仿宋" w:eastAsia="仿宋" w:cs="仿宋"/>
                <w:b/>
                <w:bCs/>
                <w:color w:val="auto"/>
                <w:sz w:val="24"/>
                <w:szCs w:val="24"/>
                <w:highlight w:val="none"/>
                <w:lang w:val="en-US" w:eastAsia="zh-CN"/>
              </w:rPr>
              <w:t>评</w:t>
            </w:r>
            <w:r>
              <w:rPr>
                <w:rFonts w:hint="eastAsia" w:ascii="仿宋" w:hAnsi="仿宋" w:eastAsia="仿宋" w:cs="仿宋"/>
                <w:b/>
                <w:bCs/>
                <w:color w:val="auto"/>
                <w:sz w:val="24"/>
                <w:szCs w:val="24"/>
                <w:highlight w:val="none"/>
              </w:rPr>
              <w:t>标折扣系数</w:t>
            </w:r>
            <w:r>
              <w:rPr>
                <w:rFonts w:hint="eastAsia" w:ascii="仿宋" w:hAnsi="仿宋" w:eastAsia="仿宋" w:cs="仿宋"/>
                <w:color w:val="auto"/>
                <w:sz w:val="24"/>
                <w:szCs w:val="24"/>
                <w:highlight w:val="none"/>
              </w:rPr>
              <w:t>；</w:t>
            </w:r>
          </w:p>
          <w:p>
            <w:pPr>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M=2%（M值的取值为2%）。</w:t>
            </w:r>
          </w:p>
          <w:p>
            <w:pPr>
              <w:spacing w:line="400" w:lineRule="exact"/>
              <w:rPr>
                <w:rFonts w:hint="eastAsia" w:ascii="仿宋" w:hAnsi="仿宋" w:eastAsia="仿宋" w:cs="仿宋"/>
                <w:b/>
                <w:color w:val="auto"/>
                <w:sz w:val="24"/>
                <w:szCs w:val="24"/>
                <w:highlight w:val="none"/>
              </w:rPr>
            </w:pPr>
          </w:p>
          <w:p>
            <w:pPr>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备注：最高</w:t>
            </w:r>
            <w:r>
              <w:rPr>
                <w:rFonts w:hint="eastAsia" w:ascii="仿宋" w:hAnsi="仿宋" w:eastAsia="仿宋" w:cs="仿宋"/>
                <w:b/>
                <w:color w:val="auto"/>
                <w:sz w:val="24"/>
                <w:szCs w:val="24"/>
                <w:highlight w:val="none"/>
                <w:lang w:val="en-US" w:eastAsia="zh-CN"/>
              </w:rPr>
              <w:t>评</w:t>
            </w:r>
            <w:r>
              <w:rPr>
                <w:rFonts w:hint="eastAsia" w:ascii="仿宋" w:hAnsi="仿宋" w:eastAsia="仿宋" w:cs="仿宋"/>
                <w:b/>
                <w:color w:val="auto"/>
                <w:sz w:val="24"/>
                <w:szCs w:val="24"/>
                <w:highlight w:val="none"/>
              </w:rPr>
              <w:t>标折扣系数A、评标基准折扣系数四舍五入保留三位小数点。</w:t>
            </w:r>
          </w:p>
          <w:p>
            <w:pPr>
              <w:snapToGrid w:val="0"/>
              <w:spacing w:line="400" w:lineRule="exact"/>
              <w:rPr>
                <w:rFonts w:hint="eastAsia" w:ascii="仿宋" w:hAnsi="仿宋" w:eastAsia="仿宋" w:cs="仿宋"/>
                <w:color w:val="auto"/>
                <w:sz w:val="24"/>
                <w:szCs w:val="24"/>
                <w:highlight w:val="none"/>
              </w:rPr>
            </w:pPr>
          </w:p>
          <w:p>
            <w:pPr>
              <w:pStyle w:val="5"/>
              <w:rPr>
                <w:rFonts w:hint="eastAsia"/>
                <w:color w:val="auto"/>
                <w:highlight w:val="none"/>
              </w:rPr>
            </w:pPr>
          </w:p>
          <w:p>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评标</w:t>
            </w:r>
            <w:r>
              <w:rPr>
                <w:rFonts w:hint="eastAsia" w:ascii="仿宋" w:hAnsi="仿宋" w:eastAsia="仿宋" w:cs="仿宋"/>
                <w:color w:val="auto"/>
                <w:sz w:val="24"/>
                <w:szCs w:val="24"/>
                <w:highlight w:val="none"/>
              </w:rPr>
              <w:t>折扣系数分值的计算：</w:t>
            </w:r>
          </w:p>
          <w:p>
            <w:pPr>
              <w:spacing w:line="312" w:lineRule="auto"/>
              <w:ind w:firstLine="540" w:firstLineChars="225"/>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①如果投标人评标折扣系数&gt;评标基准折扣系数，则投标人投标折扣系数得分(Fi)=F-偏差率</w:t>
            </w:r>
            <w:r>
              <w:rPr>
                <w:rFonts w:hint="default" w:ascii="Arial" w:hAnsi="Arial" w:eastAsia="仿宋" w:cs="Arial"/>
                <w:color w:val="auto"/>
                <w:sz w:val="24"/>
                <w:szCs w:val="24"/>
                <w:highlight w:val="none"/>
              </w:rPr>
              <w:t>×</w:t>
            </w:r>
            <w:r>
              <w:rPr>
                <w:rFonts w:hint="default" w:ascii="仿宋" w:hAnsi="仿宋" w:eastAsia="仿宋" w:cs="仿宋"/>
                <w:color w:val="auto"/>
                <w:sz w:val="24"/>
                <w:szCs w:val="24"/>
                <w:highlight w:val="none"/>
              </w:rPr>
              <w:t>100</w:t>
            </w:r>
            <w:r>
              <w:rPr>
                <w:rFonts w:hint="default" w:ascii="Arial" w:hAnsi="Arial" w:eastAsia="仿宋" w:cs="Arial"/>
                <w:color w:val="auto"/>
                <w:sz w:val="24"/>
                <w:szCs w:val="24"/>
                <w:highlight w:val="none"/>
              </w:rPr>
              <w:t>×</w:t>
            </w:r>
            <w:r>
              <w:rPr>
                <w:rFonts w:hint="default" w:ascii="仿宋" w:hAnsi="仿宋" w:eastAsia="仿宋" w:cs="仿宋"/>
                <w:color w:val="auto"/>
                <w:sz w:val="24"/>
                <w:szCs w:val="24"/>
                <w:highlight w:val="none"/>
              </w:rPr>
              <w:t>E1;</w:t>
            </w:r>
          </w:p>
          <w:p>
            <w:pPr>
              <w:spacing w:line="312" w:lineRule="auto"/>
              <w:ind w:firstLine="540" w:firstLineChars="225"/>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②如果投标人评标折扣系数≤评标基准折扣系数，则投标人投标折扣系数得分(Fi)=F＋偏差率</w:t>
            </w:r>
            <w:r>
              <w:rPr>
                <w:rFonts w:hint="default" w:ascii="Arial" w:hAnsi="Arial" w:eastAsia="仿宋" w:cs="Arial"/>
                <w:color w:val="auto"/>
                <w:sz w:val="24"/>
                <w:szCs w:val="24"/>
                <w:highlight w:val="none"/>
              </w:rPr>
              <w:t>×</w:t>
            </w:r>
            <w:r>
              <w:rPr>
                <w:rFonts w:hint="default" w:ascii="仿宋" w:hAnsi="仿宋" w:eastAsia="仿宋" w:cs="仿宋"/>
                <w:color w:val="auto"/>
                <w:sz w:val="24"/>
                <w:szCs w:val="24"/>
                <w:highlight w:val="none"/>
              </w:rPr>
              <w:t>100</w:t>
            </w:r>
            <w:r>
              <w:rPr>
                <w:rFonts w:hint="default" w:ascii="Arial" w:hAnsi="Arial" w:eastAsia="仿宋" w:cs="Arial"/>
                <w:color w:val="auto"/>
                <w:sz w:val="24"/>
                <w:szCs w:val="24"/>
                <w:highlight w:val="none"/>
              </w:rPr>
              <w:t>×</w:t>
            </w:r>
            <w:r>
              <w:rPr>
                <w:rFonts w:hint="default" w:ascii="仿宋" w:hAnsi="仿宋" w:eastAsia="仿宋" w:cs="仿宋"/>
                <w:color w:val="auto"/>
                <w:sz w:val="24"/>
                <w:szCs w:val="24"/>
                <w:highlight w:val="none"/>
              </w:rPr>
              <w:t>E2。</w:t>
            </w:r>
          </w:p>
          <w:p>
            <w:pPr>
              <w:spacing w:line="312" w:lineRule="auto"/>
              <w:ind w:firstLine="540" w:firstLineChars="225"/>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其中:</w:t>
            </w:r>
          </w:p>
          <w:p>
            <w:pPr>
              <w:spacing w:line="312" w:lineRule="auto"/>
              <w:ind w:firstLine="540" w:firstLineChars="225"/>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Fi—投标人投标折扣系数得分（精确到小数点后四位）；</w:t>
            </w:r>
          </w:p>
          <w:p>
            <w:pPr>
              <w:spacing w:line="312" w:lineRule="auto"/>
              <w:ind w:firstLine="540" w:firstLineChars="225"/>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rPr>
              <w:t>F是评标价所占的权重分值，F=10</w:t>
            </w:r>
            <w:r>
              <w:rPr>
                <w:rFonts w:hint="eastAsia" w:ascii="仿宋" w:hAnsi="仿宋" w:eastAsia="仿宋" w:cs="仿宋"/>
                <w:color w:val="auto"/>
                <w:sz w:val="24"/>
                <w:szCs w:val="24"/>
                <w:highlight w:val="none"/>
                <w:lang w:val="en-US" w:eastAsia="zh-CN"/>
              </w:rPr>
              <w:t>;</w:t>
            </w:r>
          </w:p>
          <w:p>
            <w:pPr>
              <w:spacing w:line="312" w:lineRule="auto"/>
              <w:ind w:firstLine="540" w:firstLineChars="225"/>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rPr>
              <w:t>E1是评标价每高于评标基准价一个百分点的扣分值</w:t>
            </w:r>
            <w:r>
              <w:rPr>
                <w:rFonts w:hint="eastAsia" w:ascii="仿宋" w:hAnsi="仿宋" w:eastAsia="仿宋" w:cs="仿宋"/>
                <w:color w:val="auto"/>
                <w:sz w:val="24"/>
                <w:szCs w:val="24"/>
                <w:highlight w:val="none"/>
                <w:lang w:val="en-US" w:eastAsia="zh-CN"/>
              </w:rPr>
              <w:t>;</w:t>
            </w:r>
          </w:p>
          <w:p>
            <w:pPr>
              <w:spacing w:line="312" w:lineRule="auto"/>
              <w:ind w:firstLine="540" w:firstLineChars="225"/>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E2是评标价每低于评标基准价一个百分点的扣分值;</w:t>
            </w:r>
          </w:p>
          <w:p>
            <w:pPr>
              <w:spacing w:line="312" w:lineRule="auto"/>
              <w:ind w:firstLine="540" w:firstLineChars="225"/>
              <w:jc w:val="left"/>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rPr>
              <w:t>E1=3,E2=1</w:t>
            </w:r>
          </w:p>
          <w:p>
            <w:pPr>
              <w:spacing w:line="312"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注：评标折扣系数得分四舍五入至小数点后四位。</w:t>
            </w:r>
          </w:p>
          <w:p>
            <w:pPr>
              <w:autoSpaceDE w:val="0"/>
              <w:autoSpaceDN w:val="0"/>
              <w:adjustRightInd w:val="0"/>
              <w:spacing w:line="440" w:lineRule="exact"/>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注：评标折扣系数得分四舍五入至小数点后四位。</w:t>
            </w:r>
          </w:p>
          <w:bookmarkEnd w:id="15"/>
          <w:bookmarkEnd w:id="16"/>
          <w:p>
            <w:pPr>
              <w:autoSpaceDE w:val="0"/>
              <w:autoSpaceDN w:val="0"/>
              <w:adjustRightInd w:val="0"/>
              <w:spacing w:line="440" w:lineRule="exact"/>
              <w:ind w:firstLine="1200" w:firstLineChars="5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8" w:type="dxa"/>
            <w:noWrap w:val="0"/>
            <w:vAlign w:val="center"/>
          </w:tcPr>
          <w:p>
            <w:pPr>
              <w:tabs>
                <w:tab w:val="left" w:pos="1572"/>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944" w:type="dxa"/>
            <w:noWrap w:val="0"/>
            <w:vAlign w:val="center"/>
          </w:tcPr>
          <w:p>
            <w:pPr>
              <w:tabs>
                <w:tab w:val="left" w:pos="1572"/>
              </w:tabs>
              <w:snapToGrid w:val="0"/>
              <w:spacing w:line="400" w:lineRule="exact"/>
              <w:rPr>
                <w:rFonts w:hint="eastAsia" w:ascii="仿宋" w:hAnsi="仿宋" w:eastAsia="仿宋" w:cs="仿宋"/>
                <w:color w:val="auto"/>
                <w:sz w:val="24"/>
                <w:szCs w:val="24"/>
                <w:highlight w:val="none"/>
              </w:rPr>
            </w:pPr>
          </w:p>
        </w:tc>
        <w:tc>
          <w:tcPr>
            <w:tcW w:w="934" w:type="dxa"/>
            <w:noWrap w:val="0"/>
            <w:vAlign w:val="center"/>
          </w:tcPr>
          <w:p>
            <w:pPr>
              <w:tabs>
                <w:tab w:val="left" w:pos="1572"/>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评标折扣系数的偏差率计算公式</w:t>
            </w:r>
          </w:p>
        </w:tc>
        <w:tc>
          <w:tcPr>
            <w:tcW w:w="6309" w:type="dxa"/>
            <w:noWrap w:val="0"/>
            <w:vAlign w:val="center"/>
          </w:tcPr>
          <w:p>
            <w:pPr>
              <w:tabs>
                <w:tab w:val="left" w:pos="1572"/>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偏差率</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(投标人评标折扣系数-评标基准折扣系数)/评标基准折扣系数</w:t>
            </w:r>
          </w:p>
          <w:p>
            <w:pPr>
              <w:pStyle w:val="11"/>
              <w:rPr>
                <w:rFonts w:hint="eastAsia" w:ascii="仿宋" w:hAnsi="仿宋" w:eastAsia="仿宋" w:cs="仿宋"/>
                <w:color w:val="auto"/>
                <w:sz w:val="24"/>
                <w:szCs w:val="24"/>
                <w:highlight w:val="none"/>
              </w:rPr>
            </w:pPr>
          </w:p>
          <w:p>
            <w:pPr>
              <w:pStyle w:val="1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注：偏差率精确至小数点后四位</w:t>
            </w:r>
          </w:p>
        </w:tc>
      </w:tr>
    </w:tbl>
    <w:p>
      <w:pPr>
        <w:spacing w:line="360" w:lineRule="auto"/>
        <w:rPr>
          <w:rFonts w:hint="eastAsia" w:ascii="仿宋" w:hAnsi="仿宋" w:eastAsia="仿宋" w:cs="仿宋"/>
          <w:color w:val="auto"/>
          <w:szCs w:val="21"/>
          <w:highlight w:val="none"/>
        </w:rPr>
      </w:pPr>
      <w:bookmarkStart w:id="17" w:name="_Toc429404094"/>
      <w:bookmarkStart w:id="18" w:name="_Toc441148695"/>
      <w:r>
        <w:rPr>
          <w:rFonts w:hint="eastAsia" w:ascii="仿宋" w:hAnsi="仿宋" w:eastAsia="仿宋" w:cs="仿宋"/>
          <w:color w:val="auto"/>
          <w:sz w:val="24"/>
          <w:szCs w:val="24"/>
          <w:highlight w:val="none"/>
        </w:rPr>
        <w:br w:type="page"/>
      </w:r>
    </w:p>
    <w:tbl>
      <w:tblPr>
        <w:tblStyle w:val="9"/>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540"/>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pPr>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条款号</w:t>
            </w:r>
          </w:p>
        </w:tc>
        <w:tc>
          <w:tcPr>
            <w:tcW w:w="1129"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评分因素</w:t>
            </w:r>
          </w:p>
        </w:tc>
        <w:tc>
          <w:tcPr>
            <w:tcW w:w="154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评分因素权重分值</w:t>
            </w:r>
          </w:p>
        </w:tc>
        <w:tc>
          <w:tcPr>
            <w:tcW w:w="5457"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2.2.4（1）</w:t>
            </w:r>
          </w:p>
        </w:tc>
        <w:tc>
          <w:tcPr>
            <w:tcW w:w="112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造价咨询方案</w:t>
            </w:r>
          </w:p>
        </w:tc>
        <w:tc>
          <w:tcPr>
            <w:tcW w:w="154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5457"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1.造价咨询规划理念（</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1.1高速公路养护工程造价咨询服务工作重点及难点，分析全面深入，好得</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分，较好得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1.2提出新的造价咨询规划理念，思路清晰、切实可行，好得</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分，较好得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2.关键难点分析、质量保证措施（</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2.1目前高速公路养护工程清单预算审查过程中普遍存在的问题，从建设管理的角度采取何种措施避免存在问题，问题突出准确、措施可操作性强，好得</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分，较好得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2.2质量目标明确，保证措施完善，人员搭配合理；好得</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分，较好得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分；</w:t>
            </w:r>
          </w:p>
          <w:p>
            <w:pPr>
              <w:spacing w:line="400" w:lineRule="atLeast"/>
              <w:ind w:firstLine="48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2.2.4（2）</w:t>
            </w:r>
          </w:p>
        </w:tc>
        <w:tc>
          <w:tcPr>
            <w:tcW w:w="112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主要人员（造价工程师）</w:t>
            </w:r>
          </w:p>
        </w:tc>
        <w:tc>
          <w:tcPr>
            <w:tcW w:w="1540"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5457" w:type="dxa"/>
            <w:noWrap w:val="0"/>
            <w:vAlign w:val="top"/>
          </w:tcPr>
          <w:p>
            <w:pPr>
              <w:spacing w:line="400" w:lineRule="atLeast"/>
              <w:ind w:firstLine="480" w:firstLineChars="200"/>
              <w:rPr>
                <w:rFonts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满足投标须知资格审查条件</w:t>
            </w:r>
            <w:r>
              <w:rPr>
                <w:rFonts w:hint="eastAsia" w:ascii="仿宋" w:hAnsi="仿宋" w:eastAsia="仿宋" w:cs="仿宋"/>
                <w:color w:val="auto"/>
                <w:sz w:val="24"/>
                <w:szCs w:val="24"/>
                <w:highlight w:val="none"/>
              </w:rPr>
              <w:t>(项目负责人和造价工程师最低要求)得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分，在此基础上：每增加一名满足以下所有条件的造价工程师，加</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分，本项最多加</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numPr>
                <w:ilvl w:val="0"/>
                <w:numId w:val="0"/>
              </w:numPr>
              <w:spacing w:line="400" w:lineRule="atLeast"/>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具有工程或工程经济类中级及以上专业技术职称，且具有注册造价师</w:t>
            </w:r>
            <w:r>
              <w:rPr>
                <w:rFonts w:hint="eastAsia" w:ascii="仿宋" w:hAnsi="仿宋" w:eastAsia="仿宋" w:cs="仿宋"/>
                <w:color w:val="auto"/>
                <w:sz w:val="24"/>
                <w:szCs w:val="24"/>
                <w:highlight w:val="none"/>
                <w:lang w:val="en-US" w:eastAsia="zh-CN"/>
              </w:rPr>
              <w:t>或一级造价工程师</w:t>
            </w:r>
            <w:r>
              <w:rPr>
                <w:rFonts w:hint="eastAsia" w:ascii="仿宋" w:hAnsi="仿宋" w:eastAsia="仿宋" w:cs="仿宋"/>
                <w:color w:val="auto"/>
                <w:sz w:val="24"/>
                <w:szCs w:val="24"/>
                <w:highlight w:val="none"/>
              </w:rPr>
              <w:t>或交通运输部甲级造价工程师资格；</w:t>
            </w:r>
          </w:p>
          <w:p>
            <w:pPr>
              <w:numPr>
                <w:ilvl w:val="0"/>
                <w:numId w:val="0"/>
              </w:numPr>
              <w:spacing w:line="400" w:lineRule="atLeast"/>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具有10年及以上工程造价工作经验；</w:t>
            </w:r>
          </w:p>
          <w:p>
            <w:pPr>
              <w:numPr>
                <w:ilvl w:val="0"/>
                <w:numId w:val="0"/>
              </w:numPr>
              <w:spacing w:line="40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至少担任过2个高速公路养护项目造价咨询服务工程，且每个项目造价金额在500万元及以上</w:t>
            </w:r>
            <w:r>
              <w:rPr>
                <w:rFonts w:hint="eastAsia" w:ascii="仿宋" w:hAnsi="仿宋" w:eastAsia="仿宋" w:cs="仿宋"/>
                <w:color w:val="auto"/>
                <w:sz w:val="24"/>
                <w:szCs w:val="24"/>
                <w:highlight w:val="none"/>
                <w:lang w:eastAsia="zh-CN"/>
              </w:rPr>
              <w:t>。</w:t>
            </w:r>
          </w:p>
          <w:p>
            <w:pPr>
              <w:numPr>
                <w:ilvl w:val="0"/>
                <w:numId w:val="0"/>
              </w:numPr>
              <w:spacing w:line="400" w:lineRule="atLeast"/>
              <w:ind w:left="0" w:firstLine="480" w:firstLineChars="200"/>
              <w:rPr>
                <w:rFonts w:hint="eastAsia" w:ascii="仿宋" w:hAnsi="仿宋" w:eastAsia="仿宋" w:cs="仿宋"/>
                <w:color w:val="auto"/>
                <w:sz w:val="24"/>
                <w:szCs w:val="24"/>
                <w:highlight w:val="none"/>
              </w:rPr>
            </w:pP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(按投标须知3.5.4条规定附相应资料）</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2.2.4（3）</w:t>
            </w:r>
          </w:p>
        </w:tc>
        <w:tc>
          <w:tcPr>
            <w:tcW w:w="112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业绩</w:t>
            </w:r>
          </w:p>
        </w:tc>
        <w:tc>
          <w:tcPr>
            <w:tcW w:w="1540"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分</w:t>
            </w:r>
          </w:p>
        </w:tc>
        <w:tc>
          <w:tcPr>
            <w:tcW w:w="5457" w:type="dxa"/>
            <w:noWrap w:val="0"/>
            <w:vAlign w:val="top"/>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满足投标须知资格审查条件（业绩最低要求）得基本分</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分；在此基础上，近5年</w:t>
            </w:r>
            <w:bookmarkStart w:id="19" w:name="OLE_LINK1"/>
            <w:r>
              <w:rPr>
                <w:rFonts w:hint="eastAsia" w:ascii="仿宋" w:hAnsi="仿宋" w:eastAsia="仿宋" w:cs="仿宋"/>
                <w:color w:val="auto"/>
                <w:sz w:val="24"/>
                <w:szCs w:val="24"/>
                <w:highlight w:val="none"/>
              </w:rPr>
              <w:t>成功独立地</w:t>
            </w:r>
            <w:r>
              <w:rPr>
                <w:rFonts w:hint="eastAsia" w:ascii="仿宋" w:hAnsi="仿宋" w:eastAsia="仿宋" w:cs="仿宋"/>
                <w:color w:val="auto"/>
                <w:sz w:val="24"/>
                <w:szCs w:val="24"/>
                <w:highlight w:val="none"/>
                <w:lang w:val="en-US" w:eastAsia="zh-CN"/>
              </w:rPr>
              <w:t>完成</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个</w:t>
            </w:r>
            <w:r>
              <w:rPr>
                <w:rFonts w:hint="eastAsia" w:ascii="仿宋" w:hAnsi="仿宋" w:eastAsia="仿宋" w:cs="仿宋"/>
                <w:color w:val="auto"/>
                <w:sz w:val="24"/>
                <w:szCs w:val="24"/>
                <w:highlight w:val="none"/>
              </w:rPr>
              <w:t>高速公路养护工程造价咨询服务</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造价金额1000万元（含1000万元）至2000万元，每增加1个</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加</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造价金额2000万元及以上，每增加1个</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加</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bookmarkEnd w:id="19"/>
            <w:r>
              <w:rPr>
                <w:rFonts w:hint="eastAsia" w:ascii="仿宋" w:hAnsi="仿宋" w:eastAsia="仿宋" w:cs="仿宋"/>
                <w:color w:val="auto"/>
                <w:sz w:val="24"/>
                <w:szCs w:val="24"/>
                <w:highlight w:val="none"/>
              </w:rPr>
              <w:t>；本项最多加</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pPr>
              <w:pStyle w:val="5"/>
              <w:rPr>
                <w:rFonts w:hint="eastAsia"/>
                <w:color w:val="auto"/>
                <w:highlight w:val="none"/>
              </w:rPr>
            </w:pPr>
          </w:p>
          <w:p>
            <w:pPr>
              <w:pStyle w:val="5"/>
              <w:rPr>
                <w:rFonts w:hint="eastAsia"/>
                <w:color w:val="auto"/>
                <w:highlight w:val="none"/>
              </w:rPr>
            </w:pPr>
          </w:p>
          <w:p>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注：1.按投标须知3.5.3条规定附相应资料</w:t>
            </w:r>
          </w:p>
          <w:p>
            <w:pPr>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bCs/>
                <w:color w:val="auto"/>
                <w:szCs w:val="21"/>
                <w:highlight w:val="none"/>
              </w:rPr>
              <w:t>2.资格审查业绩不再作为加分业绩计</w:t>
            </w:r>
            <w:r>
              <w:rPr>
                <w:rFonts w:hint="eastAsia" w:ascii="仿宋" w:hAnsi="仿宋" w:eastAsia="仿宋" w:cs="仿宋"/>
                <w:color w:val="auto"/>
                <w:szCs w:val="21"/>
                <w:highlight w:val="none"/>
              </w:rPr>
              <w:t>。</w:t>
            </w:r>
          </w:p>
          <w:p>
            <w:pPr>
              <w:pStyle w:val="5"/>
              <w:spacing w:line="360" w:lineRule="auto"/>
              <w:ind w:firstLine="422"/>
              <w:rPr>
                <w:rFonts w:hint="eastAsia" w:ascii="Times New Roman" w:hAnsi="Times New Roman" w:eastAsia="宋体" w:cs="Times New Roman"/>
                <w:color w:val="auto"/>
                <w:sz w:val="21"/>
                <w:szCs w:val="20"/>
                <w:highlight w:val="none"/>
              </w:rPr>
            </w:pPr>
            <w:r>
              <w:rPr>
                <w:rFonts w:ascii="仿宋" w:hAnsi="仿宋" w:eastAsia="仿宋" w:cs="仿宋"/>
                <w:b/>
                <w:bCs/>
                <w:color w:val="auto"/>
                <w:szCs w:val="21"/>
                <w:highlight w:val="none"/>
              </w:rPr>
              <w:t>3.</w:t>
            </w:r>
            <w:r>
              <w:rPr>
                <w:rFonts w:hint="eastAsia" w:ascii="仿宋" w:hAnsi="仿宋" w:eastAsia="仿宋" w:cs="仿宋"/>
                <w:b/>
                <w:bCs/>
                <w:color w:val="auto"/>
                <w:szCs w:val="21"/>
                <w:highlight w:val="none"/>
              </w:rPr>
              <w:t>每个</w:t>
            </w:r>
            <w:r>
              <w:rPr>
                <w:rFonts w:hint="eastAsia" w:ascii="仿宋" w:hAnsi="仿宋" w:eastAsia="仿宋" w:cs="仿宋"/>
                <w:b/>
                <w:bCs/>
                <w:color w:val="auto"/>
                <w:szCs w:val="21"/>
                <w:highlight w:val="none"/>
                <w:lang w:val="en-US" w:eastAsia="zh-CN"/>
              </w:rPr>
              <w:t>合同</w:t>
            </w:r>
            <w:r>
              <w:rPr>
                <w:rFonts w:hint="eastAsia" w:ascii="仿宋" w:hAnsi="仿宋" w:eastAsia="仿宋" w:cs="仿宋"/>
                <w:b/>
                <w:bCs/>
                <w:color w:val="auto"/>
                <w:szCs w:val="21"/>
                <w:highlight w:val="none"/>
              </w:rPr>
              <w:t>只加分一次。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2.2.4（4）</w:t>
            </w:r>
          </w:p>
        </w:tc>
        <w:tc>
          <w:tcPr>
            <w:tcW w:w="112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履约信誉</w:t>
            </w:r>
          </w:p>
        </w:tc>
        <w:tc>
          <w:tcPr>
            <w:tcW w:w="1540" w:type="dxa"/>
            <w:noWrap w:val="0"/>
            <w:vAlign w:val="center"/>
          </w:tcPr>
          <w:p>
            <w:pPr>
              <w:spacing w:line="360" w:lineRule="auto"/>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分</w:t>
            </w:r>
          </w:p>
        </w:tc>
        <w:tc>
          <w:tcPr>
            <w:tcW w:w="5457"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.履约情况：（</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若没出现下述情形得满分，得满分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日至投标文件递交截止日（投标文件递交截止日前1年内），因履约或招标投标问题等原因被：</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（1）广东省交通运输厅通报批评的，扣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（2）广东省交通运输工程造价事务中心（原广东省交通运输工程造价管理站）通报批评的，扣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（3）地市级</w:t>
            </w:r>
            <w:r>
              <w:rPr>
                <w:rFonts w:hint="eastAsia" w:ascii="仿宋" w:hAnsi="仿宋" w:eastAsia="仿宋" w:cs="仿宋"/>
                <w:color w:val="auto"/>
                <w:sz w:val="24"/>
                <w:szCs w:val="24"/>
                <w:highlight w:val="none"/>
                <w:lang w:val="en-US" w:eastAsia="zh-CN"/>
              </w:rPr>
              <w:t>造价事务中心</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发包</w:t>
            </w:r>
            <w:r>
              <w:rPr>
                <w:rFonts w:hint="eastAsia" w:ascii="仿宋" w:hAnsi="仿宋" w:eastAsia="仿宋" w:cs="仿宋"/>
                <w:color w:val="auto"/>
                <w:sz w:val="24"/>
                <w:szCs w:val="24"/>
                <w:highlight w:val="none"/>
                <w:lang w:eastAsia="zh-CN"/>
              </w:rPr>
              <w:t>人或</w:t>
            </w:r>
            <w:r>
              <w:rPr>
                <w:rFonts w:hint="eastAsia" w:ascii="仿宋" w:hAnsi="仿宋" w:eastAsia="仿宋" w:cs="仿宋"/>
                <w:color w:val="auto"/>
                <w:sz w:val="24"/>
                <w:szCs w:val="24"/>
                <w:highlight w:val="none"/>
                <w:lang w:val="en-US" w:eastAsia="zh-CN"/>
              </w:rPr>
              <w:t>发包</w:t>
            </w:r>
            <w:r>
              <w:rPr>
                <w:rFonts w:hint="eastAsia" w:ascii="仿宋" w:hAnsi="仿宋" w:eastAsia="仿宋" w:cs="仿宋"/>
                <w:color w:val="auto"/>
                <w:sz w:val="24"/>
                <w:szCs w:val="24"/>
                <w:highlight w:val="none"/>
                <w:lang w:eastAsia="zh-CN"/>
              </w:rPr>
              <w:t>人上级管理单位通报批评的，扣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同一事项被多个部门通报批评的只按最高的扣分计算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次，如果扣完本</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分值，可以从总分中扣。</w:t>
            </w:r>
          </w:p>
          <w:p>
            <w:pPr>
              <w:snapToGrid w:val="0"/>
              <w:spacing w:line="400" w:lineRule="exact"/>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7" w:type="dxa"/>
            <w:gridSpan w:val="2"/>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4"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条款号</w:t>
            </w:r>
          </w:p>
        </w:tc>
        <w:tc>
          <w:tcPr>
            <w:tcW w:w="7593"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6" w:hRule="atLeast"/>
          <w:jc w:val="center"/>
        </w:trPr>
        <w:tc>
          <w:tcPr>
            <w:tcW w:w="1244"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593" w:type="dxa"/>
            <w:noWrap w:val="0"/>
            <w:vAlign w:val="center"/>
          </w:tcPr>
          <w:p>
            <w:pPr>
              <w:keepNext w:val="0"/>
              <w:keepLines w:val="0"/>
              <w:pageBreakBefore w:val="0"/>
              <w:widowControl w:val="0"/>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将评标办法范本原文第1条“评标方法”改为“评标方法、组织及工作程序”并且原文内容修改如下:</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1.1评标方法</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评标采用综合评估法。评标委员会对满足招标文件实质性要求的投标文件，按照本章第2.2款规定的评分标准进行打分，并按得分由高到低顺序推荐中标候选人。综合评分相等时，评标委员会应按照评标办法前附表规定的优先次序推荐中标候选人或确定中标人。</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1.2评标组织</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1.2.1协助工作组</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招标人可在评标工作开始前成立协助工作组，选派熟悉招标工作、政治素质高的人员组成，协助评标委员会工作。协助工作组人员的具体数量由招标人视评标工作量确定。</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招标人可以协助评标委员会开展下列工作并提供相关信息:</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(1)根据招标文件，编制评标使用的相应表格;</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(2)对投标报价进行算术性校核(如采用固化工程量清单，本步骤省略)；</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(3)以评标标准和方法为依据,列出投标文件相对于招标文件的所有偏差,并进行归类汇总;</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招标人不得对投标文件作出任何评价，不得故意遗漏或者片面摘录，不得在评标委员会对所有偏差定性之前透露存有偏差的投标人名称。</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1.2.2评标委员会</w:t>
            </w:r>
          </w:p>
          <w:p>
            <w:pPr>
              <w:keepNext w:val="0"/>
              <w:keepLines w:val="0"/>
              <w:pageBreakBefore w:val="0"/>
              <w:widowControl w:val="0"/>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评标委员会的组建按投标人须知第6.1.1项执行。评标委员会的主要工作内容包括:</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(1)评标委员会开始评标工作之前，首先听取招标人、协助工作组关于工程情况和辅助工作的说明，并认真研读招标文件，获取评标所需的重要信息和数据:</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(2)对协助工作组提供的评标工作用表和评标内容进行核查。</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44" w:type="dxa"/>
            <w:noWrap w:val="0"/>
            <w:vAlign w:val="center"/>
          </w:tcPr>
          <w:p>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3.2.3</w:t>
            </w:r>
          </w:p>
        </w:tc>
        <w:tc>
          <w:tcPr>
            <w:tcW w:w="7593" w:type="dxa"/>
            <w:noWrap w:val="0"/>
            <w:vAlign w:val="center"/>
          </w:tcPr>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3.2.3将评标办法范本原文第 3.2.3 款细化如下:</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投标人的商务和技术得分=A+B+D。</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招标文件中造价咨询方案各评分因素细分项得分均不应低于其权重分的60%，评分低于权重分值60%的，评标委员会成员应当在评标报告中作出说明。</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计算投标人技术得分时:评标委员人员为七人的，投标文件技术评审的各评审因素得分为评标委员会各成员评分去掉一个最高分和一个最低分后计算的算术平均值，四舍五入保留小数点后三位；</w:t>
            </w:r>
          </w:p>
          <w:p>
            <w:pPr>
              <w:keepNext w:val="0"/>
              <w:keepLines w:val="0"/>
              <w:pageBreakBefore w:val="0"/>
              <w:widowControl w:val="0"/>
              <w:numPr>
                <w:ilvl w:val="0"/>
                <w:numId w:val="0"/>
              </w:numPr>
              <w:tabs>
                <w:tab w:val="left" w:pos="702"/>
              </w:tabs>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人员为九人及以上单数的，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244" w:type="dxa"/>
            <w:noWrap w:val="0"/>
            <w:vAlign w:val="center"/>
          </w:tcPr>
          <w:p>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3.6.2</w:t>
            </w:r>
          </w:p>
        </w:tc>
        <w:tc>
          <w:tcPr>
            <w:tcW w:w="7593" w:type="dxa"/>
            <w:noWrap w:val="0"/>
            <w:vAlign w:val="center"/>
          </w:tcPr>
          <w:p>
            <w:pPr>
              <w:keepNext w:val="0"/>
              <w:keepLines w:val="0"/>
              <w:widowControl/>
              <w:suppressLineNumbers w:val="0"/>
              <w:jc w:val="left"/>
              <w:textAlignment w:val="center"/>
              <w:rPr>
                <w:rFonts w:hint="eastAsia" w:ascii="等线" w:hAnsi="等线" w:eastAsia="等线" w:cs="等线"/>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增加 3.6.2 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244"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7593" w:type="dxa"/>
            <w:noWrap w:val="0"/>
            <w:vAlign w:val="center"/>
          </w:tcPr>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增加3.9.3-3.9.</w:t>
            </w: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w:t>
            </w:r>
            <w:r>
              <w:rPr>
                <w:rFonts w:hint="eastAsia" w:ascii="仿宋" w:hAnsi="仿宋" w:eastAsia="仿宋" w:cs="仿宋"/>
                <w:color w:val="auto"/>
                <w:sz w:val="24"/>
                <w:szCs w:val="24"/>
                <w:highlight w:val="none"/>
                <w:lang w:val="en-US" w:eastAsia="zh-CN"/>
              </w:rPr>
              <w:t>推荐中标候选人方式：按综合评分由高到底顺序依次选定各标段中标候选人，</w:t>
            </w:r>
            <w:r>
              <w:rPr>
                <w:rFonts w:hint="eastAsia" w:ascii="仿宋" w:hAnsi="仿宋" w:eastAsia="仿宋" w:cs="仿宋"/>
                <w:color w:val="auto"/>
                <w:sz w:val="24"/>
                <w:szCs w:val="24"/>
                <w:highlight w:val="none"/>
              </w:rPr>
              <w:t>如果同一个投标人同时在2个标段的综合得分排名第一，则评标委员会推荐该投标人在</w:t>
            </w:r>
            <w:r>
              <w:rPr>
                <w:rFonts w:hint="eastAsia" w:ascii="仿宋" w:hAnsi="仿宋" w:eastAsia="仿宋" w:cs="仿宋"/>
                <w:color w:val="auto"/>
                <w:sz w:val="24"/>
                <w:szCs w:val="24"/>
                <w:highlight w:val="none"/>
                <w:lang w:val="en-US" w:eastAsia="zh-CN"/>
              </w:rPr>
              <w:t>预计工作量</w:t>
            </w:r>
            <w:r>
              <w:rPr>
                <w:rFonts w:hint="eastAsia" w:ascii="仿宋" w:hAnsi="仿宋" w:eastAsia="仿宋" w:cs="仿宋"/>
                <w:color w:val="auto"/>
                <w:sz w:val="24"/>
                <w:szCs w:val="24"/>
                <w:highlight w:val="none"/>
                <w:lang w:eastAsia="zh-CN"/>
              </w:rPr>
              <w:t>较大的标段</w:t>
            </w:r>
            <w:r>
              <w:rPr>
                <w:rFonts w:hint="eastAsia" w:ascii="仿宋" w:hAnsi="仿宋" w:eastAsia="仿宋" w:cs="仿宋"/>
                <w:color w:val="auto"/>
                <w:sz w:val="24"/>
                <w:szCs w:val="24"/>
                <w:highlight w:val="none"/>
              </w:rPr>
              <w:t>为第一中标候选人，该投标人自动失去其它标段中标候选人的资格。或由于中标人的原因导致取消中标资格，排名第二的中标候选人为中标人，以此类推。</w:t>
            </w:r>
          </w:p>
          <w:p>
            <w:pPr>
              <w:pStyle w:val="1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某一个投标人只在某一个标段中排名第一，则该投标人为该标段的第一中标候选人，同时该投标人自动失去本次招标中其他标段的中标候选人资格，其他标段的综合排名名次高者自动上升为中标候选人，以此类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3.9.4每标段通过第一信封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评审的投标人少于3个的，评标委员会可以否决本标段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3.9.5每标段通过第一信封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评审的投标人在3个及以上的，招标人应当按照招标文件规定的程序进行第二信封报价文件开标；在对报价文件进行评审后，有效投标不足3个的，评标委员会可以否决本标段全部投标。未否决全部投标的，评标委员会应当在评标报告中阐明理由并推荐中标候选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3.9.6如果发生无法确定推荐中标候选人的其它意外情况，评标委员会可建议招标人重新招标。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以此类推，或重新组织招标，但第一中标候选人的投标保证金不予退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如果推荐的中标候选人因被投诉并查证属实存在造假行为的，按否决其投标处理，且没收其投标保证金；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如果开标后至中标通知书发出前，中标候选人被广东省交通运输厅（包括转发交通运输部）通报批评而取消投标资格，则取消其中标资格，按否决其投标处理；</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发生以上情况时，招标人按推荐中标候选人排名顺序依次确定中标人，或重新组织招标。</w:t>
            </w:r>
          </w:p>
          <w:p>
            <w:pPr>
              <w:spacing w:line="312" w:lineRule="auto"/>
              <w:ind w:firstLine="482" w:firstLineChars="200"/>
              <w:rPr>
                <w:rFonts w:hint="eastAsia" w:ascii="仿宋" w:hAnsi="仿宋" w:eastAsia="仿宋" w:cs="仿宋"/>
                <w:b/>
                <w:bCs/>
                <w:color w:val="auto"/>
                <w:sz w:val="24"/>
                <w:szCs w:val="24"/>
                <w:highlight w:val="none"/>
              </w:rPr>
            </w:pP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3.9.7否决其投标的条款：</w:t>
            </w:r>
          </w:p>
          <w:p>
            <w:pPr>
              <w:spacing w:line="360" w:lineRule="auto"/>
              <w:ind w:firstLine="3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a.投标须知3.2.4招标人设有最高投标限价的，应在投标人须知前附表中明确；同时，本项目投标人的投标折扣系数不得高于招标人公布的最高投标限价(如有)，</w:t>
            </w:r>
            <w:r>
              <w:rPr>
                <w:rFonts w:hint="eastAsia" w:ascii="仿宋" w:hAnsi="仿宋" w:eastAsia="仿宋" w:cs="仿宋"/>
                <w:color w:val="auto"/>
                <w:sz w:val="24"/>
                <w:szCs w:val="24"/>
                <w:highlight w:val="none"/>
                <w:lang w:val="en-US" w:eastAsia="zh-CN"/>
              </w:rPr>
              <w:t>否则否决</w:t>
            </w:r>
            <w:r>
              <w:rPr>
                <w:rFonts w:hint="eastAsia" w:ascii="仿宋" w:hAnsi="仿宋" w:eastAsia="仿宋" w:cs="仿宋"/>
                <w:color w:val="auto"/>
                <w:sz w:val="24"/>
                <w:szCs w:val="24"/>
                <w:highlight w:val="none"/>
              </w:rPr>
              <w:t>其投标处理。</w:t>
            </w:r>
          </w:p>
          <w:p>
            <w:pPr>
              <w:pStyle w:val="12"/>
              <w:tabs>
                <w:tab w:val="left" w:pos="1450"/>
              </w:tabs>
              <w:spacing w:line="360" w:lineRule="auto"/>
              <w:ind w:right="33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b.投标须知3.6.1除投标人须知前附表规定允许外，投标人不得递交备选投标方案，否则其投标将被否决其投标。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c.评标办法3.1.1评标委员会可以要求投标人提交第二章“投标人须知”第3.5.1项至第3.5.6项规定的有关证明和证件的原件，以便核验。评标委员会依据本章第2.1款规定的标准对投标文件第一个信封（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）进行初步评审。有一项不符合评审标准的，评标委员会应否决其投标。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d.评标办法3.4.1评标委员会依据本章第2.1.1项、第2.1.3项规定的评审标准对投标文件第二个信封（报价文件）进行初步评审。有一项不符合评审标准的，评标委员会应否决其投标。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评标办法3.5.3评标委员会发现投标人的报折扣系数明显低于其他投标折扣系数，使得其投标折扣系数可能低于其个别成本的，应要求该投标人作出书面说明并提供相应的证明材料。投标人不能合理说明或不能提供相应证明材料的，评标委员会应认定该投标人以低于成本报价竞标，并否决其投标。</w:t>
            </w:r>
          </w:p>
          <w:p>
            <w:pPr>
              <w:pStyle w:val="4"/>
              <w:kinsoku w:val="0"/>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评标办法3.6.1评标委员会应对评标过程中发现的投标人与投标人之间、投标人与招标人之间存在的串通投标的情形进行评审和认定。投标人存在串通投标、弄虚作假、行贿等违法行为的，评标委员会应否决其投标。</w:t>
            </w:r>
          </w:p>
          <w:p>
            <w:pPr>
              <w:pStyle w:val="4"/>
              <w:kinsoku w:val="0"/>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评标办法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h.评标办法</w:t>
            </w:r>
            <w:r>
              <w:rPr>
                <w:rFonts w:hint="eastAsia" w:ascii="仿宋" w:hAnsi="仿宋" w:eastAsia="仿宋" w:cs="仿宋"/>
                <w:color w:val="auto"/>
                <w:kern w:val="0"/>
                <w:sz w:val="24"/>
                <w:szCs w:val="24"/>
                <w:highlight w:val="none"/>
              </w:rPr>
              <w:t>有效评标折扣系数范围为：投标人的投标折扣系数不大于</w:t>
            </w:r>
            <w:r>
              <w:rPr>
                <w:rFonts w:hint="eastAsia" w:ascii="仿宋" w:hAnsi="仿宋" w:eastAsia="仿宋" w:cs="仿宋"/>
                <w:b/>
                <w:bCs/>
                <w:color w:val="auto"/>
                <w:sz w:val="24"/>
                <w:szCs w:val="24"/>
                <w:highlight w:val="none"/>
              </w:rPr>
              <w:t>招标人最高投标折扣系数</w:t>
            </w:r>
            <w:r>
              <w:rPr>
                <w:rFonts w:hint="eastAsia" w:ascii="仿宋" w:hAnsi="仿宋" w:eastAsia="仿宋" w:cs="仿宋"/>
                <w:color w:val="auto"/>
                <w:kern w:val="0"/>
                <w:sz w:val="24"/>
                <w:szCs w:val="24"/>
                <w:highlight w:val="none"/>
              </w:rPr>
              <w:t>，为有效评标折扣系数。大于</w:t>
            </w:r>
            <w:r>
              <w:rPr>
                <w:rFonts w:hint="eastAsia" w:ascii="仿宋" w:hAnsi="仿宋" w:eastAsia="仿宋" w:cs="仿宋"/>
                <w:b/>
                <w:bCs/>
                <w:color w:val="auto"/>
                <w:sz w:val="24"/>
                <w:szCs w:val="24"/>
                <w:highlight w:val="none"/>
              </w:rPr>
              <w:t>招标人最高投标折扣系数</w:t>
            </w:r>
            <w:r>
              <w:rPr>
                <w:rFonts w:hint="eastAsia" w:ascii="仿宋" w:hAnsi="仿宋" w:eastAsia="仿宋" w:cs="仿宋"/>
                <w:color w:val="auto"/>
                <w:kern w:val="0"/>
                <w:sz w:val="24"/>
                <w:szCs w:val="24"/>
                <w:highlight w:val="none"/>
              </w:rPr>
              <w:t>的投标折扣系数，将否决其投标。</w:t>
            </w:r>
          </w:p>
          <w:p>
            <w:pPr>
              <w:pStyle w:val="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i.评标办法如果推荐的中标候选人因被投诉并查证属实存在造假行为的，按否决其投标处理，且没收其投标保证金；</w:t>
            </w:r>
          </w:p>
          <w:p>
            <w:pPr>
              <w:pStyle w:val="5"/>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j.评标办法如果开标后至中标通知书发出前，中标候选人被广东省交通运输厅（包括转发交通运输部）通报批评而取消投标资格，则取消其中标资格，按否决其投标处理</w:t>
            </w:r>
            <w:r>
              <w:rPr>
                <w:rFonts w:hint="eastAsia" w:ascii="仿宋" w:hAnsi="仿宋" w:eastAsia="仿宋" w:cs="仿宋"/>
                <w:color w:val="auto"/>
                <w:sz w:val="24"/>
                <w:szCs w:val="24"/>
                <w:highlight w:val="none"/>
                <w:lang w:eastAsia="zh-CN"/>
              </w:rPr>
              <w:t>。</w:t>
            </w:r>
          </w:p>
          <w:p>
            <w:pPr>
              <w:keepNext w:val="0"/>
              <w:keepLines w:val="0"/>
              <w:widowControl/>
              <w:suppressLineNumbers w:val="0"/>
              <w:jc w:val="left"/>
              <w:textAlignment w:val="center"/>
              <w:rPr>
                <w:rFonts w:hint="eastAsia" w:ascii="等线" w:hAnsi="等线" w:eastAsia="等线" w:cs="等线"/>
                <w:i w:val="0"/>
                <w:iCs w:val="0"/>
                <w:color w:val="auto"/>
                <w:kern w:val="0"/>
                <w:sz w:val="22"/>
                <w:szCs w:val="22"/>
                <w:highlight w:val="none"/>
                <w:u w:val="none"/>
                <w:lang w:val="en-US" w:eastAsia="zh-CN" w:bidi="ar"/>
              </w:rPr>
            </w:pPr>
          </w:p>
        </w:tc>
      </w:tr>
      <w:bookmarkEnd w:id="17"/>
      <w:bookmarkEnd w:id="18"/>
    </w:tbl>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ind w:right="7277"/>
        <w:rPr>
          <w:rFonts w:hint="eastAsia" w:ascii="仿宋" w:hAnsi="仿宋" w:eastAsia="仿宋" w:cs="仿宋"/>
          <w:color w:val="auto"/>
          <w:sz w:val="24"/>
          <w:szCs w:val="24"/>
          <w:highlight w:val="none"/>
        </w:rPr>
      </w:pPr>
    </w:p>
    <w:p>
      <w:pPr>
        <w:pStyle w:val="4"/>
        <w:kinsoku w:val="0"/>
        <w:overflowPunct w:val="0"/>
        <w:spacing w:before="1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1.评标方法</w:t>
      </w:r>
    </w:p>
    <w:p>
      <w:pPr>
        <w:pStyle w:val="4"/>
        <w:kinsoku w:val="0"/>
        <w:overflowPunct w:val="0"/>
        <w:spacing w:line="314" w:lineRule="auto"/>
        <w:ind w:right="1"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本次评标</w:t>
      </w:r>
      <w:r>
        <w:rPr>
          <w:rFonts w:hint="eastAsia" w:ascii="仿宋" w:hAnsi="仿宋" w:eastAsia="仿宋" w:cs="仿宋"/>
          <w:b/>
          <w:bCs/>
          <w:color w:val="auto"/>
          <w:sz w:val="24"/>
          <w:szCs w:val="24"/>
          <w:highlight w:val="none"/>
        </w:rPr>
        <w:t>采用双信封综合评</w:t>
      </w:r>
      <w:r>
        <w:rPr>
          <w:rFonts w:hint="eastAsia" w:ascii="仿宋" w:hAnsi="仿宋" w:eastAsia="仿宋" w:cs="仿宋"/>
          <w:b/>
          <w:bCs/>
          <w:color w:val="auto"/>
          <w:sz w:val="24"/>
          <w:szCs w:val="24"/>
          <w:highlight w:val="none"/>
          <w:lang w:val="en-US" w:eastAsia="zh-CN"/>
        </w:rPr>
        <w:t>估</w:t>
      </w:r>
      <w:r>
        <w:rPr>
          <w:rFonts w:hint="eastAsia" w:ascii="仿宋" w:hAnsi="仿宋" w:eastAsia="仿宋" w:cs="仿宋"/>
          <w:b/>
          <w:bCs/>
          <w:color w:val="auto"/>
          <w:sz w:val="24"/>
          <w:szCs w:val="24"/>
          <w:highlight w:val="none"/>
        </w:rPr>
        <w:t>法。</w:t>
      </w:r>
      <w:r>
        <w:rPr>
          <w:rFonts w:hint="eastAsia" w:ascii="仿宋" w:hAnsi="仿宋" w:eastAsia="仿宋" w:cs="仿宋"/>
          <w:color w:val="auto"/>
          <w:sz w:val="24"/>
          <w:szCs w:val="24"/>
          <w:highlight w:val="none"/>
        </w:rPr>
        <w:t>评标委员会对满足招标文件实质性要求的投标文件，按照本章第2.2款规定的评分标准进行打分，并按得分由高到低顺序推荐中标候选人，但标报价低于其成本的除外。综合评分相等时，评标委员会应按照评标办法前附表规定的优先次序推荐中标候选人或确定中标人。</w:t>
      </w:r>
    </w:p>
    <w:p>
      <w:pPr>
        <w:pStyle w:val="4"/>
        <w:tabs>
          <w:tab w:val="left" w:pos="412"/>
        </w:tabs>
        <w:kinsoku w:val="0"/>
        <w:overflowPunct w:val="0"/>
        <w:ind w:right="728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评审标准</w:t>
      </w:r>
    </w:p>
    <w:p>
      <w:pPr>
        <w:pStyle w:val="4"/>
        <w:kinsoku w:val="0"/>
        <w:overflowPunct w:val="0"/>
        <w:spacing w:before="247"/>
        <w:ind w:left="151"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2.1初步评审标准</w:t>
      </w:r>
    </w:p>
    <w:p>
      <w:pPr>
        <w:pStyle w:val="4"/>
        <w:kinsoku w:val="0"/>
        <w:overflowPunct w:val="0"/>
        <w:ind w:left="631"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2.1.1形式评审标准：见评标办法前附表</w:t>
      </w:r>
    </w:p>
    <w:p>
      <w:pPr>
        <w:pStyle w:val="4"/>
        <w:kinsoku w:val="0"/>
        <w:overflowPunct w:val="0"/>
        <w:ind w:left="631"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2.1.2资格评审标准：见评标办法前附表</w:t>
      </w:r>
    </w:p>
    <w:p>
      <w:pPr>
        <w:pStyle w:val="4"/>
        <w:kinsoku w:val="0"/>
        <w:overflowPunct w:val="0"/>
        <w:ind w:left="631"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2.1.3响应性评审标准：见评标办法前附表</w:t>
      </w:r>
    </w:p>
    <w:p>
      <w:pPr>
        <w:pStyle w:val="4"/>
        <w:kinsoku w:val="0"/>
        <w:overflowPunct w:val="0"/>
        <w:ind w:left="151"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2.2分值构成与评分标准</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2.2.1分值构成</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(1）造价咨询方案：见评标办法前附表；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(2）主要人员：见评标办法前附表；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(3）业绩：见评标办法前附表；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(4）履约信誉：见评标办法前附表；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(5）评标折扣系数：见评标办法前附表;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2.2.2评标基准价计</w:t>
      </w:r>
      <w:r>
        <w:rPr>
          <w:rFonts w:hint="eastAsia" w:ascii="仿宋" w:hAnsi="仿宋" w:eastAsia="仿宋" w:cs="仿宋"/>
          <w:color w:val="auto"/>
          <w:sz w:val="24"/>
          <w:szCs w:val="24"/>
          <w:highlight w:val="none"/>
          <w:lang w:val="en-US" w:eastAsia="zh-CN"/>
        </w:rPr>
        <w:t>算</w:t>
      </w:r>
      <w:r>
        <w:rPr>
          <w:rFonts w:hint="eastAsia" w:ascii="仿宋" w:hAnsi="仿宋" w:eastAsia="仿宋" w:cs="仿宋"/>
          <w:color w:val="auto"/>
          <w:sz w:val="24"/>
          <w:szCs w:val="24"/>
          <w:highlight w:val="none"/>
        </w:rPr>
        <w:t>。</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2.2.3评标折扣系数偏差率计算</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评标折扣系数偏差率计算方法：见评标办法前附表。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2.2.4评分标准</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造价咨询方案评分标准：见评标办法前附表；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主要人员评分标准：见评标办法前附表；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业绩评分标准：见评标办法前附表；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履约信誉评分标准：见评标办法前附表；</w:t>
      </w:r>
    </w:p>
    <w:p>
      <w:pPr>
        <w:pStyle w:val="4"/>
        <w:kinsoku w:val="0"/>
        <w:overflowPunct w:val="0"/>
        <w:ind w:left="626"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（5）评标折扣系数：见评标办法前附表。</w:t>
      </w:r>
    </w:p>
    <w:p>
      <w:pPr>
        <w:pStyle w:val="4"/>
        <w:kinsoku w:val="0"/>
        <w:overflowPunct w:val="0"/>
        <w:spacing w:before="11"/>
        <w:ind w:firstLine="720" w:firstLineChars="300"/>
        <w:rPr>
          <w:rFonts w:hint="eastAsia" w:ascii="仿宋" w:hAnsi="仿宋" w:eastAsia="仿宋" w:cs="仿宋"/>
          <w:color w:val="auto"/>
          <w:sz w:val="24"/>
          <w:szCs w:val="24"/>
          <w:highlight w:val="none"/>
        </w:rPr>
      </w:pPr>
    </w:p>
    <w:p>
      <w:pPr>
        <w:pStyle w:val="4"/>
        <w:kinsoku w:val="0"/>
        <w:overflowPunct w:val="0"/>
        <w:spacing w:before="16"/>
        <w:ind w:left="15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3.评标程序</w:t>
      </w:r>
    </w:p>
    <w:p>
      <w:pPr>
        <w:pStyle w:val="4"/>
        <w:kinsoku w:val="0"/>
        <w:overflowPunct w:val="0"/>
        <w:spacing w:before="251"/>
        <w:ind w:left="15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3.1第一个信封初步评审</w:t>
      </w:r>
    </w:p>
    <w:p>
      <w:pPr>
        <w:pStyle w:val="4"/>
        <w:kinsoku w:val="0"/>
        <w:overflowPunct w:val="0"/>
        <w:spacing w:before="21" w:line="312" w:lineRule="auto"/>
        <w:ind w:right="212" w:firstLine="792" w:firstLineChars="3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3.1.1评标委员会可以要求投标人提交第二章“投标人须知”第3.5.1项至第3.5.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项规定的有关证明和证件的原件，以便核验。评标委员会依据本章第2.1款规定的标准对投标文件第一个信封（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）进行初步评审。有一项不符合评审标准的，评标委员会应否决其投标。</w:t>
      </w:r>
    </w:p>
    <w:p>
      <w:pPr>
        <w:pStyle w:val="4"/>
        <w:kinsoku w:val="0"/>
        <w:overflowPunct w:val="0"/>
        <w:spacing w:before="157"/>
        <w:ind w:left="15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3.2第一个信封详细评审</w:t>
      </w:r>
    </w:p>
    <w:p>
      <w:pPr>
        <w:pStyle w:val="4"/>
        <w:kinsoku w:val="0"/>
        <w:overflowPunct w:val="0"/>
        <w:spacing w:line="297" w:lineRule="auto"/>
        <w:ind w:left="151" w:right="217"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3.2.1评标委员会按本章第2.2款规定的量化因素和分值进行打分，并计算出各投标人的商务和技术得分。</w:t>
      </w:r>
    </w:p>
    <w:p>
      <w:pPr>
        <w:pStyle w:val="4"/>
        <w:kinsoku w:val="0"/>
        <w:overflowPunct w:val="0"/>
        <w:spacing w:before="47" w:line="300" w:lineRule="auto"/>
        <w:ind w:right="109" w:firstLine="6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（1）按本章第2.2.4（1）目规定的评审因素和分值对造价咨询方案部分计算出得分A；</w:t>
      </w:r>
    </w:p>
    <w:p>
      <w:pPr>
        <w:pStyle w:val="4"/>
        <w:kinsoku w:val="0"/>
        <w:overflowPunct w:val="0"/>
        <w:spacing w:before="47" w:line="300" w:lineRule="auto"/>
        <w:ind w:right="109" w:firstLine="6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（2）按本章第2.2.4（2）目规定的评审因素和分值对主要人员部分计算出得分B；</w:t>
      </w:r>
    </w:p>
    <w:p>
      <w:pPr>
        <w:pStyle w:val="4"/>
        <w:kinsoku w:val="0"/>
        <w:overflowPunct w:val="0"/>
        <w:spacing w:before="47" w:line="300" w:lineRule="auto"/>
        <w:ind w:right="109" w:firstLine="6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（3）按本章第2.2.4（3）目规定的评审因素和分值对业绩部分计算出得分</w:t>
      </w:r>
      <w:r>
        <w:rPr>
          <w:rFonts w:hint="eastAsia" w:ascii="仿宋" w:hAnsi="仿宋" w:eastAsia="仿宋" w:cs="仿宋"/>
          <w:color w:val="auto"/>
          <w:sz w:val="24"/>
          <w:szCs w:val="24"/>
          <w:highlight w:val="none"/>
          <w:lang w:eastAsia="zh-CN"/>
        </w:rPr>
        <w:t>D</w:t>
      </w:r>
      <w:r>
        <w:rPr>
          <w:rFonts w:hint="eastAsia" w:ascii="仿宋" w:hAnsi="仿宋" w:eastAsia="仿宋" w:cs="仿宋"/>
          <w:color w:val="auto"/>
          <w:sz w:val="24"/>
          <w:szCs w:val="24"/>
          <w:highlight w:val="none"/>
        </w:rPr>
        <w:t>;</w:t>
      </w:r>
    </w:p>
    <w:p>
      <w:pPr>
        <w:pStyle w:val="4"/>
        <w:kinsoku w:val="0"/>
        <w:overflowPunct w:val="0"/>
        <w:spacing w:before="47" w:line="300" w:lineRule="auto"/>
        <w:ind w:right="109" w:firstLine="6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（4）按本章第2.2.4（4）目规定的评审因素和分值对履约信誉部分计算出得分D;</w:t>
      </w:r>
    </w:p>
    <w:p>
      <w:pPr>
        <w:pStyle w:val="4"/>
        <w:kinsoku w:val="0"/>
        <w:overflowPunct w:val="0"/>
        <w:spacing w:before="89" w:line="304" w:lineRule="auto"/>
        <w:ind w:left="635" w:right="109" w:firstLine="1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3.2.2投标人的商务和技术得分分值计算“四舍五入”保留三位小数点。</w:t>
      </w:r>
    </w:p>
    <w:p>
      <w:pPr>
        <w:pStyle w:val="4"/>
        <w:kinsoku w:val="0"/>
        <w:overflowPunct w:val="0"/>
        <w:spacing w:before="89" w:line="304" w:lineRule="auto"/>
        <w:ind w:left="635" w:right="109" w:firstLine="1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3.2.3投标人的商务</w:t>
      </w:r>
      <w:r>
        <w:rPr>
          <w:rFonts w:hint="eastAsia" w:ascii="仿宋" w:hAnsi="仿宋" w:eastAsia="仿宋" w:cs="仿宋"/>
          <w:color w:val="auto"/>
          <w:sz w:val="24"/>
          <w:szCs w:val="24"/>
          <w:highlight w:val="none"/>
          <w:lang w:val="en-US" w:eastAsia="zh-CN"/>
        </w:rPr>
        <w:t>及技术</w:t>
      </w:r>
      <w:r>
        <w:rPr>
          <w:rFonts w:hint="eastAsia" w:ascii="仿宋" w:hAnsi="仿宋" w:eastAsia="仿宋" w:cs="仿宋"/>
          <w:color w:val="auto"/>
          <w:sz w:val="24"/>
          <w:szCs w:val="24"/>
          <w:highlight w:val="none"/>
        </w:rPr>
        <w:t>得分A+B+D。</w:t>
      </w:r>
    </w:p>
    <w:p>
      <w:pPr>
        <w:pStyle w:val="4"/>
        <w:kinsoku w:val="0"/>
        <w:overflowPunct w:val="0"/>
        <w:spacing w:before="182"/>
        <w:ind w:left="151" w:right="1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3.3第二个信封开标</w:t>
      </w:r>
    </w:p>
    <w:p>
      <w:pPr>
        <w:pStyle w:val="4"/>
        <w:kinsoku w:val="0"/>
        <w:overflowPunct w:val="0"/>
        <w:spacing w:line="312" w:lineRule="auto"/>
        <w:ind w:right="203"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第一个信封（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）评审结束后，招标人将按照第二章“投标人须知”第5.1款规定的时间和地点对通过投标文件第一个信封(</w:t>
      </w:r>
      <w:r>
        <w:rPr>
          <w:rFonts w:hint="eastAsia" w:ascii="仿宋" w:hAnsi="仿宋" w:eastAsia="仿宋" w:cs="仿宋"/>
          <w:color w:val="auto"/>
          <w:sz w:val="24"/>
          <w:szCs w:val="24"/>
          <w:highlight w:val="none"/>
          <w:lang w:eastAsia="zh-CN"/>
        </w:rPr>
        <w:t>商务及技术文件</w:t>
      </w:r>
      <w:r>
        <w:rPr>
          <w:rFonts w:hint="eastAsia" w:ascii="仿宋" w:hAnsi="仿宋" w:eastAsia="仿宋" w:cs="仿宋"/>
          <w:color w:val="auto"/>
          <w:sz w:val="24"/>
          <w:szCs w:val="24"/>
          <w:highlight w:val="none"/>
        </w:rPr>
        <w:t>）评审的投标文件第二个信封（报价文件）进行开标。</w:t>
      </w:r>
    </w:p>
    <w:p>
      <w:pPr>
        <w:pStyle w:val="4"/>
        <w:kinsoku w:val="0"/>
        <w:overflowPunct w:val="0"/>
        <w:spacing w:before="182"/>
        <w:ind w:right="1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3.4第二个信封初步评审</w:t>
      </w:r>
    </w:p>
    <w:p>
      <w:pPr>
        <w:pStyle w:val="4"/>
        <w:kinsoku w:val="0"/>
        <w:overflowPunct w:val="0"/>
        <w:spacing w:line="307" w:lineRule="auto"/>
        <w:ind w:left="151" w:right="211"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3.4.1评标委员会依据本章第2.1.1项、第2.1.3项规定的评审标准对投标文件第二个信封（报价文件）进行初步评审。有一项不符合评审标准的，评标委员会应否决其投标。</w:t>
      </w:r>
    </w:p>
    <w:p>
      <w:pPr>
        <w:pStyle w:val="4"/>
        <w:kinsoku w:val="0"/>
        <w:overflowPunct w:val="0"/>
        <w:spacing w:line="307" w:lineRule="auto"/>
        <w:ind w:left="151" w:right="211"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3.4.2修正后的最终投标折扣系数若超过最高投标限价（如有），评标委员会应否决其投标。</w:t>
      </w:r>
    </w:p>
    <w:p>
      <w:pPr>
        <w:pStyle w:val="4"/>
        <w:kinsoku w:val="0"/>
        <w:overflowPunct w:val="0"/>
        <w:spacing w:before="30" w:line="30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3.4.3修正后的最终投标折扣系数仅作为签订合同的一个依据，不参与评标折扣系数得分的计算。</w:t>
      </w:r>
    </w:p>
    <w:p>
      <w:pPr>
        <w:pStyle w:val="4"/>
        <w:kinsoku w:val="0"/>
        <w:overflowPunct w:val="0"/>
        <w:spacing w:before="193"/>
        <w:ind w:right="1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3.5第二个信封详细评审</w:t>
      </w:r>
    </w:p>
    <w:p>
      <w:pPr>
        <w:pStyle w:val="4"/>
        <w:kinsoku w:val="0"/>
        <w:overflowPunct w:val="0"/>
        <w:spacing w:line="312" w:lineRule="auto"/>
        <w:ind w:left="11" w:firstLine="628" w:firstLineChars="2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3.5.1评标委员会按本章第2.2.4（5）目规定的评审因素和分值对投标折扣系数计算出得分</w:t>
      </w: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rPr>
        <w:t>。投标折扣系数得分分值计算“四舍五入”保留</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位小数点。</w:t>
      </w:r>
    </w:p>
    <w:p>
      <w:pPr>
        <w:pStyle w:val="4"/>
        <w:kinsoku w:val="0"/>
        <w:overflowPunct w:val="0"/>
        <w:spacing w:before="80" w:line="312" w:lineRule="auto"/>
        <w:ind w:left="63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3.5.2投标人</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rPr>
        <w:t>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投标人的商务和技术得分＋C。</w:t>
      </w:r>
    </w:p>
    <w:p>
      <w:pPr>
        <w:pStyle w:val="4"/>
        <w:kinsoku w:val="0"/>
        <w:overflowPunct w:val="0"/>
        <w:spacing w:before="87" w:line="312" w:lineRule="auto"/>
        <w:ind w:firstLine="6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评标委员会发现投标人的报折扣系数明显低于其他投标折扣系数，使得其投标折扣系数可能低于其个别成本的，应要求该投标人作出书面说明并提供相应的证明材料。投标人不能合理说明或不能提供相应证明材料的，评标委员会应认定该投标人以低于成本报价竞标，并否决其投标。</w:t>
      </w:r>
    </w:p>
    <w:p>
      <w:pPr>
        <w:pStyle w:val="4"/>
        <w:keepNext w:val="0"/>
        <w:keepLines w:val="0"/>
        <w:pageBreakBefore w:val="0"/>
        <w:widowControl w:val="0"/>
        <w:kinsoku w:val="0"/>
        <w:wordWrap/>
        <w:overflowPunct w:val="0"/>
        <w:topLinePunct w:val="0"/>
        <w:autoSpaceDE/>
        <w:autoSpaceDN/>
        <w:bidi w:val="0"/>
        <w:adjustRightInd/>
        <w:snapToGrid/>
        <w:spacing w:before="179" w:line="360" w:lineRule="auto"/>
        <w:ind w:left="15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3.6投标文件相关信息的核查</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3.6.1评标委员会应对评标过程中发现的投标人与投标人之间、投标人与招标人之间存在的串通投标的情形进行评审和认定。投标人存在串通投标、弄虚作假、行贿等违法行为的，评标委员会应否决其投标。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(1）有下列情形之一的，属于投标人相互串通投标：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a.投标人之间协商投标折扣系数等投标文件的实质性内容；</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b.投标人之间约定中标人：</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c.投标人之间约定部分投标人放弃投标或中标；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d.属于同一集团、协会、商会等组织成员的投标人按照该组织要求协同投标；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e.投标人之间为谋取中标或排斥特定投标人而采取的其他联合行动。</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)有下列情形之一的，视为投标人相互串通投标：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a.不同投标人的投标文件由同一单位或个人编制；</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b.不同投标人委托同一单位或个人办理投标事直；</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c.不同投标人的投标文件载明的项目管理成员为同一人；</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d.不同投标人的投标文件异常一致或投标折扣系数呈规律性差异：</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e.不同投标人的投标文件相互了</w:t>
      </w:r>
      <w:r>
        <w:rPr>
          <w:rFonts w:hint="eastAsia" w:ascii="仿宋" w:hAnsi="仿宋" w:eastAsia="仿宋" w:cs="仿宋"/>
          <w:color w:val="auto"/>
          <w:sz w:val="24"/>
          <w:szCs w:val="24"/>
          <w:highlight w:val="none"/>
          <w:lang w:val="en-US" w:eastAsia="zh-CN"/>
        </w:rPr>
        <w:t>混</w:t>
      </w:r>
      <w:r>
        <w:rPr>
          <w:rFonts w:hint="eastAsia" w:ascii="仿宋" w:hAnsi="仿宋" w:eastAsia="仿宋" w:cs="仿宋"/>
          <w:color w:val="auto"/>
          <w:sz w:val="24"/>
          <w:szCs w:val="24"/>
          <w:highlight w:val="none"/>
        </w:rPr>
        <w:t>装；</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f.不同投标人的投标保证金从同一单位或个人的账户转出。</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(3）有下列情形之一的，属于招标人与投标人串通投标：</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a.招标人在开标前开启投标文件并将有关信息泄露给其他投标人；</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b.招标人直接或间接向投标人泄露标底、评标委员会成员等信息：</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c.招标人明示或暗示投标人压低或抬高投标折扣系数；</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d.招标人授意投标人撤换、修改投标文件；</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e.招标人明示或暗示技标人为特定技标人中标提供方便：</w:t>
      </w:r>
    </w:p>
    <w:p>
      <w:pPr>
        <w:pStyle w:val="4"/>
        <w:keepNext w:val="0"/>
        <w:keepLines w:val="0"/>
        <w:pageBreakBefore w:val="0"/>
        <w:widowControl w:val="0"/>
        <w:kinsoku w:val="0"/>
        <w:wordWrap/>
        <w:overflowPunct w:val="0"/>
        <w:topLinePunct w:val="0"/>
        <w:autoSpaceDE/>
        <w:autoSpaceDN/>
        <w:bidi w:val="0"/>
        <w:adjustRightInd/>
        <w:snapToGrid/>
        <w:spacing w:line="317" w:lineRule="auto"/>
        <w:ind w:left="60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f.招标人与投标人为谋求特定投标人中标而采取的其他串通行为。</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（4）投标人有下列情形之一的，属于弄虚作假的行为：</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a.使用通过受让或租借等方式获取的资格、资质证书投标：</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b.使用伪造、变造的许可证件：</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c.提供虚假的财务状况或业绩：</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d.提供虚假的项目负责人或造价工程师简历、劳动关系证明；</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e.提供虚假的信用状况：</w:t>
      </w:r>
    </w:p>
    <w:p>
      <w:pPr>
        <w:pStyle w:val="4"/>
        <w:keepNext w:val="0"/>
        <w:keepLines w:val="0"/>
        <w:pageBreakBefore w:val="0"/>
        <w:widowControl w:val="0"/>
        <w:kinsoku w:val="0"/>
        <w:wordWrap/>
        <w:overflowPunct w:val="0"/>
        <w:topLinePunct w:val="0"/>
        <w:autoSpaceDE/>
        <w:autoSpaceDN/>
        <w:bidi w:val="0"/>
        <w:adjustRightInd/>
        <w:snapToGrid/>
        <w:spacing w:before="87"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f.其他弄虚作假的行为。</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3.7投标文件的澄清和说明</w:t>
      </w:r>
    </w:p>
    <w:p>
      <w:pPr>
        <w:pStyle w:val="4"/>
        <w:keepNext w:val="0"/>
        <w:keepLines w:val="0"/>
        <w:pageBreakBefore w:val="0"/>
        <w:widowControl w:val="0"/>
        <w:kinsoku w:val="0"/>
        <w:wordWrap/>
        <w:overflowPunct w:val="0"/>
        <w:topLinePunct w:val="0"/>
        <w:autoSpaceDE/>
        <w:autoSpaceDN/>
        <w:bidi w:val="0"/>
        <w:adjustRightInd/>
        <w:snapToGrid/>
        <w:spacing w:line="317" w:lineRule="auto"/>
        <w:ind w:firstLine="4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3.7.2澄清和说明不得超出投标文件的范围或改变技标文件的实质性内容（算术性错误修正的除外）。投标人的书面澄清、说明属于投标文件的组成部分。</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3.7.3评标委员会不得暗示或诱导投标人作出澄清、说明，对投标人提交的澄清、说明有疑问的，可以要求投标人进一步澄清或说明，直至满足评标委员会的要求。</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3.7.4凡超出招标文件规定的或给发包人带来未曾要求的利益的变化、偏差或其他因素在评标时不予考虑。</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3.8不得否决投标的情形</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投标文件存在第二章“投标人须知”第1.12.3项所列情形的，均视为细微偏差，评标委员会不得否决投标人的投标。</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3.9评标结果</w:t>
      </w:r>
    </w:p>
    <w:p>
      <w:pPr>
        <w:pStyle w:val="4"/>
        <w:kinsoku w:val="0"/>
        <w:overflowPunct w:val="0"/>
        <w:spacing w:line="316"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3.9.1除第二章“投标人须知”前附表授权直接确定中标人外，评标委员会按照得分由高到低的顺序推荐中标候选人，并标明排序。</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3.9.2评标委员会完成评标后，应向招标人提交书面评标报告。</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60" w:lineRule="auto"/>
        <w:ind w:firstLine="0" w:firstLineChars="0"/>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附件</w:t>
      </w:r>
      <w:r>
        <w:rPr>
          <w:rFonts w:hint="default"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rPr>
        <w:t>投标人信息表</w:t>
      </w:r>
    </w:p>
    <w:p>
      <w:pPr>
        <w:jc w:val="center"/>
        <w:rPr>
          <w:rFonts w:hint="eastAsia"/>
          <w:b/>
          <w:color w:val="auto"/>
          <w:sz w:val="28"/>
          <w:szCs w:val="28"/>
          <w:highlight w:val="none"/>
        </w:rPr>
      </w:pPr>
      <w:r>
        <w:rPr>
          <w:rFonts w:hint="eastAsia"/>
          <w:b/>
          <w:color w:val="auto"/>
          <w:sz w:val="28"/>
          <w:szCs w:val="28"/>
          <w:highlight w:val="none"/>
        </w:rPr>
        <w:t>投标人信息表</w:t>
      </w:r>
    </w:p>
    <w:tbl>
      <w:tblPr>
        <w:tblStyle w:val="9"/>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投标人名称</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IC卡号</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联系人</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移动电话（非广州号码请加“0”填写）</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固定电话</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传真电话</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rPr>
            </w:pPr>
            <w:r>
              <w:rPr>
                <w:rFonts w:hint="eastAsia"/>
                <w:color w:val="auto"/>
                <w:kern w:val="2"/>
                <w:sz w:val="21"/>
                <w:szCs w:val="21"/>
                <w:highlight w:val="none"/>
              </w:rPr>
              <w:t>邮箱地址</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邮寄地址</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2424"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发票信息（增值税普通发票）</w:t>
            </w:r>
          </w:p>
        </w:tc>
        <w:tc>
          <w:tcPr>
            <w:tcW w:w="6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lang w:eastAsia="zh-CN"/>
              </w:rPr>
            </w:pPr>
            <w:r>
              <w:rPr>
                <w:rFonts w:hint="eastAsia"/>
                <w:b/>
                <w:color w:val="auto"/>
                <w:kern w:val="2"/>
                <w:sz w:val="21"/>
                <w:szCs w:val="21"/>
                <w:highlight w:val="none"/>
                <w:lang w:eastAsia="zh-CN"/>
              </w:rPr>
              <w:t>发票信息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单位名称：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税号：</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单位地址：</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电话号码：</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开户银行：</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银行账户：</w:t>
            </w:r>
          </w:p>
        </w:tc>
      </w:tr>
    </w:tbl>
    <w:p>
      <w:pPr>
        <w:spacing w:line="360" w:lineRule="auto"/>
        <w:ind w:firstLine="420" w:firstLineChars="200"/>
        <w:rPr>
          <w:rFonts w:hint="eastAsia"/>
          <w:color w:val="auto"/>
          <w:sz w:val="21"/>
          <w:szCs w:val="21"/>
          <w:highlight w:val="none"/>
          <w:lang w:eastAsia="zh-CN"/>
        </w:rPr>
      </w:pPr>
    </w:p>
    <w:p>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我司保证在投标期间内保持上述联系方式有效，联系电话、传真全天候开通（包括节假日），否则，因此影响澄清而造成的责任由我司自负。</w:t>
      </w:r>
    </w:p>
    <w:p>
      <w:pPr>
        <w:spacing w:line="360" w:lineRule="auto"/>
        <w:rPr>
          <w:rFonts w:hint="eastAsia"/>
          <w:color w:val="auto"/>
          <w:sz w:val="21"/>
          <w:szCs w:val="21"/>
          <w:highlight w:val="none"/>
          <w:lang w:eastAsia="zh-CN"/>
        </w:rPr>
      </w:pPr>
    </w:p>
    <w:p>
      <w:pPr>
        <w:spacing w:line="360" w:lineRule="auto"/>
        <w:jc w:val="right"/>
        <w:rPr>
          <w:rFonts w:hint="eastAsia"/>
          <w:color w:val="auto"/>
          <w:sz w:val="21"/>
          <w:szCs w:val="21"/>
          <w:highlight w:val="none"/>
          <w:lang w:eastAsia="zh-CN"/>
        </w:rPr>
      </w:pPr>
      <w:r>
        <w:rPr>
          <w:rFonts w:hint="eastAsia"/>
          <w:color w:val="auto"/>
          <w:sz w:val="21"/>
          <w:szCs w:val="21"/>
          <w:highlight w:val="none"/>
          <w:lang w:eastAsia="zh-CN"/>
        </w:rPr>
        <w:t>法定代表人或其授权代理人：</w:t>
      </w:r>
      <w:r>
        <w:rPr>
          <w:rFonts w:hint="eastAsia"/>
          <w:color w:val="auto"/>
          <w:sz w:val="21"/>
          <w:szCs w:val="21"/>
          <w:highlight w:val="none"/>
          <w:lang w:val="en-US"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eastAsia="zh-CN"/>
        </w:rPr>
        <w:t>（盖单位章）</w:t>
      </w:r>
    </w:p>
    <w:p>
      <w:pPr>
        <w:pStyle w:val="4"/>
        <w:spacing w:line="360" w:lineRule="auto"/>
        <w:ind w:left="0" w:right="0"/>
        <w:rPr>
          <w:rFonts w:hint="eastAsia" w:ascii="宋体" w:hAnsi="宋体" w:cs="宋体"/>
          <w:color w:val="auto"/>
          <w:sz w:val="21"/>
          <w:szCs w:val="21"/>
          <w:highlight w:val="none"/>
          <w:lang w:eastAsia="zh-CN"/>
        </w:rPr>
      </w:pPr>
    </w:p>
    <w:p>
      <w:pPr>
        <w:rPr>
          <w:rFonts w:hint="eastAsia" w:ascii="仿宋" w:hAnsi="仿宋" w:eastAsia="仿宋" w:cs="仿宋"/>
          <w:color w:val="auto"/>
          <w:sz w:val="24"/>
          <w:szCs w:val="24"/>
          <w:highlight w:val="none"/>
        </w:rPr>
      </w:pPr>
      <w:r>
        <w:rPr>
          <w:rFonts w:hint="eastAsia" w:ascii="宋体" w:hAnsi="宋体" w:cs="宋体"/>
          <w:color w:val="auto"/>
          <w:sz w:val="21"/>
          <w:szCs w:val="21"/>
          <w:highlight w:val="none"/>
          <w:lang w:eastAsia="zh-CN"/>
        </w:rPr>
        <w:t>注：招标文件费用发票由招标人在投标人递交投标文件时统一发放，如需邮寄请另行联系招标人。</w:t>
      </w:r>
    </w:p>
    <w:p>
      <w:pPr>
        <w:rPr>
          <w:rFonts w:hint="eastAsia" w:ascii="仿宋" w:hAnsi="仿宋" w:eastAsia="仿宋" w:cs="仿宋"/>
          <w:color w:val="auto"/>
          <w:sz w:val="18"/>
          <w:szCs w:val="18"/>
          <w:highlight w:val="none"/>
        </w:rPr>
      </w:pP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20" w:name="_GoBack"/>
    <w:bookmarkEnd w:id="2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D0713"/>
    <w:multiLevelType w:val="singleLevel"/>
    <w:tmpl w:val="C90D0713"/>
    <w:lvl w:ilvl="0" w:tentative="0">
      <w:start w:val="1"/>
      <w:numFmt w:val="decimal"/>
      <w:suff w:val="nothing"/>
      <w:lvlText w:val="%1．"/>
      <w:lvlJc w:val="left"/>
    </w:lvl>
  </w:abstractNum>
  <w:abstractNum w:abstractNumId="1">
    <w:nsid w:val="00000009"/>
    <w:multiLevelType w:val="singleLevel"/>
    <w:tmpl w:val="00000009"/>
    <w:lvl w:ilvl="0" w:tentative="0">
      <w:start w:val="2"/>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000000E"/>
    <w:multiLevelType w:val="singleLevel"/>
    <w:tmpl w:val="0000000E"/>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A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120" w:beforeLines="0" w:after="120" w:afterLines="0" w:line="413" w:lineRule="auto"/>
      <w:jc w:val="left"/>
      <w:outlineLvl w:val="1"/>
    </w:pPr>
    <w:rPr>
      <w:rFonts w:ascii="Arial" w:hAnsi="Arial" w:eastAsia="隶书"/>
      <w:b/>
      <w:sz w:val="32"/>
      <w:lang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pPr>
    <w:rPr>
      <w:rFonts w:eastAsia="宋体"/>
      <w:lang w:bidi="ar-SA"/>
    </w:rPr>
  </w:style>
  <w:style w:type="paragraph" w:styleId="4">
    <w:name w:val="Body Text"/>
    <w:basedOn w:val="1"/>
    <w:qFormat/>
    <w:uiPriority w:val="0"/>
    <w:pPr>
      <w:spacing w:after="120" w:afterLines="0"/>
    </w:pPr>
    <w:rPr>
      <w:rFonts w:eastAsia="宋体"/>
      <w:kern w:val="2"/>
      <w:sz w:val="21"/>
      <w:lang w:val="en-US" w:eastAsia="zh-CN" w:bidi="ar-SA"/>
    </w:rPr>
  </w:style>
  <w:style w:type="paragraph" w:styleId="5">
    <w:name w:val="Body Text Indent"/>
    <w:basedOn w:val="1"/>
    <w:next w:val="6"/>
    <w:uiPriority w:val="0"/>
    <w:pPr>
      <w:ind w:firstLine="420" w:firstLineChars="200"/>
    </w:pPr>
    <w:rPr>
      <w:rFonts w:eastAsia="宋体"/>
      <w:lang w:bidi="ar-SA"/>
    </w:rPr>
  </w:style>
  <w:style w:type="paragraph" w:customStyle="1" w:styleId="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NavPane"/>
    <w:basedOn w:val="1"/>
    <w:qFormat/>
    <w:uiPriority w:val="0"/>
    <w:pPr>
      <w:spacing w:line="360" w:lineRule="auto"/>
      <w:ind w:firstLine="560" w:firstLineChars="200"/>
      <w:jc w:val="both"/>
      <w:textAlignment w:val="baseline"/>
    </w:pPr>
    <w:rPr>
      <w:rFonts w:ascii="Heiti SC Light" w:hAnsi="Calibri" w:eastAsia="Heiti SC Light"/>
      <w:kern w:val="2"/>
      <w:sz w:val="28"/>
      <w:szCs w:val="24"/>
      <w:lang w:val="en-US" w:eastAsia="zh-CN" w:bidi="ar-SA"/>
    </w:rPr>
  </w:style>
  <w:style w:type="paragraph" w:customStyle="1" w:styleId="12">
    <w:name w:val="List Paragraph"/>
    <w:basedOn w:val="1"/>
    <w:uiPriority w:val="0"/>
    <w:pPr>
      <w:ind w:firstLine="420" w:firstLineChars="200"/>
    </w:pPr>
    <w:rPr>
      <w:rFonts w:ascii="Calibri" w:hAnsi="Calibri"/>
      <w:sz w:val="21"/>
      <w:szCs w:val="22"/>
    </w:rPr>
  </w:style>
  <w:style w:type="paragraph" w:customStyle="1" w:styleId="13">
    <w:name w:val="Table Paragraph"/>
    <w:basedOn w:val="1"/>
    <w:qFormat/>
    <w:uiPriority w:val="0"/>
    <w:rPr>
      <w:rFonts w:hint="default"/>
      <w:sz w:val="24"/>
    </w:rPr>
  </w:style>
  <w:style w:type="paragraph" w:customStyle="1" w:styleId="14">
    <w:name w:val="表格文字"/>
    <w:basedOn w:val="1"/>
    <w:qFormat/>
    <w:uiPriority w:val="0"/>
    <w:pPr>
      <w:widowControl w:val="0"/>
      <w:autoSpaceDE w:val="0"/>
      <w:autoSpaceDN w:val="0"/>
      <w:adjustRightInd w:val="0"/>
      <w:snapToGrid w:val="0"/>
      <w:jc w:val="center"/>
      <w:textAlignment w:val="center"/>
    </w:pPr>
    <w:rPr>
      <w:rFonts w:ascii="Arial" w:hAnsi="Arial"/>
      <w:bCs/>
      <w:snapToGrid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2025-10-22T02:40:14Z</dcterms:created>
  <dc:creator>admin</dc:creator>
  <cp:lastModifiedBy>清风</cp:lastModifiedBy>
  <dcterms:modified xsi:type="dcterms:W3CDTF">2025-10-22T02:50:35Z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2052-11.8.2.11718</vt:lpwstr>
  </op:property>
  <op:property fmtid="{D5CDD505-2E9C-101B-9397-08002B2CF9AE}" pid="3" name="ICV">
    <vt:lpwstr>BED8C35D71DE4962AEBED6B20DC48A19</vt:lpwstr>
  </op:property>
  <op:property fmtid="{D5CDD505-2E9C-101B-9397-08002B2CF9AE}" pid="4" name="_IPGFID">
    <vt:lpwstr>[DocID]=ABF395CB-AF0F-45DD-AE97-6CA4675D2A45</vt:lpwstr>
  </op:property>
  <op:property fmtid="{D5CDD505-2E9C-101B-9397-08002B2CF9AE}" pid="5" name="_IPGFLOW_P-BC3F_E-1_FP-1_SP-1_CV-E3FC96A8_CN-6256C197">
    <vt:lpwstr>+sD63b8u+DWtIRxcRIGGp1gEjkO9DEbM2KlA3nOX9lRD2JI5kBdS/HHv8H7m2cXN6lOQIpGCZ7GkGw7b4mBdwnWJx+aUjxM3sGL1XSZdc/QWg52cVK78LpamYZljBHtNI5klkaus2q4AcbW3Uv6Zh1E4nFzDml8biiZ7DNP0tmAm4X9QgJneUAydObkpUgXn5IrApZYTtmg1xmHOJ58fzXrCerK0EnqySBVtuSZ+VR1mvqVfAwFmFy8CxepC0Zb</vt:lpwstr>
  </op:property>
  <op:property fmtid="{D5CDD505-2E9C-101B-9397-08002B2CF9AE}" pid="6" name="_IPGFLOW_P-BC3F_E-1_FP-1_SP-2_CV-1D48CFD0_CN-357EF55D">
    <vt:lpwstr>ggw9hBvKgtxQ10dSBC3Iftg==</vt:lpwstr>
  </op:property>
  <op:property fmtid="{D5CDD505-2E9C-101B-9397-08002B2CF9AE}" pid="7" name="_IPGFLOW_P-BC3F_E-0_FP-1_CV-44BF58F7_CN-DE964F65">
    <vt:lpwstr>DPSPMK|3|280|2|0</vt:lpwstr>
  </op:property>
  <op:property fmtid="{D5CDD505-2E9C-101B-9397-08002B2CF9AE}" pid="8" name="_IPGFLOW_P-BC3F_E-0_CV-8A14B2B5_CN-331E6649">
    <vt:lpwstr>DPFPMK|3|50|2|0</vt:lpwstr>
  </op:property>
  <op:property fmtid="{D5CDD505-2E9C-101B-9397-08002B2CF9AE}" pid="9" name="_IPGFLOW_P-BC3F_E-1_FP-2_SP-1_CV-1756CDE5_CN-A12BF223">
    <vt:lpwstr>+sD63b8u+DWtIRxcRIGGp6iNJ2+iHuMs5JfXlZMIIJOihjF63bAPdGFCV7q4+tlgO/3/53hUgQIbgYUkgVhBp4bD/GnlDbuVD+qrXV5R1Zwcw85u9trtdQiingPDBLvFe2Xt+8wADJ7lNT1HcOPhn9OQzyRvmjGBIQR3mGvnzb09H9x+k0gFI4zBATilSVNn05n8Jqjj5dqoE406t/Ya3m2pfb+a4lYlK6Zf4ssawDnzrZOmEch4Jh7Gf4AiSRo</vt:lpwstr>
  </op:property>
  <op:property fmtid="{D5CDD505-2E9C-101B-9397-08002B2CF9AE}" pid="10" name="_IPGFLOW_P-BC3F_E-1_FP-2_SP-2_CV-16798B35_CN-B4D826DC">
    <vt:lpwstr>8wnafijAyKtEY87O7HRPtQZ88rwdW8i6yS3puuhxnKYKpJLeZtood+1oBdFaAkJ5BdeVgLBslbkkmUcz4CKuAHKAHcA90nqYMXvTTg5610EfPBJA4g2ZmMhTSK9Q2ipX4XDlsglKJMG7u8wpCtfJgzpbOOTDw090jXur8VF0emUI8beJqOjdnqEo83uFDwCLT</vt:lpwstr>
  </op:property>
  <op:property fmtid="{D5CDD505-2E9C-101B-9397-08002B2CF9AE}" pid="11" name="_IPGFLOW_P-BC3F_E-0_FP-2_CV-60DDE677_CN-2E2A7599">
    <vt:lpwstr>DPSPMK|3|448|2|0</vt:lpwstr>
  </op:property>
</op:Properties>
</file>