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41E83">
      <w:pPr>
        <w:pStyle w:val="20"/>
        <w:jc w:val="center"/>
        <w:outlineLvl w:val="0"/>
        <w:rPr>
          <w:rFonts w:ascii="黑体" w:hAnsi="黑体" w:eastAsia="黑体"/>
          <w:b/>
          <w:sz w:val="48"/>
          <w:szCs w:val="48"/>
        </w:rPr>
      </w:pPr>
      <w:bookmarkStart w:id="0" w:name="_Toc46811814"/>
    </w:p>
    <w:p w14:paraId="530273BD">
      <w:pPr>
        <w:pStyle w:val="20"/>
        <w:jc w:val="center"/>
        <w:outlineLvl w:val="0"/>
        <w:rPr>
          <w:rFonts w:hint="eastAsia" w:ascii="黑体" w:hAnsi="黑体" w:eastAsia="黑体"/>
          <w:b/>
          <w:sz w:val="48"/>
          <w:szCs w:val="48"/>
          <w:lang w:eastAsia="zh-CN"/>
        </w:rPr>
      </w:pPr>
      <w:bookmarkStart w:id="1" w:name="_Toc177120547"/>
      <w:r>
        <w:rPr>
          <w:rFonts w:hint="eastAsia" w:ascii="黑体" w:hAnsi="黑体" w:eastAsia="黑体"/>
          <w:b/>
          <w:sz w:val="48"/>
          <w:szCs w:val="48"/>
        </w:rPr>
        <w:t>广州设计之都嘉禾片区项目</w:t>
      </w:r>
      <w:bookmarkEnd w:id="1"/>
      <w:r>
        <w:rPr>
          <w:rFonts w:hint="eastAsia" w:ascii="黑体" w:hAnsi="黑体" w:eastAsia="黑体"/>
          <w:b/>
          <w:sz w:val="48"/>
          <w:szCs w:val="48"/>
          <w:lang w:eastAsia="zh-CN"/>
        </w:rPr>
        <w:t>三期</w:t>
      </w:r>
    </w:p>
    <w:p w14:paraId="5BE75FE1">
      <w:pPr>
        <w:pStyle w:val="20"/>
        <w:spacing w:after="2184" w:afterLines="700"/>
        <w:jc w:val="center"/>
        <w:outlineLvl w:val="0"/>
        <w:rPr>
          <w:rFonts w:ascii="黑体" w:hAnsi="黑体" w:eastAsia="黑体"/>
          <w:b/>
          <w:sz w:val="48"/>
          <w:szCs w:val="48"/>
        </w:rPr>
      </w:pPr>
      <w:bookmarkStart w:id="2" w:name="_Toc177120548"/>
      <w:r>
        <w:rPr>
          <w:rFonts w:hint="eastAsia" w:ascii="黑体" w:hAnsi="黑体" w:eastAsia="黑体"/>
          <w:b/>
          <w:sz w:val="48"/>
          <w:szCs w:val="48"/>
        </w:rPr>
        <w:t>监理服务合同</w:t>
      </w:r>
      <w:bookmarkEnd w:id="2"/>
    </w:p>
    <w:p w14:paraId="245DF9E9">
      <w:pPr>
        <w:pStyle w:val="20"/>
        <w:tabs>
          <w:tab w:val="left" w:pos="2268"/>
        </w:tabs>
        <w:spacing w:before="312" w:beforeLines="100"/>
        <w:ind w:left="424" w:leftChars="202"/>
        <w:jc w:val="left"/>
        <w:rPr>
          <w:rFonts w:hAnsi="宋体" w:eastAsia="黑体"/>
          <w:b/>
          <w:sz w:val="28"/>
          <w:szCs w:val="28"/>
        </w:rPr>
      </w:pPr>
    </w:p>
    <w:p w14:paraId="13C8C4DB">
      <w:pPr>
        <w:pStyle w:val="20"/>
        <w:tabs>
          <w:tab w:val="left" w:pos="2268"/>
        </w:tabs>
        <w:spacing w:before="312" w:beforeLines="100"/>
        <w:ind w:left="424" w:leftChars="202"/>
        <w:jc w:val="left"/>
        <w:rPr>
          <w:rFonts w:hAnsi="宋体" w:eastAsia="黑体"/>
          <w:sz w:val="28"/>
          <w:szCs w:val="28"/>
        </w:rPr>
      </w:pPr>
      <w:r>
        <w:rPr>
          <w:rFonts w:hint="eastAsia" w:hAnsi="宋体" w:eastAsia="黑体"/>
          <w:b/>
          <w:sz w:val="28"/>
          <w:szCs w:val="28"/>
        </w:rPr>
        <w:t>项目名称</w:t>
      </w:r>
      <w:r>
        <w:rPr>
          <w:rFonts w:hint="eastAsia" w:hAnsi="宋体" w:eastAsia="黑体"/>
          <w:sz w:val="28"/>
          <w:szCs w:val="28"/>
        </w:rPr>
        <w:t>：</w:t>
      </w:r>
      <w:r>
        <w:rPr>
          <w:rFonts w:hint="eastAsia" w:hAnsi="宋体" w:eastAsia="黑体"/>
          <w:sz w:val="28"/>
          <w:szCs w:val="28"/>
          <w:u w:val="single"/>
        </w:rPr>
        <w:t>广州设计之都嘉禾片区项目</w:t>
      </w:r>
      <w:r>
        <w:rPr>
          <w:rFonts w:hint="eastAsia" w:hAnsi="宋体" w:eastAsia="黑体"/>
          <w:sz w:val="28"/>
          <w:szCs w:val="28"/>
          <w:u w:val="single"/>
          <w:lang w:eastAsia="zh-CN"/>
        </w:rPr>
        <w:t>三期</w:t>
      </w:r>
      <w:r>
        <w:rPr>
          <w:rFonts w:hint="eastAsia" w:hAnsi="宋体" w:eastAsia="黑体"/>
          <w:sz w:val="28"/>
          <w:szCs w:val="28"/>
          <w:u w:val="single"/>
        </w:rPr>
        <w:t xml:space="preserve">                                 </w:t>
      </w:r>
    </w:p>
    <w:p w14:paraId="4672A1D8">
      <w:pPr>
        <w:pStyle w:val="20"/>
        <w:tabs>
          <w:tab w:val="left" w:pos="2268"/>
        </w:tabs>
        <w:ind w:left="424" w:leftChars="202"/>
        <w:jc w:val="left"/>
        <w:rPr>
          <w:rFonts w:hAnsi="宋体" w:eastAsia="黑体"/>
          <w:sz w:val="28"/>
          <w:szCs w:val="28"/>
        </w:rPr>
      </w:pPr>
      <w:r>
        <w:rPr>
          <w:rFonts w:hint="eastAsia" w:hAnsi="宋体" w:eastAsia="黑体"/>
          <w:b/>
          <w:sz w:val="28"/>
          <w:szCs w:val="28"/>
        </w:rPr>
        <w:t>项目地点</w:t>
      </w:r>
      <w:r>
        <w:rPr>
          <w:rFonts w:hint="eastAsia" w:hAnsi="宋体" w:eastAsia="黑体"/>
          <w:sz w:val="28"/>
          <w:szCs w:val="28"/>
        </w:rPr>
        <w:t>：</w:t>
      </w:r>
      <w:r>
        <w:rPr>
          <w:rFonts w:hint="eastAsia" w:hAnsi="宋体" w:eastAsia="黑体"/>
          <w:sz w:val="28"/>
          <w:szCs w:val="28"/>
          <w:u w:val="single"/>
        </w:rPr>
        <w:t xml:space="preserve">广州市白云区 </w:t>
      </w:r>
      <w:r>
        <w:rPr>
          <w:rFonts w:hint="eastAsia" w:eastAsia="黑体"/>
          <w:sz w:val="28"/>
          <w:szCs w:val="28"/>
          <w:u w:val="single"/>
        </w:rPr>
        <w:t xml:space="preserve">                                        </w:t>
      </w:r>
      <w:r>
        <w:rPr>
          <w:rFonts w:hint="eastAsia" w:hAnsi="宋体" w:eastAsia="黑体"/>
          <w:sz w:val="28"/>
          <w:szCs w:val="28"/>
          <w:u w:val="single"/>
        </w:rPr>
        <w:t xml:space="preserve"> </w:t>
      </w:r>
    </w:p>
    <w:p w14:paraId="57BEFDA5">
      <w:pPr>
        <w:pStyle w:val="20"/>
        <w:tabs>
          <w:tab w:val="left" w:pos="2268"/>
        </w:tabs>
        <w:spacing w:before="312" w:beforeLines="100"/>
        <w:ind w:left="424" w:leftChars="202"/>
        <w:jc w:val="left"/>
        <w:rPr>
          <w:rFonts w:hAnsi="宋体" w:eastAsia="黑体"/>
          <w:sz w:val="28"/>
          <w:szCs w:val="28"/>
        </w:rPr>
      </w:pPr>
      <w:r>
        <w:rPr>
          <w:rFonts w:hint="eastAsia" w:hAnsi="宋体" w:eastAsia="黑体"/>
          <w:b/>
          <w:sz w:val="28"/>
          <w:szCs w:val="28"/>
        </w:rPr>
        <w:t>建设单位（甲方）</w:t>
      </w:r>
      <w:r>
        <w:rPr>
          <w:rFonts w:hint="eastAsia" w:hAnsi="宋体" w:eastAsia="黑体"/>
          <w:sz w:val="28"/>
          <w:szCs w:val="28"/>
        </w:rPr>
        <w:t>：</w:t>
      </w:r>
      <w:r>
        <w:rPr>
          <w:rFonts w:hint="eastAsia" w:hAnsi="宋体" w:eastAsia="黑体"/>
          <w:sz w:val="28"/>
          <w:szCs w:val="28"/>
          <w:u w:val="single"/>
        </w:rPr>
        <w:t>广州设计之都建设投资开发有限公司</w:t>
      </w:r>
      <w:r>
        <w:rPr>
          <w:rFonts w:hint="eastAsia" w:hAnsi="宋体"/>
          <w:sz w:val="28"/>
          <w:szCs w:val="28"/>
          <w:u w:val="single"/>
        </w:rPr>
        <w:t> </w:t>
      </w:r>
      <w:r>
        <w:rPr>
          <w:rFonts w:hint="eastAsia" w:hAnsi="宋体" w:eastAsia="黑体"/>
          <w:sz w:val="28"/>
          <w:szCs w:val="28"/>
          <w:u w:val="single"/>
        </w:rPr>
        <w:t xml:space="preserve">                                     </w:t>
      </w:r>
    </w:p>
    <w:p w14:paraId="519A31E3">
      <w:pPr>
        <w:pStyle w:val="20"/>
        <w:tabs>
          <w:tab w:val="left" w:pos="2268"/>
        </w:tabs>
        <w:ind w:left="424" w:leftChars="202"/>
        <w:jc w:val="left"/>
        <w:rPr>
          <w:rFonts w:hAnsi="宋体" w:eastAsia="黑体"/>
          <w:sz w:val="28"/>
          <w:szCs w:val="28"/>
        </w:rPr>
      </w:pPr>
      <w:r>
        <w:rPr>
          <w:rFonts w:hint="eastAsia" w:hAnsi="宋体" w:eastAsia="黑体"/>
          <w:b/>
          <w:sz w:val="28"/>
          <w:szCs w:val="28"/>
        </w:rPr>
        <w:t>建设单位合同编号</w:t>
      </w:r>
      <w:r>
        <w:rPr>
          <w:rFonts w:hint="eastAsia" w:hAnsi="宋体" w:eastAsia="黑体"/>
          <w:sz w:val="28"/>
          <w:szCs w:val="28"/>
        </w:rPr>
        <w:t>：</w:t>
      </w:r>
      <w:r>
        <w:rPr>
          <w:rFonts w:hint="eastAsia" w:hAnsi="宋体" w:eastAsia="黑体"/>
          <w:sz w:val="28"/>
          <w:szCs w:val="28"/>
          <w:u w:val="single"/>
        </w:rPr>
        <w:t xml:space="preserve">                                         </w:t>
      </w:r>
    </w:p>
    <w:p w14:paraId="3F5E2716">
      <w:pPr>
        <w:pStyle w:val="20"/>
        <w:tabs>
          <w:tab w:val="left" w:pos="2268"/>
        </w:tabs>
        <w:spacing w:before="312" w:beforeLines="100"/>
        <w:ind w:left="424" w:leftChars="202"/>
        <w:jc w:val="left"/>
        <w:rPr>
          <w:rFonts w:hAnsi="宋体" w:eastAsia="黑体"/>
          <w:sz w:val="28"/>
          <w:szCs w:val="28"/>
        </w:rPr>
      </w:pPr>
      <w:r>
        <w:rPr>
          <w:rFonts w:hint="eastAsia" w:hAnsi="宋体" w:eastAsia="黑体"/>
          <w:b/>
          <w:sz w:val="28"/>
          <w:szCs w:val="28"/>
        </w:rPr>
        <w:t>建设管理单位（乙方）</w:t>
      </w:r>
      <w:r>
        <w:rPr>
          <w:rFonts w:hint="eastAsia" w:hAnsi="宋体" w:eastAsia="黑体"/>
          <w:sz w:val="28"/>
          <w:szCs w:val="28"/>
        </w:rPr>
        <w:t>：</w:t>
      </w:r>
      <w:r>
        <w:rPr>
          <w:rFonts w:hint="eastAsia" w:hAnsi="宋体" w:eastAsia="黑体"/>
          <w:sz w:val="28"/>
          <w:szCs w:val="28"/>
          <w:u w:val="single"/>
        </w:rPr>
        <w:t xml:space="preserve">                   </w:t>
      </w:r>
    </w:p>
    <w:p w14:paraId="279E7603">
      <w:pPr>
        <w:pStyle w:val="20"/>
        <w:tabs>
          <w:tab w:val="left" w:pos="2268"/>
        </w:tabs>
        <w:ind w:left="424" w:leftChars="202"/>
        <w:jc w:val="left"/>
        <w:rPr>
          <w:rFonts w:hAnsi="宋体" w:eastAsia="黑体"/>
          <w:sz w:val="28"/>
          <w:szCs w:val="28"/>
        </w:rPr>
      </w:pPr>
      <w:r>
        <w:rPr>
          <w:rFonts w:hint="eastAsia" w:hAnsi="宋体" w:eastAsia="黑体"/>
          <w:b/>
          <w:sz w:val="28"/>
          <w:szCs w:val="28"/>
        </w:rPr>
        <w:t>建设管理单位合同编号</w:t>
      </w:r>
      <w:r>
        <w:rPr>
          <w:rFonts w:hint="eastAsia" w:hAnsi="宋体" w:eastAsia="黑体"/>
          <w:sz w:val="28"/>
          <w:szCs w:val="28"/>
        </w:rPr>
        <w:t>：</w:t>
      </w:r>
      <w:r>
        <w:rPr>
          <w:rFonts w:hAnsi="宋体" w:eastAsia="黑体"/>
          <w:sz w:val="28"/>
          <w:szCs w:val="28"/>
          <w:u w:val="single"/>
        </w:rPr>
        <w:t xml:space="preserve">      </w:t>
      </w:r>
      <w:r>
        <w:rPr>
          <w:rFonts w:hint="eastAsia" w:hAnsi="宋体" w:eastAsia="黑体"/>
          <w:sz w:val="28"/>
          <w:szCs w:val="28"/>
          <w:u w:val="single"/>
        </w:rPr>
        <w:t xml:space="preserve">         </w:t>
      </w:r>
    </w:p>
    <w:p w14:paraId="53519FE4">
      <w:pPr>
        <w:pStyle w:val="20"/>
        <w:tabs>
          <w:tab w:val="left" w:pos="2268"/>
          <w:tab w:val="left" w:pos="2410"/>
        </w:tabs>
        <w:spacing w:before="312" w:beforeLines="100"/>
        <w:ind w:left="424" w:leftChars="202"/>
        <w:jc w:val="left"/>
        <w:rPr>
          <w:rFonts w:hAnsi="宋体" w:eastAsia="黑体"/>
          <w:sz w:val="28"/>
          <w:szCs w:val="28"/>
          <w:u w:val="single"/>
        </w:rPr>
      </w:pPr>
      <w:r>
        <w:rPr>
          <w:rFonts w:hint="eastAsia" w:hAnsi="宋体" w:eastAsia="黑体"/>
          <w:b/>
          <w:sz w:val="28"/>
          <w:szCs w:val="28"/>
        </w:rPr>
        <w:t>监理单位（丙方）</w:t>
      </w:r>
      <w:r>
        <w:rPr>
          <w:rFonts w:hint="eastAsia" w:hAnsi="宋体" w:eastAsia="黑体"/>
          <w:sz w:val="28"/>
          <w:szCs w:val="28"/>
        </w:rPr>
        <w:t>：</w:t>
      </w:r>
      <w:r>
        <w:rPr>
          <w:rFonts w:hAnsi="宋体" w:eastAsia="黑体"/>
          <w:sz w:val="28"/>
          <w:szCs w:val="28"/>
          <w:u w:val="single"/>
        </w:rPr>
        <w:t xml:space="preserve">                 </w:t>
      </w:r>
    </w:p>
    <w:p w14:paraId="1FA8CC56">
      <w:pPr>
        <w:pStyle w:val="20"/>
        <w:tabs>
          <w:tab w:val="left" w:pos="2268"/>
        </w:tabs>
        <w:ind w:left="424" w:leftChars="202"/>
        <w:jc w:val="left"/>
        <w:rPr>
          <w:rFonts w:hAnsi="宋体" w:eastAsia="黑体"/>
          <w:sz w:val="28"/>
          <w:szCs w:val="28"/>
        </w:rPr>
      </w:pPr>
      <w:r>
        <w:rPr>
          <w:rFonts w:hint="eastAsia" w:hAnsi="宋体" w:eastAsia="黑体"/>
          <w:b/>
          <w:sz w:val="28"/>
          <w:szCs w:val="28"/>
        </w:rPr>
        <w:t>监理单位合同编号</w:t>
      </w:r>
      <w:r>
        <w:rPr>
          <w:rFonts w:hint="eastAsia" w:hAnsi="宋体" w:eastAsia="黑体"/>
          <w:sz w:val="28"/>
          <w:szCs w:val="28"/>
        </w:rPr>
        <w:t>：</w:t>
      </w:r>
      <w:r>
        <w:rPr>
          <w:rFonts w:hint="eastAsia" w:hAnsi="宋体" w:eastAsia="黑体"/>
          <w:sz w:val="28"/>
          <w:szCs w:val="28"/>
          <w:u w:val="single"/>
        </w:rPr>
        <w:t xml:space="preserve">                                         </w:t>
      </w:r>
    </w:p>
    <w:p w14:paraId="5188C9EF">
      <w:pPr>
        <w:pStyle w:val="20"/>
        <w:tabs>
          <w:tab w:val="left" w:pos="2268"/>
        </w:tabs>
        <w:spacing w:before="312" w:beforeLines="100"/>
        <w:ind w:left="424" w:leftChars="202"/>
        <w:jc w:val="left"/>
        <w:rPr>
          <w:rFonts w:hAnsi="宋体" w:eastAsia="黑体"/>
          <w:sz w:val="28"/>
          <w:szCs w:val="28"/>
        </w:rPr>
      </w:pPr>
      <w:r>
        <w:rPr>
          <w:rFonts w:hint="eastAsia" w:hAnsi="宋体" w:eastAsia="黑体"/>
          <w:b/>
          <w:sz w:val="28"/>
          <w:szCs w:val="28"/>
        </w:rPr>
        <w:t>签订地点</w:t>
      </w:r>
      <w:r>
        <w:rPr>
          <w:rFonts w:hint="eastAsia" w:hAnsi="宋体" w:eastAsia="黑体"/>
          <w:sz w:val="28"/>
          <w:szCs w:val="28"/>
        </w:rPr>
        <w:t>：</w:t>
      </w:r>
      <w:r>
        <w:rPr>
          <w:rFonts w:hint="eastAsia" w:hAnsi="宋体" w:eastAsia="黑体"/>
          <w:sz w:val="28"/>
          <w:szCs w:val="28"/>
          <w:u w:val="single"/>
        </w:rPr>
        <w:t xml:space="preserve">中国广东省广州市白云区                             </w:t>
      </w:r>
    </w:p>
    <w:p w14:paraId="4E2994DF">
      <w:pPr>
        <w:pStyle w:val="20"/>
        <w:tabs>
          <w:tab w:val="left" w:pos="2268"/>
        </w:tabs>
        <w:ind w:left="424" w:leftChars="202"/>
        <w:jc w:val="left"/>
        <w:rPr>
          <w:rFonts w:eastAsia="黑体"/>
        </w:rPr>
      </w:pPr>
      <w:r>
        <w:rPr>
          <w:rFonts w:hint="eastAsia" w:hAnsi="宋体" w:eastAsia="黑体"/>
          <w:b/>
          <w:sz w:val="28"/>
          <w:szCs w:val="28"/>
        </w:rPr>
        <w:t>签订日期</w:t>
      </w:r>
      <w:r>
        <w:rPr>
          <w:rFonts w:hint="eastAsia" w:hAnsi="宋体" w:eastAsia="黑体"/>
          <w:sz w:val="28"/>
          <w:szCs w:val="28"/>
        </w:rPr>
        <w:t>：</w:t>
      </w:r>
      <w:r>
        <w:rPr>
          <w:rFonts w:hint="eastAsia" w:hAnsi="宋体" w:eastAsia="黑体"/>
          <w:sz w:val="28"/>
          <w:szCs w:val="28"/>
          <w:u w:val="single"/>
        </w:rPr>
        <w:t xml:space="preserve"> </w:t>
      </w:r>
      <w:r>
        <w:rPr>
          <w:rFonts w:hint="eastAsia" w:hAnsi="宋体" w:eastAsia="黑体"/>
          <w:sz w:val="28"/>
          <w:szCs w:val="28"/>
          <w:u w:val="single"/>
          <w:lang w:val="en-US" w:eastAsia="zh-CN"/>
        </w:rPr>
        <w:t xml:space="preserve">     </w:t>
      </w:r>
      <w:r>
        <w:rPr>
          <w:rFonts w:hint="eastAsia" w:hAnsi="宋体" w:eastAsia="黑体"/>
          <w:sz w:val="28"/>
          <w:szCs w:val="28"/>
          <w:u w:val="single"/>
        </w:rPr>
        <w:t xml:space="preserve"> 年     月     日                            </w:t>
      </w:r>
    </w:p>
    <w:p w14:paraId="29887C78">
      <w:pPr>
        <w:pStyle w:val="20"/>
        <w:spacing w:line="360" w:lineRule="auto"/>
        <w:rPr>
          <w:rFonts w:ascii="仿宋_GB2312" w:eastAsia="仿宋_GB2312"/>
          <w:b/>
          <w:sz w:val="48"/>
          <w:szCs w:val="48"/>
        </w:rPr>
      </w:pPr>
    </w:p>
    <w:p w14:paraId="21B20B26">
      <w:pPr>
        <w:pStyle w:val="20"/>
        <w:spacing w:line="360" w:lineRule="auto"/>
        <w:jc w:val="center"/>
        <w:rPr>
          <w:rFonts w:hAnsi="宋体"/>
          <w:b/>
          <w:sz w:val="28"/>
          <w:szCs w:val="28"/>
        </w:rPr>
      </w:pPr>
    </w:p>
    <w:p w14:paraId="7EDDCB8C">
      <w:pPr>
        <w:pStyle w:val="20"/>
        <w:spacing w:line="360" w:lineRule="auto"/>
        <w:jc w:val="center"/>
        <w:rPr>
          <w:rFonts w:hAnsi="宋体"/>
          <w:b/>
          <w:sz w:val="28"/>
          <w:szCs w:val="28"/>
        </w:rPr>
        <w:sectPr>
          <w:headerReference r:id="rId5" w:type="default"/>
          <w:footerReference r:id="rId6" w:type="default"/>
          <w:footerReference r:id="rId7" w:type="even"/>
          <w:pgSz w:w="11906" w:h="16838"/>
          <w:pgMar w:top="1361" w:right="1701" w:bottom="1361" w:left="1701" w:header="851" w:footer="992" w:gutter="0"/>
          <w:pgNumType w:start="0"/>
          <w:cols w:space="720" w:num="1"/>
          <w:titlePg/>
          <w:docGrid w:type="lines" w:linePitch="312" w:charSpace="0"/>
        </w:sectPr>
      </w:pPr>
    </w:p>
    <w:p w14:paraId="2AB519FD">
      <w:pPr>
        <w:pStyle w:val="20"/>
        <w:spacing w:line="360" w:lineRule="auto"/>
        <w:jc w:val="center"/>
        <w:rPr>
          <w:rFonts w:hAnsi="宋体"/>
          <w:b/>
          <w:sz w:val="28"/>
          <w:szCs w:val="28"/>
        </w:rPr>
      </w:pPr>
      <w:bookmarkStart w:id="23" w:name="_GoBack"/>
      <w:bookmarkEnd w:id="23"/>
    </w:p>
    <w:sdt>
      <w:sdtPr>
        <w:rPr>
          <w:kern w:val="0"/>
          <w:szCs w:val="20"/>
        </w:rPr>
        <w:id w:val="196512716"/>
        <w:docPartObj>
          <w:docPartGallery w:val="Table of Contents"/>
          <w:docPartUnique/>
        </w:docPartObj>
      </w:sdtPr>
      <w:sdtEndPr>
        <w:rPr>
          <w:kern w:val="0"/>
          <w:szCs w:val="20"/>
        </w:rPr>
      </w:sdtEndPr>
      <w:sdtContent>
        <w:p w14:paraId="48218C2F">
          <w:pPr>
            <w:pStyle w:val="27"/>
            <w:jc w:val="center"/>
            <w:rPr>
              <w:rFonts w:asciiTheme="minorHAnsi" w:hAnsiTheme="minorHAnsi" w:eastAsiaTheme="minorEastAsia" w:cstheme="minorBidi"/>
              <w:szCs w:val="22"/>
            </w:rPr>
          </w:pPr>
          <w:r>
            <w:rPr>
              <w:rFonts w:hint="eastAsia"/>
              <w:sz w:val="24"/>
              <w:lang w:val="zh-CN"/>
            </w:rPr>
            <w:t xml:space="preserve">目 </w:t>
          </w:r>
          <w:r>
            <w:rPr>
              <w:sz w:val="24"/>
              <w:lang w:val="zh-CN"/>
            </w:rPr>
            <w:t xml:space="preserve">    </w:t>
          </w:r>
          <w:r>
            <w:rPr>
              <w:rFonts w:hint="eastAsia"/>
              <w:sz w:val="24"/>
              <w:lang w:val="zh-CN"/>
            </w:rPr>
            <w:t>录</w:t>
          </w:r>
          <w:r>
            <w:rPr>
              <w:lang w:val="zh-CN"/>
            </w:rPr>
            <w:fldChar w:fldCharType="begin"/>
          </w:r>
          <w:r>
            <w:rPr>
              <w:lang w:val="zh-CN"/>
            </w:rPr>
            <w:instrText xml:space="preserve"> TOC \o "1-3" \h \z \u </w:instrText>
          </w:r>
          <w:r>
            <w:rPr>
              <w:lang w:val="zh-CN"/>
            </w:rPr>
            <w:fldChar w:fldCharType="separate"/>
          </w:r>
        </w:p>
        <w:p w14:paraId="2E665FD8">
          <w:pPr>
            <w:pStyle w:val="27"/>
            <w:rPr>
              <w:rFonts w:asciiTheme="minorHAnsi" w:hAnsiTheme="minorHAnsi" w:eastAsiaTheme="minorEastAsia" w:cstheme="minorBidi"/>
              <w:szCs w:val="22"/>
            </w:rPr>
          </w:pPr>
          <w:r>
            <w:fldChar w:fldCharType="begin"/>
          </w:r>
          <w:r>
            <w:instrText xml:space="preserve"> HYPERLINK \l "_Toc177120549" </w:instrText>
          </w:r>
          <w:r>
            <w:fldChar w:fldCharType="separate"/>
          </w:r>
          <w:r>
            <w:rPr>
              <w:rStyle w:val="44"/>
            </w:rPr>
            <w:t>第一部分 协议书</w:t>
          </w:r>
          <w:r>
            <w:tab/>
          </w:r>
          <w:r>
            <w:fldChar w:fldCharType="begin"/>
          </w:r>
          <w:r>
            <w:instrText xml:space="preserve"> PAGEREF _Toc177120549 \h </w:instrText>
          </w:r>
          <w:r>
            <w:fldChar w:fldCharType="separate"/>
          </w:r>
          <w:r>
            <w:t>1</w:t>
          </w:r>
          <w:r>
            <w:fldChar w:fldCharType="end"/>
          </w:r>
          <w:r>
            <w:fldChar w:fldCharType="end"/>
          </w:r>
        </w:p>
        <w:p w14:paraId="0772BE9F">
          <w:pPr>
            <w:pStyle w:val="27"/>
            <w:rPr>
              <w:rFonts w:asciiTheme="minorHAnsi" w:hAnsiTheme="minorHAnsi" w:eastAsiaTheme="minorEastAsia" w:cstheme="minorBidi"/>
              <w:szCs w:val="22"/>
            </w:rPr>
          </w:pPr>
          <w:r>
            <w:fldChar w:fldCharType="begin"/>
          </w:r>
          <w:r>
            <w:instrText xml:space="preserve"> HYPERLINK \l "_Toc177120550" </w:instrText>
          </w:r>
          <w:r>
            <w:fldChar w:fldCharType="separate"/>
          </w:r>
          <w:r>
            <w:rPr>
              <w:rStyle w:val="44"/>
            </w:rPr>
            <w:t>第二部分 标准条件</w:t>
          </w:r>
          <w:r>
            <w:tab/>
          </w:r>
          <w:r>
            <w:fldChar w:fldCharType="begin"/>
          </w:r>
          <w:r>
            <w:instrText xml:space="preserve"> PAGEREF _Toc177120550 \h </w:instrText>
          </w:r>
          <w:r>
            <w:fldChar w:fldCharType="separate"/>
          </w:r>
          <w:r>
            <w:t>6</w:t>
          </w:r>
          <w:r>
            <w:fldChar w:fldCharType="end"/>
          </w:r>
          <w:r>
            <w:fldChar w:fldCharType="end"/>
          </w:r>
        </w:p>
        <w:p w14:paraId="5C2020A1">
          <w:pPr>
            <w:pStyle w:val="27"/>
            <w:rPr>
              <w:rFonts w:asciiTheme="minorHAnsi" w:hAnsiTheme="minorHAnsi" w:eastAsiaTheme="minorEastAsia" w:cstheme="minorBidi"/>
              <w:szCs w:val="22"/>
            </w:rPr>
          </w:pPr>
          <w:r>
            <w:fldChar w:fldCharType="begin"/>
          </w:r>
          <w:r>
            <w:instrText xml:space="preserve"> HYPERLINK \l "_Toc177120551" </w:instrText>
          </w:r>
          <w:r>
            <w:fldChar w:fldCharType="separate"/>
          </w:r>
          <w:r>
            <w:rPr>
              <w:rStyle w:val="44"/>
            </w:rPr>
            <w:t>第三部分 专用条件</w:t>
          </w:r>
          <w:r>
            <w:tab/>
          </w:r>
          <w:r>
            <w:fldChar w:fldCharType="begin"/>
          </w:r>
          <w:r>
            <w:instrText xml:space="preserve"> PAGEREF _Toc177120551 \h </w:instrText>
          </w:r>
          <w:r>
            <w:fldChar w:fldCharType="separate"/>
          </w:r>
          <w:r>
            <w:t>13</w:t>
          </w:r>
          <w:r>
            <w:fldChar w:fldCharType="end"/>
          </w:r>
          <w:r>
            <w:fldChar w:fldCharType="end"/>
          </w:r>
        </w:p>
        <w:p w14:paraId="1A84FE06">
          <w:pPr>
            <w:pStyle w:val="27"/>
            <w:rPr>
              <w:rFonts w:asciiTheme="minorHAnsi" w:hAnsiTheme="minorHAnsi" w:eastAsiaTheme="minorEastAsia" w:cstheme="minorBidi"/>
              <w:szCs w:val="22"/>
            </w:rPr>
          </w:pPr>
          <w:r>
            <w:fldChar w:fldCharType="begin"/>
          </w:r>
          <w:r>
            <w:instrText xml:space="preserve"> HYPERLINK \l "_Toc177120552" </w:instrText>
          </w:r>
          <w:r>
            <w:fldChar w:fldCharType="separate"/>
          </w:r>
          <w:r>
            <w:rPr>
              <w:rStyle w:val="44"/>
            </w:rPr>
            <w:t>附件1：</w:t>
          </w:r>
          <w:r>
            <w:rPr>
              <w:rStyle w:val="44"/>
              <w:rFonts w:ascii="宋体" w:hAnsi="宋体"/>
            </w:rPr>
            <w:t>项目监理机构人员架构表</w:t>
          </w:r>
          <w:r>
            <w:tab/>
          </w:r>
          <w:r>
            <w:fldChar w:fldCharType="begin"/>
          </w:r>
          <w:r>
            <w:instrText xml:space="preserve"> PAGEREF _Toc177120552 \h </w:instrText>
          </w:r>
          <w:r>
            <w:fldChar w:fldCharType="separate"/>
          </w:r>
          <w:r>
            <w:t>27</w:t>
          </w:r>
          <w:r>
            <w:fldChar w:fldCharType="end"/>
          </w:r>
          <w:r>
            <w:fldChar w:fldCharType="end"/>
          </w:r>
        </w:p>
        <w:p w14:paraId="47DE2C4F">
          <w:pPr>
            <w:pStyle w:val="27"/>
            <w:rPr>
              <w:rFonts w:asciiTheme="minorHAnsi" w:hAnsiTheme="minorHAnsi" w:eastAsiaTheme="minorEastAsia" w:cstheme="minorBidi"/>
              <w:szCs w:val="22"/>
            </w:rPr>
          </w:pPr>
          <w:r>
            <w:fldChar w:fldCharType="begin"/>
          </w:r>
          <w:r>
            <w:instrText xml:space="preserve"> HYPERLINK \l "_Toc177120553" </w:instrText>
          </w:r>
          <w:r>
            <w:fldChar w:fldCharType="separate"/>
          </w:r>
          <w:r>
            <w:rPr>
              <w:rStyle w:val="44"/>
            </w:rPr>
            <w:t>附件2：工程质量责任合同</w:t>
          </w:r>
          <w:r>
            <w:tab/>
          </w:r>
          <w:r>
            <w:fldChar w:fldCharType="begin"/>
          </w:r>
          <w:r>
            <w:instrText xml:space="preserve"> PAGEREF _Toc177120553 \h </w:instrText>
          </w:r>
          <w:r>
            <w:fldChar w:fldCharType="separate"/>
          </w:r>
          <w:r>
            <w:t>28</w:t>
          </w:r>
          <w:r>
            <w:fldChar w:fldCharType="end"/>
          </w:r>
          <w:r>
            <w:fldChar w:fldCharType="end"/>
          </w:r>
        </w:p>
        <w:p w14:paraId="7AD5F0CB">
          <w:pPr>
            <w:pStyle w:val="27"/>
            <w:rPr>
              <w:rFonts w:asciiTheme="minorHAnsi" w:hAnsiTheme="minorHAnsi" w:eastAsiaTheme="minorEastAsia" w:cstheme="minorBidi"/>
              <w:szCs w:val="22"/>
            </w:rPr>
          </w:pPr>
          <w:r>
            <w:fldChar w:fldCharType="begin"/>
          </w:r>
          <w:r>
            <w:instrText xml:space="preserve"> HYPERLINK \l "_Toc177120554" </w:instrText>
          </w:r>
          <w:r>
            <w:fldChar w:fldCharType="separate"/>
          </w:r>
          <w:r>
            <w:rPr>
              <w:rStyle w:val="44"/>
            </w:rPr>
            <w:t>附件3：安全生产文明施工协议</w:t>
          </w:r>
          <w:r>
            <w:tab/>
          </w:r>
          <w:r>
            <w:fldChar w:fldCharType="begin"/>
          </w:r>
          <w:r>
            <w:instrText xml:space="preserve"> PAGEREF _Toc177120554 \h </w:instrText>
          </w:r>
          <w:r>
            <w:fldChar w:fldCharType="separate"/>
          </w:r>
          <w:r>
            <w:t>31</w:t>
          </w:r>
          <w:r>
            <w:fldChar w:fldCharType="end"/>
          </w:r>
          <w:r>
            <w:fldChar w:fldCharType="end"/>
          </w:r>
        </w:p>
        <w:p w14:paraId="4F947CF1">
          <w:pPr>
            <w:pStyle w:val="27"/>
            <w:rPr>
              <w:rFonts w:asciiTheme="minorHAnsi" w:hAnsiTheme="minorHAnsi" w:eastAsiaTheme="minorEastAsia" w:cstheme="minorBidi"/>
              <w:szCs w:val="22"/>
            </w:rPr>
          </w:pPr>
          <w:r>
            <w:fldChar w:fldCharType="begin"/>
          </w:r>
          <w:r>
            <w:instrText xml:space="preserve"> HYPERLINK \l "_Toc177120555" </w:instrText>
          </w:r>
          <w:r>
            <w:fldChar w:fldCharType="separate"/>
          </w:r>
          <w:r>
            <w:rPr>
              <w:rStyle w:val="44"/>
            </w:rPr>
            <w:t>附件4：</w:t>
          </w:r>
          <w:r>
            <w:rPr>
              <w:rStyle w:val="44"/>
              <w:rFonts w:ascii="宋体"/>
            </w:rPr>
            <w:t>廉 政 合 同</w:t>
          </w:r>
          <w:r>
            <w:tab/>
          </w:r>
          <w:r>
            <w:fldChar w:fldCharType="begin"/>
          </w:r>
          <w:r>
            <w:instrText xml:space="preserve"> PAGEREF _Toc177120555 \h </w:instrText>
          </w:r>
          <w:r>
            <w:fldChar w:fldCharType="separate"/>
          </w:r>
          <w:r>
            <w:t>34</w:t>
          </w:r>
          <w:r>
            <w:fldChar w:fldCharType="end"/>
          </w:r>
          <w:r>
            <w:fldChar w:fldCharType="end"/>
          </w:r>
        </w:p>
        <w:p w14:paraId="3E129BD5">
          <w:pPr>
            <w:pStyle w:val="27"/>
            <w:rPr>
              <w:rFonts w:asciiTheme="minorHAnsi" w:hAnsiTheme="minorHAnsi" w:eastAsiaTheme="minorEastAsia" w:cstheme="minorBidi"/>
              <w:szCs w:val="22"/>
            </w:rPr>
          </w:pPr>
          <w:r>
            <w:fldChar w:fldCharType="begin"/>
          </w:r>
          <w:r>
            <w:instrText xml:space="preserve"> HYPERLINK \l "_Toc177120556" </w:instrText>
          </w:r>
          <w:r>
            <w:fldChar w:fldCharType="separate"/>
          </w:r>
          <w:r>
            <w:rPr>
              <w:rStyle w:val="44"/>
            </w:rPr>
            <w:t>附件5：中标通知书</w:t>
          </w:r>
          <w:r>
            <w:tab/>
          </w:r>
          <w:r>
            <w:fldChar w:fldCharType="begin"/>
          </w:r>
          <w:r>
            <w:instrText xml:space="preserve"> PAGEREF _Toc177120556 \h </w:instrText>
          </w:r>
          <w:r>
            <w:fldChar w:fldCharType="separate"/>
          </w:r>
          <w:r>
            <w:t>37</w:t>
          </w:r>
          <w:r>
            <w:fldChar w:fldCharType="end"/>
          </w:r>
          <w:r>
            <w:fldChar w:fldCharType="end"/>
          </w:r>
        </w:p>
        <w:p w14:paraId="7FE02C52">
          <w:pPr>
            <w:pStyle w:val="27"/>
            <w:rPr>
              <w:rFonts w:asciiTheme="minorHAnsi" w:hAnsiTheme="minorHAnsi" w:eastAsiaTheme="minorEastAsia" w:cstheme="minorBidi"/>
              <w:szCs w:val="22"/>
            </w:rPr>
          </w:pPr>
          <w:r>
            <w:fldChar w:fldCharType="begin"/>
          </w:r>
          <w:r>
            <w:instrText xml:space="preserve"> HYPERLINK \l "_Toc177120557" </w:instrText>
          </w:r>
          <w:r>
            <w:fldChar w:fldCharType="separate"/>
          </w:r>
          <w:r>
            <w:rPr>
              <w:rStyle w:val="44"/>
            </w:rPr>
            <w:t>附件6：银行履约保函格式</w:t>
          </w:r>
          <w:r>
            <w:tab/>
          </w:r>
          <w:r>
            <w:fldChar w:fldCharType="begin"/>
          </w:r>
          <w:r>
            <w:instrText xml:space="preserve"> PAGEREF _Toc177120557 \h </w:instrText>
          </w:r>
          <w:r>
            <w:fldChar w:fldCharType="separate"/>
          </w:r>
          <w:r>
            <w:t>40</w:t>
          </w:r>
          <w:r>
            <w:fldChar w:fldCharType="end"/>
          </w:r>
          <w:r>
            <w:fldChar w:fldCharType="end"/>
          </w:r>
        </w:p>
        <w:p w14:paraId="351A95D7">
          <w:pPr>
            <w:pStyle w:val="27"/>
            <w:rPr>
              <w:rFonts w:asciiTheme="minorHAnsi" w:hAnsiTheme="minorHAnsi" w:eastAsiaTheme="minorEastAsia" w:cstheme="minorBidi"/>
              <w:szCs w:val="22"/>
            </w:rPr>
          </w:pPr>
          <w:r>
            <w:fldChar w:fldCharType="begin"/>
          </w:r>
          <w:r>
            <w:instrText xml:space="preserve"> HYPERLINK \l "_Toc177120558" </w:instrText>
          </w:r>
          <w:r>
            <w:fldChar w:fldCharType="separate"/>
          </w:r>
          <w:r>
            <w:rPr>
              <w:rStyle w:val="44"/>
            </w:rPr>
            <w:t>附件7：监理业务违约行为处罚制度</w:t>
          </w:r>
          <w:r>
            <w:tab/>
          </w:r>
          <w:r>
            <w:fldChar w:fldCharType="begin"/>
          </w:r>
          <w:r>
            <w:instrText xml:space="preserve"> PAGEREF _Toc177120558 \h </w:instrText>
          </w:r>
          <w:r>
            <w:fldChar w:fldCharType="separate"/>
          </w:r>
          <w:r>
            <w:t>41</w:t>
          </w:r>
          <w:r>
            <w:fldChar w:fldCharType="end"/>
          </w:r>
          <w:r>
            <w:fldChar w:fldCharType="end"/>
          </w:r>
        </w:p>
        <w:p w14:paraId="4D7CF566">
          <w:pPr>
            <w:spacing w:line="480" w:lineRule="auto"/>
          </w:pPr>
          <w:r>
            <w:rPr>
              <w:b/>
              <w:bCs/>
              <w:lang w:val="zh-CN"/>
            </w:rPr>
            <w:fldChar w:fldCharType="end"/>
          </w:r>
        </w:p>
      </w:sdtContent>
    </w:sdt>
    <w:p w14:paraId="19F34E92">
      <w:pPr>
        <w:pStyle w:val="20"/>
        <w:spacing w:line="360" w:lineRule="auto"/>
        <w:ind w:left="360"/>
        <w:rPr>
          <w:rFonts w:hAnsi="宋体"/>
          <w:b/>
          <w:sz w:val="28"/>
          <w:szCs w:val="28"/>
        </w:rPr>
      </w:pPr>
    </w:p>
    <w:p w14:paraId="29E2D4B5">
      <w:pPr>
        <w:pStyle w:val="20"/>
        <w:spacing w:line="360" w:lineRule="auto"/>
        <w:jc w:val="center"/>
        <w:rPr>
          <w:rFonts w:hAnsi="宋体"/>
          <w:b/>
          <w:sz w:val="28"/>
          <w:szCs w:val="28"/>
        </w:rPr>
      </w:pPr>
    </w:p>
    <w:p w14:paraId="7A848CA6">
      <w:pPr>
        <w:pStyle w:val="20"/>
        <w:spacing w:line="360" w:lineRule="auto"/>
        <w:jc w:val="center"/>
        <w:rPr>
          <w:rFonts w:hAnsi="宋体"/>
          <w:b/>
          <w:sz w:val="28"/>
          <w:szCs w:val="28"/>
        </w:rPr>
      </w:pPr>
    </w:p>
    <w:p w14:paraId="25FFBB72">
      <w:pPr>
        <w:pStyle w:val="20"/>
        <w:spacing w:line="360" w:lineRule="auto"/>
        <w:jc w:val="center"/>
        <w:rPr>
          <w:rFonts w:hAnsi="宋体"/>
          <w:b/>
          <w:sz w:val="28"/>
          <w:szCs w:val="28"/>
        </w:rPr>
      </w:pPr>
    </w:p>
    <w:p w14:paraId="4C22D25B">
      <w:pPr>
        <w:pStyle w:val="20"/>
        <w:spacing w:line="360" w:lineRule="auto"/>
        <w:jc w:val="center"/>
        <w:rPr>
          <w:rFonts w:hAnsi="宋体"/>
          <w:b/>
          <w:sz w:val="28"/>
          <w:szCs w:val="28"/>
        </w:rPr>
      </w:pPr>
    </w:p>
    <w:p w14:paraId="6A9C6462">
      <w:pPr>
        <w:pStyle w:val="20"/>
        <w:spacing w:line="360" w:lineRule="auto"/>
        <w:jc w:val="center"/>
        <w:rPr>
          <w:rFonts w:hAnsi="宋体"/>
          <w:b/>
          <w:sz w:val="28"/>
          <w:szCs w:val="28"/>
        </w:rPr>
      </w:pPr>
    </w:p>
    <w:p w14:paraId="6E3DBFFE">
      <w:pPr>
        <w:pStyle w:val="20"/>
        <w:spacing w:line="360" w:lineRule="auto"/>
        <w:jc w:val="center"/>
        <w:rPr>
          <w:rFonts w:hAnsi="宋体"/>
          <w:b/>
          <w:sz w:val="28"/>
          <w:szCs w:val="28"/>
        </w:rPr>
      </w:pPr>
    </w:p>
    <w:p w14:paraId="62AEACF7">
      <w:pPr>
        <w:pStyle w:val="20"/>
        <w:spacing w:line="360" w:lineRule="auto"/>
        <w:rPr>
          <w:rFonts w:hAnsi="宋体"/>
          <w:b/>
          <w:sz w:val="28"/>
          <w:szCs w:val="28"/>
        </w:rPr>
        <w:sectPr>
          <w:footerReference r:id="rId9" w:type="first"/>
          <w:footerReference r:id="rId8" w:type="default"/>
          <w:pgSz w:w="11906" w:h="16838"/>
          <w:pgMar w:top="1361" w:right="1701" w:bottom="1361" w:left="1701" w:header="851" w:footer="992" w:gutter="0"/>
          <w:pgNumType w:start="0"/>
          <w:cols w:space="720" w:num="1"/>
          <w:titlePg/>
          <w:docGrid w:type="lines" w:linePitch="312" w:charSpace="0"/>
        </w:sectPr>
      </w:pPr>
    </w:p>
    <w:p w14:paraId="5D56E15F">
      <w:pPr>
        <w:spacing w:line="360" w:lineRule="auto"/>
        <w:ind w:firstLine="2570" w:firstLineChars="800"/>
        <w:rPr>
          <w:b/>
          <w:sz w:val="32"/>
          <w:szCs w:val="32"/>
        </w:rPr>
      </w:pPr>
      <w:r>
        <w:rPr>
          <w:rFonts w:hint="eastAsia"/>
          <w:b/>
          <w:sz w:val="32"/>
          <w:szCs w:val="32"/>
        </w:rPr>
        <w:t>建设工程委托监理合同</w:t>
      </w:r>
    </w:p>
    <w:p w14:paraId="647F6580">
      <w:pPr>
        <w:pStyle w:val="2"/>
        <w:spacing w:line="360" w:lineRule="auto"/>
      </w:pPr>
      <w:bookmarkStart w:id="3" w:name="_Toc177120549"/>
      <w:bookmarkStart w:id="4" w:name="_Toc15492404"/>
      <w:r>
        <w:rPr>
          <w:rFonts w:hint="eastAsia"/>
        </w:rPr>
        <w:t>第一部分  协议书</w:t>
      </w:r>
      <w:bookmarkEnd w:id="3"/>
      <w:bookmarkEnd w:id="4"/>
    </w:p>
    <w:p w14:paraId="33EF02BF">
      <w:pPr>
        <w:spacing w:line="360" w:lineRule="auto"/>
        <w:rPr>
          <w:rFonts w:ascii="宋体" w:hAnsi="宋体"/>
          <w:sz w:val="24"/>
          <w:szCs w:val="24"/>
        </w:rPr>
      </w:pPr>
    </w:p>
    <w:p w14:paraId="72F3405D">
      <w:pPr>
        <w:spacing w:line="360" w:lineRule="auto"/>
        <w:ind w:firstLine="480" w:firstLineChars="200"/>
        <w:rPr>
          <w:rFonts w:ascii="宋体" w:hAnsi="宋体"/>
          <w:sz w:val="24"/>
          <w:szCs w:val="24"/>
        </w:rPr>
      </w:pPr>
      <w:r>
        <w:rPr>
          <w:rFonts w:hint="eastAsia" w:ascii="宋体" w:hAnsi="宋体"/>
          <w:sz w:val="24"/>
          <w:szCs w:val="24"/>
        </w:rPr>
        <w:t>依照《中华人民共和国民法典》</w:t>
      </w:r>
      <w:r>
        <w:rPr>
          <w:rFonts w:ascii="宋体" w:hAnsi="宋体"/>
          <w:sz w:val="24"/>
          <w:szCs w:val="24"/>
        </w:rPr>
        <w:t xml:space="preserve">  </w:t>
      </w:r>
      <w:r>
        <w:rPr>
          <w:rFonts w:hint="eastAsia" w:ascii="宋体" w:hAnsi="宋体"/>
          <w:sz w:val="24"/>
          <w:szCs w:val="24"/>
        </w:rPr>
        <w:t>《中华人民共和国建筑法》及其他有关法律法规，遵循平等、自愿、公平和诚实信用的原则，合同三方当事人就广州设计之都嘉禾片区项目</w:t>
      </w:r>
      <w:r>
        <w:rPr>
          <w:rFonts w:hint="eastAsia" w:ascii="宋体" w:hAnsi="宋体"/>
          <w:sz w:val="24"/>
          <w:szCs w:val="24"/>
          <w:lang w:eastAsia="zh-CN"/>
        </w:rPr>
        <w:t>三期</w:t>
      </w:r>
      <w:r>
        <w:rPr>
          <w:rFonts w:hint="eastAsia" w:ascii="宋体" w:hAnsi="宋体"/>
          <w:sz w:val="24"/>
          <w:szCs w:val="24"/>
        </w:rPr>
        <w:t xml:space="preserve">有关工程监理工作达成一致意见，订立本协议书。 </w:t>
      </w:r>
      <w:r>
        <w:rPr>
          <w:rFonts w:ascii="宋体" w:hAnsi="宋体"/>
          <w:sz w:val="24"/>
          <w:szCs w:val="24"/>
        </w:rPr>
        <w:t xml:space="preserve"> </w:t>
      </w:r>
    </w:p>
    <w:p w14:paraId="10DBF9B0">
      <w:pPr>
        <w:adjustRightInd/>
        <w:spacing w:line="360" w:lineRule="auto"/>
        <w:ind w:firstLine="472" w:firstLineChars="196"/>
        <w:rPr>
          <w:rFonts w:ascii="宋体" w:hAnsi="宋体"/>
          <w:b/>
          <w:sz w:val="24"/>
          <w:szCs w:val="24"/>
        </w:rPr>
      </w:pPr>
      <w:r>
        <w:rPr>
          <w:rFonts w:hint="eastAsia" w:ascii="宋体" w:hAnsi="宋体"/>
          <w:b/>
          <w:sz w:val="24"/>
          <w:szCs w:val="24"/>
        </w:rPr>
        <w:t>第一条 项目概况</w:t>
      </w:r>
    </w:p>
    <w:p w14:paraId="55594256">
      <w:pPr>
        <w:spacing w:line="360" w:lineRule="auto"/>
        <w:ind w:firstLine="480" w:firstLineChars="200"/>
        <w:rPr>
          <w:rFonts w:ascii="宋体" w:hAnsi="宋体"/>
          <w:sz w:val="24"/>
          <w:szCs w:val="24"/>
        </w:rPr>
      </w:pPr>
      <w:r>
        <w:rPr>
          <w:rFonts w:hint="eastAsia" w:ascii="宋体" w:hAnsi="宋体"/>
          <w:sz w:val="24"/>
          <w:szCs w:val="24"/>
        </w:rPr>
        <w:t>1.1工程名称：广州设计之都嘉禾片区项目</w:t>
      </w:r>
      <w:r>
        <w:rPr>
          <w:rFonts w:hint="eastAsia" w:ascii="宋体" w:hAnsi="宋体"/>
          <w:sz w:val="24"/>
          <w:szCs w:val="24"/>
          <w:lang w:eastAsia="zh-CN"/>
        </w:rPr>
        <w:t>三期</w:t>
      </w:r>
      <w:r>
        <w:rPr>
          <w:rFonts w:hint="eastAsia" w:ascii="宋体" w:hAnsi="宋体"/>
          <w:sz w:val="24"/>
          <w:szCs w:val="24"/>
        </w:rPr>
        <w:t>。</w:t>
      </w:r>
    </w:p>
    <w:p w14:paraId="24D5686E">
      <w:pPr>
        <w:spacing w:line="360" w:lineRule="auto"/>
        <w:ind w:firstLine="480" w:firstLineChars="200"/>
        <w:rPr>
          <w:rFonts w:ascii="宋体" w:hAnsi="宋体"/>
          <w:sz w:val="24"/>
          <w:szCs w:val="24"/>
        </w:rPr>
      </w:pPr>
      <w:r>
        <w:rPr>
          <w:rFonts w:hint="eastAsia" w:ascii="宋体" w:hAnsi="宋体"/>
          <w:sz w:val="24"/>
          <w:szCs w:val="24"/>
        </w:rPr>
        <w:t>1.2工程地点：广州市白云区嘉禾街道广州设计之都嘉禾片区内，位于地铁嘉禾望岗站东北侧。</w:t>
      </w:r>
    </w:p>
    <w:p w14:paraId="26EEFCED">
      <w:pPr>
        <w:spacing w:line="360" w:lineRule="auto"/>
        <w:ind w:firstLine="480" w:firstLineChars="200"/>
        <w:rPr>
          <w:rFonts w:hint="eastAsia" w:ascii="宋体" w:hAnsi="宋体"/>
          <w:sz w:val="24"/>
          <w:szCs w:val="24"/>
        </w:rPr>
      </w:pPr>
      <w:r>
        <w:rPr>
          <w:rFonts w:hint="eastAsia" w:ascii="宋体" w:hAnsi="宋体"/>
          <w:sz w:val="24"/>
          <w:szCs w:val="24"/>
        </w:rPr>
        <w:t>1.3工程建设规模和主要内容：</w:t>
      </w:r>
      <w:r>
        <w:rPr>
          <w:rFonts w:hint="eastAsia" w:ascii="宋体" w:hAnsi="宋体" w:cs="宋体"/>
          <w:color w:val="000000"/>
          <w:sz w:val="24"/>
          <w:szCs w:val="24"/>
          <w:lang w:bidi="ar"/>
        </w:rPr>
        <w:t>根据项目用地规划条件，总用地面积12388平方米，其中可建设用地面积11669平方米，防护绿地用地719平方米，用地性质为商业商务兼容其他商务用（B1/B2/B29），容积率4.90 ，计算容积率建筑面积57180.07平方米，建筑密度≤45%，绿地率≥52.4%。地块设计要求及限高等按规划条件以及城市设计管理图则控制。拟开发建设办公大楼，商业设施，地下停车场（含人防工程）及其配套室外工程。项目三期拟建建筑面积约82361.70平方米，其中地上建筑面积约60180.07平方米，地下车库约22181.63平方米（以上最终面积以国土规划部门批复面积为准，其他条件要求参照后续规划条件）。</w:t>
      </w:r>
    </w:p>
    <w:p w14:paraId="4F43559F">
      <w:pPr>
        <w:spacing w:line="360" w:lineRule="auto"/>
        <w:ind w:firstLine="480" w:firstLineChars="200"/>
        <w:rPr>
          <w:rFonts w:ascii="宋体" w:hAnsi="宋体"/>
          <w:sz w:val="24"/>
          <w:szCs w:val="24"/>
        </w:rPr>
      </w:pPr>
      <w:r>
        <w:rPr>
          <w:rFonts w:hint="eastAsia" w:ascii="宋体" w:hAnsi="宋体"/>
          <w:sz w:val="24"/>
          <w:szCs w:val="24"/>
        </w:rPr>
        <w:t>1.4项目总投资：项目建设总投资约41414.46</w:t>
      </w:r>
      <w:r>
        <w:rPr>
          <w:rFonts w:hint="eastAsia" w:ascii="宋体" w:hAnsi="宋体"/>
          <w:sz w:val="24"/>
          <w:szCs w:val="24"/>
          <w:lang w:val="en-US" w:eastAsia="zh-CN"/>
        </w:rPr>
        <w:t>万</w:t>
      </w:r>
      <w:r>
        <w:rPr>
          <w:rFonts w:hint="eastAsia" w:ascii="宋体" w:hAnsi="宋体"/>
          <w:sz w:val="24"/>
          <w:szCs w:val="24"/>
        </w:rPr>
        <w:t>元。</w:t>
      </w:r>
    </w:p>
    <w:p w14:paraId="68CB11C8">
      <w:pPr>
        <w:spacing w:line="360" w:lineRule="auto"/>
        <w:ind w:firstLine="480" w:firstLineChars="200"/>
        <w:rPr>
          <w:rFonts w:ascii="宋体" w:hAnsi="宋体"/>
          <w:sz w:val="24"/>
          <w:szCs w:val="24"/>
        </w:rPr>
      </w:pPr>
      <w:r>
        <w:rPr>
          <w:rFonts w:ascii="宋体" w:hAnsi="宋体"/>
          <w:sz w:val="24"/>
          <w:szCs w:val="24"/>
        </w:rPr>
        <w:t>1.5</w:t>
      </w:r>
      <w:r>
        <w:rPr>
          <w:rFonts w:hint="eastAsia" w:ascii="宋体" w:hAnsi="宋体"/>
          <w:sz w:val="24"/>
          <w:szCs w:val="24"/>
        </w:rPr>
        <w:t>工程建设管理目标</w:t>
      </w:r>
    </w:p>
    <w:p w14:paraId="10FDDDEE">
      <w:pPr>
        <w:spacing w:line="360" w:lineRule="auto"/>
        <w:ind w:firstLine="480" w:firstLineChars="200"/>
        <w:rPr>
          <w:rFonts w:ascii="宋体" w:hAnsi="宋体"/>
          <w:sz w:val="24"/>
          <w:szCs w:val="24"/>
        </w:rPr>
      </w:pPr>
      <w:r>
        <w:rPr>
          <w:rFonts w:hint="eastAsia" w:ascii="宋体" w:hAnsi="宋体"/>
          <w:sz w:val="24"/>
          <w:szCs w:val="24"/>
        </w:rPr>
        <w:t>1.5.1投资控制目标：不超过经建设单位审定的工程概预算。</w:t>
      </w:r>
    </w:p>
    <w:p w14:paraId="0DA497E5">
      <w:pPr>
        <w:spacing w:line="360" w:lineRule="auto"/>
        <w:ind w:firstLine="480" w:firstLineChars="200"/>
        <w:rPr>
          <w:rFonts w:ascii="宋体" w:hAnsi="宋体"/>
          <w:sz w:val="24"/>
          <w:szCs w:val="24"/>
        </w:rPr>
      </w:pPr>
      <w:r>
        <w:rPr>
          <w:rFonts w:hint="eastAsia" w:ascii="宋体" w:hAnsi="宋体"/>
          <w:sz w:val="24"/>
          <w:szCs w:val="24"/>
        </w:rPr>
        <w:t>1.5.2进度控制目标：施工总承包工期按施工总承包合同进度要求控制。</w:t>
      </w:r>
    </w:p>
    <w:p w14:paraId="14FC8B7C">
      <w:pPr>
        <w:spacing w:line="360" w:lineRule="auto"/>
        <w:ind w:firstLine="480" w:firstLineChars="200"/>
        <w:rPr>
          <w:rFonts w:ascii="宋体" w:hAnsi="宋体"/>
          <w:sz w:val="24"/>
          <w:szCs w:val="24"/>
        </w:rPr>
      </w:pPr>
      <w:r>
        <w:rPr>
          <w:rFonts w:hint="eastAsia" w:ascii="宋体" w:hAnsi="宋体"/>
          <w:sz w:val="24"/>
          <w:szCs w:val="24"/>
        </w:rPr>
        <w:t>1.5.3质量控制目标：合格，要达到市优标准，争创省优。</w:t>
      </w:r>
    </w:p>
    <w:p w14:paraId="5EA70F80">
      <w:pPr>
        <w:spacing w:line="360" w:lineRule="auto"/>
        <w:ind w:firstLine="480" w:firstLineChars="200"/>
        <w:rPr>
          <w:rFonts w:ascii="宋体" w:hAnsi="宋体"/>
          <w:sz w:val="24"/>
          <w:szCs w:val="24"/>
        </w:rPr>
      </w:pPr>
      <w:r>
        <w:rPr>
          <w:rFonts w:hint="eastAsia" w:ascii="宋体" w:hAnsi="宋体"/>
          <w:sz w:val="24"/>
          <w:szCs w:val="24"/>
        </w:rPr>
        <w:t>1.5.4安全施工管理目标：合格且无安全责任事故。</w:t>
      </w:r>
    </w:p>
    <w:p w14:paraId="72B4F021">
      <w:pPr>
        <w:spacing w:line="360" w:lineRule="auto"/>
        <w:ind w:firstLine="480" w:firstLineChars="200"/>
        <w:rPr>
          <w:rFonts w:ascii="宋体" w:hAnsi="宋体"/>
          <w:sz w:val="24"/>
          <w:szCs w:val="24"/>
        </w:rPr>
      </w:pPr>
      <w:r>
        <w:rPr>
          <w:rFonts w:hint="eastAsia" w:ascii="宋体" w:hAnsi="宋体"/>
          <w:sz w:val="24"/>
          <w:szCs w:val="24"/>
        </w:rPr>
        <w:t>1.5.5文明施工管理目标：合格且不受到有关管理部门处罚。</w:t>
      </w:r>
    </w:p>
    <w:p w14:paraId="1D2B95E8">
      <w:pPr>
        <w:adjustRightInd/>
        <w:spacing w:line="360" w:lineRule="auto"/>
        <w:ind w:firstLine="472" w:firstLineChars="196"/>
        <w:rPr>
          <w:rFonts w:ascii="宋体" w:hAnsi="宋体"/>
          <w:b/>
          <w:sz w:val="24"/>
          <w:szCs w:val="24"/>
        </w:rPr>
      </w:pPr>
      <w:r>
        <w:rPr>
          <w:rFonts w:hint="eastAsia" w:ascii="宋体" w:hAnsi="宋体"/>
          <w:b/>
          <w:sz w:val="24"/>
          <w:szCs w:val="24"/>
        </w:rPr>
        <w:t>第二条 监理服务范围</w:t>
      </w:r>
    </w:p>
    <w:p w14:paraId="6C98FB5D">
      <w:pPr>
        <w:pStyle w:val="55"/>
        <w:ind w:firstLine="496"/>
      </w:pPr>
      <w:r>
        <w:rPr>
          <w:rFonts w:hint="eastAsia"/>
        </w:rPr>
        <w:t>2.1  监理范围</w:t>
      </w:r>
    </w:p>
    <w:p w14:paraId="01B46F62">
      <w:pPr>
        <w:pStyle w:val="55"/>
        <w:ind w:firstLine="496"/>
      </w:pPr>
      <w:r>
        <w:rPr>
          <w:rFonts w:hint="eastAsia"/>
        </w:rPr>
        <w:t>2.1.1广州设计之都嘉禾片区项目</w:t>
      </w:r>
      <w:r>
        <w:rPr>
          <w:rFonts w:hint="eastAsia"/>
          <w:lang w:eastAsia="zh-CN"/>
        </w:rPr>
        <w:t>三期</w:t>
      </w:r>
      <w:r>
        <w:rPr>
          <w:rFonts w:hint="eastAsia"/>
        </w:rPr>
        <w:t>的施工准备阶段（含工程勘察旁站监理、临时用水、临时用电、树木及管线迁改、场地平整等）、施工阶段、工程收尾阶段（包括竣工验收、竣工城建档案资料及移交、整改、工程移交及实物移交、工程结算、竣工备案、决算等）及工程质量保修阶段的</w:t>
      </w:r>
      <w:r>
        <w:rPr>
          <w:rFonts w:hint="eastAsia"/>
          <w:lang w:val="en-US" w:eastAsia="zh-CN"/>
        </w:rPr>
        <w:t>监理，含</w:t>
      </w:r>
      <w:r>
        <w:rPr>
          <w:rFonts w:hint="eastAsia" w:ascii="宋体" w:hAnsi="宋体" w:cs="宋体"/>
          <w:sz w:val="24"/>
          <w:u w:val="single"/>
          <w:lang w:val="zh-TW"/>
        </w:rPr>
        <w:t>监理服务期内</w:t>
      </w:r>
      <w:r>
        <w:rPr>
          <w:rFonts w:hint="eastAsia" w:cs="宋体"/>
          <w:sz w:val="24"/>
          <w:u w:val="single"/>
          <w:lang w:val="en-US" w:eastAsia="zh-CN"/>
        </w:rPr>
        <w:t>的</w:t>
      </w:r>
      <w:r>
        <w:rPr>
          <w:rFonts w:hint="eastAsia"/>
        </w:rPr>
        <w:t>质量控制、职业健康安全及环境监督管理、进度控制、投资控制、安全生产监督管理、合同管理、信息管理、组织协调、设备监造和调试以及协调建设单位和工程建设有关各方的工作关系等。</w:t>
      </w:r>
    </w:p>
    <w:p w14:paraId="138E7897">
      <w:pPr>
        <w:pStyle w:val="55"/>
        <w:ind w:firstLine="496"/>
      </w:pPr>
      <w:r>
        <w:rPr>
          <w:rFonts w:hint="eastAsia"/>
        </w:rPr>
        <w:t>2.1.2监理范围还包括了施工过程中所发生工程质量检测、基坑检测和监测、沉降观测、节能检测、白蚁防治、专题研讨会、水土保持监测、超前钻勘察和详细勘察等，以及其他为工程建设需要所发生的服务类项目的监理，上述监理服务费用已包含在监理酬金内。</w:t>
      </w:r>
    </w:p>
    <w:p w14:paraId="32FB00CB">
      <w:pPr>
        <w:pStyle w:val="55"/>
        <w:ind w:firstLine="496"/>
      </w:pPr>
      <w:r>
        <w:rPr>
          <w:rFonts w:hint="eastAsia"/>
        </w:rPr>
        <w:t>2.1.3除上述工作范围外，监理单位还须按建设管理单位的要求提前进场参与开工前期的准备和筹划工作，协助建设管理单位制定工程管理办法、各参建方职责及有关事务性工作制度等。</w:t>
      </w:r>
    </w:p>
    <w:p w14:paraId="5CE2F763">
      <w:pPr>
        <w:pStyle w:val="55"/>
        <w:ind w:firstLine="496"/>
      </w:pPr>
      <w:r>
        <w:rPr>
          <w:rFonts w:hint="eastAsia"/>
        </w:rPr>
        <w:t>2.2  监理内容(包括但不限于以下内容)</w:t>
      </w:r>
    </w:p>
    <w:p w14:paraId="2F22F800">
      <w:pPr>
        <w:pStyle w:val="55"/>
        <w:ind w:firstLine="496"/>
      </w:pPr>
      <w:r>
        <w:rPr>
          <w:rFonts w:hint="eastAsia"/>
        </w:rPr>
        <w:t>2.2.1土建工程（包括主体建筑结构工程、幕墙、钢结构、建筑物拆除、连廊工程等）。</w:t>
      </w:r>
    </w:p>
    <w:p w14:paraId="1A86AA7A">
      <w:pPr>
        <w:pStyle w:val="55"/>
        <w:ind w:firstLine="496"/>
      </w:pPr>
      <w:r>
        <w:rPr>
          <w:rFonts w:hint="eastAsia"/>
        </w:rPr>
        <w:t>2.2.2</w:t>
      </w:r>
      <w:r>
        <w:rPr>
          <w:rFonts w:hint="eastAsia" w:cs="宋体"/>
        </w:rPr>
        <w:t>装修工程（包括</w:t>
      </w:r>
      <w:r>
        <w:rPr>
          <w:rFonts w:hint="eastAsia"/>
        </w:rPr>
        <w:t>室内装修、外墙装修、窗、地板、地面、精装修等</w:t>
      </w:r>
      <w:r>
        <w:rPr>
          <w:rFonts w:hint="eastAsia" w:cs="宋体"/>
        </w:rPr>
        <w:t>）。</w:t>
      </w:r>
    </w:p>
    <w:p w14:paraId="17A59BF9">
      <w:pPr>
        <w:pStyle w:val="55"/>
        <w:ind w:firstLine="496"/>
        <w:rPr>
          <w:rFonts w:cs="宋体"/>
        </w:rPr>
      </w:pPr>
      <w:r>
        <w:rPr>
          <w:rFonts w:hint="eastAsia"/>
        </w:rPr>
        <w:t>2.2.3</w:t>
      </w:r>
      <w:r>
        <w:rPr>
          <w:rFonts w:hint="eastAsia" w:cs="宋体"/>
        </w:rPr>
        <w:t>机电安装工程（包括电气、照明、空调通风、给排水、消防等）。</w:t>
      </w:r>
    </w:p>
    <w:p w14:paraId="59F9FF1A">
      <w:pPr>
        <w:pStyle w:val="55"/>
        <w:ind w:firstLine="496"/>
      </w:pPr>
      <w:r>
        <w:rPr>
          <w:rFonts w:hint="eastAsia"/>
        </w:rPr>
        <w:t>2.2.4弱电工程（包括综合布线、公共广播及场地扩音、安防等）。</w:t>
      </w:r>
    </w:p>
    <w:p w14:paraId="02A64B43">
      <w:pPr>
        <w:pStyle w:val="55"/>
        <w:ind w:firstLine="496"/>
      </w:pPr>
      <w:r>
        <w:rPr>
          <w:rFonts w:hint="eastAsia"/>
        </w:rPr>
        <w:t>2.2.5绿化工程（包括景观草地、苗木、喷淋设施等）。</w:t>
      </w:r>
    </w:p>
    <w:p w14:paraId="2A045FEC">
      <w:pPr>
        <w:pStyle w:val="55"/>
        <w:ind w:firstLine="496"/>
      </w:pPr>
      <w:r>
        <w:rPr>
          <w:rFonts w:hint="eastAsia"/>
        </w:rPr>
        <w:t>2.2.6市政工程及其他（包括道路、临时及永久供水、供电、煤气、电信综合管线等）。</w:t>
      </w:r>
    </w:p>
    <w:p w14:paraId="69ECA5F3">
      <w:pPr>
        <w:pStyle w:val="55"/>
        <w:ind w:firstLine="496"/>
      </w:pPr>
      <w:r>
        <w:rPr>
          <w:rFonts w:hint="eastAsia"/>
        </w:rPr>
        <w:t>2.2.7专业工程（包括、环保工程、弱电工程、设备安装工程、厨房设备、化验室、节能、绿色建筑、管线迁改、排灌渠迁改等）。</w:t>
      </w:r>
    </w:p>
    <w:p w14:paraId="3D976543">
      <w:pPr>
        <w:pStyle w:val="55"/>
        <w:ind w:firstLine="496"/>
      </w:pPr>
      <w:r>
        <w:rPr>
          <w:rFonts w:hint="eastAsia"/>
        </w:rPr>
        <w:t>2.2.8工程建设过程中各类服务项目的监理。</w:t>
      </w:r>
    </w:p>
    <w:p w14:paraId="6835A234">
      <w:pPr>
        <w:pStyle w:val="55"/>
        <w:ind w:firstLine="496"/>
        <w:rPr>
          <w:rFonts w:cs="宋体"/>
          <w:b/>
        </w:rPr>
      </w:pPr>
      <w:r>
        <w:rPr>
          <w:rFonts w:hint="eastAsia"/>
        </w:rPr>
        <w:t>2.3  工程变更发生的工程量增加或减少，相应监理工作的变化均应视为本合同约定的监理工作的调整，按专用条件第十四条的结算方式办理结算。</w:t>
      </w:r>
    </w:p>
    <w:p w14:paraId="467D0757">
      <w:pPr>
        <w:snapToGrid w:val="0"/>
        <w:spacing w:line="360" w:lineRule="auto"/>
        <w:ind w:firstLine="480" w:firstLineChars="200"/>
        <w:rPr>
          <w:rFonts w:ascii="宋体" w:hAnsi="宋体"/>
          <w:bCs/>
          <w:snapToGrid w:val="0"/>
          <w:sz w:val="24"/>
          <w:szCs w:val="24"/>
        </w:rPr>
      </w:pPr>
      <w:r>
        <w:rPr>
          <w:rFonts w:hint="eastAsia" w:ascii="宋体" w:hAnsi="宋体"/>
          <w:bCs/>
          <w:snapToGrid w:val="0"/>
          <w:sz w:val="24"/>
          <w:szCs w:val="24"/>
        </w:rPr>
        <w:t>2.4  监理服务期</w:t>
      </w:r>
    </w:p>
    <w:p w14:paraId="7B02211C">
      <w:pPr>
        <w:snapToGrid w:val="0"/>
        <w:spacing w:line="360" w:lineRule="auto"/>
        <w:ind w:firstLine="480" w:firstLineChars="200"/>
        <w:rPr>
          <w:rFonts w:ascii="宋体" w:hAnsi="宋体"/>
          <w:snapToGrid w:val="0"/>
          <w:sz w:val="24"/>
          <w:szCs w:val="24"/>
        </w:rPr>
      </w:pPr>
      <w:r>
        <w:rPr>
          <w:rFonts w:hint="eastAsia" w:ascii="宋体" w:hAnsi="宋体"/>
          <w:bCs/>
          <w:snapToGrid w:val="0"/>
          <w:sz w:val="24"/>
          <w:szCs w:val="24"/>
        </w:rPr>
        <w:t>监理服务期自监理单位</w:t>
      </w:r>
      <w:r>
        <w:rPr>
          <w:rFonts w:hint="eastAsia" w:ascii="宋体" w:hAnsi="宋体"/>
          <w:snapToGrid w:val="0"/>
          <w:sz w:val="24"/>
          <w:szCs w:val="24"/>
        </w:rPr>
        <w:t>收到中标通知书或收到建设单位进场通知之日起，至</w:t>
      </w:r>
      <w:r>
        <w:rPr>
          <w:rFonts w:hint="eastAsia" w:ascii="宋体" w:hAnsi="宋体"/>
          <w:sz w:val="24"/>
          <w:szCs w:val="24"/>
        </w:rPr>
        <w:t>本项目工程保修期结束且工程结算经终审部门审定之日止</w:t>
      </w:r>
      <w:r>
        <w:rPr>
          <w:rFonts w:hint="eastAsia" w:ascii="宋体" w:hAnsi="宋体"/>
          <w:snapToGrid w:val="0"/>
          <w:sz w:val="24"/>
          <w:szCs w:val="24"/>
        </w:rPr>
        <w:t>。</w:t>
      </w:r>
      <w:r>
        <w:rPr>
          <w:rFonts w:hint="eastAsia" w:ascii="宋体" w:hAnsi="宋体"/>
          <w:bCs/>
          <w:snapToGrid w:val="0"/>
          <w:sz w:val="24"/>
          <w:szCs w:val="24"/>
        </w:rPr>
        <w:t>监理服务期</w:t>
      </w:r>
      <w:r>
        <w:rPr>
          <w:rFonts w:hint="eastAsia" w:ascii="宋体" w:hAnsi="宋体"/>
          <w:snapToGrid w:val="0"/>
          <w:sz w:val="24"/>
          <w:szCs w:val="24"/>
        </w:rPr>
        <w:t>包括项目的施工准备阶段、施工阶段、工程收尾阶段和质量保修阶段，监理单位实行全过程监理服务。本工程暂停或缓建期间，也属于监理服务期，监理单位应根据工程建设需要合理安排监理工程师提供必要的监理服务。无论何种原因导致工期延长的，本合同约定的监理期限作相应延长,本工程施工期延长、暂停、缓建期间及分期建设不补偿监理单位任何费用。</w:t>
      </w:r>
    </w:p>
    <w:p w14:paraId="0AAE3021">
      <w:pPr>
        <w:adjustRightInd/>
        <w:spacing w:line="360" w:lineRule="auto"/>
        <w:ind w:firstLine="472" w:firstLineChars="196"/>
        <w:rPr>
          <w:rFonts w:ascii="宋体" w:hAnsi="宋体"/>
          <w:b/>
          <w:sz w:val="24"/>
          <w:szCs w:val="24"/>
        </w:rPr>
      </w:pPr>
      <w:r>
        <w:rPr>
          <w:rFonts w:hint="eastAsia" w:ascii="宋体" w:hAnsi="宋体"/>
          <w:b/>
          <w:sz w:val="24"/>
          <w:szCs w:val="24"/>
        </w:rPr>
        <w:t>第三条 本合同中的有关词语含义与本合同第二部分《标准条件》中赋予它们的定义相同。</w:t>
      </w:r>
    </w:p>
    <w:p w14:paraId="7B471B46">
      <w:pPr>
        <w:adjustRightInd/>
        <w:spacing w:line="360" w:lineRule="auto"/>
        <w:ind w:firstLine="472" w:firstLineChars="196"/>
        <w:rPr>
          <w:rFonts w:ascii="宋体" w:hAnsi="宋体"/>
          <w:b/>
          <w:sz w:val="24"/>
          <w:szCs w:val="24"/>
        </w:rPr>
      </w:pPr>
      <w:r>
        <w:rPr>
          <w:rFonts w:hint="eastAsia" w:ascii="宋体" w:hAnsi="宋体"/>
          <w:b/>
          <w:sz w:val="24"/>
          <w:szCs w:val="24"/>
        </w:rPr>
        <w:t>第四条 下列文件均为本合同的组成部分，并互为补充和解释，如下述各部分存在不一致之处，以先后排列次序为优先：</w:t>
      </w:r>
    </w:p>
    <w:p w14:paraId="0C09610D">
      <w:pPr>
        <w:numPr>
          <w:ilvl w:val="0"/>
          <w:numId w:val="1"/>
        </w:numPr>
        <w:adjustRightInd/>
        <w:spacing w:line="360" w:lineRule="auto"/>
        <w:rPr>
          <w:rFonts w:ascii="宋体" w:hAnsi="宋体"/>
          <w:sz w:val="24"/>
          <w:szCs w:val="24"/>
        </w:rPr>
      </w:pPr>
      <w:r>
        <w:rPr>
          <w:rFonts w:hint="eastAsia" w:ascii="宋体" w:hAnsi="宋体"/>
          <w:sz w:val="24"/>
          <w:szCs w:val="24"/>
        </w:rPr>
        <w:t>三方共同签署的补充或修正文件；</w:t>
      </w:r>
    </w:p>
    <w:p w14:paraId="062098B0">
      <w:pPr>
        <w:numPr>
          <w:ilvl w:val="0"/>
          <w:numId w:val="1"/>
        </w:numPr>
        <w:adjustRightInd/>
        <w:spacing w:line="360" w:lineRule="auto"/>
        <w:rPr>
          <w:rFonts w:ascii="宋体" w:hAnsi="宋体"/>
          <w:sz w:val="24"/>
          <w:szCs w:val="24"/>
        </w:rPr>
      </w:pPr>
      <w:r>
        <w:rPr>
          <w:rFonts w:hint="eastAsia" w:ascii="宋体" w:hAnsi="宋体"/>
          <w:sz w:val="24"/>
          <w:szCs w:val="24"/>
        </w:rPr>
        <w:t>本合同协议书；</w:t>
      </w:r>
    </w:p>
    <w:p w14:paraId="160E46EE">
      <w:pPr>
        <w:numPr>
          <w:ilvl w:val="0"/>
          <w:numId w:val="1"/>
        </w:numPr>
        <w:adjustRightInd/>
        <w:spacing w:line="360" w:lineRule="auto"/>
        <w:rPr>
          <w:rFonts w:ascii="宋体" w:hAnsi="宋体"/>
          <w:sz w:val="24"/>
          <w:szCs w:val="24"/>
        </w:rPr>
      </w:pPr>
      <w:r>
        <w:rPr>
          <w:rFonts w:hint="eastAsia" w:ascii="宋体" w:hAnsi="宋体"/>
          <w:sz w:val="24"/>
          <w:szCs w:val="24"/>
        </w:rPr>
        <w:t>中标通知书；</w:t>
      </w:r>
    </w:p>
    <w:p w14:paraId="65591C65">
      <w:pPr>
        <w:numPr>
          <w:ilvl w:val="0"/>
          <w:numId w:val="1"/>
        </w:numPr>
        <w:adjustRightInd/>
        <w:spacing w:line="360" w:lineRule="auto"/>
        <w:rPr>
          <w:rFonts w:ascii="宋体" w:hAnsi="宋体"/>
          <w:sz w:val="24"/>
          <w:szCs w:val="24"/>
        </w:rPr>
      </w:pPr>
      <w:r>
        <w:rPr>
          <w:rFonts w:hint="eastAsia" w:ascii="宋体" w:hAnsi="宋体"/>
          <w:sz w:val="24"/>
          <w:szCs w:val="24"/>
        </w:rPr>
        <w:t>本合同专用条件；</w:t>
      </w:r>
    </w:p>
    <w:p w14:paraId="68AFABEA">
      <w:pPr>
        <w:numPr>
          <w:ilvl w:val="0"/>
          <w:numId w:val="1"/>
        </w:numPr>
        <w:adjustRightInd/>
        <w:spacing w:line="360" w:lineRule="auto"/>
        <w:rPr>
          <w:rFonts w:ascii="宋体" w:hAnsi="宋体"/>
          <w:sz w:val="24"/>
          <w:szCs w:val="24"/>
        </w:rPr>
      </w:pPr>
      <w:r>
        <w:rPr>
          <w:rFonts w:hint="eastAsia" w:ascii="宋体" w:hAnsi="宋体"/>
          <w:sz w:val="24"/>
          <w:szCs w:val="24"/>
        </w:rPr>
        <w:t>招标文件（包括补充、修改、澄清文件、答疑纪要等）；</w:t>
      </w:r>
    </w:p>
    <w:p w14:paraId="663DAA10">
      <w:pPr>
        <w:numPr>
          <w:ilvl w:val="0"/>
          <w:numId w:val="1"/>
        </w:numPr>
        <w:adjustRightInd/>
        <w:spacing w:line="360" w:lineRule="auto"/>
        <w:rPr>
          <w:rFonts w:ascii="宋体" w:hAnsi="宋体"/>
          <w:sz w:val="24"/>
          <w:szCs w:val="24"/>
        </w:rPr>
      </w:pPr>
      <w:r>
        <w:rPr>
          <w:rFonts w:hint="eastAsia" w:ascii="宋体" w:hAnsi="宋体"/>
          <w:sz w:val="24"/>
          <w:szCs w:val="24"/>
        </w:rPr>
        <w:t>建设单位或建设管理单位针对本项目监理管理的各项制度、规定；</w:t>
      </w:r>
    </w:p>
    <w:p w14:paraId="30358D8E">
      <w:pPr>
        <w:numPr>
          <w:ilvl w:val="0"/>
          <w:numId w:val="1"/>
        </w:numPr>
        <w:adjustRightInd/>
        <w:spacing w:line="360" w:lineRule="auto"/>
        <w:rPr>
          <w:rFonts w:ascii="宋体" w:hAnsi="宋体"/>
          <w:sz w:val="24"/>
          <w:szCs w:val="24"/>
        </w:rPr>
      </w:pPr>
      <w:r>
        <w:rPr>
          <w:rFonts w:hint="eastAsia" w:ascii="宋体" w:hAnsi="宋体"/>
          <w:sz w:val="24"/>
          <w:szCs w:val="24"/>
        </w:rPr>
        <w:t>本合同标准条件；</w:t>
      </w:r>
    </w:p>
    <w:p w14:paraId="33BC8A85">
      <w:pPr>
        <w:numPr>
          <w:ilvl w:val="0"/>
          <w:numId w:val="1"/>
        </w:numPr>
        <w:adjustRightInd/>
        <w:spacing w:line="360" w:lineRule="auto"/>
        <w:rPr>
          <w:rFonts w:ascii="宋体" w:hAnsi="宋体"/>
          <w:sz w:val="24"/>
          <w:szCs w:val="24"/>
        </w:rPr>
      </w:pPr>
      <w:r>
        <w:rPr>
          <w:rFonts w:hint="eastAsia" w:ascii="宋体" w:hAnsi="宋体"/>
          <w:sz w:val="24"/>
          <w:szCs w:val="24"/>
        </w:rPr>
        <w:t>标准、规范及有关技术文件、图纸；</w:t>
      </w:r>
    </w:p>
    <w:p w14:paraId="3435487B">
      <w:pPr>
        <w:numPr>
          <w:ilvl w:val="0"/>
          <w:numId w:val="1"/>
        </w:numPr>
        <w:adjustRightInd/>
        <w:spacing w:line="360" w:lineRule="auto"/>
        <w:rPr>
          <w:rFonts w:ascii="宋体" w:hAnsi="宋体"/>
          <w:sz w:val="24"/>
          <w:szCs w:val="24"/>
        </w:rPr>
      </w:pPr>
      <w:r>
        <w:rPr>
          <w:rFonts w:hint="eastAsia" w:ascii="宋体" w:hAnsi="宋体"/>
          <w:sz w:val="24"/>
          <w:szCs w:val="24"/>
        </w:rPr>
        <w:t>投标文件及其附件；</w:t>
      </w:r>
    </w:p>
    <w:p w14:paraId="3463FE68">
      <w:pPr>
        <w:numPr>
          <w:ilvl w:val="0"/>
          <w:numId w:val="1"/>
        </w:numPr>
        <w:tabs>
          <w:tab w:val="left" w:pos="993"/>
        </w:tabs>
        <w:adjustRightInd/>
        <w:spacing w:line="360" w:lineRule="auto"/>
        <w:rPr>
          <w:rFonts w:ascii="宋体" w:hAnsi="宋体"/>
          <w:sz w:val="24"/>
          <w:szCs w:val="24"/>
        </w:rPr>
      </w:pPr>
      <w:r>
        <w:rPr>
          <w:rFonts w:hint="eastAsia" w:ascii="宋体" w:hAnsi="宋体"/>
          <w:sz w:val="24"/>
          <w:szCs w:val="24"/>
        </w:rPr>
        <w:t>中标通书外的其他本合同附件。</w:t>
      </w:r>
    </w:p>
    <w:p w14:paraId="069B2ED7">
      <w:pPr>
        <w:adjustRightInd/>
        <w:spacing w:line="360" w:lineRule="auto"/>
        <w:ind w:firstLine="590" w:firstLineChars="245"/>
        <w:rPr>
          <w:rFonts w:ascii="宋体" w:hAnsi="宋体"/>
          <w:b/>
          <w:sz w:val="24"/>
          <w:szCs w:val="24"/>
        </w:rPr>
      </w:pPr>
      <w:r>
        <w:rPr>
          <w:rFonts w:hint="eastAsia" w:ascii="宋体" w:hAnsi="宋体"/>
          <w:b/>
          <w:sz w:val="24"/>
          <w:szCs w:val="24"/>
        </w:rPr>
        <w:t>第五条 监理单位向建设单位承诺，按照本合同的规定，承担本合同专用条件中议定范围内的监理业务。</w:t>
      </w:r>
    </w:p>
    <w:p w14:paraId="3467AD0D">
      <w:pPr>
        <w:adjustRightInd/>
        <w:spacing w:line="360" w:lineRule="auto"/>
        <w:ind w:firstLine="590" w:firstLineChars="245"/>
        <w:rPr>
          <w:rFonts w:ascii="宋体" w:hAnsi="宋体"/>
          <w:b/>
          <w:sz w:val="24"/>
          <w:szCs w:val="24"/>
        </w:rPr>
      </w:pPr>
      <w:r>
        <w:rPr>
          <w:rFonts w:hint="eastAsia" w:ascii="宋体" w:hAnsi="宋体"/>
          <w:b/>
          <w:sz w:val="24"/>
          <w:szCs w:val="24"/>
        </w:rPr>
        <w:t>第六条 建设单位向监理单位承诺按照本合同注明的期限、方式、币种，向监理单位支付报酬。向监理单位支付酬金的具体时间按照本合同规定及公司审批流程为准。</w:t>
      </w:r>
    </w:p>
    <w:p w14:paraId="70E8E9CE">
      <w:pPr>
        <w:tabs>
          <w:tab w:val="left" w:pos="5040"/>
        </w:tabs>
        <w:adjustRightInd/>
        <w:spacing w:line="360" w:lineRule="auto"/>
        <w:ind w:firstLine="595" w:firstLineChars="245"/>
        <w:rPr>
          <w:rFonts w:ascii="宋体" w:hAnsi="宋体"/>
          <w:b/>
          <w:sz w:val="24"/>
          <w:szCs w:val="24"/>
        </w:rPr>
      </w:pPr>
      <w:r>
        <w:rPr>
          <w:rFonts w:hint="eastAsia" w:ascii="宋体" w:cs="宋体"/>
          <w:b/>
          <w:spacing w:val="1"/>
          <w:position w:val="-3"/>
          <w:sz w:val="24"/>
        </w:rPr>
        <w:t>第七条</w:t>
      </w:r>
      <w:r>
        <w:rPr>
          <w:rFonts w:ascii="宋体" w:cs="宋体"/>
          <w:b/>
          <w:spacing w:val="1"/>
          <w:position w:val="-3"/>
          <w:sz w:val="24"/>
        </w:rPr>
        <w:t xml:space="preserve"> </w:t>
      </w:r>
      <w:r>
        <w:rPr>
          <w:rFonts w:hint="eastAsia" w:ascii="宋体" w:hAnsi="宋体"/>
          <w:b/>
          <w:sz w:val="24"/>
          <w:szCs w:val="24"/>
        </w:rPr>
        <w:t>本工程的建设管理单位</w:t>
      </w:r>
      <w:r>
        <w:rPr>
          <w:rFonts w:ascii="宋体" w:hAnsi="宋体"/>
          <w:b/>
          <w:sz w:val="24"/>
          <w:szCs w:val="24"/>
        </w:rPr>
        <w:t>为</w:t>
      </w:r>
      <w:r>
        <w:rPr>
          <w:rFonts w:hint="eastAsia" w:ascii="宋体" w:hAnsi="宋体"/>
          <w:b/>
          <w:sz w:val="24"/>
          <w:szCs w:val="24"/>
          <w:u w:val="single"/>
        </w:rPr>
        <w:t xml:space="preserve">  </w:t>
      </w:r>
      <w:r>
        <w:rPr>
          <w:rFonts w:hint="eastAsia" w:ascii="宋体" w:hAnsi="宋体"/>
          <w:b/>
          <w:sz w:val="24"/>
          <w:szCs w:val="24"/>
        </w:rPr>
        <w:t>，</w:t>
      </w:r>
      <w:r>
        <w:rPr>
          <w:rFonts w:ascii="宋体" w:hAnsi="宋体"/>
          <w:b/>
          <w:sz w:val="24"/>
          <w:szCs w:val="24"/>
        </w:rPr>
        <w:t>在本合同中</w:t>
      </w:r>
      <w:r>
        <w:rPr>
          <w:rFonts w:hint="eastAsia" w:ascii="宋体" w:hAnsi="宋体"/>
          <w:b/>
          <w:sz w:val="24"/>
          <w:szCs w:val="24"/>
        </w:rPr>
        <w:t>受建设单位的委托</w:t>
      </w:r>
      <w:r>
        <w:rPr>
          <w:rFonts w:ascii="宋体" w:hAnsi="宋体"/>
          <w:b/>
          <w:sz w:val="24"/>
          <w:szCs w:val="24"/>
        </w:rPr>
        <w:t>履行</w:t>
      </w:r>
      <w:r>
        <w:rPr>
          <w:rFonts w:hint="eastAsia" w:ascii="宋体" w:hAnsi="宋体"/>
          <w:b/>
          <w:sz w:val="24"/>
          <w:szCs w:val="24"/>
        </w:rPr>
        <w:t>相应</w:t>
      </w:r>
      <w:r>
        <w:rPr>
          <w:rFonts w:ascii="宋体" w:hAnsi="宋体"/>
          <w:b/>
          <w:sz w:val="24"/>
          <w:szCs w:val="24"/>
        </w:rPr>
        <w:t>职责和权利</w:t>
      </w:r>
      <w:r>
        <w:rPr>
          <w:rFonts w:hint="eastAsia" w:ascii="宋体" w:hAnsi="宋体"/>
          <w:b/>
          <w:sz w:val="24"/>
          <w:szCs w:val="24"/>
        </w:rPr>
        <w:t>，建设单位、建设管理单位的委托关系以双方建设管理合同为准</w:t>
      </w:r>
      <w:r>
        <w:rPr>
          <w:rFonts w:ascii="宋体" w:hAnsi="宋体"/>
          <w:b/>
          <w:sz w:val="24"/>
          <w:szCs w:val="24"/>
        </w:rPr>
        <w:t>。</w:t>
      </w:r>
    </w:p>
    <w:p w14:paraId="1215324F">
      <w:pPr>
        <w:adjustRightInd/>
        <w:spacing w:line="360" w:lineRule="auto"/>
        <w:ind w:firstLine="590" w:firstLineChars="245"/>
        <w:rPr>
          <w:rFonts w:ascii="宋体" w:hAnsi="宋体"/>
          <w:sz w:val="24"/>
          <w:szCs w:val="24"/>
        </w:rPr>
      </w:pPr>
      <w:r>
        <w:rPr>
          <w:rFonts w:hint="eastAsia" w:ascii="宋体" w:hAnsi="宋体"/>
          <w:b/>
          <w:sz w:val="24"/>
          <w:szCs w:val="24"/>
        </w:rPr>
        <w:t>第八条</w:t>
      </w:r>
      <w:r>
        <w:rPr>
          <w:rFonts w:ascii="宋体" w:hAnsi="宋体"/>
          <w:b/>
          <w:sz w:val="24"/>
          <w:szCs w:val="24"/>
        </w:rPr>
        <w:t xml:space="preserve"> </w:t>
      </w:r>
      <w:r>
        <w:rPr>
          <w:rFonts w:hint="eastAsia" w:ascii="宋体" w:hAnsi="宋体"/>
          <w:b/>
          <w:sz w:val="24"/>
          <w:szCs w:val="24"/>
        </w:rPr>
        <w:t>本合同正本一式</w:t>
      </w:r>
      <w:r>
        <w:rPr>
          <w:rFonts w:hint="eastAsia" w:ascii="宋体" w:hAnsi="宋体"/>
          <w:b/>
          <w:sz w:val="24"/>
          <w:szCs w:val="24"/>
          <w:u w:val="single"/>
        </w:rPr>
        <w:t xml:space="preserve">　叁 </w:t>
      </w:r>
      <w:r>
        <w:rPr>
          <w:rFonts w:hint="eastAsia" w:ascii="宋体" w:hAnsi="宋体"/>
          <w:b/>
          <w:sz w:val="24"/>
          <w:szCs w:val="24"/>
        </w:rPr>
        <w:t>份，三方各执</w:t>
      </w:r>
      <w:r>
        <w:rPr>
          <w:rFonts w:hint="eastAsia" w:ascii="宋体" w:hAnsi="宋体"/>
          <w:b/>
          <w:sz w:val="24"/>
          <w:szCs w:val="24"/>
          <w:u w:val="single"/>
        </w:rPr>
        <w:t xml:space="preserve">　壹 </w:t>
      </w:r>
      <w:r>
        <w:rPr>
          <w:rFonts w:hint="eastAsia" w:ascii="宋体" w:hAnsi="宋体"/>
          <w:b/>
          <w:sz w:val="24"/>
          <w:szCs w:val="24"/>
        </w:rPr>
        <w:t>份。副本</w:t>
      </w:r>
      <w:r>
        <w:rPr>
          <w:rFonts w:hint="eastAsia" w:ascii="宋体" w:hAnsi="宋体"/>
          <w:b/>
          <w:sz w:val="24"/>
          <w:szCs w:val="24"/>
          <w:u w:val="single"/>
        </w:rPr>
        <w:t xml:space="preserve">　陆 </w:t>
      </w:r>
      <w:r>
        <w:rPr>
          <w:rFonts w:hint="eastAsia" w:ascii="宋体" w:hAnsi="宋体"/>
          <w:b/>
          <w:sz w:val="24"/>
          <w:szCs w:val="24"/>
        </w:rPr>
        <w:t>份，建设单位执</w:t>
      </w:r>
      <w:r>
        <w:rPr>
          <w:rFonts w:hint="eastAsia" w:ascii="宋体" w:hAnsi="宋体"/>
          <w:b/>
          <w:sz w:val="24"/>
          <w:szCs w:val="24"/>
          <w:u w:val="single"/>
        </w:rPr>
        <w:t>　贰　</w:t>
      </w:r>
      <w:r>
        <w:rPr>
          <w:rFonts w:hint="eastAsia" w:ascii="宋体" w:hAnsi="宋体"/>
          <w:b/>
          <w:sz w:val="24"/>
          <w:szCs w:val="24"/>
        </w:rPr>
        <w:t>份，建设管理单位执</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贰</w:t>
      </w:r>
      <w:r>
        <w:rPr>
          <w:rFonts w:ascii="宋体" w:hAnsi="宋体"/>
          <w:b/>
          <w:sz w:val="24"/>
          <w:szCs w:val="24"/>
          <w:u w:val="single"/>
        </w:rPr>
        <w:t xml:space="preserve"> </w:t>
      </w:r>
      <w:r>
        <w:rPr>
          <w:rFonts w:hint="eastAsia" w:ascii="宋体" w:hAnsi="宋体"/>
          <w:b/>
          <w:sz w:val="24"/>
          <w:szCs w:val="24"/>
          <w:u w:val="single"/>
        </w:rPr>
        <w:t xml:space="preserve"> </w:t>
      </w:r>
      <w:r>
        <w:rPr>
          <w:rFonts w:hint="eastAsia" w:ascii="宋体" w:hAnsi="宋体"/>
          <w:b/>
          <w:sz w:val="24"/>
          <w:szCs w:val="24"/>
        </w:rPr>
        <w:t>份，监理单位执</w:t>
      </w:r>
      <w:r>
        <w:rPr>
          <w:rFonts w:hint="eastAsia" w:ascii="宋体" w:hAnsi="宋体"/>
          <w:b/>
          <w:sz w:val="24"/>
          <w:szCs w:val="24"/>
          <w:u w:val="single"/>
        </w:rPr>
        <w:t>　贰　</w:t>
      </w:r>
      <w:r>
        <w:rPr>
          <w:rFonts w:hint="eastAsia" w:ascii="宋体" w:hAnsi="宋体"/>
          <w:b/>
          <w:sz w:val="24"/>
          <w:szCs w:val="24"/>
        </w:rPr>
        <w:t>份。合同正、副本具有同等效力，当合同正、副本表述不一致时，以正本为准。</w:t>
      </w:r>
    </w:p>
    <w:p w14:paraId="4937082A">
      <w:pPr>
        <w:spacing w:line="360" w:lineRule="auto"/>
        <w:ind w:firstLine="597" w:firstLineChars="249"/>
        <w:rPr>
          <w:rFonts w:ascii="宋体" w:hAnsi="宋体"/>
          <w:sz w:val="24"/>
          <w:szCs w:val="24"/>
        </w:rPr>
        <w:sectPr>
          <w:footerReference r:id="rId11" w:type="first"/>
          <w:footerReference r:id="rId10" w:type="default"/>
          <w:pgSz w:w="11906" w:h="16838"/>
          <w:pgMar w:top="1361" w:right="1701" w:bottom="1361" w:left="1701" w:header="851" w:footer="992" w:gutter="0"/>
          <w:pgNumType w:start="1"/>
          <w:cols w:space="720" w:num="1"/>
          <w:titlePg/>
          <w:docGrid w:type="lines" w:linePitch="312" w:charSpace="0"/>
        </w:sectPr>
      </w:pPr>
    </w:p>
    <w:p w14:paraId="2AEB9D68">
      <w:pPr>
        <w:spacing w:line="360" w:lineRule="auto"/>
        <w:ind w:firstLine="597" w:firstLineChars="249"/>
        <w:rPr>
          <w:rFonts w:ascii="宋体" w:hAnsi="宋体"/>
          <w:sz w:val="24"/>
          <w:szCs w:val="24"/>
        </w:rPr>
      </w:pPr>
      <w:r>
        <w:rPr>
          <w:rFonts w:hint="eastAsia" w:ascii="宋体" w:hAnsi="宋体"/>
          <w:sz w:val="24"/>
          <w:szCs w:val="24"/>
        </w:rPr>
        <w:t>（本页为签署页）</w:t>
      </w:r>
    </w:p>
    <w:p w14:paraId="1BF97C39">
      <w:pPr>
        <w:spacing w:line="360" w:lineRule="auto"/>
        <w:ind w:firstLine="597" w:firstLineChars="249"/>
        <w:rPr>
          <w:rFonts w:ascii="宋体" w:hAnsi="宋体"/>
          <w:sz w:val="24"/>
          <w:szCs w:val="24"/>
        </w:rPr>
      </w:pPr>
    </w:p>
    <w:p w14:paraId="7AE06AAF">
      <w:pPr>
        <w:spacing w:line="360" w:lineRule="auto"/>
        <w:ind w:firstLine="480" w:firstLineChars="200"/>
        <w:rPr>
          <w:rFonts w:ascii="宋体" w:hAnsi="宋体"/>
          <w:sz w:val="24"/>
        </w:rPr>
      </w:pPr>
      <w:r>
        <w:rPr>
          <w:rFonts w:hint="eastAsia" w:ascii="宋体" w:hAnsi="宋体"/>
          <w:sz w:val="24"/>
        </w:rPr>
        <w:t xml:space="preserve">建设单位：广州设计之都建设投资开发有限公司 （盖章）                    　           </w:t>
      </w:r>
    </w:p>
    <w:p w14:paraId="6E88D91C">
      <w:pPr>
        <w:spacing w:line="360" w:lineRule="auto"/>
        <w:ind w:firstLine="480" w:firstLineChars="200"/>
        <w:rPr>
          <w:rFonts w:ascii="宋体" w:hAnsi="宋体"/>
          <w:sz w:val="24"/>
        </w:rPr>
      </w:pPr>
      <w:r>
        <w:rPr>
          <w:rFonts w:hint="eastAsia" w:ascii="宋体" w:hAnsi="宋体"/>
          <w:sz w:val="24"/>
        </w:rPr>
        <w:t xml:space="preserve">通讯地址：广州白云区设计之都鹤贤北街9号E2栋7楼 </w:t>
      </w:r>
    </w:p>
    <w:p w14:paraId="2FA08BC3">
      <w:pPr>
        <w:spacing w:line="360" w:lineRule="auto"/>
        <w:ind w:firstLine="480" w:firstLineChars="200"/>
        <w:rPr>
          <w:rFonts w:ascii="宋体" w:hAnsi="宋体"/>
          <w:sz w:val="24"/>
        </w:rPr>
      </w:pPr>
      <w:r>
        <w:rPr>
          <w:rFonts w:hint="eastAsia" w:ascii="宋体" w:hAnsi="宋体"/>
          <w:sz w:val="24"/>
        </w:rPr>
        <w:t xml:space="preserve">法定代表人：                           </w:t>
      </w:r>
    </w:p>
    <w:p w14:paraId="5453A2A8">
      <w:pPr>
        <w:spacing w:line="360" w:lineRule="auto"/>
        <w:ind w:firstLine="480" w:firstLineChars="200"/>
        <w:rPr>
          <w:rFonts w:ascii="宋体" w:hAnsi="宋体"/>
          <w:sz w:val="24"/>
        </w:rPr>
      </w:pPr>
      <w:r>
        <w:rPr>
          <w:rFonts w:hint="eastAsia" w:ascii="宋体" w:hAnsi="宋体"/>
          <w:sz w:val="24"/>
        </w:rPr>
        <w:t xml:space="preserve">签约代表：                             </w:t>
      </w:r>
    </w:p>
    <w:p w14:paraId="12AC463E">
      <w:pPr>
        <w:spacing w:line="360" w:lineRule="auto"/>
        <w:ind w:firstLine="480" w:firstLineChars="200"/>
        <w:rPr>
          <w:rFonts w:ascii="宋体" w:hAnsi="宋体"/>
          <w:sz w:val="24"/>
        </w:rPr>
      </w:pPr>
      <w:r>
        <w:rPr>
          <w:rFonts w:hint="eastAsia" w:ascii="宋体" w:hAnsi="宋体"/>
          <w:sz w:val="24"/>
        </w:rPr>
        <w:t xml:space="preserve">电话： </w:t>
      </w:r>
    </w:p>
    <w:p w14:paraId="50993211">
      <w:pPr>
        <w:pStyle w:val="4"/>
        <w:spacing w:line="360" w:lineRule="auto"/>
        <w:ind w:firstLine="0" w:firstLineChars="0"/>
      </w:pPr>
    </w:p>
    <w:p w14:paraId="6673AEB7">
      <w:pPr>
        <w:pStyle w:val="4"/>
        <w:spacing w:line="360" w:lineRule="auto"/>
        <w:ind w:firstLine="0" w:firstLineChars="0"/>
      </w:pPr>
    </w:p>
    <w:p w14:paraId="19982BE2">
      <w:pPr>
        <w:spacing w:line="360" w:lineRule="auto"/>
        <w:ind w:firstLine="480" w:firstLineChars="200"/>
        <w:rPr>
          <w:rFonts w:ascii="宋体" w:hAnsi="宋体"/>
          <w:sz w:val="24"/>
        </w:rPr>
      </w:pPr>
      <w:r>
        <w:rPr>
          <w:rFonts w:hint="eastAsia" w:ascii="宋体" w:hAnsi="宋体"/>
          <w:sz w:val="24"/>
        </w:rPr>
        <w:t xml:space="preserve">建设管理单位：（盖章）                    　           </w:t>
      </w:r>
    </w:p>
    <w:p w14:paraId="6C01683D">
      <w:pPr>
        <w:spacing w:line="360" w:lineRule="auto"/>
        <w:ind w:firstLine="480" w:firstLineChars="200"/>
        <w:rPr>
          <w:rFonts w:hint="eastAsia" w:ascii="宋体" w:hAnsi="宋体" w:eastAsia="宋体"/>
          <w:sz w:val="24"/>
          <w:lang w:eastAsia="zh-CN"/>
        </w:rPr>
      </w:pPr>
      <w:r>
        <w:rPr>
          <w:rFonts w:hint="eastAsia" w:ascii="宋体" w:hAnsi="宋体"/>
          <w:sz w:val="24"/>
        </w:rPr>
        <w:t>通讯地址：</w:t>
      </w:r>
    </w:p>
    <w:p w14:paraId="7D0B2C10">
      <w:pPr>
        <w:spacing w:line="360" w:lineRule="auto"/>
        <w:ind w:firstLine="480" w:firstLineChars="200"/>
        <w:rPr>
          <w:rFonts w:ascii="宋体" w:hAnsi="宋体"/>
          <w:sz w:val="24"/>
        </w:rPr>
      </w:pPr>
      <w:r>
        <w:rPr>
          <w:rFonts w:hint="eastAsia" w:ascii="宋体" w:hAnsi="宋体"/>
          <w:sz w:val="24"/>
        </w:rPr>
        <w:t xml:space="preserve">法定代表人：                           </w:t>
      </w:r>
    </w:p>
    <w:p w14:paraId="08C366C1">
      <w:pPr>
        <w:spacing w:line="360" w:lineRule="auto"/>
        <w:ind w:firstLine="480" w:firstLineChars="200"/>
        <w:rPr>
          <w:rFonts w:ascii="宋体" w:hAnsi="宋体"/>
          <w:sz w:val="24"/>
        </w:rPr>
      </w:pPr>
      <w:r>
        <w:rPr>
          <w:rFonts w:hint="eastAsia" w:ascii="宋体" w:hAnsi="宋体"/>
          <w:sz w:val="24"/>
        </w:rPr>
        <w:t xml:space="preserve">签约代表：                             </w:t>
      </w:r>
    </w:p>
    <w:p w14:paraId="6D718D99">
      <w:pPr>
        <w:spacing w:line="360" w:lineRule="auto"/>
        <w:ind w:firstLine="480" w:firstLineChars="200"/>
      </w:pPr>
      <w:r>
        <w:rPr>
          <w:rFonts w:hint="eastAsia" w:ascii="宋体" w:hAnsi="宋体"/>
          <w:sz w:val="24"/>
        </w:rPr>
        <w:t xml:space="preserve">电话： </w:t>
      </w:r>
    </w:p>
    <w:p w14:paraId="26064FB1">
      <w:pPr>
        <w:pStyle w:val="4"/>
        <w:spacing w:line="360" w:lineRule="auto"/>
        <w:ind w:firstLine="0" w:firstLineChars="0"/>
      </w:pPr>
    </w:p>
    <w:p w14:paraId="44D95622">
      <w:pPr>
        <w:pStyle w:val="4"/>
        <w:spacing w:line="360" w:lineRule="auto"/>
        <w:ind w:firstLine="0" w:firstLineChars="0"/>
      </w:pPr>
    </w:p>
    <w:p w14:paraId="4326950A">
      <w:pPr>
        <w:spacing w:line="360" w:lineRule="auto"/>
        <w:ind w:firstLine="480" w:firstLineChars="200"/>
        <w:rPr>
          <w:rFonts w:ascii="宋体" w:hAnsi="宋体"/>
          <w:sz w:val="24"/>
        </w:rPr>
      </w:pPr>
      <w:r>
        <w:rPr>
          <w:rFonts w:hint="eastAsia" w:ascii="宋体" w:hAnsi="宋体"/>
          <w:sz w:val="24"/>
        </w:rPr>
        <w:t xml:space="preserve">监理单位：（盖章） 　                               </w:t>
      </w:r>
    </w:p>
    <w:p w14:paraId="4C5710A7">
      <w:pPr>
        <w:spacing w:line="360" w:lineRule="auto"/>
        <w:ind w:firstLine="480" w:firstLineChars="200"/>
        <w:rPr>
          <w:rFonts w:hint="eastAsia" w:ascii="宋体" w:hAnsi="宋体" w:eastAsia="宋体"/>
          <w:sz w:val="24"/>
          <w:lang w:eastAsia="zh-CN"/>
        </w:rPr>
      </w:pPr>
      <w:r>
        <w:rPr>
          <w:rFonts w:hint="eastAsia" w:ascii="宋体" w:hAnsi="宋体"/>
          <w:sz w:val="24"/>
        </w:rPr>
        <w:t>通讯地址：</w:t>
      </w:r>
    </w:p>
    <w:p w14:paraId="03D5AABB">
      <w:pPr>
        <w:spacing w:line="360" w:lineRule="auto"/>
        <w:ind w:firstLine="480" w:firstLineChars="200"/>
        <w:rPr>
          <w:rFonts w:ascii="宋体" w:hAnsi="宋体"/>
          <w:sz w:val="24"/>
        </w:rPr>
      </w:pPr>
      <w:r>
        <w:rPr>
          <w:rFonts w:hint="eastAsia" w:ascii="宋体" w:hAnsi="宋体"/>
          <w:sz w:val="24"/>
        </w:rPr>
        <w:t xml:space="preserve">法定代表人：　　　　　　　　　　　　　   </w:t>
      </w:r>
    </w:p>
    <w:p w14:paraId="1B24CC3A">
      <w:pPr>
        <w:spacing w:line="360" w:lineRule="auto"/>
        <w:ind w:firstLine="480" w:firstLineChars="200"/>
        <w:rPr>
          <w:rFonts w:ascii="宋体" w:hAnsi="宋体"/>
          <w:sz w:val="24"/>
        </w:rPr>
      </w:pPr>
      <w:r>
        <w:rPr>
          <w:rFonts w:hint="eastAsia" w:ascii="宋体" w:hAnsi="宋体"/>
          <w:sz w:val="24"/>
        </w:rPr>
        <w:t xml:space="preserve">签约代表： </w:t>
      </w:r>
    </w:p>
    <w:p w14:paraId="7C926ECB">
      <w:pPr>
        <w:spacing w:line="360" w:lineRule="auto"/>
        <w:ind w:firstLine="480" w:firstLineChars="200"/>
        <w:rPr>
          <w:rFonts w:hint="eastAsia" w:ascii="宋体" w:hAnsi="宋体" w:eastAsia="宋体"/>
          <w:sz w:val="24"/>
          <w:lang w:eastAsia="zh-CN"/>
        </w:rPr>
      </w:pPr>
      <w:r>
        <w:rPr>
          <w:rFonts w:hint="eastAsia" w:ascii="宋体" w:hAnsi="宋体"/>
          <w:sz w:val="24"/>
        </w:rPr>
        <w:t>电话：</w:t>
      </w:r>
    </w:p>
    <w:p w14:paraId="184DA378">
      <w:pPr>
        <w:spacing w:line="360" w:lineRule="auto"/>
        <w:ind w:firstLine="480" w:firstLineChars="200"/>
        <w:rPr>
          <w:rFonts w:hint="eastAsia" w:ascii="宋体" w:hAnsi="宋体" w:eastAsia="宋体"/>
          <w:sz w:val="24"/>
          <w:lang w:eastAsia="zh-CN"/>
        </w:rPr>
      </w:pPr>
      <w:r>
        <w:rPr>
          <w:rFonts w:hint="eastAsia" w:ascii="宋体" w:hAnsi="宋体"/>
          <w:sz w:val="24"/>
        </w:rPr>
        <w:t>开户银行：</w:t>
      </w:r>
    </w:p>
    <w:p w14:paraId="4989E74B">
      <w:pPr>
        <w:spacing w:line="360" w:lineRule="auto"/>
        <w:ind w:firstLine="480" w:firstLineChars="200"/>
        <w:rPr>
          <w:rFonts w:ascii="宋体" w:hAnsi="宋体"/>
          <w:sz w:val="24"/>
        </w:rPr>
      </w:pPr>
      <w:r>
        <w:rPr>
          <w:rFonts w:hint="eastAsia" w:ascii="宋体" w:hAnsi="宋体"/>
          <w:sz w:val="24"/>
        </w:rPr>
        <w:t xml:space="preserve">开户名： </w:t>
      </w:r>
    </w:p>
    <w:p w14:paraId="6BB3F7A3">
      <w:pPr>
        <w:spacing w:line="360" w:lineRule="auto"/>
        <w:ind w:firstLine="480" w:firstLineChars="200"/>
        <w:rPr>
          <w:rFonts w:hint="eastAsia" w:ascii="宋体" w:hAnsi="宋体" w:eastAsia="宋体"/>
          <w:sz w:val="24"/>
          <w:lang w:eastAsia="zh-CN"/>
        </w:rPr>
      </w:pPr>
      <w:r>
        <w:rPr>
          <w:rFonts w:hint="eastAsia" w:ascii="宋体" w:hAnsi="宋体"/>
          <w:sz w:val="24"/>
        </w:rPr>
        <w:t>账号：</w:t>
      </w:r>
    </w:p>
    <w:p w14:paraId="414772D4">
      <w:pPr>
        <w:tabs>
          <w:tab w:val="left" w:pos="525"/>
          <w:tab w:val="left" w:pos="1155"/>
        </w:tabs>
        <w:spacing w:line="360" w:lineRule="auto"/>
        <w:ind w:firstLine="360" w:firstLineChars="150"/>
        <w:rPr>
          <w:rFonts w:ascii="宋体" w:hAnsi="宋体"/>
          <w:sz w:val="24"/>
          <w:szCs w:val="24"/>
        </w:rPr>
      </w:pPr>
    </w:p>
    <w:p w14:paraId="447B754B">
      <w:pPr>
        <w:pStyle w:val="20"/>
        <w:ind w:firstLine="360" w:firstLineChars="150"/>
        <w:rPr>
          <w:rFonts w:hAnsi="宋体"/>
          <w:b/>
          <w:szCs w:val="24"/>
        </w:rPr>
      </w:pPr>
      <w:r>
        <w:rPr>
          <w:rFonts w:hint="eastAsia" w:hAnsi="宋体"/>
          <w:szCs w:val="24"/>
        </w:rPr>
        <w:t>签订日期：</w:t>
      </w:r>
      <w:r>
        <w:rPr>
          <w:rFonts w:hint="eastAsia" w:hAnsi="宋体"/>
          <w:szCs w:val="24"/>
          <w:u w:val="single"/>
        </w:rPr>
        <w:t xml:space="preserve">   </w:t>
      </w:r>
      <w:r>
        <w:rPr>
          <w:rFonts w:hAnsi="宋体"/>
          <w:szCs w:val="24"/>
          <w:u w:val="single"/>
        </w:rPr>
        <w:t xml:space="preserve"> </w:t>
      </w:r>
      <w:r>
        <w:rPr>
          <w:rFonts w:hint="eastAsia" w:hAnsi="宋体"/>
          <w:szCs w:val="24"/>
          <w:u w:val="single"/>
        </w:rPr>
        <w:t xml:space="preserve">  </w:t>
      </w:r>
      <w:r>
        <w:rPr>
          <w:rFonts w:hint="eastAsia" w:hAnsi="宋体"/>
          <w:szCs w:val="24"/>
        </w:rPr>
        <w:t>年</w:t>
      </w:r>
      <w:r>
        <w:rPr>
          <w:rFonts w:hint="eastAsia" w:hAnsi="宋体"/>
          <w:szCs w:val="24"/>
          <w:u w:val="single"/>
        </w:rPr>
        <w:t xml:space="preserve">       </w:t>
      </w:r>
      <w:r>
        <w:rPr>
          <w:rFonts w:hint="eastAsia" w:hAnsi="宋体"/>
          <w:szCs w:val="24"/>
        </w:rPr>
        <w:t>月</w:t>
      </w:r>
      <w:r>
        <w:rPr>
          <w:rFonts w:hint="eastAsia" w:hAnsi="宋体"/>
          <w:szCs w:val="24"/>
          <w:u w:val="single"/>
        </w:rPr>
        <w:t xml:space="preserve">       </w:t>
      </w:r>
      <w:r>
        <w:rPr>
          <w:rFonts w:hint="eastAsia" w:hAnsi="宋体"/>
          <w:szCs w:val="24"/>
        </w:rPr>
        <w:t>日</w:t>
      </w:r>
    </w:p>
    <w:p w14:paraId="603ACA32">
      <w:pPr>
        <w:widowControl/>
        <w:adjustRightInd/>
        <w:spacing w:line="240" w:lineRule="auto"/>
        <w:jc w:val="left"/>
        <w:rPr>
          <w:rFonts w:ascii="宋体" w:hAnsi="宋体"/>
          <w:b/>
          <w:kern w:val="2"/>
          <w:sz w:val="24"/>
          <w:szCs w:val="24"/>
        </w:rPr>
        <w:sectPr>
          <w:pgSz w:w="11906" w:h="16838"/>
          <w:pgMar w:top="1361" w:right="1701" w:bottom="1361" w:left="1701" w:header="851" w:footer="992" w:gutter="0"/>
          <w:pgNumType w:start="1"/>
          <w:cols w:space="720" w:num="1"/>
          <w:titlePg/>
          <w:docGrid w:type="lines" w:linePitch="312" w:charSpace="0"/>
        </w:sectPr>
      </w:pPr>
    </w:p>
    <w:p w14:paraId="1CDA1A84">
      <w:pPr>
        <w:pStyle w:val="2"/>
        <w:spacing w:line="360" w:lineRule="auto"/>
      </w:pPr>
      <w:bookmarkStart w:id="5" w:name="_Toc177120550"/>
      <w:r>
        <w:rPr>
          <w:rFonts w:hint="eastAsia"/>
        </w:rPr>
        <w:t>第二部分 标准条件</w:t>
      </w:r>
      <w:bookmarkEnd w:id="5"/>
    </w:p>
    <w:p w14:paraId="64CD7871">
      <w:pPr>
        <w:pStyle w:val="20"/>
        <w:spacing w:line="360" w:lineRule="auto"/>
        <w:jc w:val="center"/>
        <w:rPr>
          <w:rFonts w:hAnsi="宋体"/>
          <w:b/>
          <w:sz w:val="28"/>
          <w:szCs w:val="28"/>
        </w:rPr>
      </w:pPr>
      <w:r>
        <w:rPr>
          <w:rFonts w:hint="eastAsia" w:hAnsi="宋体"/>
          <w:b/>
          <w:sz w:val="28"/>
          <w:szCs w:val="28"/>
        </w:rPr>
        <w:t>词语定义、适用范围和法规</w:t>
      </w:r>
    </w:p>
    <w:p w14:paraId="3C6DB1F4">
      <w:pPr>
        <w:pStyle w:val="20"/>
        <w:spacing w:line="360" w:lineRule="auto"/>
        <w:rPr>
          <w:rFonts w:hAnsi="宋体"/>
          <w:b/>
          <w:szCs w:val="24"/>
        </w:rPr>
      </w:pPr>
    </w:p>
    <w:p w14:paraId="3747D81F">
      <w:pPr>
        <w:spacing w:line="360" w:lineRule="auto"/>
        <w:ind w:firstLine="482" w:firstLineChars="200"/>
        <w:rPr>
          <w:rFonts w:ascii="宋体" w:hAnsi="宋体"/>
          <w:sz w:val="24"/>
          <w:szCs w:val="24"/>
        </w:rPr>
      </w:pPr>
      <w:r>
        <w:rPr>
          <w:rFonts w:hint="eastAsia" w:ascii="宋体" w:hAnsi="宋体"/>
          <w:b/>
          <w:sz w:val="24"/>
          <w:szCs w:val="24"/>
        </w:rPr>
        <w:t>第一条</w:t>
      </w:r>
      <w:r>
        <w:rPr>
          <w:rFonts w:hint="eastAsia" w:ascii="宋体" w:hAnsi="宋体"/>
          <w:sz w:val="24"/>
          <w:szCs w:val="24"/>
        </w:rPr>
        <w:t>　下列名词和用语，除上下文另有规定外，有如下含义：</w:t>
      </w:r>
    </w:p>
    <w:p w14:paraId="523DD8E9">
      <w:pPr>
        <w:spacing w:line="360" w:lineRule="auto"/>
        <w:ind w:firstLine="480" w:firstLineChars="200"/>
        <w:rPr>
          <w:rFonts w:ascii="宋体" w:hAnsi="宋体"/>
          <w:sz w:val="24"/>
          <w:szCs w:val="24"/>
        </w:rPr>
      </w:pPr>
      <w:r>
        <w:rPr>
          <w:rFonts w:hint="eastAsia" w:ascii="宋体" w:hAnsi="宋体"/>
          <w:sz w:val="24"/>
          <w:szCs w:val="24"/>
        </w:rPr>
        <w:t>（1）“工程”是指建设单位委托实施监理的工程。</w:t>
      </w:r>
    </w:p>
    <w:p w14:paraId="23701FE9">
      <w:pPr>
        <w:spacing w:line="360" w:lineRule="auto"/>
        <w:ind w:firstLine="480" w:firstLineChars="200"/>
        <w:rPr>
          <w:rFonts w:ascii="宋体" w:hAnsi="宋体"/>
          <w:sz w:val="24"/>
          <w:szCs w:val="24"/>
        </w:rPr>
      </w:pPr>
      <w:r>
        <w:rPr>
          <w:rFonts w:hint="eastAsia" w:ascii="宋体" w:hAnsi="宋体"/>
          <w:sz w:val="24"/>
          <w:szCs w:val="24"/>
        </w:rPr>
        <w:t>（2）“建设单位”是指承担直接投资责任和委托监理业务的一方以及其合法继承人。</w:t>
      </w:r>
    </w:p>
    <w:p w14:paraId="26911CC9">
      <w:pPr>
        <w:spacing w:line="360" w:lineRule="auto"/>
        <w:ind w:firstLine="480" w:firstLineChars="200"/>
        <w:rPr>
          <w:rFonts w:ascii="宋体" w:hAnsi="宋体"/>
          <w:sz w:val="24"/>
          <w:szCs w:val="24"/>
        </w:rPr>
      </w:pPr>
      <w:r>
        <w:rPr>
          <w:rFonts w:hint="eastAsia" w:ascii="宋体" w:hAnsi="宋体"/>
          <w:sz w:val="24"/>
          <w:szCs w:val="24"/>
        </w:rPr>
        <w:t>（3）“监理单位”是指承担监理业务和监理责任的一方，以及其合法继承人。</w:t>
      </w:r>
    </w:p>
    <w:p w14:paraId="0A59501F">
      <w:pPr>
        <w:spacing w:line="360" w:lineRule="auto"/>
        <w:ind w:firstLine="480" w:firstLineChars="200"/>
        <w:rPr>
          <w:rFonts w:ascii="宋体" w:hAnsi="宋体"/>
          <w:sz w:val="24"/>
          <w:szCs w:val="24"/>
        </w:rPr>
      </w:pPr>
      <w:r>
        <w:rPr>
          <w:rFonts w:hint="eastAsia" w:ascii="宋体" w:hAnsi="宋体"/>
          <w:sz w:val="24"/>
          <w:szCs w:val="24"/>
        </w:rPr>
        <w:t>（4）“监理机构”是指监理单位派驻本工程现场实施监理业务的组织。</w:t>
      </w:r>
    </w:p>
    <w:p w14:paraId="7996E868">
      <w:pPr>
        <w:spacing w:line="360" w:lineRule="auto"/>
        <w:ind w:firstLine="480" w:firstLineChars="200"/>
        <w:rPr>
          <w:rFonts w:ascii="宋体" w:hAnsi="宋体"/>
          <w:sz w:val="24"/>
          <w:szCs w:val="24"/>
        </w:rPr>
      </w:pPr>
      <w:r>
        <w:rPr>
          <w:rFonts w:hint="eastAsia" w:ascii="宋体" w:hAnsi="宋体"/>
          <w:sz w:val="24"/>
          <w:szCs w:val="24"/>
        </w:rPr>
        <w:t>（5）“总监理工程师”是指经建设单位书面同意，监理单位派到监理机构全面履行本合同的全权负责人。</w:t>
      </w:r>
    </w:p>
    <w:p w14:paraId="330884E5">
      <w:pPr>
        <w:spacing w:line="360" w:lineRule="auto"/>
        <w:ind w:firstLine="480" w:firstLineChars="200"/>
        <w:rPr>
          <w:rFonts w:ascii="宋体" w:hAnsi="宋体"/>
          <w:sz w:val="24"/>
          <w:szCs w:val="24"/>
        </w:rPr>
      </w:pPr>
      <w:r>
        <w:rPr>
          <w:rFonts w:hint="eastAsia" w:ascii="宋体" w:hAnsi="宋体"/>
          <w:sz w:val="24"/>
          <w:szCs w:val="24"/>
        </w:rPr>
        <w:t>（6）“承包人”是指除监理单位以外，建设单位就工程建设有关事宜签订合同的当事人。</w:t>
      </w:r>
    </w:p>
    <w:p w14:paraId="6742F257">
      <w:pPr>
        <w:spacing w:line="360" w:lineRule="auto"/>
        <w:ind w:firstLine="480" w:firstLineChars="200"/>
        <w:rPr>
          <w:rFonts w:ascii="宋体" w:hAnsi="宋体"/>
          <w:sz w:val="24"/>
          <w:szCs w:val="24"/>
        </w:rPr>
      </w:pPr>
      <w:r>
        <w:rPr>
          <w:rFonts w:hint="eastAsia" w:ascii="宋体" w:hAnsi="宋体"/>
          <w:sz w:val="24"/>
          <w:szCs w:val="24"/>
        </w:rPr>
        <w:t>（7）“工程监理的正常工作”是指三方在专用条件中约定，建设单位委托的监理工作范围和内容。</w:t>
      </w:r>
    </w:p>
    <w:p w14:paraId="541F138E">
      <w:pPr>
        <w:spacing w:line="360" w:lineRule="auto"/>
        <w:ind w:firstLine="480" w:firstLineChars="200"/>
        <w:rPr>
          <w:rFonts w:ascii="宋体" w:hAnsi="宋体"/>
          <w:sz w:val="24"/>
          <w:szCs w:val="24"/>
        </w:rPr>
      </w:pPr>
      <w:r>
        <w:rPr>
          <w:rFonts w:hint="eastAsia" w:ascii="宋体" w:hAnsi="宋体"/>
          <w:sz w:val="24"/>
          <w:szCs w:val="24"/>
        </w:rPr>
        <w:t>（8）“工程监理的附加工作”是指：①建设单位委托监理范围以外，通过三方书面协议另外增加的工作内容；②由于建设单位或承包人原因，使监理工作受到阻碍或延误，因增加工作量或持续时间而增加的工作。</w:t>
      </w:r>
    </w:p>
    <w:p w14:paraId="7504D377">
      <w:pPr>
        <w:spacing w:line="360" w:lineRule="auto"/>
        <w:ind w:firstLine="480" w:firstLineChars="200"/>
        <w:rPr>
          <w:rFonts w:ascii="宋体" w:hAnsi="宋体"/>
          <w:sz w:val="24"/>
          <w:szCs w:val="24"/>
        </w:rPr>
      </w:pPr>
      <w:r>
        <w:rPr>
          <w:rFonts w:hint="eastAsia" w:ascii="宋体" w:hAnsi="宋体"/>
          <w:sz w:val="24"/>
          <w:szCs w:val="24"/>
        </w:rPr>
        <w:t>（9）“工程监理的额外工作”是指正常工作和附加工作以外或非监理单位自己的原因而暂停或终止监理业务，其善后工作及恢复监理业务的工作。</w:t>
      </w:r>
    </w:p>
    <w:p w14:paraId="202B3FFC">
      <w:pPr>
        <w:spacing w:line="360" w:lineRule="auto"/>
        <w:ind w:firstLine="480" w:firstLineChars="200"/>
        <w:rPr>
          <w:rFonts w:ascii="宋体" w:hAnsi="宋体"/>
          <w:sz w:val="24"/>
          <w:szCs w:val="24"/>
        </w:rPr>
      </w:pPr>
      <w:r>
        <w:rPr>
          <w:rFonts w:hint="eastAsia" w:ascii="宋体" w:hAnsi="宋体"/>
          <w:sz w:val="24"/>
          <w:szCs w:val="24"/>
        </w:rPr>
        <w:t>（10）“日”是指任何一天零时至第二天零时的时间段。</w:t>
      </w:r>
    </w:p>
    <w:p w14:paraId="13244D47">
      <w:pPr>
        <w:spacing w:line="360" w:lineRule="auto"/>
        <w:ind w:firstLine="480" w:firstLineChars="200"/>
        <w:rPr>
          <w:rFonts w:ascii="宋体" w:hAnsi="宋体"/>
          <w:sz w:val="24"/>
          <w:szCs w:val="24"/>
        </w:rPr>
      </w:pPr>
      <w:r>
        <w:rPr>
          <w:rFonts w:hint="eastAsia" w:ascii="宋体" w:hAnsi="宋体"/>
          <w:sz w:val="24"/>
          <w:szCs w:val="24"/>
        </w:rPr>
        <w:t>（11）“月”是指根据公历从一个月份中任何一天开始到下一个月相应日期的前一天的时间段。</w:t>
      </w:r>
    </w:p>
    <w:p w14:paraId="042DD555">
      <w:pPr>
        <w:spacing w:line="360" w:lineRule="auto"/>
        <w:ind w:firstLine="482" w:firstLineChars="200"/>
        <w:rPr>
          <w:rFonts w:ascii="宋体" w:hAnsi="宋体"/>
          <w:sz w:val="24"/>
          <w:szCs w:val="24"/>
        </w:rPr>
      </w:pPr>
      <w:r>
        <w:rPr>
          <w:rFonts w:hint="eastAsia" w:ascii="宋体" w:hAnsi="宋体"/>
          <w:b/>
          <w:sz w:val="24"/>
          <w:szCs w:val="24"/>
        </w:rPr>
        <w:t>第二条</w:t>
      </w:r>
      <w:r>
        <w:rPr>
          <w:rFonts w:hint="eastAsia" w:ascii="宋体" w:hAnsi="宋体"/>
          <w:sz w:val="24"/>
          <w:szCs w:val="24"/>
        </w:rPr>
        <w:t>　建设工程委托监理合同适用的法律是指国家的法律、行政法规，以及专用条件中议定的部门规章或工程所在地的地方法规、地方规章。</w:t>
      </w:r>
    </w:p>
    <w:p w14:paraId="2B2F6E37">
      <w:pPr>
        <w:spacing w:line="360" w:lineRule="auto"/>
        <w:ind w:firstLine="482" w:firstLineChars="200"/>
        <w:rPr>
          <w:rFonts w:ascii="宋体" w:hAnsi="宋体"/>
          <w:sz w:val="24"/>
          <w:szCs w:val="24"/>
        </w:rPr>
      </w:pPr>
      <w:r>
        <w:rPr>
          <w:rFonts w:hint="eastAsia" w:ascii="宋体" w:hAnsi="宋体"/>
          <w:b/>
          <w:sz w:val="24"/>
          <w:szCs w:val="24"/>
        </w:rPr>
        <w:t>第三条</w:t>
      </w:r>
      <w:r>
        <w:rPr>
          <w:rFonts w:hint="eastAsia" w:ascii="宋体" w:hAnsi="宋体"/>
          <w:sz w:val="24"/>
          <w:szCs w:val="24"/>
        </w:rPr>
        <w:t>　本合同文件使用汉语语言文字书写、解释和说明。如专用条件约定使用两种以上（含两种）语言文字时，汉语应为解释和说明本合同的标准语言文字。</w:t>
      </w:r>
    </w:p>
    <w:p w14:paraId="3D57E274">
      <w:pPr>
        <w:pStyle w:val="20"/>
        <w:spacing w:line="360" w:lineRule="auto"/>
        <w:jc w:val="center"/>
        <w:rPr>
          <w:rFonts w:hAnsi="宋体"/>
          <w:b/>
          <w:szCs w:val="24"/>
        </w:rPr>
      </w:pPr>
      <w:r>
        <w:rPr>
          <w:rFonts w:hint="eastAsia" w:hAnsi="宋体"/>
          <w:b/>
          <w:szCs w:val="24"/>
        </w:rPr>
        <w:t>监理单位义务</w:t>
      </w:r>
    </w:p>
    <w:p w14:paraId="69A0CC2B">
      <w:pPr>
        <w:spacing w:line="360" w:lineRule="auto"/>
        <w:ind w:firstLine="482" w:firstLineChars="200"/>
        <w:rPr>
          <w:rFonts w:ascii="宋体" w:hAnsi="宋体"/>
          <w:sz w:val="24"/>
          <w:szCs w:val="24"/>
        </w:rPr>
      </w:pPr>
      <w:r>
        <w:rPr>
          <w:rFonts w:hint="eastAsia" w:ascii="宋体" w:hAnsi="宋体"/>
          <w:b/>
          <w:sz w:val="24"/>
          <w:szCs w:val="24"/>
        </w:rPr>
        <w:t>第四条</w:t>
      </w:r>
      <w:r>
        <w:rPr>
          <w:rFonts w:hint="eastAsia" w:ascii="宋体" w:hAnsi="宋体"/>
          <w:sz w:val="24"/>
          <w:szCs w:val="24"/>
        </w:rPr>
        <w:t>　监理单位按合同约定派出监理工作需要的监理机构及监理工程师，向建设单位报送委派的总监理工程师及其监理机构主要成员名单、监理规划，完成监理合同专用条件中约定的监理工程范围内的监理业务。监理工程师与监理单位之间存在劳动合同关系，其因履行监理职责而发生的工伤、人身损害等事故均由监理单位负责。在履行合同义务期间，应按合同约定定期向建设单位报告监理工作。</w:t>
      </w:r>
    </w:p>
    <w:p w14:paraId="5A7B8D84">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总监理工程师姓名：</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
    <w:p w14:paraId="3C1E67CD">
      <w:pPr>
        <w:spacing w:line="360" w:lineRule="auto"/>
        <w:ind w:firstLine="480" w:firstLineChars="200"/>
        <w:rPr>
          <w:rFonts w:ascii="宋体" w:hAnsi="宋体"/>
          <w:sz w:val="24"/>
          <w:szCs w:val="24"/>
          <w:u w:val="single"/>
        </w:rPr>
      </w:pPr>
      <w:r>
        <w:rPr>
          <w:rFonts w:hint="eastAsia" w:ascii="宋体" w:hAnsi="宋体"/>
          <w:sz w:val="24"/>
          <w:szCs w:val="24"/>
        </w:rPr>
        <w:t xml:space="preserve">注册号：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71AC2511">
      <w:pPr>
        <w:spacing w:line="360" w:lineRule="auto"/>
        <w:ind w:firstLine="482" w:firstLineChars="200"/>
        <w:rPr>
          <w:rFonts w:ascii="宋体" w:hAnsi="宋体"/>
          <w:sz w:val="24"/>
          <w:szCs w:val="24"/>
        </w:rPr>
      </w:pPr>
      <w:r>
        <w:rPr>
          <w:rFonts w:hint="eastAsia" w:ascii="宋体" w:hAnsi="宋体"/>
          <w:b/>
          <w:sz w:val="24"/>
          <w:szCs w:val="24"/>
        </w:rPr>
        <w:t>第五条</w:t>
      </w:r>
      <w:r>
        <w:rPr>
          <w:rFonts w:hint="eastAsia" w:ascii="宋体" w:hAnsi="宋体"/>
          <w:sz w:val="24"/>
          <w:szCs w:val="24"/>
        </w:rPr>
        <w:t>　监理单位在履行本合同的义务期间，应认真、勤奋地工作，为建设单位提供符合行业标准且与其资质水平相当的咨询意见，公正维护各方面的合法权益。</w:t>
      </w:r>
    </w:p>
    <w:p w14:paraId="0A410735">
      <w:pPr>
        <w:spacing w:line="360" w:lineRule="auto"/>
        <w:ind w:firstLine="482" w:firstLineChars="200"/>
        <w:rPr>
          <w:rFonts w:ascii="宋体" w:hAnsi="宋体"/>
          <w:sz w:val="24"/>
          <w:szCs w:val="24"/>
        </w:rPr>
      </w:pPr>
      <w:r>
        <w:rPr>
          <w:rFonts w:hint="eastAsia" w:ascii="宋体" w:hAnsi="宋体"/>
          <w:b/>
          <w:sz w:val="24"/>
          <w:szCs w:val="24"/>
        </w:rPr>
        <w:t>第六条</w:t>
      </w:r>
      <w:r>
        <w:rPr>
          <w:rFonts w:hint="eastAsia" w:ascii="宋体" w:hAnsi="宋体"/>
          <w:sz w:val="24"/>
          <w:szCs w:val="24"/>
        </w:rPr>
        <w:t>　监理单位使用建设单位提供的设施和物品属建设单位的财产。在监理工作完成或终止时，应将其设施和剩余的物品按合同约定的时间和方式移交给建设单位。</w:t>
      </w:r>
    </w:p>
    <w:p w14:paraId="4E899D3C">
      <w:pPr>
        <w:spacing w:line="360" w:lineRule="auto"/>
        <w:ind w:firstLine="482" w:firstLineChars="200"/>
        <w:rPr>
          <w:rFonts w:ascii="宋体" w:hAnsi="宋体"/>
          <w:sz w:val="24"/>
          <w:szCs w:val="24"/>
        </w:rPr>
      </w:pPr>
      <w:r>
        <w:rPr>
          <w:rFonts w:hint="eastAsia" w:ascii="宋体" w:hAnsi="宋体"/>
          <w:b/>
          <w:sz w:val="24"/>
          <w:szCs w:val="24"/>
        </w:rPr>
        <w:t>第七条</w:t>
      </w:r>
      <w:r>
        <w:rPr>
          <w:rFonts w:hint="eastAsia" w:ascii="宋体" w:hAnsi="宋体"/>
          <w:sz w:val="24"/>
          <w:szCs w:val="24"/>
        </w:rPr>
        <w:t>　在合同期内或合同终止后，未征得有关方书面同意，不得泄露与本工程、本合同业务有关的保密资料，不得将该保密信息用于本合同范围之外，如有违背，需赔偿对方因此遭受的全部损失（包括但不限于相应律师费用、差旅费用等）。</w:t>
      </w:r>
    </w:p>
    <w:p w14:paraId="121CE291">
      <w:pPr>
        <w:pStyle w:val="20"/>
        <w:spacing w:line="360" w:lineRule="auto"/>
        <w:jc w:val="center"/>
        <w:rPr>
          <w:rFonts w:hAnsi="宋体"/>
          <w:b/>
          <w:szCs w:val="24"/>
        </w:rPr>
      </w:pPr>
      <w:r>
        <w:rPr>
          <w:rFonts w:hint="eastAsia" w:hAnsi="宋体"/>
          <w:b/>
          <w:szCs w:val="24"/>
        </w:rPr>
        <w:t>建设单位、建设管理单位义务</w:t>
      </w:r>
    </w:p>
    <w:p w14:paraId="191D0D43">
      <w:pPr>
        <w:spacing w:line="360" w:lineRule="auto"/>
        <w:ind w:firstLine="482" w:firstLineChars="200"/>
        <w:rPr>
          <w:rFonts w:ascii="宋体" w:hAnsi="宋体"/>
          <w:sz w:val="24"/>
          <w:szCs w:val="24"/>
        </w:rPr>
      </w:pPr>
      <w:r>
        <w:rPr>
          <w:rFonts w:hint="eastAsia" w:ascii="宋体" w:hAnsi="宋体"/>
          <w:b/>
          <w:sz w:val="24"/>
          <w:szCs w:val="24"/>
        </w:rPr>
        <w:t>第八条</w:t>
      </w:r>
      <w:r>
        <w:rPr>
          <w:rFonts w:hint="eastAsia" w:ascii="宋体" w:hAnsi="宋体"/>
          <w:sz w:val="24"/>
          <w:szCs w:val="24"/>
        </w:rPr>
        <w:t>　建设单位在监理单位开展监理业务之前应向监理单位支付预付款总额</w:t>
      </w:r>
      <w:r>
        <w:rPr>
          <w:rFonts w:hint="eastAsia" w:ascii="宋体" w:hAnsi="宋体"/>
          <w:sz w:val="24"/>
          <w:szCs w:val="24"/>
          <w:u w:val="single"/>
        </w:rPr>
        <w:t xml:space="preserve">       </w:t>
      </w:r>
      <w:r>
        <w:rPr>
          <w:rFonts w:hint="eastAsia" w:hAnsi="宋体"/>
          <w:szCs w:val="24"/>
          <w:u w:val="single"/>
        </w:rPr>
        <w:t>元</w:t>
      </w:r>
      <w:r>
        <w:rPr>
          <w:rFonts w:hint="eastAsia" w:ascii="宋体" w:hAnsi="宋体"/>
          <w:sz w:val="24"/>
          <w:szCs w:val="24"/>
        </w:rPr>
        <w:t>。</w:t>
      </w:r>
    </w:p>
    <w:p w14:paraId="20A15F14">
      <w:pPr>
        <w:spacing w:line="360" w:lineRule="auto"/>
        <w:ind w:firstLine="482" w:firstLineChars="200"/>
        <w:rPr>
          <w:rFonts w:ascii="宋体" w:hAnsi="宋体"/>
          <w:sz w:val="24"/>
          <w:szCs w:val="24"/>
        </w:rPr>
      </w:pPr>
      <w:r>
        <w:rPr>
          <w:rFonts w:hint="eastAsia" w:ascii="宋体" w:hAnsi="宋体"/>
          <w:b/>
          <w:sz w:val="24"/>
          <w:szCs w:val="24"/>
        </w:rPr>
        <w:t>第九条</w:t>
      </w:r>
      <w:r>
        <w:rPr>
          <w:rFonts w:hint="eastAsia" w:ascii="宋体" w:hAnsi="宋体"/>
          <w:sz w:val="24"/>
          <w:szCs w:val="24"/>
        </w:rPr>
        <w:t>　应监理单位书面要求，建设单位应当负责工程建设的所有外部关系的协调，为监理工作提供外部条件。根据需要，如将部分或全部协调工作委托监理单位承担，则应在专用条件中明确委托的工作和相应的报酬。</w:t>
      </w:r>
    </w:p>
    <w:p w14:paraId="71CD0A55">
      <w:pPr>
        <w:spacing w:line="360" w:lineRule="auto"/>
        <w:ind w:firstLine="482" w:firstLineChars="200"/>
        <w:rPr>
          <w:rFonts w:ascii="宋体" w:hAnsi="宋体"/>
          <w:sz w:val="24"/>
          <w:szCs w:val="24"/>
        </w:rPr>
      </w:pPr>
      <w:r>
        <w:rPr>
          <w:rFonts w:hint="eastAsia" w:ascii="宋体" w:hAnsi="宋体"/>
          <w:b/>
          <w:sz w:val="24"/>
          <w:szCs w:val="24"/>
        </w:rPr>
        <w:t>第十条</w:t>
      </w:r>
      <w:r>
        <w:rPr>
          <w:rFonts w:hint="eastAsia" w:ascii="宋体" w:hAnsi="宋体"/>
          <w:sz w:val="24"/>
          <w:szCs w:val="24"/>
        </w:rPr>
        <w:t>　应监理单位明确书面要求，建设单位应当在三方约定的时间内免费向监理单位提供与工程有关的为监理工作所需要的工程资料。</w:t>
      </w:r>
    </w:p>
    <w:p w14:paraId="3068A0EA">
      <w:pPr>
        <w:spacing w:line="360" w:lineRule="auto"/>
        <w:ind w:firstLine="482" w:firstLineChars="200"/>
        <w:rPr>
          <w:rFonts w:ascii="宋体" w:hAnsi="宋体"/>
          <w:sz w:val="24"/>
          <w:szCs w:val="24"/>
        </w:rPr>
      </w:pPr>
      <w:r>
        <w:rPr>
          <w:rFonts w:hint="eastAsia" w:ascii="宋体" w:hAnsi="宋体"/>
          <w:b/>
          <w:sz w:val="24"/>
          <w:szCs w:val="24"/>
        </w:rPr>
        <w:t>第十一条</w:t>
      </w:r>
      <w:r>
        <w:rPr>
          <w:rFonts w:hint="eastAsia" w:ascii="宋体" w:hAnsi="宋体"/>
          <w:sz w:val="24"/>
          <w:szCs w:val="24"/>
        </w:rPr>
        <w:t>　建设单位应当在专用条件约定的时间内就监理单位书面提交并要求作出决定的一切事宜作出书面决定。</w:t>
      </w:r>
    </w:p>
    <w:p w14:paraId="2CEC1B2D">
      <w:pPr>
        <w:spacing w:line="360" w:lineRule="auto"/>
        <w:ind w:firstLine="482" w:firstLineChars="200"/>
        <w:rPr>
          <w:rFonts w:ascii="宋体" w:hAnsi="宋体"/>
          <w:sz w:val="24"/>
          <w:szCs w:val="24"/>
        </w:rPr>
      </w:pPr>
      <w:r>
        <w:rPr>
          <w:rFonts w:hint="eastAsia" w:ascii="宋体" w:hAnsi="宋体"/>
          <w:b/>
          <w:sz w:val="24"/>
          <w:szCs w:val="24"/>
        </w:rPr>
        <w:t>第十二条</w:t>
      </w:r>
      <w:r>
        <w:rPr>
          <w:rFonts w:hint="eastAsia" w:ascii="宋体" w:hAnsi="宋体"/>
          <w:sz w:val="24"/>
          <w:szCs w:val="24"/>
        </w:rPr>
        <w:t>　建设单位应当授权一名熟悉工程情况、能在规定时间内作出决定的常驻代表（在专用条款中约定），负责与监理单位联系。更换常驻代表，要提前通知监理单位。</w:t>
      </w:r>
    </w:p>
    <w:p w14:paraId="46D00569">
      <w:pPr>
        <w:spacing w:line="360" w:lineRule="auto"/>
        <w:ind w:firstLine="482" w:firstLineChars="200"/>
        <w:rPr>
          <w:rFonts w:ascii="宋体" w:hAnsi="宋体"/>
          <w:sz w:val="24"/>
          <w:szCs w:val="24"/>
        </w:rPr>
      </w:pPr>
      <w:r>
        <w:rPr>
          <w:rFonts w:hint="eastAsia" w:ascii="宋体" w:hAnsi="宋体"/>
          <w:b/>
          <w:sz w:val="24"/>
          <w:szCs w:val="24"/>
        </w:rPr>
        <w:t>第十三条</w:t>
      </w:r>
      <w:r>
        <w:rPr>
          <w:rFonts w:hint="eastAsia" w:ascii="宋体" w:hAnsi="宋体"/>
          <w:sz w:val="24"/>
          <w:szCs w:val="24"/>
        </w:rPr>
        <w:t>　建设单位应当将授予监理单位的监理权利，以及监理单位主要成员的职能分工、监理权限及时书面通知已选定的承包合同的承包人，并在与第三人签订的合同中予以明确。</w:t>
      </w:r>
    </w:p>
    <w:p w14:paraId="1A7BDA6E">
      <w:pPr>
        <w:spacing w:line="360" w:lineRule="auto"/>
        <w:ind w:firstLine="482" w:firstLineChars="200"/>
        <w:rPr>
          <w:rFonts w:ascii="宋体" w:hAnsi="宋体"/>
          <w:sz w:val="24"/>
          <w:szCs w:val="24"/>
        </w:rPr>
      </w:pPr>
      <w:r>
        <w:rPr>
          <w:rFonts w:hint="eastAsia" w:ascii="宋体" w:hAnsi="宋体"/>
          <w:b/>
          <w:sz w:val="24"/>
          <w:szCs w:val="24"/>
        </w:rPr>
        <w:t>第十四条</w:t>
      </w:r>
      <w:r>
        <w:rPr>
          <w:rFonts w:hint="eastAsia" w:ascii="宋体" w:hAnsi="宋体"/>
          <w:sz w:val="24"/>
          <w:szCs w:val="24"/>
        </w:rPr>
        <w:t>　建设单位应在不影响监理单位开展监理工作的时间内提供如下资料：</w:t>
      </w:r>
    </w:p>
    <w:p w14:paraId="420DD054">
      <w:pPr>
        <w:spacing w:line="360" w:lineRule="auto"/>
        <w:ind w:firstLine="480" w:firstLineChars="200"/>
        <w:rPr>
          <w:rFonts w:ascii="宋体" w:hAnsi="宋体"/>
          <w:sz w:val="24"/>
          <w:szCs w:val="24"/>
        </w:rPr>
      </w:pPr>
      <w:r>
        <w:rPr>
          <w:rFonts w:hint="eastAsia" w:ascii="宋体" w:hAnsi="宋体"/>
          <w:sz w:val="24"/>
          <w:szCs w:val="24"/>
        </w:rPr>
        <w:t>（1）与本工程合作的原材料、构配件、设备等生产厂家名录。</w:t>
      </w:r>
    </w:p>
    <w:p w14:paraId="40540D58">
      <w:pPr>
        <w:spacing w:line="360" w:lineRule="auto"/>
        <w:ind w:firstLine="480" w:firstLineChars="200"/>
        <w:rPr>
          <w:rFonts w:ascii="宋体" w:hAnsi="宋体"/>
          <w:sz w:val="24"/>
          <w:szCs w:val="24"/>
        </w:rPr>
      </w:pPr>
      <w:r>
        <w:rPr>
          <w:rFonts w:hint="eastAsia" w:ascii="宋体" w:hAnsi="宋体"/>
          <w:sz w:val="24"/>
          <w:szCs w:val="24"/>
        </w:rPr>
        <w:t>（2）提供与本工程有关的协作单位、配合单位的名录。</w:t>
      </w:r>
    </w:p>
    <w:p w14:paraId="29B497AD">
      <w:pPr>
        <w:spacing w:line="360" w:lineRule="auto"/>
        <w:ind w:firstLine="482" w:firstLineChars="200"/>
        <w:rPr>
          <w:rFonts w:ascii="宋体" w:hAnsi="宋体"/>
          <w:sz w:val="24"/>
          <w:szCs w:val="24"/>
        </w:rPr>
      </w:pPr>
      <w:r>
        <w:rPr>
          <w:rFonts w:hint="eastAsia" w:ascii="宋体" w:hAnsi="宋体"/>
          <w:b/>
          <w:sz w:val="24"/>
          <w:szCs w:val="24"/>
        </w:rPr>
        <w:t>第十五条</w:t>
      </w:r>
      <w:r>
        <w:rPr>
          <w:rFonts w:hint="eastAsia" w:ascii="宋体" w:hAnsi="宋体"/>
          <w:sz w:val="24"/>
          <w:szCs w:val="24"/>
        </w:rPr>
        <w:t>　建设单位应免费向监理单位提供办公用房及合同专用条件约定的设施。　　</w:t>
      </w:r>
    </w:p>
    <w:p w14:paraId="0EF3DF9D">
      <w:pPr>
        <w:spacing w:line="360" w:lineRule="auto"/>
        <w:ind w:firstLine="482" w:firstLineChars="200"/>
        <w:rPr>
          <w:rFonts w:ascii="宋体" w:hAnsi="宋体"/>
          <w:sz w:val="24"/>
          <w:szCs w:val="24"/>
        </w:rPr>
      </w:pPr>
      <w:r>
        <w:rPr>
          <w:rFonts w:hint="eastAsia" w:ascii="宋体" w:hAnsi="宋体"/>
          <w:b/>
          <w:sz w:val="24"/>
          <w:szCs w:val="24"/>
        </w:rPr>
        <w:t>第十六条</w:t>
      </w:r>
      <w:r>
        <w:rPr>
          <w:rFonts w:hint="eastAsia" w:ascii="宋体" w:hAnsi="宋体"/>
          <w:sz w:val="24"/>
          <w:szCs w:val="24"/>
        </w:rPr>
        <w:t>　根据情况需要，如果三方约定，由建设单位免费向监理单位提供其他人员，应在监理合同专用条件中予以明确。</w:t>
      </w:r>
    </w:p>
    <w:p w14:paraId="072C742E">
      <w:pPr>
        <w:pStyle w:val="20"/>
        <w:spacing w:line="360" w:lineRule="auto"/>
        <w:jc w:val="center"/>
        <w:rPr>
          <w:rFonts w:hAnsi="宋体"/>
          <w:b/>
          <w:szCs w:val="24"/>
        </w:rPr>
      </w:pPr>
      <w:r>
        <w:rPr>
          <w:rFonts w:hint="eastAsia" w:hAnsi="宋体"/>
          <w:b/>
          <w:szCs w:val="24"/>
        </w:rPr>
        <w:t>监理单位权利</w:t>
      </w:r>
    </w:p>
    <w:p w14:paraId="334D2EF2">
      <w:pPr>
        <w:spacing w:line="360" w:lineRule="auto"/>
        <w:ind w:firstLine="482" w:firstLineChars="200"/>
        <w:rPr>
          <w:rFonts w:ascii="宋体" w:hAnsi="宋体"/>
          <w:sz w:val="24"/>
          <w:szCs w:val="24"/>
        </w:rPr>
      </w:pPr>
      <w:r>
        <w:rPr>
          <w:rFonts w:hint="eastAsia" w:ascii="宋体" w:hAnsi="宋体"/>
          <w:b/>
          <w:sz w:val="24"/>
          <w:szCs w:val="24"/>
        </w:rPr>
        <w:t>第十七条</w:t>
      </w:r>
      <w:r>
        <w:rPr>
          <w:rFonts w:hint="eastAsia" w:ascii="宋体" w:hAnsi="宋体"/>
          <w:sz w:val="24"/>
          <w:szCs w:val="24"/>
        </w:rPr>
        <w:t>　监理单位在建设单位委托的工程范围内，享有以下权利：</w:t>
      </w:r>
    </w:p>
    <w:p w14:paraId="49235FC6">
      <w:pPr>
        <w:spacing w:line="360" w:lineRule="auto"/>
        <w:ind w:firstLine="480" w:firstLineChars="200"/>
        <w:rPr>
          <w:rFonts w:ascii="宋体" w:hAnsi="宋体"/>
          <w:sz w:val="24"/>
          <w:szCs w:val="24"/>
        </w:rPr>
      </w:pPr>
      <w:r>
        <w:rPr>
          <w:rFonts w:hint="eastAsia" w:ascii="宋体" w:hAnsi="宋体"/>
          <w:sz w:val="24"/>
          <w:szCs w:val="24"/>
        </w:rPr>
        <w:t>（1）选择工程总承包人的建议权。</w:t>
      </w:r>
    </w:p>
    <w:p w14:paraId="0CB01F70">
      <w:pPr>
        <w:spacing w:line="360" w:lineRule="auto"/>
        <w:ind w:firstLine="480" w:firstLineChars="200"/>
        <w:rPr>
          <w:rFonts w:ascii="宋体" w:hAnsi="宋体"/>
          <w:sz w:val="24"/>
          <w:szCs w:val="24"/>
        </w:rPr>
      </w:pPr>
      <w:r>
        <w:rPr>
          <w:rFonts w:hint="eastAsia" w:ascii="宋体" w:hAnsi="宋体"/>
          <w:sz w:val="24"/>
          <w:szCs w:val="24"/>
        </w:rPr>
        <w:t>（2）选择工程分包人的认可权。</w:t>
      </w:r>
    </w:p>
    <w:p w14:paraId="3E3FDF0C">
      <w:pPr>
        <w:spacing w:line="360" w:lineRule="auto"/>
        <w:ind w:firstLine="480" w:firstLineChars="200"/>
        <w:rPr>
          <w:rFonts w:ascii="宋体" w:hAnsi="宋体"/>
          <w:sz w:val="24"/>
          <w:szCs w:val="24"/>
        </w:rPr>
      </w:pPr>
      <w:r>
        <w:rPr>
          <w:rFonts w:hint="eastAsia" w:ascii="宋体" w:hAnsi="宋体"/>
          <w:sz w:val="24"/>
          <w:szCs w:val="24"/>
        </w:rPr>
        <w:t>（3）对工程建设有关事项包括工程规模、设计标准、规划设计、生产工艺设计和使用功能要求，向建设单位的建议权。</w:t>
      </w:r>
    </w:p>
    <w:p w14:paraId="59A2FD9E">
      <w:pPr>
        <w:spacing w:line="360" w:lineRule="auto"/>
        <w:ind w:firstLine="480" w:firstLineChars="200"/>
        <w:rPr>
          <w:rFonts w:ascii="宋体" w:hAnsi="宋体"/>
          <w:sz w:val="24"/>
          <w:szCs w:val="24"/>
        </w:rPr>
      </w:pPr>
      <w:r>
        <w:rPr>
          <w:rFonts w:hint="eastAsia" w:ascii="宋体" w:hAnsi="宋体"/>
          <w:sz w:val="24"/>
          <w:szCs w:val="24"/>
        </w:rPr>
        <w:t>（4）对工程设计中的技术问题，按照安全和优化的原则，向设计人提出建议；如果拟提出的建议可能会提高工程造价，或延长工期，应当事先征得建设单位的书面同意。当发现工程设计不符合国家颁布的建设工程质量标准或设计合同约定的质量标准时，监理单位应当书面并及时报告建设单位并要求设计人更正。否则，由此给建设单位造成损失的，由监理单位负责所有损失的赔偿。</w:t>
      </w:r>
    </w:p>
    <w:p w14:paraId="4E2BB940">
      <w:pPr>
        <w:spacing w:line="360" w:lineRule="auto"/>
        <w:ind w:firstLine="480" w:firstLineChars="200"/>
        <w:rPr>
          <w:rFonts w:ascii="宋体" w:hAnsi="宋体"/>
          <w:sz w:val="24"/>
          <w:szCs w:val="24"/>
        </w:rPr>
      </w:pPr>
      <w:r>
        <w:rPr>
          <w:rFonts w:hint="eastAsia" w:ascii="宋体" w:hAnsi="宋体"/>
          <w:sz w:val="24"/>
          <w:szCs w:val="24"/>
        </w:rPr>
        <w:t>（5）审批工程施工组织设计和技术方案，按照保质量、保工期和降低成本的原则，向承包人提出建议，并向建设单位提出书面报告。</w:t>
      </w:r>
    </w:p>
    <w:p w14:paraId="3AB0E61B">
      <w:pPr>
        <w:spacing w:line="360" w:lineRule="auto"/>
        <w:ind w:firstLine="480" w:firstLineChars="200"/>
        <w:rPr>
          <w:rFonts w:ascii="宋体" w:hAnsi="宋体"/>
          <w:sz w:val="24"/>
          <w:szCs w:val="24"/>
        </w:rPr>
      </w:pPr>
      <w:r>
        <w:rPr>
          <w:rFonts w:hint="eastAsia" w:ascii="宋体" w:hAnsi="宋体"/>
          <w:sz w:val="24"/>
          <w:szCs w:val="24"/>
        </w:rPr>
        <w:t>（6）主持工程建设有关协作单位的组织协调，重要协调事项应当事先向建设单位报告。</w:t>
      </w:r>
    </w:p>
    <w:p w14:paraId="6CC2F338">
      <w:pPr>
        <w:spacing w:line="360" w:lineRule="auto"/>
        <w:ind w:firstLine="480" w:firstLineChars="200"/>
        <w:rPr>
          <w:rFonts w:ascii="宋体" w:hAnsi="宋体"/>
          <w:sz w:val="24"/>
          <w:szCs w:val="24"/>
        </w:rPr>
      </w:pPr>
      <w:r>
        <w:rPr>
          <w:rFonts w:hint="eastAsia" w:ascii="宋体" w:hAnsi="宋体"/>
          <w:sz w:val="24"/>
          <w:szCs w:val="24"/>
        </w:rPr>
        <w:t>（7）征得建设单位书面同意，监理单位有权发布开工令、停工令、复工令，但应当事先向建设单位报告。如在紧急情况下未能事先报告时，则应在24小时内向建设单位作出书面报告。</w:t>
      </w:r>
    </w:p>
    <w:p w14:paraId="490E6832">
      <w:pPr>
        <w:spacing w:line="360" w:lineRule="auto"/>
        <w:ind w:firstLine="480" w:firstLineChars="200"/>
        <w:rPr>
          <w:rFonts w:ascii="宋体" w:hAnsi="宋体"/>
          <w:sz w:val="24"/>
          <w:szCs w:val="24"/>
        </w:rPr>
      </w:pPr>
      <w:r>
        <w:rPr>
          <w:rFonts w:hint="eastAsia" w:ascii="宋体" w:hAnsi="宋体"/>
          <w:sz w:val="24"/>
          <w:szCs w:val="24"/>
        </w:rPr>
        <w:t>（8）工程上使用的材料和施工质量的检验权。对于不符合设计要求和合同约定及国家质量标准的材料、构配件、设备，应当通知承包人停止使用；对于不符合规范和质量标准的工序、分部、分项工程和不安全施工作业，应当通知承包人停工整改、返工。承包人得到监理机构复工令后才能复工。</w:t>
      </w:r>
    </w:p>
    <w:p w14:paraId="065DD838">
      <w:pPr>
        <w:spacing w:line="360" w:lineRule="auto"/>
        <w:ind w:firstLine="480" w:firstLineChars="200"/>
        <w:rPr>
          <w:rFonts w:ascii="宋体" w:hAnsi="宋体"/>
          <w:sz w:val="24"/>
          <w:szCs w:val="24"/>
        </w:rPr>
      </w:pPr>
      <w:r>
        <w:rPr>
          <w:rFonts w:hint="eastAsia" w:ascii="宋体" w:hAnsi="宋体"/>
          <w:sz w:val="24"/>
          <w:szCs w:val="24"/>
        </w:rPr>
        <w:t>（9）工程施工进度的检查、监督权，以及工程实际竣工日期提前或超过工程施工合同规定的竣工期限的签认权。</w:t>
      </w:r>
    </w:p>
    <w:p w14:paraId="1FC90D74">
      <w:pPr>
        <w:spacing w:line="360" w:lineRule="auto"/>
        <w:ind w:firstLine="480" w:firstLineChars="200"/>
        <w:rPr>
          <w:rFonts w:ascii="宋体" w:hAnsi="宋体"/>
          <w:sz w:val="24"/>
          <w:szCs w:val="24"/>
        </w:rPr>
      </w:pPr>
      <w:r>
        <w:rPr>
          <w:rFonts w:hint="eastAsia" w:ascii="宋体" w:hAnsi="宋体"/>
          <w:sz w:val="24"/>
          <w:szCs w:val="24"/>
        </w:rPr>
        <w:t>（10）在工程施工合同约定的工程价格范围内，工程款支付的审核和签认权，以及工程结算的复核确认权与否决权。未经总监理工程师签字确认，建设单位不支付工程款。</w:t>
      </w:r>
    </w:p>
    <w:p w14:paraId="756B1A77">
      <w:pPr>
        <w:spacing w:line="360" w:lineRule="auto"/>
        <w:ind w:firstLine="482" w:firstLineChars="200"/>
        <w:rPr>
          <w:rFonts w:ascii="宋体" w:hAnsi="宋体"/>
          <w:sz w:val="24"/>
          <w:szCs w:val="24"/>
        </w:rPr>
      </w:pPr>
      <w:r>
        <w:rPr>
          <w:rFonts w:hint="eastAsia" w:ascii="宋体" w:hAnsi="宋体"/>
          <w:b/>
          <w:sz w:val="24"/>
          <w:szCs w:val="24"/>
        </w:rPr>
        <w:t>第十八条</w:t>
      </w:r>
      <w:r>
        <w:rPr>
          <w:rFonts w:hint="eastAsia" w:ascii="宋体" w:hAnsi="宋体"/>
          <w:sz w:val="24"/>
          <w:szCs w:val="24"/>
        </w:rPr>
        <w:t>　监理单位在建设单位授权下，可对任何承包人合同规定的义务提出变更。如果由此严重影响了工程费用或质量、或进度，则这种变更须经建设单位事先书面批准。在紧急情况下未能事先报建设单位批准时，监理单位所做的变更也应在</w:t>
      </w:r>
      <w:r>
        <w:rPr>
          <w:rFonts w:hint="eastAsia" w:ascii="宋体" w:hAnsi="宋体"/>
          <w:sz w:val="24"/>
          <w:szCs w:val="24"/>
          <w:u w:val="single"/>
        </w:rPr>
        <w:t xml:space="preserve">  1   </w:t>
      </w:r>
      <w:r>
        <w:rPr>
          <w:rFonts w:hint="eastAsia" w:ascii="宋体" w:hAnsi="宋体"/>
          <w:sz w:val="24"/>
          <w:szCs w:val="24"/>
        </w:rPr>
        <w:t>天内通知建设单位。在监理过程中如发现工程承包人人员工作不力，监理机构可要求承包人调换有关人员。</w:t>
      </w:r>
    </w:p>
    <w:p w14:paraId="0563A152">
      <w:pPr>
        <w:spacing w:line="360" w:lineRule="auto"/>
        <w:ind w:firstLine="482" w:firstLineChars="200"/>
        <w:rPr>
          <w:rFonts w:ascii="宋体" w:hAnsi="宋体"/>
          <w:sz w:val="24"/>
          <w:szCs w:val="24"/>
        </w:rPr>
      </w:pPr>
      <w:r>
        <w:rPr>
          <w:rFonts w:hint="eastAsia" w:ascii="宋体" w:hAnsi="宋体"/>
          <w:b/>
          <w:sz w:val="24"/>
          <w:szCs w:val="24"/>
        </w:rPr>
        <w:t>第十九条</w:t>
      </w:r>
      <w:r>
        <w:rPr>
          <w:rFonts w:hint="eastAsia" w:ascii="宋体" w:hAnsi="宋体"/>
          <w:sz w:val="24"/>
          <w:szCs w:val="24"/>
        </w:rPr>
        <w:t>　在委托的工程范围内，建设单位或承包人对对方的任何意见和要求（包括索赔要求），均必须首先向监理机构提出，由监理机构研究处置意见，再同三方协商确定。当建设单位和承包人发生争议时，监理机构应根据自己的职能，以独立的身份判断，公正地进行调解。当三方的争议由政府建设行政主管部门调解或司法机关裁决时，应当提供作证的事实材料。</w:t>
      </w:r>
    </w:p>
    <w:p w14:paraId="53ACE80F">
      <w:pPr>
        <w:pStyle w:val="20"/>
        <w:spacing w:line="360" w:lineRule="auto"/>
        <w:jc w:val="center"/>
        <w:rPr>
          <w:rFonts w:hAnsi="宋体"/>
          <w:b/>
          <w:szCs w:val="24"/>
        </w:rPr>
      </w:pPr>
      <w:r>
        <w:rPr>
          <w:rFonts w:hint="eastAsia" w:hAnsi="宋体"/>
          <w:b/>
          <w:szCs w:val="24"/>
        </w:rPr>
        <w:t>建设单位、建设管理单位权利</w:t>
      </w:r>
    </w:p>
    <w:p w14:paraId="1CE89745">
      <w:pPr>
        <w:spacing w:line="360" w:lineRule="auto"/>
        <w:ind w:firstLine="482" w:firstLineChars="200"/>
        <w:rPr>
          <w:rFonts w:ascii="宋体" w:hAnsi="宋体"/>
          <w:sz w:val="24"/>
          <w:szCs w:val="24"/>
        </w:rPr>
      </w:pPr>
      <w:r>
        <w:rPr>
          <w:rFonts w:hint="eastAsia" w:ascii="宋体" w:hAnsi="宋体"/>
          <w:b/>
          <w:sz w:val="24"/>
          <w:szCs w:val="24"/>
        </w:rPr>
        <w:t>第二十条</w:t>
      </w:r>
      <w:r>
        <w:rPr>
          <w:rFonts w:hint="eastAsia" w:ascii="宋体" w:hAnsi="宋体"/>
          <w:sz w:val="24"/>
          <w:szCs w:val="24"/>
        </w:rPr>
        <w:t>　  建设单位有选定工程总承包人，以及与其订立合同的权利。</w:t>
      </w:r>
    </w:p>
    <w:p w14:paraId="3F1B0BB0">
      <w:pPr>
        <w:spacing w:line="360" w:lineRule="auto"/>
        <w:ind w:firstLine="482" w:firstLineChars="200"/>
        <w:rPr>
          <w:rFonts w:ascii="宋体" w:hAnsi="宋体"/>
          <w:sz w:val="24"/>
          <w:szCs w:val="24"/>
        </w:rPr>
      </w:pPr>
      <w:r>
        <w:rPr>
          <w:rFonts w:hint="eastAsia" w:ascii="宋体" w:hAnsi="宋体"/>
          <w:b/>
          <w:sz w:val="24"/>
          <w:szCs w:val="24"/>
        </w:rPr>
        <w:t>第二十一条</w:t>
      </w:r>
      <w:r>
        <w:rPr>
          <w:rFonts w:hint="eastAsia" w:ascii="宋体" w:hAnsi="宋体"/>
          <w:sz w:val="24"/>
          <w:szCs w:val="24"/>
        </w:rPr>
        <w:t>　建设单位有对工程规模、设计标准、规划设计、生产工艺设计和设计使用功能要求的认定权，以及对工程设计变更的审批权。</w:t>
      </w:r>
    </w:p>
    <w:p w14:paraId="7BFD2F08">
      <w:pPr>
        <w:spacing w:line="360" w:lineRule="auto"/>
        <w:ind w:firstLine="482" w:firstLineChars="200"/>
        <w:rPr>
          <w:rFonts w:ascii="宋体" w:hAnsi="宋体"/>
          <w:sz w:val="24"/>
          <w:szCs w:val="24"/>
        </w:rPr>
      </w:pPr>
      <w:r>
        <w:rPr>
          <w:rFonts w:hint="eastAsia" w:ascii="宋体" w:hAnsi="宋体"/>
          <w:b/>
          <w:sz w:val="24"/>
          <w:szCs w:val="24"/>
        </w:rPr>
        <w:t>第二十二条</w:t>
      </w:r>
      <w:r>
        <w:rPr>
          <w:rFonts w:hint="eastAsia" w:ascii="宋体" w:hAnsi="宋体"/>
          <w:sz w:val="24"/>
          <w:szCs w:val="24"/>
        </w:rPr>
        <w:t>　监理单位调换总监理工程师须事先经建设单位书面同意。</w:t>
      </w:r>
    </w:p>
    <w:p w14:paraId="6F9C97C9">
      <w:pPr>
        <w:spacing w:line="360" w:lineRule="auto"/>
        <w:ind w:firstLine="482" w:firstLineChars="200"/>
        <w:rPr>
          <w:rFonts w:ascii="宋体" w:hAnsi="宋体"/>
          <w:sz w:val="24"/>
          <w:szCs w:val="24"/>
        </w:rPr>
      </w:pPr>
      <w:r>
        <w:rPr>
          <w:rFonts w:hint="eastAsia" w:ascii="宋体" w:hAnsi="宋体"/>
          <w:b/>
          <w:sz w:val="24"/>
          <w:szCs w:val="24"/>
        </w:rPr>
        <w:t>第二十三条</w:t>
      </w:r>
      <w:r>
        <w:rPr>
          <w:rFonts w:hint="eastAsia" w:ascii="宋体" w:hAnsi="宋体"/>
          <w:sz w:val="24"/>
          <w:szCs w:val="24"/>
        </w:rPr>
        <w:t>　建设单位有权要求监理单位提交监理工作月报及监理业务范围内的专项报告，监理单位应当按照建设单位要求提交。</w:t>
      </w:r>
    </w:p>
    <w:p w14:paraId="5172A7E4">
      <w:pPr>
        <w:spacing w:line="360" w:lineRule="auto"/>
        <w:ind w:firstLine="482" w:firstLineChars="200"/>
        <w:rPr>
          <w:rFonts w:ascii="宋体" w:hAnsi="宋体"/>
          <w:sz w:val="24"/>
          <w:szCs w:val="24"/>
        </w:rPr>
      </w:pPr>
      <w:r>
        <w:rPr>
          <w:rFonts w:hint="eastAsia" w:ascii="宋体" w:hAnsi="宋体"/>
          <w:b/>
          <w:sz w:val="24"/>
          <w:szCs w:val="24"/>
        </w:rPr>
        <w:t>第二十四条</w:t>
      </w:r>
      <w:r>
        <w:rPr>
          <w:rFonts w:hint="eastAsia" w:ascii="宋体" w:hAnsi="宋体"/>
          <w:sz w:val="24"/>
          <w:szCs w:val="24"/>
        </w:rPr>
        <w:t>　当建设单位发现监理工程师不按监理合同履行监理职责，或与承包人串通给建设单位或工程造成损失的，建设单位有权要求监理单位更换监理工程师，直到终止合同并要求监理单位承担相应的赔偿责任或连带赔偿责任。</w:t>
      </w:r>
    </w:p>
    <w:p w14:paraId="200B0E12">
      <w:pPr>
        <w:pStyle w:val="20"/>
        <w:spacing w:line="360" w:lineRule="auto"/>
        <w:jc w:val="center"/>
        <w:rPr>
          <w:rFonts w:hAnsi="宋体"/>
          <w:b/>
          <w:szCs w:val="24"/>
        </w:rPr>
      </w:pPr>
      <w:r>
        <w:rPr>
          <w:rFonts w:hint="eastAsia" w:hAnsi="宋体"/>
          <w:b/>
          <w:szCs w:val="24"/>
        </w:rPr>
        <w:t>监理单位责任</w:t>
      </w:r>
    </w:p>
    <w:p w14:paraId="47AB807D">
      <w:pPr>
        <w:spacing w:line="360" w:lineRule="auto"/>
        <w:ind w:firstLine="482" w:firstLineChars="200"/>
        <w:rPr>
          <w:rFonts w:ascii="宋体" w:hAnsi="宋体"/>
          <w:sz w:val="24"/>
          <w:szCs w:val="24"/>
        </w:rPr>
      </w:pPr>
      <w:r>
        <w:rPr>
          <w:rFonts w:hint="eastAsia" w:ascii="宋体" w:hAnsi="宋体"/>
          <w:b/>
          <w:sz w:val="24"/>
          <w:szCs w:val="24"/>
        </w:rPr>
        <w:t>第二十五条</w:t>
      </w:r>
      <w:r>
        <w:rPr>
          <w:rFonts w:hint="eastAsia" w:ascii="宋体" w:hAnsi="宋体"/>
          <w:sz w:val="24"/>
          <w:szCs w:val="24"/>
        </w:rPr>
        <w:t>　委托监理合同有效期即监理单位的责任期。在监理过程中，如果因工程建设进度的推迟或延误而超过书面约定的日期，三方应进一步书面约定相应延长的合同期。</w:t>
      </w:r>
    </w:p>
    <w:p w14:paraId="22DD689C">
      <w:pPr>
        <w:spacing w:line="360" w:lineRule="auto"/>
        <w:ind w:firstLine="482" w:firstLineChars="200"/>
        <w:rPr>
          <w:rFonts w:ascii="宋体" w:hAnsi="宋体"/>
          <w:sz w:val="24"/>
          <w:szCs w:val="24"/>
        </w:rPr>
      </w:pPr>
      <w:r>
        <w:rPr>
          <w:rFonts w:hint="eastAsia" w:ascii="宋体" w:hAnsi="宋体"/>
          <w:b/>
          <w:sz w:val="24"/>
          <w:szCs w:val="24"/>
        </w:rPr>
        <w:t>第二十六条</w:t>
      </w:r>
      <w:r>
        <w:rPr>
          <w:rFonts w:hint="eastAsia" w:ascii="宋体" w:hAnsi="宋体"/>
          <w:sz w:val="24"/>
          <w:szCs w:val="24"/>
        </w:rPr>
        <w:t>　监理单位在责任期内，应当履行约定的义务，如果因监理单位过失而造成了建设单位的经济损失，应当向建设单位赔偿直接和间接经济损失。</w:t>
      </w:r>
    </w:p>
    <w:p w14:paraId="2A1C39EC">
      <w:pPr>
        <w:spacing w:line="440" w:lineRule="exact"/>
        <w:ind w:firstLine="482" w:firstLineChars="200"/>
        <w:rPr>
          <w:rFonts w:ascii="宋体" w:hAnsi="宋体"/>
          <w:sz w:val="24"/>
          <w:szCs w:val="24"/>
        </w:rPr>
      </w:pPr>
      <w:r>
        <w:rPr>
          <w:rFonts w:hint="eastAsia" w:ascii="宋体" w:hAnsi="宋体"/>
          <w:b/>
          <w:sz w:val="24"/>
          <w:szCs w:val="24"/>
        </w:rPr>
        <w:t>第二十七条</w:t>
      </w:r>
      <w:r>
        <w:rPr>
          <w:rFonts w:hint="eastAsia" w:ascii="宋体" w:hAnsi="宋体"/>
          <w:sz w:val="24"/>
          <w:szCs w:val="24"/>
        </w:rPr>
        <w:t>　因监理单位过失对承包人的违约行为不能及时发现及纠正，致承包人违反合同规定的质量要求或完工（交图、交货）时限的，承担连带赔偿责任。因不可抗力导致委托监理合同不能全部或部份履行，监理单位不承担责任。但对违反第五条规定引起的与之有关的事宜，向建设单位承担赔偿责任。</w:t>
      </w:r>
    </w:p>
    <w:p w14:paraId="69AFFC2F">
      <w:pPr>
        <w:spacing w:line="360" w:lineRule="auto"/>
        <w:ind w:firstLine="482" w:firstLineChars="200"/>
        <w:rPr>
          <w:rFonts w:ascii="宋体" w:hAnsi="宋体"/>
          <w:sz w:val="24"/>
          <w:szCs w:val="24"/>
        </w:rPr>
      </w:pPr>
      <w:r>
        <w:rPr>
          <w:rFonts w:hint="eastAsia" w:ascii="宋体" w:hAnsi="宋体"/>
          <w:b/>
          <w:sz w:val="24"/>
          <w:szCs w:val="24"/>
        </w:rPr>
        <w:t>第二十八条</w:t>
      </w:r>
      <w:r>
        <w:rPr>
          <w:rFonts w:hint="eastAsia" w:ascii="宋体" w:hAnsi="宋体"/>
          <w:sz w:val="24"/>
          <w:szCs w:val="24"/>
        </w:rPr>
        <w:t>　监理单位向建设单位提出赔偿要求不能成立时，监理单位应当补偿由于该索赔所导致建设单位的各种费用支出。</w:t>
      </w:r>
    </w:p>
    <w:p w14:paraId="62C44516">
      <w:pPr>
        <w:pStyle w:val="20"/>
        <w:spacing w:line="360" w:lineRule="auto"/>
        <w:jc w:val="center"/>
        <w:rPr>
          <w:rFonts w:hAnsi="宋体"/>
          <w:b/>
          <w:szCs w:val="24"/>
        </w:rPr>
      </w:pPr>
      <w:r>
        <w:rPr>
          <w:rFonts w:hint="eastAsia" w:hAnsi="宋体"/>
          <w:b/>
          <w:szCs w:val="24"/>
        </w:rPr>
        <w:t>建设单位、建设管理单位责任</w:t>
      </w:r>
    </w:p>
    <w:p w14:paraId="05847F54">
      <w:pPr>
        <w:spacing w:line="360" w:lineRule="auto"/>
        <w:ind w:firstLine="482" w:firstLineChars="200"/>
        <w:rPr>
          <w:rFonts w:ascii="宋体" w:hAnsi="宋体"/>
          <w:sz w:val="24"/>
          <w:szCs w:val="24"/>
        </w:rPr>
      </w:pPr>
      <w:r>
        <w:rPr>
          <w:rFonts w:hint="eastAsia" w:ascii="宋体" w:hAnsi="宋体"/>
          <w:b/>
          <w:sz w:val="24"/>
          <w:szCs w:val="24"/>
        </w:rPr>
        <w:t>第二十九条</w:t>
      </w:r>
      <w:r>
        <w:rPr>
          <w:rFonts w:hint="eastAsia" w:ascii="宋体" w:hAnsi="宋体"/>
          <w:sz w:val="24"/>
          <w:szCs w:val="24"/>
        </w:rPr>
        <w:t>　建设单位应当履行委托监理合同约定的义务，如有违反则应当承担违约责任，赔偿给监理单位造成的直接经济损失。</w:t>
      </w:r>
    </w:p>
    <w:p w14:paraId="2CAA2846">
      <w:pPr>
        <w:spacing w:line="360" w:lineRule="auto"/>
        <w:ind w:firstLine="482" w:firstLineChars="200"/>
        <w:rPr>
          <w:rFonts w:ascii="宋体" w:hAnsi="宋体"/>
          <w:sz w:val="24"/>
          <w:szCs w:val="24"/>
        </w:rPr>
      </w:pPr>
      <w:r>
        <w:rPr>
          <w:rFonts w:hint="eastAsia" w:ascii="宋体" w:hAnsi="宋体"/>
          <w:b/>
          <w:sz w:val="24"/>
          <w:szCs w:val="24"/>
        </w:rPr>
        <w:t>第三十条</w:t>
      </w:r>
      <w:r>
        <w:rPr>
          <w:rFonts w:hint="eastAsia" w:ascii="宋体" w:hAnsi="宋体"/>
          <w:sz w:val="24"/>
          <w:szCs w:val="24"/>
        </w:rPr>
        <w:t>　建设单位如果向监理单位提出赔偿的要求不能成立，则应当补偿由该索赔所引起的监理单位的各种费用支出。</w:t>
      </w:r>
    </w:p>
    <w:p w14:paraId="278338E7">
      <w:pPr>
        <w:pStyle w:val="20"/>
        <w:spacing w:line="360" w:lineRule="auto"/>
        <w:jc w:val="center"/>
        <w:rPr>
          <w:rFonts w:hAnsi="宋体"/>
          <w:b/>
          <w:szCs w:val="24"/>
        </w:rPr>
      </w:pPr>
      <w:r>
        <w:rPr>
          <w:rFonts w:hint="eastAsia" w:hAnsi="宋体"/>
          <w:b/>
          <w:szCs w:val="24"/>
        </w:rPr>
        <w:t>合同生效、变更与终止</w:t>
      </w:r>
    </w:p>
    <w:p w14:paraId="1AD2E5B5">
      <w:pPr>
        <w:spacing w:line="360" w:lineRule="auto"/>
        <w:ind w:firstLine="482" w:firstLineChars="200"/>
        <w:rPr>
          <w:rFonts w:ascii="宋体" w:hAnsi="宋体"/>
          <w:sz w:val="24"/>
          <w:szCs w:val="24"/>
        </w:rPr>
      </w:pPr>
      <w:r>
        <w:rPr>
          <w:rFonts w:hint="eastAsia" w:ascii="宋体" w:hAnsi="宋体"/>
          <w:b/>
          <w:sz w:val="24"/>
          <w:szCs w:val="24"/>
        </w:rPr>
        <w:t>第三十一条</w:t>
      </w:r>
      <w:r>
        <w:rPr>
          <w:rFonts w:hint="eastAsia" w:ascii="宋体" w:hAnsi="宋体"/>
          <w:sz w:val="24"/>
          <w:szCs w:val="24"/>
        </w:rPr>
        <w:t>　由于建设单位或承包人的原因使监理工作受到阻碍或延误，以致发生了附加工作或延长了持续时间，则监理单位应当将此情况与可能产生的影响在该情况发生后</w:t>
      </w:r>
      <w:r>
        <w:rPr>
          <w:rFonts w:hint="eastAsia" w:ascii="宋体" w:hAnsi="宋体"/>
          <w:sz w:val="24"/>
          <w:szCs w:val="24"/>
          <w:u w:val="single"/>
        </w:rPr>
        <w:t>的</w:t>
      </w:r>
      <w:r>
        <w:rPr>
          <w:rFonts w:hint="eastAsia" w:hAnsi="宋体"/>
          <w:szCs w:val="24"/>
          <w:u w:val="single"/>
        </w:rPr>
        <w:t xml:space="preserve">  </w:t>
      </w:r>
      <w:r>
        <w:rPr>
          <w:rFonts w:hAnsi="宋体"/>
          <w:szCs w:val="24"/>
          <w:u w:val="single"/>
        </w:rPr>
        <w:t>2</w:t>
      </w:r>
      <w:r>
        <w:rPr>
          <w:rFonts w:hint="eastAsia" w:hAnsi="宋体"/>
          <w:szCs w:val="24"/>
          <w:u w:val="single"/>
        </w:rPr>
        <w:t xml:space="preserve">  </w:t>
      </w:r>
      <w:r>
        <w:rPr>
          <w:rFonts w:hint="eastAsia" w:hAnsi="宋体"/>
          <w:sz w:val="24"/>
          <w:szCs w:val="24"/>
          <w:u w:val="single"/>
        </w:rPr>
        <w:t>天内</w:t>
      </w:r>
      <w:r>
        <w:rPr>
          <w:rFonts w:hint="eastAsia" w:ascii="宋体" w:hAnsi="宋体"/>
          <w:sz w:val="24"/>
          <w:szCs w:val="24"/>
        </w:rPr>
        <w:t>通知建设单位，经建设单位书面批准后，监理单位完成监理业务的时间相应延长，并得到附加工作的报酬。监理单位没有在约定时间内通知的，建设单位有权拒付相应报酬。</w:t>
      </w:r>
    </w:p>
    <w:p w14:paraId="1AF1719C">
      <w:pPr>
        <w:spacing w:line="360" w:lineRule="auto"/>
        <w:ind w:firstLine="482" w:firstLineChars="200"/>
        <w:rPr>
          <w:rFonts w:ascii="宋体" w:hAnsi="宋体"/>
          <w:sz w:val="24"/>
          <w:szCs w:val="24"/>
        </w:rPr>
      </w:pPr>
      <w:r>
        <w:rPr>
          <w:rFonts w:hint="eastAsia" w:ascii="宋体" w:hAnsi="宋体"/>
          <w:b/>
          <w:sz w:val="24"/>
          <w:szCs w:val="24"/>
        </w:rPr>
        <w:t>第三十二条</w:t>
      </w:r>
      <w:r>
        <w:rPr>
          <w:rFonts w:hint="eastAsia" w:ascii="宋体" w:hAnsi="宋体"/>
          <w:sz w:val="24"/>
          <w:szCs w:val="24"/>
        </w:rPr>
        <w:t>　在委托监理合同签订后，实际客观情况发生变化，使得监理单位不能全部或部分执行监理业务时，监理单位应当当天内通知建设单位，经建设单位书面批准后，该监理业务的完成时间应予延长。当该影响因素消失时，监理单位应当在影响因素消失之日起7日内恢复执行监理业务。</w:t>
      </w:r>
    </w:p>
    <w:p w14:paraId="0175627A">
      <w:pPr>
        <w:spacing w:line="360" w:lineRule="auto"/>
        <w:ind w:firstLine="482" w:firstLineChars="200"/>
        <w:rPr>
          <w:rFonts w:ascii="宋体" w:hAnsi="宋体"/>
          <w:sz w:val="24"/>
          <w:szCs w:val="24"/>
        </w:rPr>
      </w:pPr>
      <w:r>
        <w:rPr>
          <w:rFonts w:hint="eastAsia" w:ascii="宋体" w:hAnsi="宋体"/>
          <w:b/>
          <w:sz w:val="24"/>
          <w:szCs w:val="24"/>
        </w:rPr>
        <w:t>第三十三条</w:t>
      </w:r>
      <w:r>
        <w:rPr>
          <w:rFonts w:hint="eastAsia" w:ascii="宋体" w:hAnsi="宋体"/>
          <w:sz w:val="24"/>
          <w:szCs w:val="24"/>
        </w:rPr>
        <w:t>　监理单位向建设单位办理完竣工验收或工程移交手续，承包人和建设单位已签订工程保修责任书，监理单位收到监理报酬尾款，本合同即终止。保修期间的责任，三方在专用条款中约定。</w:t>
      </w:r>
    </w:p>
    <w:p w14:paraId="28DE7329">
      <w:pPr>
        <w:spacing w:line="360" w:lineRule="auto"/>
        <w:ind w:firstLine="482" w:firstLineChars="200"/>
        <w:rPr>
          <w:rFonts w:ascii="宋体" w:hAnsi="宋体"/>
          <w:sz w:val="24"/>
          <w:szCs w:val="24"/>
        </w:rPr>
      </w:pPr>
      <w:r>
        <w:rPr>
          <w:rFonts w:hint="eastAsia" w:ascii="宋体" w:hAnsi="宋体"/>
          <w:b/>
          <w:sz w:val="24"/>
          <w:szCs w:val="24"/>
        </w:rPr>
        <w:t>第三十四条</w:t>
      </w:r>
      <w:r>
        <w:rPr>
          <w:rFonts w:hint="eastAsia" w:ascii="宋体" w:hAnsi="宋体"/>
          <w:sz w:val="24"/>
          <w:szCs w:val="24"/>
        </w:rPr>
        <w:t>　当事人一方因自身原因要求变更或解除合同时，应当在42日前书面通知对方，因解除合同使一方遭受损失的，除依法可以免除责任的外，应由责任方负责赔偿一切损失。</w:t>
      </w:r>
    </w:p>
    <w:p w14:paraId="3D299DCF">
      <w:pPr>
        <w:spacing w:line="360" w:lineRule="auto"/>
        <w:ind w:firstLine="480" w:firstLineChars="200"/>
        <w:rPr>
          <w:rFonts w:ascii="宋体" w:hAnsi="宋体"/>
          <w:sz w:val="24"/>
          <w:szCs w:val="24"/>
        </w:rPr>
      </w:pPr>
      <w:r>
        <w:rPr>
          <w:rFonts w:hint="eastAsia" w:ascii="宋体" w:hAnsi="宋体"/>
          <w:sz w:val="24"/>
          <w:szCs w:val="24"/>
        </w:rPr>
        <w:t>变更或解除合同的通知或协议必须采取书面形式，三方未签订新协议之前，原合同仍然有效。</w:t>
      </w:r>
    </w:p>
    <w:p w14:paraId="3F6CF8ED">
      <w:pPr>
        <w:spacing w:line="360" w:lineRule="auto"/>
        <w:ind w:firstLine="482" w:firstLineChars="200"/>
        <w:rPr>
          <w:rFonts w:ascii="宋体" w:hAnsi="宋体"/>
          <w:sz w:val="24"/>
          <w:szCs w:val="24"/>
        </w:rPr>
      </w:pPr>
      <w:r>
        <w:rPr>
          <w:rFonts w:hint="eastAsia" w:ascii="宋体" w:hAnsi="宋体"/>
          <w:b/>
          <w:sz w:val="24"/>
          <w:szCs w:val="24"/>
        </w:rPr>
        <w:t>第三十五条</w:t>
      </w:r>
      <w:r>
        <w:rPr>
          <w:rFonts w:hint="eastAsia" w:ascii="宋体" w:hAnsi="宋体"/>
          <w:sz w:val="24"/>
          <w:szCs w:val="24"/>
        </w:rPr>
        <w:t>　监理单位根据第三十一条及第三十二条已暂停执行监理业务时限超过六个月的，监理单位可向建设单位发出终止合同的通知，发出通知后14日内仍未得到建设单位答复，可进一步发出终止合同的通知，如果第二份通知发出后42日内仍未得到建设单位答复，可终止合同或自行暂停或继续暂停执行全部或部分监理业务。建设单位无正当理由未答复的，承担违约责任。</w:t>
      </w:r>
    </w:p>
    <w:p w14:paraId="7DAA3D8D">
      <w:pPr>
        <w:spacing w:line="360" w:lineRule="auto"/>
        <w:ind w:firstLine="482" w:firstLineChars="200"/>
        <w:rPr>
          <w:rFonts w:ascii="宋体" w:hAnsi="宋体"/>
          <w:sz w:val="24"/>
          <w:szCs w:val="24"/>
        </w:rPr>
      </w:pPr>
      <w:r>
        <w:rPr>
          <w:rFonts w:hint="eastAsia" w:ascii="宋体" w:hAnsi="宋体"/>
          <w:b/>
          <w:sz w:val="24"/>
          <w:szCs w:val="24"/>
        </w:rPr>
        <w:t>第三十六条</w:t>
      </w:r>
      <w:r>
        <w:rPr>
          <w:rFonts w:hint="eastAsia" w:ascii="宋体" w:hAnsi="宋体"/>
          <w:sz w:val="24"/>
          <w:szCs w:val="24"/>
        </w:rPr>
        <w:t>　监理单位由于非自己的原因而暂停或终止执行监理业务，其善后工作以及恢复执行监理业务的工作，应当视为额外工作，并向建设单位书面申请。经建设单位书面确认后，监理单位有权得到额外的报酬。</w:t>
      </w:r>
    </w:p>
    <w:p w14:paraId="1C7B344C">
      <w:pPr>
        <w:spacing w:line="520" w:lineRule="exact"/>
        <w:ind w:firstLine="482" w:firstLineChars="200"/>
        <w:rPr>
          <w:rFonts w:ascii="宋体" w:hAnsi="宋体"/>
          <w:sz w:val="24"/>
          <w:szCs w:val="24"/>
        </w:rPr>
      </w:pPr>
      <w:r>
        <w:rPr>
          <w:rFonts w:hint="eastAsia" w:ascii="宋体" w:hAnsi="宋体"/>
          <w:b/>
          <w:sz w:val="24"/>
          <w:szCs w:val="24"/>
        </w:rPr>
        <w:t>第三十七条</w:t>
      </w:r>
      <w:r>
        <w:rPr>
          <w:rFonts w:hint="eastAsia" w:ascii="宋体" w:hAnsi="宋体"/>
          <w:sz w:val="24"/>
          <w:szCs w:val="24"/>
        </w:rPr>
        <w:t>　当建设单位认为监理单位无正当理由而又未履行监理义务时，可向监理单位发出指明其未履行义务的通知。若建设单位发出通知后21日内没有收到答复，可在第一个通知发出后35日内发出终止委托监理合同的通知，合同即行终止。监理单位承担违约责任。</w:t>
      </w:r>
    </w:p>
    <w:p w14:paraId="7E4895F0">
      <w:pPr>
        <w:spacing w:line="520" w:lineRule="exact"/>
        <w:ind w:firstLine="482" w:firstLineChars="200"/>
        <w:rPr>
          <w:rFonts w:ascii="宋体" w:hAnsi="宋体"/>
          <w:sz w:val="24"/>
          <w:szCs w:val="24"/>
        </w:rPr>
      </w:pPr>
      <w:r>
        <w:rPr>
          <w:rFonts w:hint="eastAsia" w:ascii="宋体" w:hAnsi="宋体"/>
          <w:b/>
          <w:sz w:val="24"/>
          <w:szCs w:val="24"/>
        </w:rPr>
        <w:t>第三十八条</w:t>
      </w:r>
      <w:r>
        <w:rPr>
          <w:rFonts w:hint="eastAsia" w:ascii="宋体" w:hAnsi="宋体"/>
          <w:sz w:val="24"/>
          <w:szCs w:val="24"/>
        </w:rPr>
        <w:t>　合同协议的终止并不影响各方应有的权利和应当承担的责任。</w:t>
      </w:r>
    </w:p>
    <w:p w14:paraId="5F8F4E03">
      <w:pPr>
        <w:pStyle w:val="20"/>
        <w:spacing w:line="360" w:lineRule="auto"/>
        <w:jc w:val="center"/>
        <w:rPr>
          <w:rFonts w:hAnsi="宋体"/>
          <w:b/>
          <w:szCs w:val="24"/>
        </w:rPr>
      </w:pPr>
      <w:r>
        <w:rPr>
          <w:rFonts w:hint="eastAsia" w:hAnsi="宋体"/>
          <w:b/>
          <w:szCs w:val="24"/>
        </w:rPr>
        <w:t>监理报酬</w:t>
      </w:r>
    </w:p>
    <w:p w14:paraId="41AC9EDA">
      <w:pPr>
        <w:spacing w:line="360" w:lineRule="auto"/>
        <w:ind w:firstLine="482" w:firstLineChars="200"/>
        <w:rPr>
          <w:rFonts w:ascii="宋体" w:hAnsi="宋体"/>
          <w:sz w:val="24"/>
          <w:szCs w:val="24"/>
        </w:rPr>
      </w:pPr>
      <w:r>
        <w:rPr>
          <w:rFonts w:hint="eastAsia" w:ascii="宋体" w:hAnsi="宋体"/>
          <w:b/>
          <w:sz w:val="24"/>
          <w:szCs w:val="24"/>
        </w:rPr>
        <w:t>第三十九条</w:t>
      </w:r>
      <w:r>
        <w:rPr>
          <w:rFonts w:hint="eastAsia" w:ascii="宋体" w:hAnsi="宋体"/>
          <w:sz w:val="24"/>
          <w:szCs w:val="24"/>
        </w:rPr>
        <w:t>　正常的监理工作、附加工作和额外工作的报酬，按照监理合同专用条件中约定的方法计算，并按约定的时间和数额支付。</w:t>
      </w:r>
    </w:p>
    <w:p w14:paraId="012961A7">
      <w:pPr>
        <w:spacing w:line="520" w:lineRule="exact"/>
        <w:ind w:firstLine="482" w:firstLineChars="200"/>
        <w:rPr>
          <w:rFonts w:ascii="宋体" w:hAnsi="宋体"/>
          <w:sz w:val="24"/>
          <w:szCs w:val="24"/>
        </w:rPr>
      </w:pPr>
      <w:r>
        <w:rPr>
          <w:rFonts w:hint="eastAsia" w:ascii="宋体" w:hAnsi="宋体"/>
          <w:b/>
          <w:sz w:val="24"/>
          <w:szCs w:val="24"/>
        </w:rPr>
        <w:t>第四十条</w:t>
      </w:r>
      <w:r>
        <w:rPr>
          <w:rFonts w:hint="eastAsia" w:ascii="宋体" w:hAnsi="宋体"/>
          <w:sz w:val="24"/>
          <w:szCs w:val="24"/>
        </w:rPr>
        <w:t>　如果建设单位无正当理由在规定的支付期限内未支付监理报酬，还应向监理单位支付滞纳金，滞纳金按未支付监理报酬的</w:t>
      </w:r>
      <w:r>
        <w:rPr>
          <w:rFonts w:hint="eastAsia" w:ascii="宋体" w:hAnsi="宋体"/>
          <w:sz w:val="24"/>
          <w:szCs w:val="24"/>
          <w:u w:val="single"/>
        </w:rPr>
        <w:t xml:space="preserve">  0  </w:t>
      </w:r>
      <w:r>
        <w:rPr>
          <w:rFonts w:hint="eastAsia" w:ascii="宋体" w:hAnsi="宋体"/>
          <w:sz w:val="24"/>
          <w:szCs w:val="24"/>
        </w:rPr>
        <w:t>%计算。滞纳金从规定支付期限后30日起计算。</w:t>
      </w:r>
    </w:p>
    <w:p w14:paraId="194A60C5">
      <w:pPr>
        <w:spacing w:line="520" w:lineRule="exact"/>
        <w:ind w:firstLine="482" w:firstLineChars="200"/>
        <w:rPr>
          <w:rFonts w:ascii="宋体" w:hAnsi="宋体"/>
          <w:sz w:val="24"/>
          <w:szCs w:val="24"/>
        </w:rPr>
      </w:pPr>
      <w:r>
        <w:rPr>
          <w:rFonts w:hint="eastAsia" w:ascii="宋体" w:hAnsi="宋体"/>
          <w:b/>
          <w:sz w:val="24"/>
          <w:szCs w:val="24"/>
        </w:rPr>
        <w:t>第四十一条</w:t>
      </w:r>
      <w:r>
        <w:rPr>
          <w:rFonts w:hint="eastAsia" w:ascii="宋体" w:hAnsi="宋体"/>
          <w:sz w:val="24"/>
          <w:szCs w:val="24"/>
        </w:rPr>
        <w:t>　支付监理报酬所采取的货币币种、汇率由合同专用条件约定。</w:t>
      </w:r>
    </w:p>
    <w:p w14:paraId="2C77DAB3">
      <w:pPr>
        <w:spacing w:line="520" w:lineRule="exact"/>
        <w:ind w:firstLine="482" w:firstLineChars="200"/>
        <w:rPr>
          <w:rFonts w:ascii="宋体" w:hAnsi="宋体"/>
          <w:sz w:val="24"/>
          <w:szCs w:val="24"/>
        </w:rPr>
      </w:pPr>
      <w:r>
        <w:rPr>
          <w:rFonts w:hint="eastAsia" w:ascii="宋体" w:hAnsi="宋体"/>
          <w:b/>
          <w:sz w:val="24"/>
          <w:szCs w:val="24"/>
        </w:rPr>
        <w:t>第四十二条</w:t>
      </w:r>
      <w:r>
        <w:rPr>
          <w:rFonts w:hint="eastAsia" w:ascii="宋体" w:hAnsi="宋体"/>
          <w:sz w:val="24"/>
          <w:szCs w:val="24"/>
        </w:rPr>
        <w:t>　如果建设单位对监理单位提交的支付通知中报酬或部分报酬项目提出异议，应当在收到支付通知书48小时内向监理单位发出表示异议的通知，并暂停支付异议部分的报酬。监理单位应在收到异议通知的</w:t>
      </w:r>
      <w:r>
        <w:rPr>
          <w:rFonts w:hint="eastAsia" w:hAnsi="宋体"/>
          <w:sz w:val="24"/>
          <w:szCs w:val="24"/>
          <w:u w:val="single"/>
        </w:rPr>
        <w:t xml:space="preserve"> 48 </w:t>
      </w:r>
      <w:r>
        <w:rPr>
          <w:rFonts w:hint="eastAsia" w:ascii="宋体" w:hAnsi="宋体"/>
          <w:sz w:val="24"/>
          <w:szCs w:val="24"/>
        </w:rPr>
        <w:t>小时内书面答复，否则视为监理单位同意建设单位的异议。但建设单位不得无故拖延其他无异议报酬项目的支付。同时，监理单位也不得怠于履行或拒绝履行本合同约定的监理义务。</w:t>
      </w:r>
    </w:p>
    <w:p w14:paraId="7CE8B6D3">
      <w:pPr>
        <w:pStyle w:val="20"/>
        <w:spacing w:line="360" w:lineRule="auto"/>
        <w:jc w:val="center"/>
        <w:rPr>
          <w:rFonts w:hAnsi="宋体"/>
          <w:b/>
          <w:szCs w:val="24"/>
        </w:rPr>
      </w:pPr>
      <w:r>
        <w:rPr>
          <w:rFonts w:hint="eastAsia" w:hAnsi="宋体"/>
          <w:b/>
          <w:szCs w:val="24"/>
        </w:rPr>
        <w:t>其他</w:t>
      </w:r>
    </w:p>
    <w:p w14:paraId="230E73AA">
      <w:pPr>
        <w:spacing w:line="360" w:lineRule="auto"/>
        <w:ind w:firstLine="482" w:firstLineChars="200"/>
        <w:rPr>
          <w:rFonts w:ascii="宋体" w:hAnsi="宋体"/>
          <w:sz w:val="24"/>
          <w:szCs w:val="24"/>
        </w:rPr>
      </w:pPr>
      <w:r>
        <w:rPr>
          <w:rFonts w:hint="eastAsia" w:ascii="宋体" w:hAnsi="宋体"/>
          <w:b/>
          <w:sz w:val="24"/>
          <w:szCs w:val="24"/>
        </w:rPr>
        <w:t>第四十三条</w:t>
      </w:r>
      <w:r>
        <w:rPr>
          <w:rFonts w:hint="eastAsia" w:ascii="宋体" w:hAnsi="宋体"/>
          <w:sz w:val="24"/>
          <w:szCs w:val="24"/>
        </w:rPr>
        <w:t>　委托的建设工程监理所必要的监理工程师出外考察、材料、设备复试，其费用支出经建设单位同意的，可在预算范围内向建设单位实报实销。</w:t>
      </w:r>
    </w:p>
    <w:p w14:paraId="4708AB77">
      <w:pPr>
        <w:spacing w:line="520" w:lineRule="exact"/>
        <w:ind w:firstLine="482" w:firstLineChars="200"/>
        <w:rPr>
          <w:rFonts w:ascii="宋体" w:hAnsi="宋体"/>
          <w:sz w:val="24"/>
          <w:szCs w:val="24"/>
        </w:rPr>
      </w:pPr>
      <w:r>
        <w:rPr>
          <w:rFonts w:hint="eastAsia" w:ascii="宋体" w:hAnsi="宋体"/>
          <w:b/>
          <w:sz w:val="24"/>
          <w:szCs w:val="24"/>
        </w:rPr>
        <w:t>第四十四条</w:t>
      </w:r>
      <w:r>
        <w:rPr>
          <w:rFonts w:hint="eastAsia" w:ascii="宋体" w:hAnsi="宋体"/>
          <w:sz w:val="24"/>
          <w:szCs w:val="24"/>
        </w:rPr>
        <w:t>　在监理业务范围内，如需聘用专家咨询或协助，由监理单位聘用的，其费用由监理单位承担；由建设单位聘用的，其费用由建设单位承担。</w:t>
      </w:r>
    </w:p>
    <w:p w14:paraId="5E82F8B4">
      <w:pPr>
        <w:spacing w:line="520" w:lineRule="exact"/>
        <w:ind w:firstLine="482" w:firstLineChars="200"/>
        <w:rPr>
          <w:rFonts w:ascii="宋体" w:hAnsi="宋体"/>
          <w:sz w:val="24"/>
          <w:szCs w:val="24"/>
        </w:rPr>
      </w:pPr>
      <w:r>
        <w:rPr>
          <w:rFonts w:hint="eastAsia" w:ascii="宋体" w:hAnsi="宋体"/>
          <w:b/>
          <w:sz w:val="24"/>
          <w:szCs w:val="24"/>
        </w:rPr>
        <w:t>第四十五条</w:t>
      </w:r>
      <w:r>
        <w:rPr>
          <w:rFonts w:hint="eastAsia" w:ascii="宋体" w:hAnsi="宋体"/>
          <w:sz w:val="24"/>
          <w:szCs w:val="24"/>
        </w:rPr>
        <w:t>　监理单位在监理工作过程中提出的合理化建议，使建设单位得到了经济效益，经建设单位书面确认后，建设单位应按专用条件中的约定给予经济奖励。</w:t>
      </w:r>
    </w:p>
    <w:p w14:paraId="3058BD90">
      <w:pPr>
        <w:spacing w:line="520" w:lineRule="exact"/>
        <w:ind w:firstLine="482" w:firstLineChars="200"/>
        <w:rPr>
          <w:rFonts w:ascii="宋体" w:hAnsi="宋体"/>
          <w:sz w:val="24"/>
          <w:szCs w:val="24"/>
        </w:rPr>
      </w:pPr>
      <w:r>
        <w:rPr>
          <w:rFonts w:hint="eastAsia" w:ascii="宋体" w:hAnsi="宋体"/>
          <w:b/>
          <w:sz w:val="24"/>
          <w:szCs w:val="24"/>
        </w:rPr>
        <w:t>第四十六条</w:t>
      </w:r>
      <w:r>
        <w:rPr>
          <w:rFonts w:hint="eastAsia" w:ascii="宋体" w:hAnsi="宋体"/>
          <w:sz w:val="24"/>
          <w:szCs w:val="24"/>
        </w:rPr>
        <w:t>　监理单位驻地监理机构及其职员不得接受监理工程项目施工承包人的任何报酬或者经济利益。</w:t>
      </w:r>
    </w:p>
    <w:p w14:paraId="65D1E7CD">
      <w:pPr>
        <w:spacing w:line="520" w:lineRule="exact"/>
        <w:ind w:firstLine="480" w:firstLineChars="200"/>
        <w:rPr>
          <w:rFonts w:ascii="宋体" w:hAnsi="宋体"/>
          <w:sz w:val="24"/>
          <w:szCs w:val="24"/>
        </w:rPr>
      </w:pPr>
      <w:r>
        <w:rPr>
          <w:rFonts w:hint="eastAsia" w:ascii="宋体" w:hAnsi="宋体"/>
          <w:sz w:val="24"/>
          <w:szCs w:val="24"/>
        </w:rPr>
        <w:t>监理单位不得参与可能与合同规定的与建设单位的利益相冲突的任何活动。</w:t>
      </w:r>
    </w:p>
    <w:p w14:paraId="0AB8A9E2">
      <w:pPr>
        <w:spacing w:line="520" w:lineRule="exact"/>
        <w:ind w:firstLine="482" w:firstLineChars="200"/>
        <w:rPr>
          <w:rFonts w:ascii="宋体" w:hAnsi="宋体"/>
          <w:sz w:val="24"/>
          <w:szCs w:val="24"/>
        </w:rPr>
      </w:pPr>
      <w:r>
        <w:rPr>
          <w:rFonts w:hint="eastAsia" w:ascii="宋体" w:hAnsi="宋体"/>
          <w:b/>
          <w:sz w:val="24"/>
          <w:szCs w:val="24"/>
        </w:rPr>
        <w:t>第四十七条</w:t>
      </w:r>
      <w:r>
        <w:rPr>
          <w:rFonts w:hint="eastAsia" w:ascii="宋体" w:hAnsi="宋体"/>
          <w:sz w:val="24"/>
          <w:szCs w:val="24"/>
        </w:rPr>
        <w:t>　监理单位在监理过程中，不得泄露建设单位申明的秘密，监理单位亦不得泄露设计人、承包人等提供并申明的秘密。</w:t>
      </w:r>
    </w:p>
    <w:p w14:paraId="13BAA1A6">
      <w:pPr>
        <w:spacing w:line="520" w:lineRule="exact"/>
        <w:ind w:firstLine="482" w:firstLineChars="200"/>
        <w:rPr>
          <w:rFonts w:ascii="宋体" w:hAnsi="宋体"/>
          <w:sz w:val="24"/>
          <w:szCs w:val="24"/>
        </w:rPr>
      </w:pPr>
      <w:r>
        <w:rPr>
          <w:rFonts w:hint="eastAsia" w:ascii="宋体" w:hAnsi="宋体"/>
          <w:b/>
          <w:sz w:val="24"/>
          <w:szCs w:val="24"/>
        </w:rPr>
        <w:t>第四十八条</w:t>
      </w:r>
      <w:r>
        <w:rPr>
          <w:rFonts w:hint="eastAsia" w:ascii="宋体" w:hAnsi="宋体"/>
          <w:sz w:val="24"/>
          <w:szCs w:val="24"/>
        </w:rPr>
        <w:t>　监理单位对于由其编制的所有文件拥有版权，建设单位仅有权为本工程使用或复制此类文件。</w:t>
      </w:r>
    </w:p>
    <w:p w14:paraId="4779FB33">
      <w:pPr>
        <w:pStyle w:val="20"/>
        <w:spacing w:line="360" w:lineRule="auto"/>
        <w:jc w:val="center"/>
        <w:rPr>
          <w:rFonts w:hAnsi="宋体"/>
          <w:b/>
          <w:szCs w:val="24"/>
        </w:rPr>
      </w:pPr>
      <w:r>
        <w:rPr>
          <w:rFonts w:hint="eastAsia" w:hAnsi="宋体"/>
          <w:b/>
          <w:szCs w:val="24"/>
        </w:rPr>
        <w:t>争议的解决</w:t>
      </w:r>
    </w:p>
    <w:p w14:paraId="25F2C662">
      <w:pPr>
        <w:spacing w:line="360" w:lineRule="auto"/>
        <w:ind w:firstLine="482" w:firstLineChars="200"/>
        <w:rPr>
          <w:rFonts w:ascii="宋体" w:hAnsi="宋体"/>
          <w:sz w:val="24"/>
          <w:szCs w:val="24"/>
        </w:rPr>
      </w:pPr>
      <w:r>
        <w:rPr>
          <w:rFonts w:hint="eastAsia" w:ascii="宋体" w:hAnsi="宋体"/>
          <w:b/>
          <w:sz w:val="24"/>
          <w:szCs w:val="24"/>
        </w:rPr>
        <w:t>第四十九条</w:t>
      </w:r>
      <w:r>
        <w:rPr>
          <w:rFonts w:hint="eastAsia" w:ascii="宋体" w:hAnsi="宋体"/>
          <w:sz w:val="24"/>
          <w:szCs w:val="24"/>
        </w:rPr>
        <w:t>　本合同在履行过程中发生的争议,由当事人三方协商解决。协商不成的，按下列第</w:t>
      </w:r>
      <w:r>
        <w:rPr>
          <w:rFonts w:hint="eastAsia" w:ascii="宋体" w:hAnsi="宋体"/>
          <w:sz w:val="24"/>
          <w:szCs w:val="24"/>
          <w:u w:val="single"/>
        </w:rPr>
        <w:t xml:space="preserve">  2 </w:t>
      </w:r>
      <w:r>
        <w:rPr>
          <w:rFonts w:hint="eastAsia" w:ascii="宋体" w:hAnsi="宋体"/>
          <w:sz w:val="24"/>
          <w:szCs w:val="24"/>
        </w:rPr>
        <w:t>种方式解决：　1.提交广州仲裁委员会仲裁；2.依法向工程所在地人民法院起诉。</w:t>
      </w:r>
    </w:p>
    <w:p w14:paraId="599516E3">
      <w:pPr>
        <w:pStyle w:val="2"/>
        <w:spacing w:line="360" w:lineRule="auto"/>
      </w:pPr>
      <w:r>
        <w:rPr>
          <w:rFonts w:hint="eastAsia"/>
          <w:szCs w:val="24"/>
        </w:rPr>
        <w:br w:type="page"/>
      </w:r>
      <w:bookmarkStart w:id="6" w:name="_Toc177120551"/>
      <w:r>
        <w:rPr>
          <w:rFonts w:hint="eastAsia"/>
        </w:rPr>
        <w:t>第三部分 专用条件</w:t>
      </w:r>
      <w:bookmarkEnd w:id="6"/>
    </w:p>
    <w:p w14:paraId="4677CB3E">
      <w:pPr>
        <w:pStyle w:val="20"/>
        <w:jc w:val="center"/>
        <w:rPr>
          <w:rFonts w:hAnsi="宋体"/>
          <w:b/>
          <w:szCs w:val="24"/>
        </w:rPr>
      </w:pPr>
    </w:p>
    <w:p w14:paraId="6730DCDD">
      <w:pPr>
        <w:spacing w:line="360" w:lineRule="auto"/>
        <w:ind w:firstLine="480" w:firstLineChars="200"/>
        <w:rPr>
          <w:rFonts w:ascii="宋体" w:hAnsi="宋体"/>
          <w:sz w:val="24"/>
          <w:szCs w:val="24"/>
        </w:rPr>
      </w:pPr>
      <w:r>
        <w:rPr>
          <w:rFonts w:hint="eastAsia" w:ascii="宋体" w:hAnsi="宋体"/>
          <w:sz w:val="24"/>
          <w:szCs w:val="24"/>
        </w:rPr>
        <w:t>专用条件对本合同标准条件中有需要进行定义、解释或具体约定的条款内容进行补充、删除或修改，并且专用条件较标准条件具优先解释权。专用条件中无规定的事项按标准条件的条款执行。</w:t>
      </w:r>
    </w:p>
    <w:p w14:paraId="3F554F28">
      <w:pPr>
        <w:spacing w:line="360" w:lineRule="auto"/>
        <w:ind w:firstLine="482" w:firstLineChars="200"/>
        <w:rPr>
          <w:rFonts w:ascii="宋体" w:hAnsi="宋体"/>
          <w:sz w:val="24"/>
          <w:szCs w:val="24"/>
        </w:rPr>
      </w:pPr>
      <w:r>
        <w:rPr>
          <w:rFonts w:hint="eastAsia" w:ascii="宋体" w:hAnsi="宋体"/>
          <w:b/>
          <w:bCs/>
          <w:sz w:val="24"/>
          <w:szCs w:val="24"/>
        </w:rPr>
        <w:t>第一条</w:t>
      </w:r>
      <w:r>
        <w:rPr>
          <w:rFonts w:hint="eastAsia" w:ascii="宋体" w:hAnsi="宋体"/>
          <w:sz w:val="24"/>
          <w:szCs w:val="24"/>
        </w:rPr>
        <w:t>　本合同适用的法律及监理依据：</w:t>
      </w:r>
    </w:p>
    <w:p w14:paraId="79C91D05">
      <w:r>
        <w:rPr>
          <w:rFonts w:hint="eastAsia"/>
        </w:rPr>
        <w:t>一、适用法规</w:t>
      </w:r>
    </w:p>
    <w:p w14:paraId="04D48F3E">
      <w:pPr>
        <w:spacing w:line="360" w:lineRule="auto"/>
        <w:ind w:firstLine="480" w:firstLineChars="200"/>
        <w:rPr>
          <w:rFonts w:ascii="宋体" w:hAnsi="宋体"/>
          <w:sz w:val="24"/>
          <w:szCs w:val="24"/>
        </w:rPr>
      </w:pPr>
      <w:r>
        <w:rPr>
          <w:rFonts w:hint="eastAsia" w:ascii="宋体" w:hAnsi="宋体"/>
          <w:sz w:val="24"/>
          <w:szCs w:val="24"/>
        </w:rPr>
        <w:t>1、《中华人民共和国民法典》、《中华人民共和国建筑法》、《中华人民共和国安全生产法》；</w:t>
      </w:r>
    </w:p>
    <w:p w14:paraId="4F8B7CD8">
      <w:pPr>
        <w:spacing w:line="360" w:lineRule="auto"/>
        <w:ind w:firstLine="480" w:firstLineChars="200"/>
        <w:rPr>
          <w:rFonts w:ascii="宋体" w:hAnsi="宋体"/>
          <w:sz w:val="24"/>
          <w:szCs w:val="24"/>
        </w:rPr>
      </w:pPr>
      <w:r>
        <w:rPr>
          <w:rFonts w:hint="eastAsia" w:ascii="宋体" w:hAnsi="宋体"/>
          <w:sz w:val="24"/>
          <w:szCs w:val="24"/>
        </w:rPr>
        <w:t>2、《建设工程质量管理条例》、《建设工程安全生产管理条例》、《广东省建设工程监理条例》及其它有关的法规、条例；</w:t>
      </w:r>
    </w:p>
    <w:p w14:paraId="13C406A2">
      <w:pPr>
        <w:spacing w:line="360" w:lineRule="auto"/>
        <w:ind w:firstLine="480" w:firstLineChars="200"/>
        <w:rPr>
          <w:rFonts w:ascii="宋体" w:hAnsi="宋体"/>
          <w:sz w:val="24"/>
          <w:szCs w:val="24"/>
        </w:rPr>
      </w:pPr>
      <w:r>
        <w:rPr>
          <w:rFonts w:hint="eastAsia" w:ascii="宋体" w:hAnsi="宋体"/>
          <w:sz w:val="24"/>
          <w:szCs w:val="24"/>
        </w:rPr>
        <w:t>3、广东省、广州市有关工程建设管理方面的规定和办法。</w:t>
      </w:r>
    </w:p>
    <w:p w14:paraId="70C8ED0E">
      <w:pPr>
        <w:spacing w:line="360" w:lineRule="auto"/>
        <w:ind w:firstLine="480" w:firstLineChars="200"/>
        <w:rPr>
          <w:rFonts w:ascii="宋体" w:hAnsi="宋体"/>
          <w:sz w:val="24"/>
          <w:szCs w:val="24"/>
        </w:rPr>
      </w:pPr>
      <w:r>
        <w:rPr>
          <w:rFonts w:hint="eastAsia" w:ascii="宋体" w:hAnsi="宋体"/>
          <w:sz w:val="24"/>
          <w:szCs w:val="24"/>
        </w:rPr>
        <w:t>二、监理依据</w:t>
      </w:r>
    </w:p>
    <w:p w14:paraId="260B3B49">
      <w:pPr>
        <w:spacing w:line="360" w:lineRule="auto"/>
        <w:ind w:firstLine="480" w:firstLineChars="200"/>
        <w:rPr>
          <w:rFonts w:ascii="宋体" w:hAnsi="宋体"/>
          <w:sz w:val="24"/>
          <w:szCs w:val="24"/>
        </w:rPr>
      </w:pPr>
      <w:r>
        <w:rPr>
          <w:rFonts w:hint="eastAsia" w:ascii="宋体" w:hAnsi="宋体"/>
          <w:sz w:val="24"/>
          <w:szCs w:val="24"/>
        </w:rPr>
        <w:t>1、《建设工程监理规范》、《房屋建筑工程施工旁站监理管理办法（试行）》、现行设计规范（规程）、工程质量检验评定标准、施工和验收规范和本委托监理合同等国家、省、市现行的规定文件；</w:t>
      </w:r>
    </w:p>
    <w:p w14:paraId="0C9ED1A3">
      <w:pPr>
        <w:spacing w:line="360" w:lineRule="auto"/>
        <w:ind w:firstLine="480" w:firstLineChars="200"/>
        <w:rPr>
          <w:rFonts w:ascii="宋体" w:hAnsi="宋体"/>
          <w:sz w:val="24"/>
          <w:szCs w:val="24"/>
        </w:rPr>
      </w:pPr>
      <w:r>
        <w:rPr>
          <w:rFonts w:hint="eastAsia" w:ascii="宋体" w:hAnsi="宋体"/>
          <w:sz w:val="24"/>
          <w:szCs w:val="24"/>
        </w:rPr>
        <w:t>2、建设单位、建设管理单位和承包人签订的合同及补充协议或备忘录、建设单位与建设管理单位签订的建设管理合同；</w:t>
      </w:r>
    </w:p>
    <w:p w14:paraId="7F81920A">
      <w:pPr>
        <w:spacing w:line="360" w:lineRule="auto"/>
        <w:ind w:firstLine="480" w:firstLineChars="200"/>
        <w:rPr>
          <w:rFonts w:ascii="宋体" w:hAnsi="宋体"/>
          <w:sz w:val="24"/>
          <w:szCs w:val="24"/>
        </w:rPr>
      </w:pPr>
      <w:r>
        <w:rPr>
          <w:rFonts w:hint="eastAsia" w:ascii="宋体" w:hAnsi="宋体"/>
          <w:sz w:val="24"/>
          <w:szCs w:val="24"/>
        </w:rPr>
        <w:t>3、经建设单位、建设管理单位审查认可的本工程正式的工程地质勘察报告、施工图纸、说明以及会审记录、有关工程洽商的技术、施工洽商记录、设计修改和变更文件；</w:t>
      </w:r>
    </w:p>
    <w:p w14:paraId="37929C06">
      <w:pPr>
        <w:spacing w:line="360" w:lineRule="auto"/>
        <w:ind w:firstLine="480" w:firstLineChars="200"/>
        <w:rPr>
          <w:rFonts w:ascii="宋体" w:hAnsi="宋体"/>
          <w:sz w:val="24"/>
          <w:szCs w:val="24"/>
        </w:rPr>
      </w:pPr>
      <w:r>
        <w:rPr>
          <w:rFonts w:hint="eastAsia" w:ascii="宋体" w:hAnsi="宋体"/>
          <w:sz w:val="24"/>
          <w:szCs w:val="24"/>
        </w:rPr>
        <w:t>4、广州地区现行的有关工程预结算定额和文件；</w:t>
      </w:r>
    </w:p>
    <w:p w14:paraId="40E07F41">
      <w:pPr>
        <w:spacing w:line="360" w:lineRule="auto"/>
        <w:ind w:firstLine="480" w:firstLineChars="200"/>
        <w:rPr>
          <w:rFonts w:ascii="宋体" w:hAnsi="宋体"/>
          <w:sz w:val="24"/>
          <w:szCs w:val="24"/>
        </w:rPr>
      </w:pPr>
      <w:r>
        <w:rPr>
          <w:rFonts w:hint="eastAsia" w:ascii="宋体" w:hAnsi="宋体"/>
          <w:sz w:val="24"/>
          <w:szCs w:val="24"/>
        </w:rPr>
        <w:t>5、国家和广州地区现行的设计规范（规程）、建筑工程质量检验评定标准、施工和验收规范；</w:t>
      </w:r>
    </w:p>
    <w:p w14:paraId="44768B57">
      <w:pPr>
        <w:spacing w:line="360" w:lineRule="auto"/>
        <w:ind w:firstLine="480" w:firstLineChars="200"/>
        <w:rPr>
          <w:rFonts w:ascii="宋体" w:hAnsi="宋体"/>
          <w:sz w:val="24"/>
          <w:szCs w:val="24"/>
        </w:rPr>
      </w:pPr>
      <w:r>
        <w:rPr>
          <w:rFonts w:hint="eastAsia" w:ascii="宋体" w:hAnsi="宋体"/>
          <w:sz w:val="24"/>
          <w:szCs w:val="24"/>
        </w:rPr>
        <w:t>6、建设工程监理规范；</w:t>
      </w:r>
    </w:p>
    <w:p w14:paraId="4191AE80">
      <w:pPr>
        <w:spacing w:line="360" w:lineRule="auto"/>
        <w:ind w:firstLine="480" w:firstLineChars="200"/>
        <w:rPr>
          <w:rFonts w:ascii="宋体" w:hAnsi="宋体"/>
          <w:sz w:val="24"/>
          <w:szCs w:val="24"/>
        </w:rPr>
      </w:pPr>
      <w:r>
        <w:rPr>
          <w:rFonts w:hint="eastAsia" w:ascii="宋体" w:hAnsi="宋体"/>
          <w:sz w:val="24"/>
          <w:szCs w:val="24"/>
        </w:rPr>
        <w:t>7、经建设管理单位审批认可，由监理单位编制的监理规划；</w:t>
      </w:r>
    </w:p>
    <w:p w14:paraId="57C55768">
      <w:pPr>
        <w:spacing w:line="360" w:lineRule="auto"/>
        <w:ind w:firstLine="480" w:firstLineChars="200"/>
        <w:rPr>
          <w:rFonts w:ascii="宋体" w:hAnsi="宋体"/>
          <w:sz w:val="24"/>
          <w:szCs w:val="24"/>
        </w:rPr>
      </w:pPr>
      <w:r>
        <w:rPr>
          <w:rFonts w:hint="eastAsia" w:ascii="宋体" w:hAnsi="宋体"/>
          <w:sz w:val="24"/>
          <w:szCs w:val="24"/>
        </w:rPr>
        <w:t>8、建设单位、建设管理单位发出的指令。</w:t>
      </w:r>
    </w:p>
    <w:p w14:paraId="74F8F724">
      <w:pPr>
        <w:rPr>
          <w:b/>
          <w:bCs/>
          <w:u w:val="single"/>
        </w:rPr>
      </w:pPr>
      <w:r>
        <w:rPr>
          <w:rFonts w:hint="eastAsia"/>
          <w:b/>
          <w:bCs/>
        </w:rPr>
        <w:t>第二条</w:t>
      </w:r>
      <w:r>
        <w:rPr>
          <w:rFonts w:hint="eastAsia" w:ascii="宋体" w:hAnsi="宋体"/>
          <w:b/>
          <w:bCs/>
          <w:sz w:val="24"/>
          <w:szCs w:val="24"/>
        </w:rPr>
        <w:t>　监理单位人员、监理范围和监理工作内容</w:t>
      </w:r>
    </w:p>
    <w:p w14:paraId="1BB5F89A">
      <w:pPr>
        <w:spacing w:line="360" w:lineRule="auto"/>
        <w:ind w:firstLine="480" w:firstLineChars="200"/>
        <w:rPr>
          <w:rFonts w:ascii="宋体" w:hAnsi="宋体"/>
          <w:sz w:val="24"/>
          <w:szCs w:val="24"/>
        </w:rPr>
      </w:pPr>
      <w:r>
        <w:rPr>
          <w:rFonts w:hint="eastAsia" w:ascii="宋体" w:hAnsi="宋体"/>
          <w:sz w:val="24"/>
          <w:szCs w:val="24"/>
        </w:rPr>
        <w:t>一、监理单位人员：</w:t>
      </w:r>
    </w:p>
    <w:p w14:paraId="35832299">
      <w:pPr>
        <w:spacing w:line="360" w:lineRule="auto"/>
        <w:ind w:firstLine="480" w:firstLineChars="200"/>
        <w:rPr>
          <w:rFonts w:ascii="宋体" w:hAnsi="宋体"/>
          <w:sz w:val="24"/>
          <w:szCs w:val="24"/>
        </w:rPr>
      </w:pPr>
      <w:r>
        <w:rPr>
          <w:rFonts w:hint="eastAsia" w:ascii="宋体" w:hAnsi="宋体"/>
          <w:sz w:val="24"/>
          <w:szCs w:val="24"/>
        </w:rPr>
        <w:t>1、监理单位派驻到工程所在地履行监理服务的监理单位人员，必须能够适应监理合同规定的监理服务工作并具备相关的资质，监理人员派出前需要征得建设单位书面同意。</w:t>
      </w:r>
    </w:p>
    <w:p w14:paraId="481F1B4A">
      <w:pPr>
        <w:spacing w:line="360" w:lineRule="auto"/>
        <w:ind w:firstLine="480" w:firstLineChars="200"/>
        <w:rPr>
          <w:rFonts w:ascii="宋体" w:hAnsi="宋体"/>
          <w:sz w:val="24"/>
          <w:szCs w:val="24"/>
        </w:rPr>
      </w:pPr>
      <w:r>
        <w:rPr>
          <w:rFonts w:hint="eastAsia" w:ascii="宋体" w:hAnsi="宋体"/>
          <w:sz w:val="24"/>
          <w:szCs w:val="24"/>
        </w:rPr>
        <w:t>2、监理单位向建设管理单位报送委派的总监理工程师及其监理机构主要成员名单、监理规划，完成监理合同专用条件中约定的监理工程范围内的监理业务。在履行合同义务期间，应于每月28日前向建设管理单位报告监理工作。</w:t>
      </w:r>
    </w:p>
    <w:p w14:paraId="5B079AAD">
      <w:pPr>
        <w:spacing w:line="360" w:lineRule="auto"/>
        <w:ind w:firstLine="480" w:firstLineChars="200"/>
        <w:rPr>
          <w:rFonts w:ascii="宋体" w:hAnsi="宋体"/>
          <w:sz w:val="24"/>
          <w:szCs w:val="24"/>
        </w:rPr>
      </w:pPr>
      <w:r>
        <w:rPr>
          <w:rFonts w:hint="eastAsia" w:ascii="宋体" w:hAnsi="宋体"/>
          <w:sz w:val="24"/>
          <w:szCs w:val="24"/>
        </w:rPr>
        <w:t>3、为了履行监理服务，监理单位应在监理大纲或监理规范中指定一名授权代表与建设单位的授权代表建立工作联系。</w:t>
      </w:r>
    </w:p>
    <w:p w14:paraId="2EEC5636">
      <w:pPr>
        <w:spacing w:line="360" w:lineRule="auto"/>
        <w:ind w:firstLine="480" w:firstLineChars="200"/>
        <w:rPr>
          <w:rFonts w:ascii="宋体" w:hAnsi="宋体"/>
          <w:sz w:val="24"/>
          <w:szCs w:val="24"/>
        </w:rPr>
      </w:pPr>
      <w:r>
        <w:rPr>
          <w:rFonts w:hint="eastAsia" w:ascii="宋体" w:hAnsi="宋体"/>
          <w:sz w:val="24"/>
          <w:szCs w:val="24"/>
        </w:rPr>
        <w:t>4、监理单位因工作安排或其它原因，需要更换派驻到项目所在地履行监理服务的主要监理工程师时，监理单位应提前7天向建设管理单位书面提出。未经建设管理单位书面同意，不得随意更换监理工程师。</w:t>
      </w:r>
    </w:p>
    <w:p w14:paraId="687F9B8A">
      <w:pPr>
        <w:spacing w:line="360" w:lineRule="auto"/>
        <w:ind w:firstLine="480" w:firstLineChars="200"/>
        <w:rPr>
          <w:rFonts w:ascii="宋体" w:hAnsi="宋体"/>
          <w:sz w:val="24"/>
          <w:szCs w:val="24"/>
        </w:rPr>
      </w:pPr>
      <w:r>
        <w:rPr>
          <w:rFonts w:hint="eastAsia" w:ascii="宋体" w:hAnsi="宋体"/>
          <w:sz w:val="24"/>
          <w:szCs w:val="24"/>
        </w:rPr>
        <w:t>5、建设管理单位有权以书面形式要求监理单位更换不能按照本监理合同的规定履行监理服务的派驻人员。</w:t>
      </w:r>
    </w:p>
    <w:p w14:paraId="4CA35698">
      <w:pPr>
        <w:spacing w:line="360" w:lineRule="auto"/>
        <w:ind w:firstLine="480" w:firstLineChars="200"/>
        <w:rPr>
          <w:rFonts w:ascii="宋体" w:hAnsi="宋体"/>
          <w:sz w:val="24"/>
          <w:szCs w:val="24"/>
        </w:rPr>
      </w:pPr>
      <w:r>
        <w:rPr>
          <w:rFonts w:hint="eastAsia" w:ascii="宋体" w:hAnsi="宋体"/>
          <w:sz w:val="24"/>
          <w:szCs w:val="24"/>
        </w:rPr>
        <w:t>6、即使是建设管理单位要求或同意更换的监理工程师，其代替人员的资质仍应得到建设管理单位的认可，因此而产生的费用由监理单位承担。</w:t>
      </w:r>
    </w:p>
    <w:p w14:paraId="0CE3638D">
      <w:pPr>
        <w:spacing w:line="360" w:lineRule="auto"/>
        <w:ind w:firstLine="480" w:firstLineChars="200"/>
        <w:rPr>
          <w:rFonts w:ascii="宋体" w:hAnsi="宋体"/>
          <w:sz w:val="24"/>
          <w:szCs w:val="24"/>
        </w:rPr>
      </w:pPr>
      <w:r>
        <w:rPr>
          <w:rFonts w:hint="eastAsia" w:ascii="宋体" w:hAnsi="宋体"/>
          <w:sz w:val="24"/>
          <w:szCs w:val="24"/>
        </w:rPr>
        <w:t>7、监理工程师在本监理合同授权范围内行使合同规定的权利，履行相应的职责。当建设管理单位发现监理工程师不按监理合同履行监理职责，或与承包人串通给建设单位或工程造成损失的，建设管理单位有权要求监理单位更换监理工程师，情况严重的，建设单位有权解除合同，并要求监理单位承担相当的赔偿责任或连带赔偿责任。</w:t>
      </w:r>
    </w:p>
    <w:p w14:paraId="47B0C586">
      <w:pPr>
        <w:tabs>
          <w:tab w:val="left" w:pos="720"/>
        </w:tabs>
        <w:spacing w:line="360" w:lineRule="auto"/>
        <w:ind w:firstLine="480" w:firstLineChars="200"/>
        <w:rPr>
          <w:rFonts w:ascii="宋体" w:hAnsi="宋体"/>
          <w:sz w:val="24"/>
          <w:szCs w:val="24"/>
        </w:rPr>
      </w:pPr>
      <w:r>
        <w:rPr>
          <w:rFonts w:hint="eastAsia" w:ascii="宋体" w:hAnsi="宋体"/>
          <w:sz w:val="24"/>
          <w:szCs w:val="24"/>
        </w:rPr>
        <w:t>8．监理单位投入本项目监理人员数量不低于投标文件人员架构所示人数，保证足够的监理工程师从事要求的施工准备期至工程收尾、工程整改、工程竣工、工程结算、工程质量备案、工程质量保修期监理工作。</w:t>
      </w:r>
    </w:p>
    <w:p w14:paraId="5B2D7939">
      <w:pPr>
        <w:tabs>
          <w:tab w:val="left" w:pos="720"/>
        </w:tabs>
        <w:spacing w:line="360" w:lineRule="auto"/>
        <w:ind w:firstLine="480" w:firstLineChars="200"/>
        <w:rPr>
          <w:rFonts w:ascii="宋体" w:hAnsi="宋体"/>
          <w:sz w:val="24"/>
          <w:szCs w:val="24"/>
        </w:rPr>
      </w:pPr>
      <w:r>
        <w:rPr>
          <w:rFonts w:hint="eastAsia" w:ascii="宋体" w:hAnsi="宋体"/>
          <w:sz w:val="24"/>
          <w:szCs w:val="24"/>
        </w:rPr>
        <w:t>二、监理范围：广州设计之都嘉禾片区项目</w:t>
      </w:r>
      <w:r>
        <w:rPr>
          <w:rFonts w:hint="eastAsia" w:ascii="宋体" w:hAnsi="宋体"/>
          <w:sz w:val="24"/>
          <w:szCs w:val="24"/>
          <w:lang w:eastAsia="zh-CN"/>
        </w:rPr>
        <w:t>三期</w:t>
      </w:r>
      <w:r>
        <w:rPr>
          <w:rFonts w:hint="eastAsia" w:ascii="宋体" w:hAnsi="宋体"/>
          <w:sz w:val="24"/>
          <w:szCs w:val="24"/>
        </w:rPr>
        <w:t>的施工图纸所包含的内容及招标过程中所发出的相关文件所包含的全部内容为准，包括但不限于以下范围：</w:t>
      </w:r>
    </w:p>
    <w:p w14:paraId="7A62BE83">
      <w:pPr>
        <w:pStyle w:val="55"/>
        <w:ind w:firstLine="496"/>
      </w:pPr>
      <w:r>
        <w:rPr>
          <w:rFonts w:hint="eastAsia"/>
        </w:rPr>
        <w:t>1、</w:t>
      </w:r>
      <w:r>
        <w:rPr>
          <w:rFonts w:hint="eastAsia"/>
          <w:b/>
          <w:bCs/>
        </w:rPr>
        <w:t>勘察阶段、</w:t>
      </w:r>
      <w:r>
        <w:rPr>
          <w:rFonts w:hint="eastAsia"/>
        </w:rPr>
        <w:t>施工准备阶段、施工阶段、工程收尾阶段、工程质量保修阶段的质量控制、职业健康安全及环境监督管理、投资控制、进度控制、设备材料控制、合同管理、信息管理、组织协调等监理工作以及地质详勘的旁站监理和设备安装及调试监理等相关服务。</w:t>
      </w:r>
    </w:p>
    <w:p w14:paraId="328D0929">
      <w:pPr>
        <w:pStyle w:val="55"/>
        <w:ind w:firstLine="496"/>
      </w:pPr>
      <w:r>
        <w:rPr>
          <w:rFonts w:hint="eastAsia"/>
        </w:rPr>
        <w:t>2、施工过程中所发生工程质量检测、基坑检测和监测、沉降观测、节能检测、专题研讨会、水土保持监测、超前钻勘察和详细勘察等，以及其他为本工程建设需要所发生的服务类项目的监理，上述监理服务费用已包含在监理酬金内。</w:t>
      </w:r>
    </w:p>
    <w:p w14:paraId="589B696D">
      <w:pPr>
        <w:pStyle w:val="55"/>
        <w:ind w:firstLine="496"/>
      </w:pPr>
      <w:r>
        <w:rPr>
          <w:rFonts w:hint="eastAsia"/>
        </w:rPr>
        <w:t>3、按建设管理单位的要求提前进场参与开工前期的准备和筹划工作，协助建设管理单位制定工程管理办法、各参建方职责及有关事务性工作等。</w:t>
      </w:r>
    </w:p>
    <w:p w14:paraId="4928DEA4">
      <w:pPr>
        <w:spacing w:line="360" w:lineRule="auto"/>
        <w:ind w:firstLine="480" w:firstLineChars="200"/>
        <w:rPr>
          <w:rFonts w:ascii="宋体" w:hAnsi="宋体"/>
          <w:sz w:val="24"/>
          <w:szCs w:val="24"/>
        </w:rPr>
      </w:pPr>
      <w:r>
        <w:rPr>
          <w:rFonts w:hint="eastAsia" w:ascii="宋体" w:hAnsi="宋体"/>
          <w:sz w:val="24"/>
          <w:szCs w:val="24"/>
        </w:rPr>
        <w:t>三、监理业务内容</w:t>
      </w:r>
      <w:r>
        <w:rPr>
          <w:rFonts w:hint="eastAsia" w:ascii="宋体" w:hAnsi="宋体"/>
          <w:bCs/>
          <w:sz w:val="24"/>
          <w:szCs w:val="24"/>
        </w:rPr>
        <w:t>，包括但不限于：</w:t>
      </w:r>
    </w:p>
    <w:p w14:paraId="00666CAE">
      <w:pPr>
        <w:spacing w:line="440" w:lineRule="exact"/>
        <w:ind w:firstLine="480" w:firstLineChars="200"/>
        <w:rPr>
          <w:rFonts w:ascii="宋体" w:hAnsi="宋体"/>
          <w:bCs/>
          <w:sz w:val="24"/>
          <w:szCs w:val="24"/>
        </w:rPr>
      </w:pPr>
      <w:r>
        <w:rPr>
          <w:rFonts w:hint="eastAsia" w:ascii="宋体" w:hAnsi="宋体"/>
          <w:bCs/>
          <w:sz w:val="24"/>
          <w:szCs w:val="24"/>
        </w:rPr>
        <w:t>1、</w:t>
      </w:r>
      <w:r>
        <w:rPr>
          <w:rFonts w:hint="eastAsia" w:ascii="宋体" w:hAnsi="宋体"/>
          <w:sz w:val="24"/>
          <w:szCs w:val="24"/>
        </w:rPr>
        <w:t>监理单位应在受委托的监理范围内向建设单位负责，在执行和遵守国家有关建设法规的前提下，维护建设单位的正当权益。</w:t>
      </w:r>
      <w:r>
        <w:rPr>
          <w:rFonts w:hint="eastAsia" w:ascii="宋体" w:hAnsi="宋体"/>
          <w:bCs/>
          <w:sz w:val="24"/>
          <w:szCs w:val="24"/>
        </w:rPr>
        <w:t>定期向建设管理单位书面报告监理工作，专项报告按建设管理单位要求提交。</w:t>
      </w:r>
    </w:p>
    <w:p w14:paraId="4771661E">
      <w:pPr>
        <w:spacing w:line="440" w:lineRule="exact"/>
        <w:ind w:firstLine="480" w:firstLineChars="200"/>
        <w:rPr>
          <w:rFonts w:ascii="宋体" w:hAnsi="宋体"/>
          <w:bCs/>
          <w:sz w:val="24"/>
          <w:szCs w:val="24"/>
        </w:rPr>
      </w:pPr>
      <w:r>
        <w:rPr>
          <w:rFonts w:hint="eastAsia" w:ascii="宋体" w:hAnsi="宋体"/>
          <w:bCs/>
          <w:sz w:val="24"/>
          <w:szCs w:val="24"/>
        </w:rPr>
        <w:t>2、</w:t>
      </w:r>
      <w:r>
        <w:rPr>
          <w:rFonts w:hint="eastAsia" w:ascii="宋体" w:hAnsi="宋体"/>
          <w:sz w:val="24"/>
          <w:szCs w:val="24"/>
        </w:rPr>
        <w:t>建设</w:t>
      </w:r>
      <w:r>
        <w:rPr>
          <w:rFonts w:hint="eastAsia" w:ascii="宋体" w:hAnsi="宋体"/>
          <w:bCs/>
          <w:sz w:val="24"/>
          <w:szCs w:val="24"/>
        </w:rPr>
        <w:t>管理</w:t>
      </w:r>
      <w:r>
        <w:rPr>
          <w:rFonts w:hint="eastAsia" w:ascii="宋体" w:hAnsi="宋体"/>
          <w:sz w:val="24"/>
          <w:szCs w:val="24"/>
        </w:rPr>
        <w:t>单位委托监理单位组织施工前期手续的办理工作，直至具备施工条件。建设</w:t>
      </w:r>
      <w:r>
        <w:rPr>
          <w:rFonts w:hint="eastAsia" w:ascii="宋体" w:hAnsi="宋体"/>
          <w:bCs/>
          <w:sz w:val="24"/>
          <w:szCs w:val="24"/>
        </w:rPr>
        <w:t>管理</w:t>
      </w:r>
      <w:r>
        <w:rPr>
          <w:rFonts w:hint="eastAsia" w:ascii="宋体" w:hAnsi="宋体"/>
          <w:sz w:val="24"/>
          <w:szCs w:val="24"/>
        </w:rPr>
        <w:t>单位委托监理单位承担本工程范围内的协调管理工作，包括工程施工的进场、退场、施工阶段设计管理、综合管线平衡、质量、进度及其它相关工作。</w:t>
      </w:r>
    </w:p>
    <w:p w14:paraId="26390361">
      <w:pPr>
        <w:spacing w:line="440" w:lineRule="exact"/>
        <w:ind w:firstLine="480" w:firstLineChars="200"/>
        <w:rPr>
          <w:rFonts w:ascii="宋体" w:hAnsi="宋体"/>
          <w:bCs/>
          <w:sz w:val="24"/>
          <w:szCs w:val="24"/>
        </w:rPr>
      </w:pPr>
      <w:r>
        <w:rPr>
          <w:rFonts w:hint="eastAsia" w:ascii="宋体" w:hAnsi="宋体"/>
          <w:bCs/>
          <w:sz w:val="24"/>
          <w:szCs w:val="24"/>
        </w:rPr>
        <w:t>3、</w:t>
      </w:r>
      <w:r>
        <w:rPr>
          <w:rFonts w:hint="eastAsia" w:ascii="宋体" w:hAnsi="宋体"/>
          <w:sz w:val="24"/>
          <w:szCs w:val="24"/>
        </w:rPr>
        <w:t>根据有关文件规定，向建设单位提交工程监理备案资料。根据项目实施进度，及时协助办理相关报批、报建手续。</w:t>
      </w:r>
    </w:p>
    <w:p w14:paraId="7E651E96">
      <w:pPr>
        <w:spacing w:line="440" w:lineRule="exact"/>
        <w:ind w:firstLine="480" w:firstLineChars="200"/>
        <w:rPr>
          <w:rFonts w:ascii="宋体" w:hAnsi="宋体"/>
          <w:b/>
          <w:bCs/>
          <w:sz w:val="24"/>
          <w:szCs w:val="24"/>
        </w:rPr>
      </w:pPr>
      <w:r>
        <w:rPr>
          <w:rFonts w:hint="eastAsia" w:ascii="宋体" w:hAnsi="宋体"/>
          <w:bCs/>
          <w:sz w:val="24"/>
          <w:szCs w:val="24"/>
        </w:rPr>
        <w:t>4、</w:t>
      </w:r>
      <w:r>
        <w:rPr>
          <w:rFonts w:hint="eastAsia" w:ascii="宋体" w:hAnsi="宋体"/>
          <w:sz w:val="24"/>
          <w:szCs w:val="24"/>
        </w:rPr>
        <w:t>组织建立项目监理机构，协调各方面关系。</w:t>
      </w:r>
      <w:r>
        <w:rPr>
          <w:rFonts w:hint="eastAsia" w:ascii="宋体" w:hAnsi="宋体"/>
          <w:bCs/>
          <w:sz w:val="24"/>
          <w:szCs w:val="24"/>
        </w:rPr>
        <w:t>根据工程建设规模和工程进展情况，按照《项目监理机构人员架构表》（附件1）派驻相应数量的监理工程师于现场，保证监理的管理力度，直到工程完成。</w:t>
      </w:r>
      <w:r>
        <w:rPr>
          <w:rFonts w:hint="eastAsia" w:ascii="宋体" w:hAnsi="宋体"/>
          <w:sz w:val="24"/>
          <w:szCs w:val="24"/>
        </w:rPr>
        <w:t>监理单位必须按照其投标文件和监理规划的承诺，足额、按时派驻监理工程师和投入设备。</w:t>
      </w:r>
      <w:r>
        <w:rPr>
          <w:rFonts w:hint="eastAsia" w:ascii="宋体" w:hAnsi="宋体"/>
          <w:bCs/>
          <w:sz w:val="24"/>
          <w:szCs w:val="24"/>
        </w:rPr>
        <w:t>总监理工程、总监代表师须按照本合同约定驻现场，管理项目监理机构和开展项目监理工作，监理单位定期组织单位技术人员到现场检查工作</w:t>
      </w:r>
      <w:r>
        <w:rPr>
          <w:rFonts w:hint="eastAsia" w:ascii="宋体" w:hAnsi="宋体"/>
          <w:b/>
          <w:bCs/>
          <w:sz w:val="24"/>
          <w:szCs w:val="24"/>
        </w:rPr>
        <w:t>。</w:t>
      </w:r>
    </w:p>
    <w:p w14:paraId="1C86D078">
      <w:pPr>
        <w:spacing w:line="440" w:lineRule="exact"/>
        <w:ind w:firstLine="480" w:firstLineChars="200"/>
        <w:rPr>
          <w:rFonts w:ascii="宋体" w:hAnsi="宋体"/>
          <w:bCs/>
          <w:sz w:val="24"/>
          <w:szCs w:val="24"/>
        </w:rPr>
      </w:pPr>
      <w:r>
        <w:rPr>
          <w:rFonts w:hint="eastAsia" w:ascii="宋体" w:hAnsi="宋体"/>
          <w:bCs/>
          <w:sz w:val="24"/>
          <w:szCs w:val="24"/>
        </w:rPr>
        <w:t>5、</w:t>
      </w:r>
      <w:r>
        <w:rPr>
          <w:rFonts w:hint="eastAsia" w:ascii="宋体" w:hAnsi="宋体"/>
          <w:sz w:val="24"/>
          <w:szCs w:val="24"/>
        </w:rPr>
        <w:t>监理单位派驻的监理机构对监理业务范围内的工作全面负责，并提供一切必要的支持。</w:t>
      </w:r>
      <w:r>
        <w:rPr>
          <w:rFonts w:hint="eastAsia" w:ascii="宋体" w:hAnsi="宋体"/>
          <w:bCs/>
          <w:sz w:val="24"/>
          <w:szCs w:val="24"/>
        </w:rPr>
        <w:t>按国家《建设工程监理规范》及广东省、广州市、白云区有关工程监理规定和要求完成本合同项下的监理工作，完成过程的质量、安全、文明施工、工期、投资的监控及合同的管理。</w:t>
      </w:r>
    </w:p>
    <w:p w14:paraId="73D34DF8">
      <w:pPr>
        <w:spacing w:line="360" w:lineRule="auto"/>
        <w:ind w:firstLine="480" w:firstLineChars="200"/>
        <w:rPr>
          <w:rFonts w:ascii="宋体" w:hAnsi="宋体"/>
          <w:sz w:val="24"/>
          <w:szCs w:val="24"/>
        </w:rPr>
      </w:pPr>
      <w:r>
        <w:rPr>
          <w:rFonts w:hint="eastAsia" w:ascii="宋体" w:hAnsi="宋体"/>
          <w:sz w:val="24"/>
          <w:szCs w:val="24"/>
        </w:rPr>
        <w:t>6、健全项目监理机构造价控制管理体系，负责审核工程变更、签证、现场施工图预算、包干系数和包干范围外的技术经济变更文件；负责工程竣工结算资料和造价的审核。经监理审核的造价文件均须出具审核报告。建立工程</w:t>
      </w:r>
      <w:r>
        <w:rPr>
          <w:rFonts w:hint="eastAsia" w:ascii="宋体" w:hAnsi="宋体"/>
          <w:bCs/>
          <w:sz w:val="24"/>
          <w:szCs w:val="24"/>
        </w:rPr>
        <w:t>付款及</w:t>
      </w:r>
      <w:r>
        <w:rPr>
          <w:rFonts w:hint="eastAsia" w:ascii="宋体" w:hAnsi="宋体"/>
          <w:sz w:val="24"/>
          <w:szCs w:val="24"/>
        </w:rPr>
        <w:t>变更台账，每月向建设管理单位汇报工程变更增减费用情况，并提出控制工程变更的意见，报建设管理单位、建设单位审批。</w:t>
      </w:r>
    </w:p>
    <w:p w14:paraId="54ED7FDE">
      <w:pPr>
        <w:spacing w:line="360" w:lineRule="auto"/>
        <w:ind w:firstLine="480" w:firstLineChars="200"/>
        <w:rPr>
          <w:rFonts w:ascii="宋体" w:hAnsi="宋体"/>
          <w:bCs/>
          <w:sz w:val="24"/>
          <w:szCs w:val="24"/>
        </w:rPr>
      </w:pPr>
      <w:r>
        <w:rPr>
          <w:rFonts w:hint="eastAsia" w:ascii="宋体" w:hAnsi="宋体"/>
          <w:sz w:val="24"/>
          <w:szCs w:val="24"/>
        </w:rPr>
        <w:t>7、监理单位必须在建设单位发出进场通知后，按建设单位具体的要求进场，并立即开始履行本合同约定的服务。</w:t>
      </w:r>
      <w:r>
        <w:rPr>
          <w:rFonts w:hint="eastAsia" w:ascii="宋体" w:hAnsi="宋体"/>
          <w:bCs/>
          <w:sz w:val="24"/>
          <w:szCs w:val="24"/>
        </w:rPr>
        <w:t>现场监理工程师在施工过程中严格按照设计要求和国家规范要求实行监理。把好工程原材料的质量关和试件见证取样试验关以及隐蔽工程和关键部位的旁站监理。并在监理工作中做到公正、廉洁。</w:t>
      </w:r>
    </w:p>
    <w:p w14:paraId="1C215B81">
      <w:pPr>
        <w:spacing w:line="360" w:lineRule="auto"/>
        <w:ind w:firstLine="480" w:firstLineChars="200"/>
        <w:rPr>
          <w:rFonts w:ascii="宋体" w:hAnsi="宋体"/>
          <w:sz w:val="24"/>
          <w:szCs w:val="24"/>
        </w:rPr>
      </w:pPr>
      <w:r>
        <w:rPr>
          <w:rFonts w:hint="eastAsia" w:ascii="宋体" w:hAnsi="宋体"/>
          <w:sz w:val="24"/>
          <w:szCs w:val="24"/>
        </w:rPr>
        <w:t>8、监理单位必须在收到图纸、勘察资料等技术文件后14日内向建设</w:t>
      </w:r>
      <w:r>
        <w:rPr>
          <w:rFonts w:hint="eastAsia" w:ascii="宋体" w:hAnsi="宋体"/>
          <w:bCs/>
          <w:sz w:val="24"/>
          <w:szCs w:val="24"/>
        </w:rPr>
        <w:t>管理</w:t>
      </w:r>
      <w:r>
        <w:rPr>
          <w:rFonts w:hint="eastAsia" w:ascii="宋体" w:hAnsi="宋体"/>
          <w:sz w:val="24"/>
          <w:szCs w:val="24"/>
        </w:rPr>
        <w:t>单位提供《监理规划》和《监理实施细则》，经建设</w:t>
      </w:r>
      <w:r>
        <w:rPr>
          <w:rFonts w:hint="eastAsia" w:ascii="宋体" w:hAnsi="宋体"/>
          <w:bCs/>
          <w:sz w:val="24"/>
          <w:szCs w:val="24"/>
        </w:rPr>
        <w:t>管理</w:t>
      </w:r>
      <w:r>
        <w:rPr>
          <w:rFonts w:hint="eastAsia" w:ascii="宋体" w:hAnsi="宋体"/>
          <w:sz w:val="24"/>
          <w:szCs w:val="24"/>
        </w:rPr>
        <w:t>单位审核批准后执行。监理单位必须对图纸、勘察资料等技术文件熟悉并审核，参与技术交底和施工图纸会审。对工程变更和技术洽商向建设管理单位提出监理意见，并征求设计单位的意见，提交监理意见报告。</w:t>
      </w:r>
    </w:p>
    <w:p w14:paraId="56703436">
      <w:pPr>
        <w:spacing w:line="360" w:lineRule="auto"/>
        <w:ind w:firstLine="480" w:firstLineChars="200"/>
        <w:rPr>
          <w:rFonts w:ascii="宋体" w:hAnsi="宋体"/>
          <w:sz w:val="24"/>
          <w:szCs w:val="24"/>
        </w:rPr>
      </w:pPr>
      <w:r>
        <w:rPr>
          <w:rFonts w:hint="eastAsia" w:ascii="宋体" w:hAnsi="宋体"/>
          <w:sz w:val="24"/>
          <w:szCs w:val="24"/>
        </w:rPr>
        <w:t>9、审查施工组织设计、施工方案及施工进度计划，并监督检查及实施。根据施工合同的约定和经批准的工程进度计划，签收检查承包人填报的旬、月、季等进度报表，并提出监理审核意见。审查承包人选择的分包人；审批各单项工程开工报告。</w:t>
      </w:r>
    </w:p>
    <w:p w14:paraId="4E3B9964">
      <w:pPr>
        <w:spacing w:line="360" w:lineRule="auto"/>
        <w:ind w:firstLine="480" w:firstLineChars="200"/>
        <w:rPr>
          <w:rFonts w:ascii="宋体" w:hAnsi="宋体"/>
          <w:sz w:val="24"/>
          <w:szCs w:val="24"/>
        </w:rPr>
      </w:pPr>
      <w:r>
        <w:rPr>
          <w:rFonts w:hint="eastAsia" w:ascii="宋体" w:hAnsi="宋体"/>
          <w:bCs/>
          <w:sz w:val="24"/>
          <w:szCs w:val="24"/>
        </w:rPr>
        <w:t>10、设立监理日志制度，现场监理工程师每日如实填写，以便查验。编写监理月报，每月向建设管理单位汇报工程情况。</w:t>
      </w:r>
      <w:r>
        <w:rPr>
          <w:rFonts w:hint="eastAsia" w:ascii="宋体" w:hAnsi="宋体"/>
          <w:sz w:val="24"/>
          <w:szCs w:val="24"/>
        </w:rPr>
        <w:t>编写监理阶段月报和最终总结，及时做好施工过程质量记录、竣工记录等，并进行分类归档工作。工程竣工后，提交完整建设工程监理档案。</w:t>
      </w:r>
    </w:p>
    <w:p w14:paraId="1DB2E4EA">
      <w:pPr>
        <w:tabs>
          <w:tab w:val="left" w:pos="900"/>
        </w:tabs>
        <w:spacing w:line="360" w:lineRule="auto"/>
        <w:ind w:firstLine="480" w:firstLineChars="200"/>
        <w:rPr>
          <w:rFonts w:ascii="宋体" w:hAnsi="宋体"/>
          <w:sz w:val="24"/>
          <w:szCs w:val="24"/>
        </w:rPr>
      </w:pPr>
      <w:r>
        <w:rPr>
          <w:rFonts w:hint="eastAsia" w:ascii="宋体" w:hAnsi="宋体"/>
          <w:sz w:val="24"/>
          <w:szCs w:val="24"/>
        </w:rPr>
        <w:t>11、主持工程协调会议和每周的工程监理例会，对存在问题，提出监理意见，</w:t>
      </w:r>
      <w:r>
        <w:rPr>
          <w:rFonts w:hint="eastAsia" w:ascii="宋体" w:hAnsi="宋体"/>
          <w:bCs/>
          <w:sz w:val="24"/>
          <w:szCs w:val="24"/>
        </w:rPr>
        <w:t>设立工程例会制度，加强各方沟通，解决技术问题</w:t>
      </w:r>
      <w:r>
        <w:rPr>
          <w:rFonts w:hint="eastAsia" w:ascii="宋体" w:hAnsi="宋体"/>
          <w:sz w:val="24"/>
          <w:szCs w:val="24"/>
        </w:rPr>
        <w:t>，整理各类会议记录，监理例会、设计例会、工程协调会议纪要文字顺畅，简明扼要，真实确切。</w:t>
      </w:r>
    </w:p>
    <w:p w14:paraId="57577B21">
      <w:pPr>
        <w:tabs>
          <w:tab w:val="left" w:pos="900"/>
        </w:tabs>
        <w:spacing w:line="360" w:lineRule="auto"/>
        <w:ind w:firstLine="480" w:firstLineChars="200"/>
        <w:rPr>
          <w:rFonts w:ascii="宋体" w:hAnsi="宋体"/>
          <w:sz w:val="24"/>
          <w:szCs w:val="24"/>
        </w:rPr>
      </w:pPr>
      <w:r>
        <w:rPr>
          <w:rFonts w:hint="eastAsia" w:ascii="宋体" w:hAnsi="宋体"/>
          <w:sz w:val="24"/>
          <w:szCs w:val="24"/>
        </w:rPr>
        <w:t>12、材料、设备的看样板定板工作由监理单位牵头组织。必要时，经建设管理单位批准可组织考察，出具考察报告提交建设管理单位。在每批次的每一种材料、设备样板或资料收集到3家以上，监理单位组织召开看样定板会议，填写样板定样表并封样。监理单位应审核供货材料、设备清单及规格与质量，检查本工程采用的主要设备及关键材料是否符合设计文件或招、投标文件所规定的厂家、型号、规格、数量以及质量标准。对用于本工程的主要材料、构件的出厂合格证、材质化验单等进行核定。如发现不实之处，有权责成承包人对材质再检验。不合格的材料、构件等监理单位必须督促承包人立即调离工地。</w:t>
      </w:r>
    </w:p>
    <w:p w14:paraId="6DC1AFC8">
      <w:pPr>
        <w:tabs>
          <w:tab w:val="left" w:pos="900"/>
        </w:tabs>
        <w:spacing w:line="360" w:lineRule="auto"/>
        <w:ind w:firstLine="480" w:firstLineChars="200"/>
        <w:rPr>
          <w:rFonts w:ascii="宋体" w:hAnsi="宋体"/>
          <w:sz w:val="24"/>
          <w:szCs w:val="24"/>
        </w:rPr>
      </w:pPr>
      <w:r>
        <w:rPr>
          <w:rFonts w:hint="eastAsia" w:ascii="宋体" w:hAnsi="宋体"/>
          <w:sz w:val="24"/>
          <w:szCs w:val="24"/>
        </w:rPr>
        <w:t>13、督促承包人严格执行合同和严格按照国家技术规范、标准、地方建筑安装规程以及设计图纸文件的要求进行施工、安装，并检查其实施情况；核查施工过程中的主要部位以及隐蔽工程的施工验收，对于关键部位工序进行全过程旁站管理，控制工程质量。检查工程状况，协助组织处理工程质量事故，提出质量问题责任意见。</w:t>
      </w:r>
    </w:p>
    <w:p w14:paraId="77DF06A4">
      <w:pPr>
        <w:tabs>
          <w:tab w:val="left" w:pos="900"/>
        </w:tabs>
        <w:spacing w:line="360" w:lineRule="auto"/>
        <w:ind w:firstLine="480" w:firstLineChars="200"/>
        <w:rPr>
          <w:rFonts w:ascii="宋体" w:hAnsi="宋体"/>
          <w:sz w:val="24"/>
          <w:szCs w:val="24"/>
        </w:rPr>
      </w:pPr>
      <w:r>
        <w:rPr>
          <w:rFonts w:ascii="宋体" w:hAnsi="宋体"/>
          <w:sz w:val="24"/>
          <w:szCs w:val="24"/>
        </w:rPr>
        <w:t>14、工程施工进度监理：监理单位应依据施工合同和经批准的施工组织设计，督促承包人按合同工期完成合同工程，各工期节点未达到进度要求的，监理单位应采取果断措施督促承包人赶回延误的工期。</w:t>
      </w:r>
      <w:r>
        <w:rPr>
          <w:rFonts w:hint="eastAsia" w:ascii="宋体" w:hAnsi="宋体"/>
          <w:sz w:val="24"/>
          <w:szCs w:val="24"/>
        </w:rPr>
        <w:t>其中施工合同关键节点如下：</w:t>
      </w:r>
      <w:r>
        <w:rPr>
          <w:rFonts w:ascii="宋体" w:hAnsi="宋体"/>
          <w:sz w:val="24"/>
          <w:szCs w:val="24"/>
        </w:rPr>
        <w:t>2025年8月30日基坑及基础工程施工完成、2025年10月30日施工完成至标高正负零、2026年8月30日完成结构封顶、2026年10月30日塔楼外立面工程完工（含外架拆除完成）、2026年10月30日取得地下室联合验收竣工备案证明、以及2027年8月30日取得</w:t>
      </w:r>
      <w:r>
        <w:rPr>
          <w:rFonts w:hint="eastAsia" w:ascii="宋体" w:hAnsi="宋体"/>
          <w:sz w:val="24"/>
          <w:szCs w:val="24"/>
        </w:rPr>
        <w:t>地上室联合验收竣工备案证明。以上关键工期节点因监理单位履职不到位，承包人未</w:t>
      </w:r>
      <w:r>
        <w:rPr>
          <w:rFonts w:ascii="宋体" w:hAnsi="宋体"/>
          <w:sz w:val="24"/>
          <w:szCs w:val="24"/>
        </w:rPr>
        <w:t>按合同工期完成合同工程</w:t>
      </w:r>
      <w:r>
        <w:rPr>
          <w:rFonts w:hint="eastAsia" w:ascii="宋体" w:hAnsi="宋体"/>
          <w:sz w:val="24"/>
          <w:szCs w:val="24"/>
        </w:rPr>
        <w:t>，则按第二十二条违约责任的</w:t>
      </w:r>
      <w:r>
        <w:rPr>
          <w:rFonts w:hint="eastAsia" w:ascii="宋体" w:hAnsi="宋体" w:cs="宋体"/>
          <w:sz w:val="24"/>
          <w:szCs w:val="24"/>
        </w:rPr>
        <w:t>工期延误责任进行处罚。后续赶回延误的工期的，可取消处罚（不包括塔楼外立面工程）。</w:t>
      </w:r>
    </w:p>
    <w:p w14:paraId="4B11F84F">
      <w:pPr>
        <w:tabs>
          <w:tab w:val="left" w:pos="900"/>
        </w:tabs>
        <w:spacing w:line="360" w:lineRule="auto"/>
        <w:ind w:firstLine="480" w:firstLineChars="200"/>
        <w:rPr>
          <w:rFonts w:ascii="宋体" w:hAnsi="宋体"/>
          <w:sz w:val="24"/>
          <w:szCs w:val="24"/>
        </w:rPr>
      </w:pPr>
      <w:r>
        <w:rPr>
          <w:rFonts w:hint="eastAsia" w:ascii="宋体" w:hAnsi="宋体"/>
          <w:sz w:val="24"/>
          <w:szCs w:val="24"/>
        </w:rPr>
        <w:t>15、工程进度请款根据施工总承包合同的约定，对工程质量和数量、计价进行核实，提出工程进度款审核意见，总监签署付款意见后报建设管理单位、建设单位审批，并做好计量支付审核台账（含工程量、单价、设计变更）。工程竣工后，审查工程结算价款，并配合建设公司和建设管理单位的审核工作。</w:t>
      </w:r>
      <w:r>
        <w:rPr>
          <w:rFonts w:hint="eastAsia" w:ascii="宋体" w:hAnsi="宋体" w:cs="宋体"/>
          <w:sz w:val="24"/>
          <w:szCs w:val="24"/>
        </w:rPr>
        <w:t>监理单位负责审核专项安全生产措施费、工程进度款、变更工程预算及其他有关文件的审核，应在5个工作日内完成并向建设单位出具意见。</w:t>
      </w:r>
    </w:p>
    <w:p w14:paraId="44D06014">
      <w:pPr>
        <w:tabs>
          <w:tab w:val="left" w:pos="900"/>
        </w:tabs>
        <w:spacing w:line="360" w:lineRule="auto"/>
        <w:ind w:firstLine="480" w:firstLineChars="200"/>
        <w:rPr>
          <w:rFonts w:ascii="宋体" w:hAnsi="宋体"/>
          <w:sz w:val="24"/>
          <w:szCs w:val="24"/>
        </w:rPr>
      </w:pPr>
      <w:r>
        <w:rPr>
          <w:rFonts w:hint="eastAsia" w:ascii="宋体" w:hAnsi="宋体"/>
          <w:sz w:val="24"/>
          <w:szCs w:val="24"/>
        </w:rPr>
        <w:t xml:space="preserve">16、监督检查工程的文明施工及安全防护措施，防止环境污染。若发生安全事故时，迅速采取措施，减少事故对工程的影响，并及时上报，事后配合有关部门查明事故原因，恢复施工生产。安全生产监理具体规定如下： </w:t>
      </w:r>
    </w:p>
    <w:p w14:paraId="7E183B3C">
      <w:pPr>
        <w:tabs>
          <w:tab w:val="left" w:pos="900"/>
        </w:tabs>
        <w:spacing w:line="360" w:lineRule="auto"/>
        <w:ind w:firstLine="480" w:firstLineChars="200"/>
        <w:rPr>
          <w:rFonts w:ascii="宋体" w:hAnsi="宋体"/>
          <w:sz w:val="24"/>
          <w:szCs w:val="24"/>
        </w:rPr>
      </w:pPr>
      <w:r>
        <w:rPr>
          <w:rFonts w:hint="eastAsia" w:ascii="宋体" w:hAnsi="宋体"/>
          <w:sz w:val="24"/>
          <w:szCs w:val="24"/>
        </w:rPr>
        <w:t>1）监理单位应当审查施工组织设计中的安全技术措施或者专项施工方案是否符合工程建设强制性标准。</w:t>
      </w:r>
    </w:p>
    <w:p w14:paraId="155CD31C">
      <w:pPr>
        <w:tabs>
          <w:tab w:val="left" w:pos="900"/>
        </w:tabs>
        <w:spacing w:line="360" w:lineRule="auto"/>
        <w:ind w:firstLine="480" w:firstLineChars="200"/>
        <w:rPr>
          <w:rFonts w:ascii="宋体" w:hAnsi="宋体"/>
          <w:sz w:val="24"/>
          <w:szCs w:val="24"/>
        </w:rPr>
      </w:pPr>
      <w:r>
        <w:rPr>
          <w:rFonts w:hint="eastAsia" w:ascii="宋体" w:hAnsi="宋体"/>
          <w:sz w:val="24"/>
          <w:szCs w:val="24"/>
        </w:rPr>
        <w:t>2）监理单位在实施监理过程中，发现存在安全事故隐患的，应当书面通知承包人整改；情况严重的，应当要求承包人暂时停止施工，并及时报告建设单位。</w:t>
      </w:r>
    </w:p>
    <w:p w14:paraId="710C4815">
      <w:pPr>
        <w:tabs>
          <w:tab w:val="left" w:pos="900"/>
        </w:tabs>
        <w:spacing w:line="360" w:lineRule="auto"/>
        <w:ind w:firstLine="480" w:firstLineChars="200"/>
        <w:rPr>
          <w:rFonts w:ascii="宋体" w:hAnsi="宋体"/>
          <w:sz w:val="24"/>
          <w:szCs w:val="24"/>
        </w:rPr>
      </w:pPr>
      <w:r>
        <w:rPr>
          <w:rFonts w:hint="eastAsia" w:ascii="宋体" w:hAnsi="宋体"/>
          <w:sz w:val="24"/>
          <w:szCs w:val="24"/>
        </w:rPr>
        <w:t>3）承包人拒不整改或者不停止施工的，监理单位应当及时向建设管理单位、建设单位和有关主管部门报告。</w:t>
      </w:r>
    </w:p>
    <w:p w14:paraId="3CA7B864">
      <w:pPr>
        <w:tabs>
          <w:tab w:val="left" w:pos="900"/>
        </w:tabs>
        <w:spacing w:line="360" w:lineRule="auto"/>
        <w:ind w:firstLine="480" w:firstLineChars="200"/>
        <w:rPr>
          <w:rFonts w:ascii="宋体" w:hAnsi="宋体"/>
          <w:sz w:val="24"/>
          <w:szCs w:val="24"/>
        </w:rPr>
      </w:pPr>
      <w:r>
        <w:rPr>
          <w:rFonts w:hint="eastAsia" w:ascii="宋体" w:hAnsi="宋体"/>
          <w:sz w:val="24"/>
          <w:szCs w:val="24"/>
        </w:rPr>
        <w:t>4）监理单位和监理工程师应当按照法律、法规和工程建设强制性标准实施监理，并对建设工程安全生产承担监理责任。</w:t>
      </w:r>
    </w:p>
    <w:p w14:paraId="49750479">
      <w:pPr>
        <w:tabs>
          <w:tab w:val="left" w:pos="900"/>
        </w:tabs>
        <w:spacing w:line="360" w:lineRule="auto"/>
        <w:ind w:firstLine="480" w:firstLineChars="200"/>
        <w:rPr>
          <w:rFonts w:ascii="宋体" w:hAnsi="宋体"/>
          <w:sz w:val="24"/>
          <w:szCs w:val="24"/>
        </w:rPr>
      </w:pPr>
      <w:r>
        <w:rPr>
          <w:rFonts w:hint="eastAsia" w:ascii="宋体" w:hAnsi="宋体"/>
          <w:sz w:val="24"/>
          <w:szCs w:val="24"/>
        </w:rPr>
        <w:t>5）监理单位必须为派驻现场员工购买安全生产责任保险。</w:t>
      </w:r>
    </w:p>
    <w:p w14:paraId="1AB91390">
      <w:pPr>
        <w:tabs>
          <w:tab w:val="left" w:pos="900"/>
        </w:tabs>
        <w:spacing w:line="360" w:lineRule="auto"/>
        <w:ind w:firstLine="480" w:firstLineChars="200"/>
        <w:rPr>
          <w:rFonts w:ascii="宋体" w:hAnsi="宋体"/>
          <w:bCs/>
          <w:sz w:val="24"/>
          <w:szCs w:val="24"/>
        </w:rPr>
      </w:pPr>
      <w:r>
        <w:rPr>
          <w:rFonts w:hint="eastAsia" w:ascii="宋体" w:hAnsi="宋体"/>
          <w:sz w:val="24"/>
          <w:szCs w:val="24"/>
        </w:rPr>
        <w:t>17、</w:t>
      </w:r>
      <w:r>
        <w:rPr>
          <w:rFonts w:hint="eastAsia" w:ascii="宋体" w:hAnsi="宋体"/>
          <w:bCs/>
          <w:sz w:val="24"/>
          <w:szCs w:val="24"/>
        </w:rPr>
        <w:t>根据有关文件规定，督促检查承包人同步完成各阶段施工验收资料，最终形成完整建设工程城建档案。负责督导设计单位编制完成全套竣工图，审核并确认竣工图，保证与现场实物对应。</w:t>
      </w:r>
    </w:p>
    <w:p w14:paraId="39740D96">
      <w:pPr>
        <w:tabs>
          <w:tab w:val="left" w:pos="900"/>
        </w:tabs>
        <w:spacing w:line="360" w:lineRule="auto"/>
        <w:ind w:firstLine="480" w:firstLineChars="200"/>
        <w:rPr>
          <w:rFonts w:ascii="宋体" w:hAnsi="宋体"/>
          <w:sz w:val="24"/>
          <w:szCs w:val="24"/>
        </w:rPr>
      </w:pPr>
      <w:r>
        <w:rPr>
          <w:rFonts w:hint="eastAsia" w:ascii="宋体" w:hAnsi="宋体"/>
          <w:sz w:val="24"/>
          <w:szCs w:val="24"/>
        </w:rPr>
        <w:t>18、根据承包人提出的阶段、部位、环节、各系统的分段工程检验、验收以及整体工程竣工验收申请报告，负责组织初验，签署由承包人提出的全部工程竣工验收报告，参加建设单位组织的最终验收。</w:t>
      </w:r>
    </w:p>
    <w:p w14:paraId="02649947">
      <w:pPr>
        <w:tabs>
          <w:tab w:val="left" w:pos="900"/>
        </w:tabs>
        <w:spacing w:line="360" w:lineRule="auto"/>
        <w:ind w:firstLine="480" w:firstLineChars="200"/>
        <w:rPr>
          <w:rFonts w:ascii="宋体" w:hAnsi="宋体"/>
          <w:sz w:val="24"/>
          <w:szCs w:val="24"/>
        </w:rPr>
      </w:pPr>
      <w:r>
        <w:rPr>
          <w:rFonts w:hint="eastAsia" w:ascii="宋体" w:hAnsi="宋体"/>
          <w:sz w:val="24"/>
          <w:szCs w:val="24"/>
        </w:rPr>
        <w:t>19、保修期内督促承包人进行保修。现行监理规范规定的或建设管理单位交办的其他工作。</w:t>
      </w:r>
    </w:p>
    <w:p w14:paraId="7A68D460">
      <w:pPr>
        <w:spacing w:line="360" w:lineRule="auto"/>
        <w:ind w:firstLine="482" w:firstLineChars="200"/>
        <w:rPr>
          <w:rFonts w:ascii="宋体" w:hAnsi="宋体"/>
          <w:sz w:val="24"/>
          <w:szCs w:val="24"/>
        </w:rPr>
      </w:pPr>
      <w:r>
        <w:rPr>
          <w:rFonts w:hint="eastAsia" w:ascii="宋体" w:hAnsi="宋体"/>
          <w:b/>
          <w:bCs/>
          <w:sz w:val="24"/>
          <w:szCs w:val="24"/>
        </w:rPr>
        <w:t>第三条</w:t>
      </w:r>
      <w:r>
        <w:rPr>
          <w:rFonts w:hint="eastAsia" w:ascii="宋体" w:hAnsi="宋体"/>
          <w:sz w:val="24"/>
          <w:szCs w:val="24"/>
        </w:rPr>
        <w:t xml:space="preserve">  合同三方提供的本工程、本合同业务活动的有关资料，有保密要求的，应在资料上注明保密等级，另两方应按密级为对方保密，如发生泄密，由泄密方承担有关责任。没有特别保密要求的，监理单位也必须严守工程保密工作，未经建设管理单位书面批准，禁止泄露一切工程资料和信息，否则，监理单位承担有关责任。</w:t>
      </w:r>
    </w:p>
    <w:p w14:paraId="41629092">
      <w:pPr>
        <w:spacing w:line="360" w:lineRule="auto"/>
        <w:ind w:firstLine="482" w:firstLineChars="200"/>
        <w:rPr>
          <w:rFonts w:ascii="宋体" w:hAnsi="宋体"/>
          <w:sz w:val="24"/>
          <w:szCs w:val="24"/>
        </w:rPr>
      </w:pPr>
      <w:r>
        <w:rPr>
          <w:rFonts w:hint="eastAsia" w:ascii="宋体" w:hAnsi="宋体"/>
          <w:b/>
          <w:bCs/>
          <w:sz w:val="24"/>
          <w:szCs w:val="24"/>
        </w:rPr>
        <w:t>第四条</w:t>
      </w:r>
      <w:r>
        <w:rPr>
          <w:rFonts w:hint="eastAsia" w:ascii="宋体" w:hAnsi="宋体"/>
          <w:sz w:val="24"/>
          <w:szCs w:val="24"/>
        </w:rPr>
        <w:t>　外部条件包括：</w:t>
      </w:r>
    </w:p>
    <w:p w14:paraId="6FF156B2">
      <w:pPr>
        <w:spacing w:line="360" w:lineRule="auto"/>
        <w:ind w:firstLine="480" w:firstLineChars="200"/>
        <w:rPr>
          <w:rFonts w:ascii="宋体" w:hAnsi="宋体"/>
          <w:sz w:val="24"/>
          <w:szCs w:val="24"/>
        </w:rPr>
      </w:pPr>
      <w:r>
        <w:rPr>
          <w:rFonts w:hint="eastAsia" w:ascii="宋体" w:hAnsi="宋体"/>
          <w:sz w:val="24"/>
          <w:szCs w:val="24"/>
        </w:rPr>
        <w:t>一、由建设单位、建设管理单位负责完善工程开工的前期条件，获得政府有关部门的批准文件。具体内容如下(有关资料和副本提供给监理单位)：</w:t>
      </w:r>
    </w:p>
    <w:p w14:paraId="6C896BA9">
      <w:pPr>
        <w:tabs>
          <w:tab w:val="left" w:pos="2760"/>
        </w:tabs>
        <w:spacing w:line="440" w:lineRule="exact"/>
        <w:ind w:firstLine="480" w:firstLineChars="200"/>
        <w:rPr>
          <w:rFonts w:ascii="宋体" w:hAnsi="宋体"/>
          <w:bCs/>
          <w:sz w:val="24"/>
          <w:szCs w:val="24"/>
        </w:rPr>
      </w:pPr>
      <w:r>
        <w:rPr>
          <w:rFonts w:hint="eastAsia" w:ascii="宋体" w:hAnsi="宋体"/>
          <w:sz w:val="24"/>
          <w:szCs w:val="24"/>
        </w:rPr>
        <w:t>1、建设单位、建设管理单位</w:t>
      </w:r>
      <w:r>
        <w:rPr>
          <w:rFonts w:hint="eastAsia" w:ascii="宋体" w:hAnsi="宋体"/>
          <w:bCs/>
          <w:sz w:val="24"/>
          <w:szCs w:val="24"/>
        </w:rPr>
        <w:t>负责工程建设的外部关系协调，监理单位应配合承担部分或全部协调工作。</w:t>
      </w:r>
    </w:p>
    <w:p w14:paraId="7E87BA2C">
      <w:pPr>
        <w:spacing w:line="360" w:lineRule="auto"/>
        <w:ind w:firstLine="480" w:firstLineChars="200"/>
        <w:rPr>
          <w:rFonts w:ascii="宋体" w:hAnsi="宋体"/>
          <w:sz w:val="24"/>
          <w:szCs w:val="24"/>
        </w:rPr>
      </w:pPr>
      <w:r>
        <w:rPr>
          <w:rFonts w:hint="eastAsia" w:ascii="宋体" w:hAnsi="宋体"/>
          <w:sz w:val="24"/>
          <w:szCs w:val="24"/>
        </w:rPr>
        <w:t>2、向有关部门缴纳施工报建中规定由建设单位承担的费用。</w:t>
      </w:r>
    </w:p>
    <w:p w14:paraId="1713373F">
      <w:pPr>
        <w:spacing w:line="360" w:lineRule="auto"/>
        <w:ind w:firstLine="480" w:firstLineChars="200"/>
        <w:rPr>
          <w:sz w:val="24"/>
          <w:szCs w:val="24"/>
        </w:rPr>
      </w:pPr>
      <w:r>
        <w:rPr>
          <w:rFonts w:hint="eastAsia"/>
          <w:sz w:val="24"/>
          <w:szCs w:val="24"/>
        </w:rPr>
        <w:t>二、施工阶段建设单位、建设管理单位应完善以下工作，并应监理单位书面要求及时将有关资料和副本提供给监理单位：</w:t>
      </w:r>
    </w:p>
    <w:p w14:paraId="0BC59963">
      <w:pPr>
        <w:spacing w:line="360" w:lineRule="auto"/>
        <w:ind w:firstLine="480" w:firstLineChars="200"/>
        <w:rPr>
          <w:rFonts w:ascii="宋体" w:hAnsi="宋体"/>
          <w:sz w:val="24"/>
          <w:szCs w:val="24"/>
        </w:rPr>
      </w:pPr>
      <w:r>
        <w:rPr>
          <w:rFonts w:hint="eastAsia" w:ascii="宋体" w:hAnsi="宋体"/>
          <w:sz w:val="24"/>
          <w:szCs w:val="24"/>
        </w:rPr>
        <w:t>1、选择或委托总承包人或各专业工程承包人，并签订工程施工合同。</w:t>
      </w:r>
    </w:p>
    <w:p w14:paraId="5861937B">
      <w:pPr>
        <w:spacing w:line="360" w:lineRule="auto"/>
        <w:ind w:firstLine="480" w:firstLineChars="200"/>
        <w:rPr>
          <w:rFonts w:ascii="宋体" w:hAnsi="宋体"/>
          <w:sz w:val="24"/>
          <w:szCs w:val="24"/>
        </w:rPr>
      </w:pPr>
      <w:r>
        <w:rPr>
          <w:rFonts w:hint="eastAsia" w:ascii="宋体" w:hAnsi="宋体"/>
          <w:sz w:val="24"/>
          <w:szCs w:val="24"/>
        </w:rPr>
        <w:t>2、组织工程竣工验收和工程移交。</w:t>
      </w:r>
    </w:p>
    <w:p w14:paraId="185B9081">
      <w:pPr>
        <w:spacing w:line="360" w:lineRule="auto"/>
        <w:ind w:firstLine="482" w:firstLineChars="200"/>
        <w:rPr>
          <w:rFonts w:ascii="宋体" w:hAnsi="宋体"/>
          <w:sz w:val="24"/>
          <w:szCs w:val="24"/>
          <w:u w:val="single"/>
        </w:rPr>
      </w:pPr>
      <w:r>
        <w:rPr>
          <w:rFonts w:hint="eastAsia" w:ascii="宋体" w:hAnsi="宋体"/>
          <w:b/>
          <w:bCs/>
          <w:sz w:val="24"/>
          <w:szCs w:val="24"/>
        </w:rPr>
        <w:t>第五条</w:t>
      </w:r>
      <w:r>
        <w:rPr>
          <w:rFonts w:hint="eastAsia" w:ascii="宋体" w:hAnsi="宋体"/>
          <w:sz w:val="24"/>
          <w:szCs w:val="24"/>
        </w:rPr>
        <w:t>　建设管理单位应提供的工程资料及时间： 签订本合同，具备条件后三天内提供全套施工图纸、地质资料、工程承包合同及其它工程资料。</w:t>
      </w:r>
    </w:p>
    <w:p w14:paraId="20C31164">
      <w:pPr>
        <w:spacing w:line="360" w:lineRule="auto"/>
        <w:ind w:firstLine="482" w:firstLineChars="200"/>
        <w:rPr>
          <w:rFonts w:ascii="宋体" w:hAnsi="宋体"/>
          <w:sz w:val="24"/>
          <w:szCs w:val="24"/>
        </w:rPr>
      </w:pPr>
      <w:r>
        <w:rPr>
          <w:rFonts w:hint="eastAsia" w:ascii="宋体" w:hAnsi="宋体"/>
          <w:b/>
          <w:bCs/>
          <w:sz w:val="24"/>
          <w:szCs w:val="24"/>
        </w:rPr>
        <w:t>第六条</w:t>
      </w:r>
      <w:r>
        <w:rPr>
          <w:rFonts w:hint="eastAsia" w:ascii="宋体" w:hAnsi="宋体"/>
          <w:sz w:val="24"/>
          <w:szCs w:val="24"/>
        </w:rPr>
        <w:t>　建设管理单位应尽快且不超过2天内对监理单位书面提交并要求作出决定的事宜作出书面答复。</w:t>
      </w:r>
    </w:p>
    <w:p w14:paraId="384CEB5B">
      <w:pPr>
        <w:spacing w:line="360" w:lineRule="auto"/>
        <w:ind w:firstLine="480" w:firstLineChars="200"/>
        <w:rPr>
          <w:rFonts w:ascii="宋体" w:hAnsi="宋体"/>
          <w:sz w:val="24"/>
          <w:szCs w:val="24"/>
        </w:rPr>
      </w:pPr>
      <w:r>
        <w:rPr>
          <w:rFonts w:hint="eastAsia" w:ascii="宋体" w:hAnsi="宋体"/>
          <w:sz w:val="24"/>
          <w:szCs w:val="24"/>
        </w:rPr>
        <w:t>监理单位应尽快且不超过2天内对建设管理单位及承包人书面提交并要求作出决定的事宜作出书面答复；对影响施工现场进度的内容应在1天内作出书面答复。</w:t>
      </w:r>
    </w:p>
    <w:p w14:paraId="33D4E45F">
      <w:pPr>
        <w:spacing w:line="360" w:lineRule="auto"/>
        <w:ind w:firstLine="482" w:firstLineChars="200"/>
        <w:rPr>
          <w:rFonts w:ascii="宋体" w:hAnsi="宋体"/>
          <w:sz w:val="24"/>
          <w:szCs w:val="24"/>
        </w:rPr>
      </w:pPr>
      <w:r>
        <w:rPr>
          <w:rFonts w:hint="eastAsia" w:ascii="宋体" w:hAnsi="宋体"/>
          <w:b/>
          <w:bCs/>
          <w:sz w:val="24"/>
          <w:szCs w:val="24"/>
        </w:rPr>
        <w:t xml:space="preserve">第七条  </w:t>
      </w:r>
      <w:r>
        <w:rPr>
          <w:rFonts w:hint="eastAsia" w:ascii="宋体" w:hAnsi="宋体"/>
          <w:sz w:val="24"/>
          <w:szCs w:val="24"/>
        </w:rPr>
        <w:t>监理单位项目总监为：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w:t>
      </w:r>
    </w:p>
    <w:p w14:paraId="6AB39CD4">
      <w:pPr>
        <w:spacing w:line="360" w:lineRule="auto"/>
        <w:ind w:firstLine="480" w:firstLineChars="200"/>
        <w:rPr>
          <w:rFonts w:ascii="宋体" w:hAnsi="宋体"/>
          <w:sz w:val="24"/>
          <w:szCs w:val="24"/>
        </w:rPr>
      </w:pPr>
      <w:r>
        <w:rPr>
          <w:rFonts w:hint="eastAsia" w:ascii="宋体" w:hAnsi="宋体"/>
          <w:sz w:val="24"/>
          <w:szCs w:val="24"/>
        </w:rPr>
        <w:t>监理单位项目总监代表为：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rPr>
        <w:t xml:space="preserve"> 联系电话：</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w:t>
      </w:r>
    </w:p>
    <w:p w14:paraId="44A170EA">
      <w:pPr>
        <w:spacing w:line="360" w:lineRule="auto"/>
        <w:ind w:firstLine="480" w:firstLineChars="200"/>
        <w:rPr>
          <w:rFonts w:ascii="宋体" w:hAnsi="宋体"/>
          <w:sz w:val="24"/>
          <w:szCs w:val="24"/>
        </w:rPr>
      </w:pPr>
      <w:r>
        <w:rPr>
          <w:rFonts w:hint="eastAsia" w:ascii="宋体" w:hAnsi="宋体"/>
          <w:sz w:val="24"/>
          <w:szCs w:val="24"/>
        </w:rPr>
        <w:t>建设单位常驻代表为：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w:t>
      </w:r>
    </w:p>
    <w:p w14:paraId="394577AF">
      <w:pPr>
        <w:spacing w:line="360" w:lineRule="auto"/>
        <w:ind w:firstLine="480" w:firstLineChars="200"/>
        <w:rPr>
          <w:rFonts w:ascii="宋体" w:hAnsi="宋体"/>
          <w:sz w:val="24"/>
          <w:szCs w:val="24"/>
        </w:rPr>
      </w:pPr>
      <w:r>
        <w:rPr>
          <w:rFonts w:hint="eastAsia" w:ascii="宋体" w:hAnsi="宋体"/>
          <w:sz w:val="24"/>
          <w:szCs w:val="24"/>
        </w:rPr>
        <w:t>建设管理单位常驻代表为：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 xml:space="preserve"> 联系电话：</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w:t>
      </w:r>
    </w:p>
    <w:p w14:paraId="166BE17A">
      <w:pPr>
        <w:spacing w:line="360" w:lineRule="auto"/>
        <w:ind w:firstLine="422" w:firstLineChars="200"/>
      </w:pPr>
      <w:r>
        <w:rPr>
          <w:rFonts w:hint="eastAsia"/>
          <w:b/>
        </w:rPr>
        <w:t>第八条</w:t>
      </w:r>
      <w:r>
        <w:rPr>
          <w:rFonts w:hint="eastAsia"/>
        </w:rPr>
        <w:t>　</w:t>
      </w:r>
      <w:r>
        <w:rPr>
          <w:rFonts w:hint="eastAsia"/>
          <w:sz w:val="24"/>
          <w:szCs w:val="24"/>
        </w:rPr>
        <w:t>本项目建设单位和建设管理单位不向监理单位提供办公用房和值班用房，由监理单位自行解决。监理单位应根据现场实际情况，自行配置现场监理办公设施、通讯设施，其费用已包含在监理酬金中。</w:t>
      </w:r>
      <w:r>
        <w:rPr>
          <w:rFonts w:hint="eastAsia" w:ascii="宋体" w:hAnsi="宋体" w:cs="宋体"/>
          <w:sz w:val="24"/>
          <w:szCs w:val="24"/>
        </w:rPr>
        <w:t>驻场的监理人员日常生活和用餐应自行独立解决，严禁向施工单位免费搭食。</w:t>
      </w:r>
    </w:p>
    <w:p w14:paraId="5904E1F5">
      <w:pPr>
        <w:pStyle w:val="55"/>
        <w:ind w:firstLine="496"/>
      </w:pPr>
      <w:r>
        <w:rPr>
          <w:rFonts w:hint="eastAsia"/>
        </w:rPr>
        <w:t>对监理单位自备的设施，监理单位不得向建设单位索取任何经济补偿。</w:t>
      </w:r>
    </w:p>
    <w:p w14:paraId="37DEB42B">
      <w:pPr>
        <w:pStyle w:val="55"/>
        <w:ind w:firstLine="496"/>
      </w:pPr>
      <w:r>
        <w:rPr>
          <w:rFonts w:hint="eastAsia"/>
        </w:rPr>
        <w:t>项目监理机构应根据工程项目类别、规模、技术复杂程度、工程项目所在地的环境条件，按本监理合同的约定，配备满足监理工作需要的常规检测设备和工具。</w:t>
      </w:r>
    </w:p>
    <w:p w14:paraId="09765756">
      <w:pPr>
        <w:pStyle w:val="55"/>
        <w:ind w:firstLine="496"/>
      </w:pPr>
      <w:r>
        <w:rPr>
          <w:rFonts w:hint="eastAsia"/>
        </w:rPr>
        <w:t>项目监理机构应配备足够实施监理工作的计算机辅助管理。建设管理单位使用工程计价软件为广联达软件，监理单位提供工程进度审核和计价资料，需与建设管理单位所使用软件相兼容。否则，建设管理单位有权不受理监理单位提交的资料，由此所导致的全部后果由监理单位负责。</w:t>
      </w:r>
    </w:p>
    <w:p w14:paraId="696190AD">
      <w:pPr>
        <w:spacing w:line="360" w:lineRule="auto"/>
        <w:ind w:firstLine="482" w:firstLineChars="200"/>
        <w:rPr>
          <w:rFonts w:ascii="宋体" w:hAnsi="宋体"/>
          <w:sz w:val="24"/>
          <w:szCs w:val="24"/>
        </w:rPr>
      </w:pPr>
      <w:r>
        <w:rPr>
          <w:rFonts w:hint="eastAsia" w:ascii="宋体" w:hAnsi="宋体"/>
          <w:b/>
          <w:sz w:val="24"/>
          <w:szCs w:val="24"/>
        </w:rPr>
        <w:t>第九条</w:t>
      </w:r>
      <w:r>
        <w:rPr>
          <w:rFonts w:hint="eastAsia" w:ascii="宋体" w:hAnsi="宋体"/>
          <w:sz w:val="24"/>
          <w:szCs w:val="24"/>
        </w:rPr>
        <w:t xml:space="preserve">  监理单位在责任期内，因自身原因造成建设单位经济损失的，应向建设单位赔偿所有经济损失，包括直接损失和间接损失。具体责任条款详见本部分</w:t>
      </w:r>
      <w:r>
        <w:rPr>
          <w:rFonts w:hint="eastAsia" w:ascii="宋体" w:hAnsi="宋体"/>
          <w:b/>
          <w:sz w:val="24"/>
          <w:szCs w:val="24"/>
          <w:u w:val="single"/>
        </w:rPr>
        <w:t>第二十二条至第三十七条</w:t>
      </w:r>
      <w:r>
        <w:rPr>
          <w:rFonts w:hint="eastAsia" w:ascii="宋体" w:hAnsi="宋体"/>
          <w:sz w:val="24"/>
          <w:szCs w:val="24"/>
        </w:rPr>
        <w:t>。</w:t>
      </w:r>
    </w:p>
    <w:p w14:paraId="7B6DE6CD">
      <w:pPr>
        <w:spacing w:line="360" w:lineRule="auto"/>
        <w:ind w:firstLine="482" w:firstLineChars="200"/>
        <w:rPr>
          <w:rFonts w:ascii="宋体" w:hAnsi="宋体"/>
          <w:sz w:val="24"/>
          <w:szCs w:val="24"/>
        </w:rPr>
      </w:pPr>
      <w:r>
        <w:rPr>
          <w:rFonts w:hint="eastAsia" w:ascii="宋体" w:hAnsi="宋体"/>
          <w:b/>
          <w:sz w:val="24"/>
          <w:szCs w:val="24"/>
        </w:rPr>
        <w:t xml:space="preserve">第十条 </w:t>
      </w:r>
      <w:r>
        <w:rPr>
          <w:rFonts w:hint="eastAsia" w:ascii="宋体" w:hAnsi="宋体"/>
          <w:sz w:val="24"/>
          <w:szCs w:val="24"/>
        </w:rPr>
        <w:t xml:space="preserve">  监理单位对承包人违反合同规定的质量要求和完工时限，应承担相应责任；承包人对质量和工期的违约，即视为监理单位对本施工监理合同的违约。</w:t>
      </w:r>
    </w:p>
    <w:p w14:paraId="17F440FB">
      <w:pPr>
        <w:spacing w:line="360" w:lineRule="auto"/>
        <w:ind w:firstLine="482" w:firstLineChars="200"/>
        <w:rPr>
          <w:rFonts w:ascii="宋体" w:hAnsi="宋体"/>
          <w:sz w:val="24"/>
          <w:szCs w:val="24"/>
        </w:rPr>
      </w:pPr>
      <w:r>
        <w:rPr>
          <w:rFonts w:hint="eastAsia" w:ascii="宋体" w:hAnsi="宋体"/>
          <w:b/>
          <w:sz w:val="24"/>
          <w:szCs w:val="24"/>
        </w:rPr>
        <w:t>第十一条</w:t>
      </w:r>
      <w:r>
        <w:rPr>
          <w:rFonts w:hint="eastAsia" w:ascii="宋体" w:hAnsi="宋体"/>
          <w:sz w:val="24"/>
          <w:szCs w:val="24"/>
        </w:rPr>
        <w:t xml:space="preserve">  为保证建设项目有序、规范和顺利进行，监理单位必须主动支持建设管理单位工作，中标后立即介入工作（包括项目前期），对建设管理单位的指令，若无正当理由又未提前报告并得到认可，而拒不执行，按监理单位严重违约处理，建设单位有权解除合同，同时，监理单位承担建设单位由此造成的一切经济损失。</w:t>
      </w:r>
    </w:p>
    <w:p w14:paraId="2DEBEE73">
      <w:pPr>
        <w:spacing w:line="360" w:lineRule="auto"/>
        <w:ind w:firstLine="482" w:firstLineChars="200"/>
        <w:rPr>
          <w:rFonts w:ascii="宋体" w:hAnsi="宋体"/>
          <w:sz w:val="24"/>
          <w:szCs w:val="24"/>
        </w:rPr>
      </w:pPr>
      <w:r>
        <w:rPr>
          <w:rFonts w:hint="eastAsia" w:ascii="宋体" w:hAnsi="宋体"/>
          <w:b/>
          <w:sz w:val="24"/>
          <w:szCs w:val="24"/>
        </w:rPr>
        <w:t>第十二条</w:t>
      </w:r>
      <w:r>
        <w:rPr>
          <w:rFonts w:hint="eastAsia" w:ascii="宋体" w:hAnsi="宋体"/>
          <w:sz w:val="24"/>
          <w:szCs w:val="24"/>
        </w:rPr>
        <w:t xml:space="preserve">  就监理单位书面提交并要求作出决定的一切事宜建设管理单位应在2日内作出书面决定。若因建设管理单位未履行该约定而导致本工程产生的一切不良后果，其责任由建设管理单位承担。</w:t>
      </w:r>
    </w:p>
    <w:p w14:paraId="58A14797">
      <w:pPr>
        <w:spacing w:line="360" w:lineRule="auto"/>
        <w:ind w:firstLine="482" w:firstLineChars="200"/>
        <w:rPr>
          <w:rFonts w:ascii="宋体" w:hAnsi="宋体"/>
          <w:sz w:val="24"/>
          <w:szCs w:val="24"/>
        </w:rPr>
      </w:pPr>
      <w:r>
        <w:rPr>
          <w:rFonts w:hint="eastAsia" w:ascii="宋体" w:hAnsi="宋体"/>
          <w:b/>
          <w:sz w:val="24"/>
          <w:szCs w:val="24"/>
        </w:rPr>
        <w:t>第十三条</w:t>
      </w:r>
      <w:r>
        <w:rPr>
          <w:rFonts w:hint="eastAsia" w:ascii="宋体" w:hAnsi="宋体"/>
          <w:sz w:val="24"/>
          <w:szCs w:val="24"/>
        </w:rPr>
        <w:t xml:space="preserve">  本合同自三方签字盖章之日起生效。监理服务期自监理单位收到中标通知书或接到建设单位进场通知之日起，至本项目工程保修期结束且工程结算经终审部门审定之日止，本合同即终止。</w:t>
      </w:r>
    </w:p>
    <w:p w14:paraId="3024015F">
      <w:pPr>
        <w:spacing w:line="360" w:lineRule="auto"/>
        <w:ind w:firstLine="482" w:firstLineChars="200"/>
        <w:rPr>
          <w:rFonts w:ascii="宋体" w:hAnsi="宋体"/>
          <w:sz w:val="24"/>
          <w:szCs w:val="24"/>
        </w:rPr>
      </w:pPr>
      <w:bookmarkStart w:id="7" w:name="OLE_LINK1"/>
      <w:r>
        <w:rPr>
          <w:rFonts w:hint="eastAsia" w:ascii="宋体" w:hAnsi="宋体"/>
          <w:b/>
          <w:bCs/>
          <w:sz w:val="24"/>
          <w:szCs w:val="24"/>
        </w:rPr>
        <w:t>第十四条</w:t>
      </w:r>
      <w:r>
        <w:rPr>
          <w:rFonts w:hint="eastAsia" w:ascii="宋体" w:hAnsi="宋体"/>
          <w:sz w:val="24"/>
          <w:szCs w:val="24"/>
        </w:rPr>
        <w:t>　监理报酬的计算方式与支付</w:t>
      </w:r>
    </w:p>
    <w:p w14:paraId="3673A866">
      <w:pPr>
        <w:numPr>
          <w:ilvl w:val="1"/>
          <w:numId w:val="5"/>
        </w:numPr>
        <w:tabs>
          <w:tab w:val="left" w:pos="851"/>
        </w:tabs>
        <w:adjustRightInd/>
        <w:spacing w:line="360" w:lineRule="auto"/>
        <w:rPr>
          <w:rFonts w:ascii="宋体" w:hAnsi="宋体"/>
          <w:b/>
          <w:bCs/>
          <w:sz w:val="24"/>
          <w:szCs w:val="24"/>
        </w:rPr>
      </w:pPr>
      <w:r>
        <w:rPr>
          <w:rFonts w:hint="eastAsia" w:ascii="宋体" w:hAnsi="宋体"/>
          <w:b/>
          <w:bCs/>
          <w:sz w:val="24"/>
          <w:szCs w:val="24"/>
        </w:rPr>
        <w:t>施工监理费为含税建筑面积综合单价包干，建筑面积按《建设工程规划许可证》的建筑面积计算；当规划验收面积小于《建设工程规划许可证》面积的，按照实际规划验收面积结算。合同价为</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rPr>
        <w:t>万元，下浮率为</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single"/>
        </w:rPr>
        <w:t xml:space="preserve"> </w:t>
      </w:r>
      <w:r>
        <w:rPr>
          <w:rFonts w:hint="eastAsia" w:ascii="宋体" w:hAnsi="宋体"/>
          <w:b/>
          <w:bCs/>
          <w:sz w:val="24"/>
          <w:szCs w:val="24"/>
        </w:rPr>
        <w:t>%。下浮率计算公式为：【1-（投标价</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single"/>
        </w:rPr>
        <w:t xml:space="preserve"> </w:t>
      </w:r>
      <w:r>
        <w:rPr>
          <w:rFonts w:hint="eastAsia" w:ascii="宋体" w:hAnsi="宋体"/>
          <w:b/>
          <w:bCs/>
          <w:sz w:val="24"/>
          <w:szCs w:val="24"/>
        </w:rPr>
        <w:t>万元÷控制价</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rPr>
        <w:t>）】×100%。</w:t>
      </w:r>
    </w:p>
    <w:p w14:paraId="7238FA7C">
      <w:pPr>
        <w:numPr>
          <w:ilvl w:val="1"/>
          <w:numId w:val="5"/>
        </w:numPr>
        <w:tabs>
          <w:tab w:val="left" w:pos="851"/>
        </w:tabs>
        <w:adjustRightInd/>
        <w:spacing w:line="360" w:lineRule="auto"/>
        <w:ind w:firstLine="480"/>
        <w:rPr>
          <w:rFonts w:ascii="宋体" w:hAnsi="宋体"/>
          <w:b/>
          <w:bCs/>
          <w:sz w:val="24"/>
          <w:szCs w:val="24"/>
        </w:rPr>
      </w:pPr>
      <w:r>
        <w:rPr>
          <w:rFonts w:hint="eastAsia" w:ascii="宋体" w:hAnsi="宋体"/>
          <w:b/>
          <w:bCs/>
          <w:sz w:val="24"/>
          <w:szCs w:val="24"/>
        </w:rPr>
        <w:t>付款节点、比例及金额，如下表：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2790"/>
        <w:gridCol w:w="1158"/>
        <w:gridCol w:w="1352"/>
        <w:gridCol w:w="1601"/>
      </w:tblGrid>
      <w:tr w14:paraId="2444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3" w:type="dxa"/>
            <w:vAlign w:val="center"/>
          </w:tcPr>
          <w:p w14:paraId="03399B9A">
            <w:pPr>
              <w:pStyle w:val="117"/>
              <w:tabs>
                <w:tab w:val="left" w:pos="1260"/>
              </w:tabs>
              <w:ind w:firstLine="0"/>
              <w:jc w:val="center"/>
              <w:rPr>
                <w:rFonts w:ascii="宋体" w:hAnsi="宋体"/>
                <w:b/>
                <w:bCs/>
                <w:sz w:val="21"/>
                <w:szCs w:val="21"/>
              </w:rPr>
            </w:pPr>
            <w:r>
              <w:rPr>
                <w:rFonts w:hint="eastAsia" w:ascii="宋体" w:hAnsi="宋体"/>
                <w:b/>
                <w:bCs/>
                <w:sz w:val="21"/>
                <w:szCs w:val="21"/>
              </w:rPr>
              <w:t>支付次数</w:t>
            </w:r>
          </w:p>
        </w:tc>
        <w:tc>
          <w:tcPr>
            <w:tcW w:w="2790" w:type="dxa"/>
            <w:vAlign w:val="center"/>
          </w:tcPr>
          <w:p w14:paraId="722A11D8">
            <w:pPr>
              <w:pStyle w:val="117"/>
              <w:tabs>
                <w:tab w:val="left" w:pos="1260"/>
              </w:tabs>
              <w:ind w:firstLine="0"/>
              <w:jc w:val="center"/>
              <w:rPr>
                <w:rFonts w:ascii="宋体" w:hAnsi="宋体"/>
                <w:b/>
                <w:bCs/>
                <w:sz w:val="21"/>
                <w:szCs w:val="21"/>
              </w:rPr>
            </w:pPr>
            <w:r>
              <w:rPr>
                <w:rFonts w:hint="eastAsia" w:ascii="宋体" w:hAnsi="宋体" w:cs="仿宋"/>
                <w:b/>
                <w:bCs/>
                <w:sz w:val="21"/>
                <w:szCs w:val="21"/>
              </w:rPr>
              <w:t>支付时间</w:t>
            </w:r>
          </w:p>
        </w:tc>
        <w:tc>
          <w:tcPr>
            <w:tcW w:w="1158" w:type="dxa"/>
            <w:vAlign w:val="center"/>
          </w:tcPr>
          <w:p w14:paraId="7EB8041F">
            <w:pPr>
              <w:pStyle w:val="55"/>
              <w:tabs>
                <w:tab w:val="left" w:pos="0"/>
              </w:tabs>
              <w:spacing w:line="240" w:lineRule="auto"/>
              <w:ind w:firstLine="0" w:firstLineChars="0"/>
              <w:jc w:val="center"/>
              <w:rPr>
                <w:b/>
                <w:bCs/>
                <w:sz w:val="21"/>
                <w:szCs w:val="21"/>
              </w:rPr>
            </w:pPr>
            <w:r>
              <w:rPr>
                <w:rFonts w:hint="eastAsia" w:cs="仿宋"/>
                <w:b/>
                <w:bCs/>
                <w:sz w:val="21"/>
                <w:szCs w:val="21"/>
              </w:rPr>
              <w:t>当次</w:t>
            </w:r>
          </w:p>
          <w:p w14:paraId="0CEF8F48">
            <w:pPr>
              <w:pStyle w:val="117"/>
              <w:tabs>
                <w:tab w:val="left" w:pos="1260"/>
              </w:tabs>
              <w:ind w:firstLine="0"/>
              <w:jc w:val="center"/>
              <w:rPr>
                <w:rFonts w:ascii="宋体" w:hAnsi="宋体"/>
                <w:b/>
                <w:bCs/>
                <w:sz w:val="21"/>
                <w:szCs w:val="21"/>
              </w:rPr>
            </w:pPr>
            <w:r>
              <w:rPr>
                <w:rFonts w:hint="eastAsia" w:ascii="宋体" w:hAnsi="宋体" w:cs="仿宋"/>
                <w:b/>
                <w:bCs/>
                <w:sz w:val="21"/>
                <w:szCs w:val="21"/>
              </w:rPr>
              <w:t>支付比例</w:t>
            </w:r>
          </w:p>
        </w:tc>
        <w:tc>
          <w:tcPr>
            <w:tcW w:w="1352" w:type="dxa"/>
            <w:vAlign w:val="center"/>
          </w:tcPr>
          <w:p w14:paraId="50411437">
            <w:pPr>
              <w:pStyle w:val="55"/>
              <w:tabs>
                <w:tab w:val="left" w:pos="0"/>
              </w:tabs>
              <w:spacing w:line="240" w:lineRule="auto"/>
              <w:ind w:firstLine="0" w:firstLineChars="0"/>
              <w:jc w:val="center"/>
              <w:rPr>
                <w:b/>
                <w:bCs/>
                <w:sz w:val="21"/>
                <w:szCs w:val="21"/>
              </w:rPr>
            </w:pPr>
            <w:r>
              <w:rPr>
                <w:rFonts w:hint="eastAsia" w:cs="仿宋"/>
                <w:b/>
                <w:bCs/>
                <w:sz w:val="21"/>
                <w:szCs w:val="21"/>
              </w:rPr>
              <w:t>累计</w:t>
            </w:r>
          </w:p>
          <w:p w14:paraId="1F4E343A">
            <w:pPr>
              <w:pStyle w:val="117"/>
              <w:tabs>
                <w:tab w:val="left" w:pos="1260"/>
              </w:tabs>
              <w:ind w:firstLine="0"/>
              <w:jc w:val="center"/>
              <w:rPr>
                <w:rFonts w:ascii="宋体" w:hAnsi="宋体"/>
                <w:b/>
                <w:bCs/>
                <w:sz w:val="21"/>
                <w:szCs w:val="21"/>
              </w:rPr>
            </w:pPr>
            <w:r>
              <w:rPr>
                <w:rFonts w:hint="eastAsia" w:ascii="宋体" w:hAnsi="宋体" w:cs="仿宋"/>
                <w:b/>
                <w:bCs/>
                <w:sz w:val="21"/>
                <w:szCs w:val="21"/>
              </w:rPr>
              <w:t>支付比例</w:t>
            </w:r>
          </w:p>
        </w:tc>
        <w:tc>
          <w:tcPr>
            <w:tcW w:w="1601" w:type="dxa"/>
            <w:vAlign w:val="center"/>
          </w:tcPr>
          <w:p w14:paraId="0B44503F">
            <w:pPr>
              <w:pStyle w:val="55"/>
              <w:tabs>
                <w:tab w:val="left" w:pos="0"/>
              </w:tabs>
              <w:spacing w:line="240" w:lineRule="auto"/>
              <w:ind w:firstLine="0" w:firstLineChars="0"/>
              <w:jc w:val="center"/>
              <w:rPr>
                <w:b/>
                <w:bCs/>
                <w:sz w:val="21"/>
                <w:szCs w:val="21"/>
              </w:rPr>
            </w:pPr>
            <w:r>
              <w:rPr>
                <w:rFonts w:hint="eastAsia" w:cs="仿宋"/>
                <w:b/>
                <w:bCs/>
                <w:sz w:val="21"/>
                <w:szCs w:val="21"/>
              </w:rPr>
              <w:t>支付金额</w:t>
            </w:r>
          </w:p>
          <w:p w14:paraId="3E0FE724">
            <w:pPr>
              <w:pStyle w:val="55"/>
              <w:tabs>
                <w:tab w:val="left" w:pos="0"/>
              </w:tabs>
              <w:spacing w:line="240" w:lineRule="auto"/>
              <w:ind w:firstLine="0" w:firstLineChars="0"/>
              <w:jc w:val="center"/>
              <w:rPr>
                <w:rFonts w:cs="仿宋"/>
                <w:b/>
                <w:bCs/>
                <w:sz w:val="21"/>
                <w:szCs w:val="21"/>
              </w:rPr>
            </w:pPr>
            <w:r>
              <w:rPr>
                <w:rFonts w:hint="eastAsia" w:cs="仿宋"/>
                <w:b/>
                <w:bCs/>
                <w:sz w:val="21"/>
                <w:szCs w:val="21"/>
              </w:rPr>
              <w:t>（万元）</w:t>
            </w:r>
          </w:p>
        </w:tc>
      </w:tr>
      <w:tr w14:paraId="605B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14:paraId="7539A93D">
            <w:pPr>
              <w:pStyle w:val="55"/>
              <w:tabs>
                <w:tab w:val="left" w:pos="0"/>
              </w:tabs>
              <w:spacing w:line="240" w:lineRule="auto"/>
              <w:ind w:firstLine="0" w:firstLineChars="0"/>
              <w:jc w:val="center"/>
              <w:rPr>
                <w:rFonts w:cs="仿宋"/>
                <w:b/>
                <w:bCs/>
                <w:sz w:val="21"/>
                <w:szCs w:val="21"/>
              </w:rPr>
            </w:pPr>
            <w:r>
              <w:rPr>
                <w:rFonts w:hint="eastAsia" w:cs="仿宋"/>
                <w:b/>
                <w:bCs/>
                <w:sz w:val="21"/>
                <w:szCs w:val="21"/>
              </w:rPr>
              <w:t>第一次付款</w:t>
            </w:r>
          </w:p>
        </w:tc>
        <w:tc>
          <w:tcPr>
            <w:tcW w:w="2790" w:type="dxa"/>
            <w:vAlign w:val="center"/>
          </w:tcPr>
          <w:p w14:paraId="390DCF74">
            <w:pPr>
              <w:pStyle w:val="117"/>
              <w:tabs>
                <w:tab w:val="left" w:pos="1260"/>
              </w:tabs>
              <w:ind w:firstLine="0"/>
              <w:jc w:val="center"/>
              <w:rPr>
                <w:rFonts w:ascii="宋体" w:hAnsi="宋体"/>
                <w:b/>
                <w:bCs/>
                <w:sz w:val="21"/>
                <w:szCs w:val="21"/>
              </w:rPr>
            </w:pPr>
            <w:r>
              <w:rPr>
                <w:rFonts w:hint="eastAsia" w:ascii="宋体" w:hAnsi="宋体"/>
                <w:b/>
                <w:bCs/>
                <w:sz w:val="21"/>
                <w:szCs w:val="21"/>
              </w:rPr>
              <w:t>合同生效后</w:t>
            </w:r>
          </w:p>
        </w:tc>
        <w:tc>
          <w:tcPr>
            <w:tcW w:w="1158" w:type="dxa"/>
            <w:vAlign w:val="center"/>
          </w:tcPr>
          <w:p w14:paraId="5CF67339">
            <w:pPr>
              <w:pStyle w:val="117"/>
              <w:tabs>
                <w:tab w:val="left" w:pos="1260"/>
              </w:tabs>
              <w:ind w:firstLine="0"/>
              <w:jc w:val="center"/>
              <w:rPr>
                <w:rFonts w:ascii="宋体" w:hAnsi="宋体"/>
                <w:b/>
                <w:bCs/>
                <w:sz w:val="21"/>
                <w:szCs w:val="21"/>
              </w:rPr>
            </w:pPr>
            <w:r>
              <w:rPr>
                <w:rFonts w:hint="eastAsia" w:ascii="宋体" w:hAnsi="宋体"/>
                <w:b/>
                <w:bCs/>
                <w:sz w:val="21"/>
                <w:szCs w:val="21"/>
              </w:rPr>
              <w:t>10%</w:t>
            </w:r>
          </w:p>
        </w:tc>
        <w:tc>
          <w:tcPr>
            <w:tcW w:w="1352" w:type="dxa"/>
            <w:vAlign w:val="center"/>
          </w:tcPr>
          <w:p w14:paraId="54DD2BCE">
            <w:pPr>
              <w:pStyle w:val="117"/>
              <w:tabs>
                <w:tab w:val="left" w:pos="1260"/>
              </w:tabs>
              <w:ind w:firstLine="0"/>
              <w:jc w:val="center"/>
              <w:rPr>
                <w:rFonts w:ascii="宋体" w:hAnsi="宋体"/>
                <w:b/>
                <w:bCs/>
                <w:sz w:val="21"/>
                <w:szCs w:val="21"/>
              </w:rPr>
            </w:pPr>
            <w:r>
              <w:rPr>
                <w:rFonts w:hint="eastAsia" w:ascii="宋体" w:hAnsi="宋体"/>
                <w:b/>
                <w:bCs/>
                <w:sz w:val="21"/>
                <w:szCs w:val="21"/>
              </w:rPr>
              <w:t>10%</w:t>
            </w:r>
          </w:p>
        </w:tc>
        <w:tc>
          <w:tcPr>
            <w:tcW w:w="1601" w:type="dxa"/>
            <w:vAlign w:val="center"/>
          </w:tcPr>
          <w:p w14:paraId="6D945F38">
            <w:pPr>
              <w:pStyle w:val="117"/>
              <w:tabs>
                <w:tab w:val="left" w:pos="1260"/>
              </w:tabs>
              <w:ind w:firstLine="0"/>
              <w:jc w:val="center"/>
              <w:rPr>
                <w:rFonts w:ascii="宋体" w:hAnsi="宋体"/>
                <w:b/>
                <w:bCs/>
                <w:sz w:val="21"/>
                <w:szCs w:val="21"/>
              </w:rPr>
            </w:pPr>
          </w:p>
        </w:tc>
      </w:tr>
      <w:tr w14:paraId="5F0D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14:paraId="0F38CBDB">
            <w:pPr>
              <w:pStyle w:val="55"/>
              <w:tabs>
                <w:tab w:val="left" w:pos="0"/>
              </w:tabs>
              <w:spacing w:line="240" w:lineRule="auto"/>
              <w:ind w:firstLine="0" w:firstLineChars="0"/>
              <w:jc w:val="center"/>
              <w:rPr>
                <w:b/>
                <w:bCs/>
                <w:sz w:val="21"/>
                <w:szCs w:val="21"/>
              </w:rPr>
            </w:pPr>
            <w:r>
              <w:rPr>
                <w:rFonts w:hint="eastAsia" w:cs="仿宋"/>
                <w:b/>
                <w:bCs/>
                <w:sz w:val="21"/>
                <w:szCs w:val="21"/>
              </w:rPr>
              <w:t>第二次付款</w:t>
            </w:r>
          </w:p>
        </w:tc>
        <w:tc>
          <w:tcPr>
            <w:tcW w:w="2790" w:type="dxa"/>
            <w:vAlign w:val="center"/>
          </w:tcPr>
          <w:p w14:paraId="00043DB6">
            <w:pPr>
              <w:pStyle w:val="117"/>
              <w:tabs>
                <w:tab w:val="left" w:pos="1260"/>
              </w:tabs>
              <w:ind w:firstLine="0"/>
              <w:jc w:val="center"/>
              <w:rPr>
                <w:rFonts w:ascii="宋体" w:hAnsi="宋体"/>
                <w:b/>
                <w:bCs/>
                <w:sz w:val="21"/>
                <w:szCs w:val="21"/>
              </w:rPr>
            </w:pPr>
            <w:r>
              <w:rPr>
                <w:rFonts w:hint="eastAsia" w:ascii="宋体" w:hAnsi="宋体"/>
                <w:b/>
                <w:bCs/>
                <w:sz w:val="21"/>
                <w:szCs w:val="21"/>
              </w:rPr>
              <w:t>基础工程验收合格</w:t>
            </w:r>
          </w:p>
        </w:tc>
        <w:tc>
          <w:tcPr>
            <w:tcW w:w="1158" w:type="dxa"/>
            <w:vAlign w:val="center"/>
          </w:tcPr>
          <w:p w14:paraId="1C5C7FE6">
            <w:pPr>
              <w:pStyle w:val="117"/>
              <w:tabs>
                <w:tab w:val="left" w:pos="1260"/>
              </w:tabs>
              <w:ind w:firstLine="0"/>
              <w:jc w:val="center"/>
              <w:rPr>
                <w:rFonts w:ascii="宋体" w:hAnsi="宋体"/>
                <w:b/>
                <w:bCs/>
                <w:sz w:val="21"/>
                <w:szCs w:val="21"/>
              </w:rPr>
            </w:pPr>
            <w:r>
              <w:rPr>
                <w:rFonts w:hint="eastAsia" w:ascii="宋体" w:hAnsi="宋体"/>
                <w:b/>
                <w:bCs/>
                <w:sz w:val="21"/>
                <w:szCs w:val="21"/>
              </w:rPr>
              <w:t>10%</w:t>
            </w:r>
          </w:p>
        </w:tc>
        <w:tc>
          <w:tcPr>
            <w:tcW w:w="1352" w:type="dxa"/>
            <w:vAlign w:val="center"/>
          </w:tcPr>
          <w:p w14:paraId="0B088F1C">
            <w:pPr>
              <w:pStyle w:val="117"/>
              <w:tabs>
                <w:tab w:val="left" w:pos="1260"/>
              </w:tabs>
              <w:ind w:firstLine="0"/>
              <w:jc w:val="center"/>
              <w:rPr>
                <w:rFonts w:ascii="宋体" w:hAnsi="宋体"/>
                <w:b/>
                <w:bCs/>
                <w:sz w:val="21"/>
                <w:szCs w:val="21"/>
              </w:rPr>
            </w:pPr>
            <w:r>
              <w:rPr>
                <w:rFonts w:hint="eastAsia" w:ascii="宋体" w:hAnsi="宋体"/>
                <w:b/>
                <w:bCs/>
                <w:sz w:val="21"/>
                <w:szCs w:val="21"/>
              </w:rPr>
              <w:t>20%</w:t>
            </w:r>
          </w:p>
        </w:tc>
        <w:tc>
          <w:tcPr>
            <w:tcW w:w="1601" w:type="dxa"/>
            <w:vAlign w:val="center"/>
          </w:tcPr>
          <w:p w14:paraId="70A3B5EC">
            <w:pPr>
              <w:pStyle w:val="117"/>
              <w:tabs>
                <w:tab w:val="left" w:pos="1260"/>
              </w:tabs>
              <w:ind w:firstLine="0"/>
              <w:jc w:val="center"/>
              <w:rPr>
                <w:rFonts w:ascii="宋体" w:hAnsi="宋体"/>
                <w:b/>
                <w:bCs/>
                <w:sz w:val="21"/>
                <w:szCs w:val="21"/>
              </w:rPr>
            </w:pPr>
          </w:p>
        </w:tc>
      </w:tr>
      <w:tr w14:paraId="56F9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14:paraId="7576C00C">
            <w:pPr>
              <w:pStyle w:val="55"/>
              <w:tabs>
                <w:tab w:val="left" w:pos="0"/>
              </w:tabs>
              <w:spacing w:line="240" w:lineRule="auto"/>
              <w:ind w:firstLine="0" w:firstLineChars="0"/>
              <w:jc w:val="center"/>
              <w:rPr>
                <w:b/>
                <w:bCs/>
                <w:sz w:val="21"/>
                <w:szCs w:val="21"/>
              </w:rPr>
            </w:pPr>
            <w:r>
              <w:rPr>
                <w:rFonts w:hint="eastAsia" w:cs="仿宋"/>
                <w:b/>
                <w:bCs/>
                <w:sz w:val="21"/>
                <w:szCs w:val="21"/>
              </w:rPr>
              <w:t>第三次付款</w:t>
            </w:r>
          </w:p>
        </w:tc>
        <w:tc>
          <w:tcPr>
            <w:tcW w:w="2790" w:type="dxa"/>
            <w:vAlign w:val="center"/>
          </w:tcPr>
          <w:p w14:paraId="656C9D54">
            <w:pPr>
              <w:pStyle w:val="117"/>
              <w:tabs>
                <w:tab w:val="left" w:pos="1260"/>
              </w:tabs>
              <w:ind w:firstLine="0"/>
              <w:jc w:val="center"/>
              <w:rPr>
                <w:rFonts w:ascii="宋体" w:hAnsi="宋体"/>
                <w:b/>
                <w:bCs/>
                <w:sz w:val="21"/>
                <w:szCs w:val="21"/>
              </w:rPr>
            </w:pPr>
            <w:r>
              <w:rPr>
                <w:rFonts w:hint="eastAsia" w:ascii="宋体" w:hAnsi="宋体"/>
                <w:b/>
                <w:bCs/>
                <w:sz w:val="21"/>
                <w:szCs w:val="21"/>
              </w:rPr>
              <w:t>主体达到正负零</w:t>
            </w:r>
          </w:p>
        </w:tc>
        <w:tc>
          <w:tcPr>
            <w:tcW w:w="1158" w:type="dxa"/>
            <w:vAlign w:val="center"/>
          </w:tcPr>
          <w:p w14:paraId="09DB2EB3">
            <w:pPr>
              <w:pStyle w:val="117"/>
              <w:tabs>
                <w:tab w:val="left" w:pos="1260"/>
              </w:tabs>
              <w:ind w:firstLine="0"/>
              <w:jc w:val="center"/>
              <w:rPr>
                <w:rFonts w:ascii="宋体" w:hAnsi="宋体"/>
                <w:b/>
                <w:bCs/>
                <w:sz w:val="21"/>
                <w:szCs w:val="21"/>
              </w:rPr>
            </w:pPr>
            <w:r>
              <w:rPr>
                <w:rFonts w:hint="eastAsia" w:ascii="宋体" w:hAnsi="宋体"/>
                <w:b/>
                <w:bCs/>
                <w:sz w:val="21"/>
                <w:szCs w:val="21"/>
              </w:rPr>
              <w:t>10%</w:t>
            </w:r>
          </w:p>
        </w:tc>
        <w:tc>
          <w:tcPr>
            <w:tcW w:w="1352" w:type="dxa"/>
            <w:vAlign w:val="center"/>
          </w:tcPr>
          <w:p w14:paraId="69200E09">
            <w:pPr>
              <w:pStyle w:val="117"/>
              <w:tabs>
                <w:tab w:val="left" w:pos="1260"/>
              </w:tabs>
              <w:ind w:firstLine="0"/>
              <w:jc w:val="center"/>
              <w:rPr>
                <w:rFonts w:ascii="宋体" w:hAnsi="宋体"/>
                <w:b/>
                <w:bCs/>
                <w:sz w:val="21"/>
                <w:szCs w:val="21"/>
              </w:rPr>
            </w:pPr>
            <w:r>
              <w:rPr>
                <w:rFonts w:hint="eastAsia" w:ascii="宋体" w:hAnsi="宋体"/>
                <w:b/>
                <w:bCs/>
                <w:sz w:val="21"/>
                <w:szCs w:val="21"/>
              </w:rPr>
              <w:t>30%</w:t>
            </w:r>
          </w:p>
        </w:tc>
        <w:tc>
          <w:tcPr>
            <w:tcW w:w="1601" w:type="dxa"/>
            <w:vAlign w:val="center"/>
          </w:tcPr>
          <w:p w14:paraId="3DD3F21E">
            <w:pPr>
              <w:pStyle w:val="117"/>
              <w:tabs>
                <w:tab w:val="left" w:pos="1260"/>
              </w:tabs>
              <w:ind w:firstLine="0"/>
              <w:jc w:val="center"/>
              <w:rPr>
                <w:rFonts w:ascii="宋体" w:hAnsi="宋体"/>
                <w:b/>
                <w:bCs/>
                <w:sz w:val="21"/>
                <w:szCs w:val="21"/>
              </w:rPr>
            </w:pPr>
          </w:p>
        </w:tc>
      </w:tr>
      <w:tr w14:paraId="07EA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83" w:type="dxa"/>
            <w:vAlign w:val="center"/>
          </w:tcPr>
          <w:p w14:paraId="5991E093">
            <w:pPr>
              <w:pStyle w:val="55"/>
              <w:tabs>
                <w:tab w:val="left" w:pos="0"/>
              </w:tabs>
              <w:spacing w:line="240" w:lineRule="auto"/>
              <w:ind w:firstLine="0" w:firstLineChars="0"/>
              <w:jc w:val="center"/>
              <w:rPr>
                <w:rFonts w:cs="仿宋"/>
                <w:b/>
                <w:bCs/>
                <w:sz w:val="21"/>
                <w:szCs w:val="21"/>
              </w:rPr>
            </w:pPr>
            <w:r>
              <w:rPr>
                <w:rFonts w:hint="eastAsia" w:cs="仿宋"/>
                <w:b/>
                <w:bCs/>
                <w:sz w:val="21"/>
                <w:szCs w:val="21"/>
              </w:rPr>
              <w:t>第四次付款</w:t>
            </w:r>
          </w:p>
        </w:tc>
        <w:tc>
          <w:tcPr>
            <w:tcW w:w="2790" w:type="dxa"/>
            <w:vAlign w:val="center"/>
          </w:tcPr>
          <w:p w14:paraId="250752CB">
            <w:pPr>
              <w:pStyle w:val="117"/>
              <w:tabs>
                <w:tab w:val="left" w:pos="1260"/>
              </w:tabs>
              <w:ind w:firstLine="0"/>
              <w:jc w:val="center"/>
              <w:rPr>
                <w:rFonts w:ascii="宋体" w:hAnsi="宋体"/>
                <w:b/>
                <w:bCs/>
                <w:sz w:val="21"/>
                <w:szCs w:val="21"/>
              </w:rPr>
            </w:pPr>
            <w:r>
              <w:rPr>
                <w:rFonts w:hint="eastAsia" w:ascii="宋体" w:hAnsi="宋体"/>
                <w:b/>
                <w:bCs/>
                <w:sz w:val="21"/>
                <w:szCs w:val="21"/>
              </w:rPr>
              <w:t>主体结构封顶</w:t>
            </w:r>
          </w:p>
        </w:tc>
        <w:tc>
          <w:tcPr>
            <w:tcW w:w="1158" w:type="dxa"/>
            <w:vAlign w:val="center"/>
          </w:tcPr>
          <w:p w14:paraId="34A230D7">
            <w:pPr>
              <w:pStyle w:val="117"/>
              <w:tabs>
                <w:tab w:val="left" w:pos="1260"/>
              </w:tabs>
              <w:ind w:firstLine="0"/>
              <w:jc w:val="center"/>
              <w:rPr>
                <w:rFonts w:ascii="宋体" w:hAnsi="宋体"/>
                <w:b/>
                <w:bCs/>
                <w:sz w:val="21"/>
                <w:szCs w:val="21"/>
              </w:rPr>
            </w:pPr>
            <w:r>
              <w:rPr>
                <w:rFonts w:hint="eastAsia" w:ascii="宋体" w:hAnsi="宋体"/>
                <w:b/>
                <w:bCs/>
                <w:sz w:val="21"/>
                <w:szCs w:val="21"/>
              </w:rPr>
              <w:t>15%</w:t>
            </w:r>
          </w:p>
        </w:tc>
        <w:tc>
          <w:tcPr>
            <w:tcW w:w="1352" w:type="dxa"/>
            <w:vAlign w:val="center"/>
          </w:tcPr>
          <w:p w14:paraId="5A534C0B">
            <w:pPr>
              <w:pStyle w:val="117"/>
              <w:tabs>
                <w:tab w:val="left" w:pos="1260"/>
              </w:tabs>
              <w:ind w:firstLine="0"/>
              <w:jc w:val="center"/>
              <w:rPr>
                <w:rFonts w:ascii="宋体" w:hAnsi="宋体"/>
                <w:b/>
                <w:bCs/>
                <w:sz w:val="21"/>
                <w:szCs w:val="21"/>
              </w:rPr>
            </w:pPr>
            <w:r>
              <w:rPr>
                <w:rFonts w:hint="eastAsia" w:ascii="宋体" w:hAnsi="宋体"/>
                <w:b/>
                <w:bCs/>
                <w:sz w:val="21"/>
                <w:szCs w:val="21"/>
              </w:rPr>
              <w:t>45%</w:t>
            </w:r>
          </w:p>
        </w:tc>
        <w:tc>
          <w:tcPr>
            <w:tcW w:w="1601" w:type="dxa"/>
            <w:vAlign w:val="center"/>
          </w:tcPr>
          <w:p w14:paraId="49C310B0">
            <w:pPr>
              <w:pStyle w:val="117"/>
              <w:tabs>
                <w:tab w:val="left" w:pos="1260"/>
              </w:tabs>
              <w:ind w:firstLine="0"/>
              <w:jc w:val="center"/>
              <w:rPr>
                <w:rFonts w:ascii="宋体" w:hAnsi="宋体"/>
                <w:b/>
                <w:bCs/>
                <w:sz w:val="21"/>
                <w:szCs w:val="21"/>
              </w:rPr>
            </w:pPr>
          </w:p>
        </w:tc>
      </w:tr>
      <w:tr w14:paraId="6D40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83" w:type="dxa"/>
            <w:vAlign w:val="center"/>
          </w:tcPr>
          <w:p w14:paraId="168DDDDC">
            <w:pPr>
              <w:pStyle w:val="55"/>
              <w:tabs>
                <w:tab w:val="left" w:pos="0"/>
              </w:tabs>
              <w:spacing w:line="240" w:lineRule="auto"/>
              <w:ind w:firstLine="0" w:firstLineChars="0"/>
              <w:jc w:val="center"/>
              <w:rPr>
                <w:rFonts w:cs="仿宋"/>
                <w:b/>
                <w:bCs/>
                <w:sz w:val="21"/>
                <w:szCs w:val="21"/>
              </w:rPr>
            </w:pPr>
            <w:r>
              <w:rPr>
                <w:rFonts w:hint="eastAsia" w:cs="仿宋"/>
                <w:b/>
                <w:bCs/>
                <w:sz w:val="21"/>
                <w:szCs w:val="21"/>
              </w:rPr>
              <w:t>第五次付款</w:t>
            </w:r>
          </w:p>
        </w:tc>
        <w:tc>
          <w:tcPr>
            <w:tcW w:w="2790" w:type="dxa"/>
            <w:vAlign w:val="center"/>
          </w:tcPr>
          <w:p w14:paraId="1DABAE43">
            <w:pPr>
              <w:pStyle w:val="117"/>
              <w:tabs>
                <w:tab w:val="left" w:pos="1260"/>
              </w:tabs>
              <w:ind w:firstLine="0"/>
              <w:jc w:val="center"/>
              <w:rPr>
                <w:rFonts w:ascii="宋体" w:hAnsi="宋体"/>
                <w:b/>
                <w:bCs/>
                <w:sz w:val="21"/>
                <w:szCs w:val="21"/>
              </w:rPr>
            </w:pPr>
            <w:r>
              <w:rPr>
                <w:rFonts w:hint="eastAsia" w:ascii="宋体" w:hAnsi="宋体"/>
                <w:b/>
                <w:bCs/>
                <w:sz w:val="21"/>
                <w:szCs w:val="21"/>
              </w:rPr>
              <w:t>整体完工（取得质量验收合格证书）</w:t>
            </w:r>
          </w:p>
        </w:tc>
        <w:tc>
          <w:tcPr>
            <w:tcW w:w="1158" w:type="dxa"/>
            <w:vAlign w:val="center"/>
          </w:tcPr>
          <w:p w14:paraId="5F0F28D5">
            <w:pPr>
              <w:pStyle w:val="117"/>
              <w:tabs>
                <w:tab w:val="left" w:pos="1260"/>
              </w:tabs>
              <w:ind w:firstLine="0"/>
              <w:jc w:val="center"/>
              <w:rPr>
                <w:rFonts w:ascii="宋体" w:hAnsi="宋体"/>
                <w:b/>
                <w:bCs/>
                <w:sz w:val="21"/>
                <w:szCs w:val="21"/>
              </w:rPr>
            </w:pPr>
            <w:r>
              <w:rPr>
                <w:rFonts w:hint="eastAsia" w:ascii="宋体" w:hAnsi="宋体"/>
                <w:b/>
                <w:bCs/>
                <w:sz w:val="21"/>
                <w:szCs w:val="21"/>
              </w:rPr>
              <w:t>10%</w:t>
            </w:r>
          </w:p>
        </w:tc>
        <w:tc>
          <w:tcPr>
            <w:tcW w:w="1352" w:type="dxa"/>
            <w:vAlign w:val="center"/>
          </w:tcPr>
          <w:p w14:paraId="7EAAAB48">
            <w:pPr>
              <w:pStyle w:val="117"/>
              <w:tabs>
                <w:tab w:val="left" w:pos="1260"/>
              </w:tabs>
              <w:ind w:firstLine="0"/>
              <w:jc w:val="center"/>
              <w:rPr>
                <w:rFonts w:ascii="宋体" w:hAnsi="宋体"/>
                <w:b/>
                <w:bCs/>
                <w:sz w:val="21"/>
                <w:szCs w:val="21"/>
              </w:rPr>
            </w:pPr>
            <w:r>
              <w:rPr>
                <w:rFonts w:hint="eastAsia" w:ascii="宋体" w:hAnsi="宋体"/>
                <w:b/>
                <w:bCs/>
                <w:sz w:val="21"/>
                <w:szCs w:val="21"/>
              </w:rPr>
              <w:t>55%</w:t>
            </w:r>
          </w:p>
        </w:tc>
        <w:tc>
          <w:tcPr>
            <w:tcW w:w="1601" w:type="dxa"/>
            <w:vAlign w:val="center"/>
          </w:tcPr>
          <w:p w14:paraId="4E1B4AD2">
            <w:pPr>
              <w:pStyle w:val="117"/>
              <w:tabs>
                <w:tab w:val="left" w:pos="1260"/>
              </w:tabs>
              <w:ind w:firstLine="0"/>
              <w:jc w:val="center"/>
              <w:rPr>
                <w:rFonts w:ascii="宋体" w:hAnsi="宋体"/>
                <w:b/>
                <w:bCs/>
                <w:sz w:val="21"/>
                <w:szCs w:val="21"/>
              </w:rPr>
            </w:pPr>
          </w:p>
        </w:tc>
      </w:tr>
      <w:tr w14:paraId="2C0E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14:paraId="379DEE5B">
            <w:pPr>
              <w:pStyle w:val="117"/>
              <w:tabs>
                <w:tab w:val="left" w:pos="1260"/>
              </w:tabs>
              <w:ind w:firstLine="0"/>
              <w:jc w:val="center"/>
              <w:rPr>
                <w:rFonts w:ascii="宋体" w:hAnsi="宋体" w:cs="仿宋"/>
                <w:b/>
                <w:bCs/>
                <w:sz w:val="21"/>
                <w:szCs w:val="21"/>
              </w:rPr>
            </w:pPr>
            <w:r>
              <w:rPr>
                <w:rFonts w:hint="eastAsia" w:ascii="宋体" w:hAnsi="宋体" w:cs="仿宋"/>
                <w:b/>
                <w:bCs/>
                <w:sz w:val="21"/>
                <w:szCs w:val="21"/>
              </w:rPr>
              <w:t>第六次付款</w:t>
            </w:r>
          </w:p>
        </w:tc>
        <w:tc>
          <w:tcPr>
            <w:tcW w:w="2790" w:type="dxa"/>
            <w:vAlign w:val="center"/>
          </w:tcPr>
          <w:p w14:paraId="715E8F1E">
            <w:pPr>
              <w:pStyle w:val="117"/>
              <w:tabs>
                <w:tab w:val="left" w:pos="1260"/>
              </w:tabs>
              <w:ind w:firstLine="0"/>
              <w:jc w:val="center"/>
              <w:rPr>
                <w:rFonts w:ascii="宋体" w:hAnsi="宋体"/>
                <w:b/>
                <w:bCs/>
                <w:sz w:val="21"/>
                <w:szCs w:val="21"/>
              </w:rPr>
            </w:pPr>
            <w:r>
              <w:rPr>
                <w:rFonts w:hint="eastAsia" w:ascii="宋体" w:hAnsi="宋体"/>
                <w:b/>
                <w:bCs/>
                <w:sz w:val="21"/>
                <w:szCs w:val="21"/>
              </w:rPr>
              <w:t>取得联合验收竣工备案证明</w:t>
            </w:r>
          </w:p>
        </w:tc>
        <w:tc>
          <w:tcPr>
            <w:tcW w:w="1158" w:type="dxa"/>
            <w:vAlign w:val="center"/>
          </w:tcPr>
          <w:p w14:paraId="148296E1">
            <w:pPr>
              <w:pStyle w:val="117"/>
              <w:tabs>
                <w:tab w:val="left" w:pos="1260"/>
              </w:tabs>
              <w:ind w:firstLine="0"/>
              <w:jc w:val="center"/>
              <w:rPr>
                <w:rFonts w:ascii="宋体" w:hAnsi="宋体"/>
                <w:b/>
                <w:bCs/>
                <w:sz w:val="21"/>
                <w:szCs w:val="21"/>
              </w:rPr>
            </w:pPr>
            <w:r>
              <w:rPr>
                <w:rFonts w:hint="eastAsia" w:ascii="宋体" w:hAnsi="宋体"/>
                <w:b/>
                <w:bCs/>
                <w:sz w:val="21"/>
                <w:szCs w:val="21"/>
              </w:rPr>
              <w:t>25%</w:t>
            </w:r>
          </w:p>
        </w:tc>
        <w:tc>
          <w:tcPr>
            <w:tcW w:w="1352" w:type="dxa"/>
            <w:vAlign w:val="center"/>
          </w:tcPr>
          <w:p w14:paraId="654CE48A">
            <w:pPr>
              <w:pStyle w:val="117"/>
              <w:tabs>
                <w:tab w:val="left" w:pos="1260"/>
              </w:tabs>
              <w:ind w:firstLine="0"/>
              <w:jc w:val="center"/>
              <w:rPr>
                <w:rFonts w:ascii="宋体" w:hAnsi="宋体"/>
                <w:b/>
                <w:bCs/>
                <w:sz w:val="21"/>
                <w:szCs w:val="21"/>
              </w:rPr>
            </w:pPr>
            <w:r>
              <w:rPr>
                <w:rFonts w:hint="eastAsia" w:ascii="宋体" w:hAnsi="宋体"/>
                <w:b/>
                <w:bCs/>
                <w:sz w:val="21"/>
                <w:szCs w:val="21"/>
              </w:rPr>
              <w:t>80%</w:t>
            </w:r>
          </w:p>
        </w:tc>
        <w:tc>
          <w:tcPr>
            <w:tcW w:w="1601" w:type="dxa"/>
            <w:vAlign w:val="center"/>
          </w:tcPr>
          <w:p w14:paraId="006FC4B2">
            <w:pPr>
              <w:pStyle w:val="117"/>
              <w:tabs>
                <w:tab w:val="left" w:pos="1260"/>
              </w:tabs>
              <w:ind w:firstLine="0"/>
              <w:jc w:val="center"/>
              <w:rPr>
                <w:rFonts w:ascii="宋体" w:hAnsi="宋体"/>
                <w:b/>
                <w:bCs/>
                <w:sz w:val="21"/>
                <w:szCs w:val="21"/>
              </w:rPr>
            </w:pPr>
          </w:p>
        </w:tc>
      </w:tr>
      <w:tr w14:paraId="251F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14:paraId="471E309F">
            <w:pPr>
              <w:pStyle w:val="117"/>
              <w:tabs>
                <w:tab w:val="left" w:pos="1260"/>
              </w:tabs>
              <w:ind w:firstLine="0"/>
              <w:jc w:val="center"/>
              <w:rPr>
                <w:rFonts w:ascii="宋体" w:hAnsi="宋体" w:cs="仿宋"/>
                <w:b/>
                <w:bCs/>
                <w:sz w:val="21"/>
                <w:szCs w:val="21"/>
              </w:rPr>
            </w:pPr>
            <w:r>
              <w:rPr>
                <w:rFonts w:hint="eastAsia" w:ascii="宋体" w:hAnsi="宋体" w:cs="仿宋"/>
                <w:b/>
                <w:bCs/>
                <w:sz w:val="21"/>
                <w:szCs w:val="21"/>
              </w:rPr>
              <w:t>第七次付款</w:t>
            </w:r>
          </w:p>
        </w:tc>
        <w:tc>
          <w:tcPr>
            <w:tcW w:w="2790" w:type="dxa"/>
            <w:vAlign w:val="center"/>
          </w:tcPr>
          <w:p w14:paraId="6E6148FC">
            <w:pPr>
              <w:pStyle w:val="117"/>
              <w:tabs>
                <w:tab w:val="left" w:pos="1260"/>
              </w:tabs>
              <w:ind w:firstLine="0"/>
              <w:jc w:val="center"/>
              <w:rPr>
                <w:rFonts w:ascii="宋体" w:hAnsi="宋体"/>
                <w:b/>
                <w:bCs/>
                <w:sz w:val="21"/>
                <w:szCs w:val="21"/>
              </w:rPr>
            </w:pPr>
            <w:r>
              <w:rPr>
                <w:rFonts w:hint="eastAsia" w:ascii="宋体" w:hAnsi="宋体"/>
                <w:b/>
                <w:bCs/>
                <w:sz w:val="21"/>
                <w:szCs w:val="21"/>
              </w:rPr>
              <w:t>工程竣工结算完成</w:t>
            </w:r>
          </w:p>
        </w:tc>
        <w:tc>
          <w:tcPr>
            <w:tcW w:w="1158" w:type="dxa"/>
            <w:vAlign w:val="center"/>
          </w:tcPr>
          <w:p w14:paraId="0B19B33A">
            <w:pPr>
              <w:pStyle w:val="117"/>
              <w:tabs>
                <w:tab w:val="left" w:pos="1260"/>
              </w:tabs>
              <w:ind w:firstLine="0"/>
              <w:jc w:val="center"/>
              <w:rPr>
                <w:rFonts w:ascii="宋体" w:hAnsi="宋体"/>
                <w:b/>
                <w:bCs/>
                <w:sz w:val="21"/>
                <w:szCs w:val="21"/>
              </w:rPr>
            </w:pPr>
            <w:r>
              <w:rPr>
                <w:rFonts w:hint="eastAsia" w:ascii="宋体" w:hAnsi="宋体"/>
                <w:b/>
                <w:bCs/>
                <w:sz w:val="21"/>
                <w:szCs w:val="21"/>
              </w:rPr>
              <w:t>17%</w:t>
            </w:r>
          </w:p>
        </w:tc>
        <w:tc>
          <w:tcPr>
            <w:tcW w:w="1352" w:type="dxa"/>
            <w:vAlign w:val="center"/>
          </w:tcPr>
          <w:p w14:paraId="5413BCC1">
            <w:pPr>
              <w:pStyle w:val="117"/>
              <w:tabs>
                <w:tab w:val="left" w:pos="1260"/>
              </w:tabs>
              <w:ind w:firstLine="0"/>
              <w:jc w:val="center"/>
              <w:rPr>
                <w:rFonts w:ascii="宋体" w:hAnsi="宋体"/>
                <w:b/>
                <w:bCs/>
                <w:sz w:val="21"/>
                <w:szCs w:val="21"/>
              </w:rPr>
            </w:pPr>
            <w:r>
              <w:rPr>
                <w:rFonts w:hint="eastAsia" w:ascii="宋体" w:hAnsi="宋体"/>
                <w:b/>
                <w:bCs/>
                <w:sz w:val="21"/>
                <w:szCs w:val="21"/>
              </w:rPr>
              <w:t>97%</w:t>
            </w:r>
          </w:p>
        </w:tc>
        <w:tc>
          <w:tcPr>
            <w:tcW w:w="1601" w:type="dxa"/>
            <w:vAlign w:val="center"/>
          </w:tcPr>
          <w:p w14:paraId="36428F93">
            <w:pPr>
              <w:pStyle w:val="117"/>
              <w:tabs>
                <w:tab w:val="left" w:pos="1260"/>
              </w:tabs>
              <w:ind w:firstLine="0"/>
              <w:jc w:val="center"/>
              <w:rPr>
                <w:rFonts w:ascii="宋体" w:hAnsi="宋体"/>
                <w:b/>
                <w:bCs/>
                <w:sz w:val="21"/>
                <w:szCs w:val="21"/>
              </w:rPr>
            </w:pPr>
          </w:p>
        </w:tc>
      </w:tr>
      <w:tr w14:paraId="75BA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14:paraId="5EB7B8DD">
            <w:pPr>
              <w:pStyle w:val="117"/>
              <w:tabs>
                <w:tab w:val="left" w:pos="1260"/>
              </w:tabs>
              <w:ind w:firstLine="0"/>
              <w:jc w:val="center"/>
              <w:rPr>
                <w:rFonts w:ascii="宋体" w:hAnsi="宋体"/>
                <w:b/>
                <w:bCs/>
                <w:sz w:val="21"/>
                <w:szCs w:val="21"/>
              </w:rPr>
            </w:pPr>
            <w:r>
              <w:rPr>
                <w:rFonts w:hint="eastAsia" w:ascii="宋体" w:hAnsi="宋体" w:cs="仿宋"/>
                <w:b/>
                <w:bCs/>
                <w:sz w:val="21"/>
                <w:szCs w:val="21"/>
              </w:rPr>
              <w:t>最后付款</w:t>
            </w:r>
          </w:p>
        </w:tc>
        <w:tc>
          <w:tcPr>
            <w:tcW w:w="2790" w:type="dxa"/>
            <w:vAlign w:val="center"/>
          </w:tcPr>
          <w:p w14:paraId="195AF611">
            <w:pPr>
              <w:pStyle w:val="117"/>
              <w:tabs>
                <w:tab w:val="left" w:pos="1260"/>
              </w:tabs>
              <w:ind w:firstLine="0"/>
              <w:jc w:val="center"/>
              <w:rPr>
                <w:rFonts w:ascii="宋体" w:hAnsi="宋体"/>
                <w:b/>
                <w:bCs/>
                <w:sz w:val="21"/>
                <w:szCs w:val="21"/>
              </w:rPr>
            </w:pPr>
            <w:r>
              <w:rPr>
                <w:rFonts w:hint="eastAsia" w:ascii="宋体" w:hAnsi="宋体"/>
                <w:b/>
                <w:bCs/>
                <w:sz w:val="21"/>
                <w:szCs w:val="21"/>
              </w:rPr>
              <w:t>在项目质量保修期（项目竣工验收之日起2年）满后的2个月无息付清</w:t>
            </w:r>
          </w:p>
        </w:tc>
        <w:tc>
          <w:tcPr>
            <w:tcW w:w="1158" w:type="dxa"/>
            <w:vAlign w:val="center"/>
          </w:tcPr>
          <w:p w14:paraId="643E2B37">
            <w:pPr>
              <w:pStyle w:val="117"/>
              <w:tabs>
                <w:tab w:val="left" w:pos="1260"/>
              </w:tabs>
              <w:ind w:firstLine="0"/>
              <w:jc w:val="center"/>
              <w:rPr>
                <w:rFonts w:ascii="宋体" w:hAnsi="宋体"/>
                <w:b/>
                <w:bCs/>
                <w:sz w:val="21"/>
                <w:szCs w:val="21"/>
              </w:rPr>
            </w:pPr>
            <w:r>
              <w:rPr>
                <w:rFonts w:hint="eastAsia" w:ascii="宋体" w:hAnsi="宋体"/>
                <w:b/>
                <w:bCs/>
                <w:sz w:val="21"/>
                <w:szCs w:val="21"/>
              </w:rPr>
              <w:t>3%</w:t>
            </w:r>
          </w:p>
        </w:tc>
        <w:tc>
          <w:tcPr>
            <w:tcW w:w="1352" w:type="dxa"/>
            <w:vAlign w:val="center"/>
          </w:tcPr>
          <w:p w14:paraId="5FC03AE6">
            <w:pPr>
              <w:pStyle w:val="117"/>
              <w:tabs>
                <w:tab w:val="left" w:pos="1260"/>
              </w:tabs>
              <w:ind w:firstLine="0"/>
              <w:jc w:val="center"/>
              <w:rPr>
                <w:rFonts w:ascii="宋体" w:hAnsi="宋体"/>
                <w:b/>
                <w:bCs/>
                <w:sz w:val="21"/>
                <w:szCs w:val="21"/>
              </w:rPr>
            </w:pPr>
            <w:r>
              <w:rPr>
                <w:rFonts w:hint="eastAsia" w:ascii="宋体" w:hAnsi="宋体"/>
                <w:b/>
                <w:bCs/>
                <w:sz w:val="21"/>
                <w:szCs w:val="21"/>
              </w:rPr>
              <w:t>100%</w:t>
            </w:r>
          </w:p>
        </w:tc>
        <w:tc>
          <w:tcPr>
            <w:tcW w:w="1601" w:type="dxa"/>
            <w:vAlign w:val="center"/>
          </w:tcPr>
          <w:p w14:paraId="43339652">
            <w:pPr>
              <w:pStyle w:val="117"/>
              <w:tabs>
                <w:tab w:val="left" w:pos="1260"/>
              </w:tabs>
              <w:ind w:firstLine="0"/>
              <w:jc w:val="center"/>
              <w:rPr>
                <w:rFonts w:ascii="宋体" w:hAnsi="宋体"/>
                <w:b/>
                <w:bCs/>
                <w:sz w:val="21"/>
                <w:szCs w:val="21"/>
              </w:rPr>
            </w:pPr>
          </w:p>
        </w:tc>
      </w:tr>
    </w:tbl>
    <w:p w14:paraId="1C13E55A">
      <w:pPr>
        <w:numPr>
          <w:ilvl w:val="1"/>
          <w:numId w:val="5"/>
        </w:numPr>
        <w:tabs>
          <w:tab w:val="left" w:pos="851"/>
        </w:tabs>
        <w:adjustRightInd/>
        <w:spacing w:line="360" w:lineRule="auto"/>
        <w:ind w:firstLine="480"/>
        <w:rPr>
          <w:rFonts w:ascii="宋体" w:hAnsi="宋体"/>
          <w:sz w:val="24"/>
          <w:szCs w:val="24"/>
        </w:rPr>
      </w:pPr>
      <w:r>
        <w:rPr>
          <w:rFonts w:hint="eastAsia" w:ascii="宋体" w:hAnsi="宋体"/>
          <w:sz w:val="24"/>
          <w:szCs w:val="24"/>
        </w:rPr>
        <w:t>监理费结算经终审部门审定后，付款至终审结算价的</w:t>
      </w:r>
      <w:r>
        <w:rPr>
          <w:rFonts w:ascii="宋体" w:hAnsi="宋体"/>
          <w:sz w:val="24"/>
          <w:szCs w:val="24"/>
        </w:rPr>
        <w:t>97%</w:t>
      </w:r>
      <w:r>
        <w:rPr>
          <w:rFonts w:hint="eastAsia" w:ascii="宋体" w:hAnsi="宋体"/>
          <w:sz w:val="24"/>
          <w:szCs w:val="24"/>
        </w:rPr>
        <w:t>，保留金为终审结算价的</w:t>
      </w:r>
      <w:r>
        <w:rPr>
          <w:rFonts w:ascii="宋体" w:hAnsi="宋体"/>
          <w:sz w:val="24"/>
          <w:szCs w:val="24"/>
        </w:rPr>
        <w:t>3％</w:t>
      </w:r>
      <w:r>
        <w:rPr>
          <w:rFonts w:hint="eastAsia" w:ascii="宋体" w:hAnsi="宋体"/>
          <w:sz w:val="24"/>
          <w:szCs w:val="24"/>
        </w:rPr>
        <w:t>。监理单位在质量保修期阶段的违约金在保留金中扣除，保留金的剩余部分在竣工验收合格满两年、承包人完成全部保修项目及工程结算审核完成后</w:t>
      </w:r>
      <w:r>
        <w:rPr>
          <w:rFonts w:ascii="宋体" w:hAnsi="宋体"/>
          <w:sz w:val="24"/>
          <w:szCs w:val="24"/>
        </w:rPr>
        <w:t>28天内无息付清。</w:t>
      </w:r>
    </w:p>
    <w:p w14:paraId="6E312AC3">
      <w:pPr>
        <w:numPr>
          <w:ilvl w:val="1"/>
          <w:numId w:val="5"/>
        </w:numPr>
        <w:tabs>
          <w:tab w:val="left" w:pos="851"/>
        </w:tabs>
        <w:adjustRightInd/>
        <w:spacing w:line="360" w:lineRule="auto"/>
        <w:ind w:firstLine="480"/>
        <w:rPr>
          <w:rFonts w:ascii="宋体" w:hAnsi="宋体"/>
          <w:sz w:val="24"/>
          <w:szCs w:val="24"/>
        </w:rPr>
      </w:pPr>
      <w:r>
        <w:rPr>
          <w:rFonts w:hint="eastAsia" w:ascii="宋体" w:hAnsi="宋体"/>
          <w:sz w:val="24"/>
        </w:rPr>
        <w:t>建设单位和建设管理单位完成支付审批手续的时间即视为建设单位完成付款义务，因审批流程导致付款期的延长，不视为建设单位和建设管理单位违约，监理单位不得要求赔偿任何损失。</w:t>
      </w:r>
    </w:p>
    <w:p w14:paraId="47A7E289">
      <w:pPr>
        <w:numPr>
          <w:ilvl w:val="1"/>
          <w:numId w:val="5"/>
        </w:numPr>
        <w:tabs>
          <w:tab w:val="left" w:pos="851"/>
        </w:tabs>
        <w:adjustRightInd/>
        <w:spacing w:line="360" w:lineRule="auto"/>
        <w:ind w:firstLine="480"/>
        <w:rPr>
          <w:rFonts w:ascii="宋体" w:hAnsi="宋体"/>
          <w:sz w:val="24"/>
          <w:szCs w:val="24"/>
        </w:rPr>
      </w:pPr>
      <w:r>
        <w:rPr>
          <w:rFonts w:hint="eastAsia" w:ascii="宋体" w:hAnsi="宋体"/>
          <w:sz w:val="24"/>
        </w:rPr>
        <w:t>监理单位应向建设单位开具合法有效等额的发票，建设单位在收到发票后安排付款事宜，监理单位未开具发票的，建设单位不予支付，不视为违约，并且监理单位不得据此拒绝履行本合同约定的义务。</w:t>
      </w:r>
      <w:r>
        <w:rPr>
          <w:rFonts w:hint="eastAsia"/>
          <w:sz w:val="24"/>
          <w:szCs w:val="24"/>
        </w:rPr>
        <w:t>在合同履行过程中，因监理单位账户的原因（包括但不限于账号被注销、被冻结等）导致监理单位无法收取款项的，由监理单位承担相应后果。</w:t>
      </w:r>
    </w:p>
    <w:p w14:paraId="15C33E98">
      <w:pPr>
        <w:numPr>
          <w:ilvl w:val="1"/>
          <w:numId w:val="5"/>
        </w:numPr>
        <w:tabs>
          <w:tab w:val="left" w:pos="851"/>
        </w:tabs>
        <w:adjustRightInd/>
        <w:spacing w:line="360" w:lineRule="auto"/>
        <w:ind w:firstLine="480"/>
        <w:rPr>
          <w:rFonts w:ascii="宋体" w:hAnsi="宋体"/>
          <w:sz w:val="24"/>
          <w:szCs w:val="24"/>
        </w:rPr>
      </w:pPr>
      <w:r>
        <w:rPr>
          <w:rFonts w:hint="eastAsia" w:ascii="宋体" w:hAnsi="宋体"/>
          <w:sz w:val="24"/>
          <w:szCs w:val="24"/>
        </w:rPr>
        <w:t>本合同履行期间政策调整收费标准的，本合同各种费率和费用不调整。</w:t>
      </w:r>
    </w:p>
    <w:p w14:paraId="73E33485">
      <w:pPr>
        <w:numPr>
          <w:ilvl w:val="1"/>
          <w:numId w:val="5"/>
        </w:numPr>
        <w:tabs>
          <w:tab w:val="left" w:pos="851"/>
          <w:tab w:val="left" w:pos="993"/>
        </w:tabs>
        <w:adjustRightInd/>
        <w:spacing w:line="360" w:lineRule="auto"/>
        <w:ind w:firstLine="480"/>
        <w:rPr>
          <w:rFonts w:ascii="宋体" w:hAnsi="宋体"/>
          <w:sz w:val="24"/>
          <w:szCs w:val="24"/>
        </w:rPr>
      </w:pPr>
      <w:r>
        <w:rPr>
          <w:rFonts w:hint="eastAsia" w:ascii="宋体" w:hAnsi="宋体"/>
          <w:sz w:val="24"/>
          <w:szCs w:val="24"/>
        </w:rPr>
        <w:t>在本合同工程监理范围内，非因监理单位原因工程延期，监理服务期和责任期相应延长，但不补偿监理单位任何费用，仍按本合同约定计算监理费。</w:t>
      </w:r>
    </w:p>
    <w:p w14:paraId="1E6C0D52">
      <w:pPr>
        <w:numPr>
          <w:ilvl w:val="1"/>
          <w:numId w:val="5"/>
        </w:numPr>
        <w:tabs>
          <w:tab w:val="left" w:pos="851"/>
          <w:tab w:val="left" w:pos="993"/>
        </w:tabs>
        <w:adjustRightInd/>
        <w:spacing w:line="360" w:lineRule="auto"/>
        <w:ind w:firstLine="480"/>
        <w:rPr>
          <w:rFonts w:ascii="宋体" w:hAnsi="宋体"/>
          <w:sz w:val="24"/>
          <w:szCs w:val="24"/>
        </w:rPr>
      </w:pPr>
      <w:r>
        <w:rPr>
          <w:rFonts w:hint="eastAsia" w:ascii="宋体" w:hAnsi="宋体"/>
          <w:sz w:val="24"/>
          <w:szCs w:val="24"/>
        </w:rPr>
        <w:t>工程实施期间，因国家政策变化、政府对工程的计划调整或不可抗力等原因造成工程停建的，则监理单位必须积极配合做好善后工作，按已实际完成的监理服务内容和本合同的相关约定结清相应工程的监理费，但不额外补偿监理单位任何费用。</w:t>
      </w:r>
    </w:p>
    <w:p w14:paraId="707C7387">
      <w:pPr>
        <w:numPr>
          <w:ilvl w:val="1"/>
          <w:numId w:val="5"/>
        </w:numPr>
        <w:tabs>
          <w:tab w:val="left" w:pos="851"/>
          <w:tab w:val="left" w:pos="993"/>
        </w:tabs>
        <w:adjustRightInd/>
        <w:spacing w:line="360" w:lineRule="auto"/>
        <w:ind w:firstLine="480"/>
        <w:rPr>
          <w:rFonts w:ascii="宋体" w:hAnsi="宋体"/>
          <w:sz w:val="24"/>
          <w:szCs w:val="24"/>
        </w:rPr>
      </w:pPr>
      <w:r>
        <w:rPr>
          <w:rFonts w:hint="eastAsia" w:ascii="宋体" w:hAnsi="宋体"/>
          <w:sz w:val="24"/>
          <w:szCs w:val="24"/>
        </w:rPr>
        <w:t>工程实施期间，工程建设暂停导致监理单位须二次或多次进退场，不补偿监理单位任何费用。因工程建设暂停又不退场的，监理单位可与建设管理单位协商一致后，可减少驻场监理工程师，但不额外补偿任何费用。</w:t>
      </w:r>
    </w:p>
    <w:bookmarkEnd w:id="7"/>
    <w:p w14:paraId="48040C14">
      <w:pPr>
        <w:numPr>
          <w:ilvl w:val="1"/>
          <w:numId w:val="5"/>
        </w:numPr>
        <w:tabs>
          <w:tab w:val="left" w:pos="851"/>
          <w:tab w:val="left" w:pos="993"/>
        </w:tabs>
        <w:adjustRightInd/>
        <w:spacing w:line="360" w:lineRule="auto"/>
        <w:ind w:firstLine="480"/>
        <w:rPr>
          <w:rFonts w:ascii="宋体" w:hAnsi="宋体"/>
          <w:sz w:val="24"/>
          <w:szCs w:val="24"/>
        </w:rPr>
      </w:pPr>
      <w:r>
        <w:rPr>
          <w:rFonts w:hint="eastAsia" w:ascii="宋体" w:hAnsi="宋体"/>
          <w:sz w:val="24"/>
          <w:szCs w:val="24"/>
        </w:rPr>
        <w:t>建设管理单位委托监理单位对本项目新增工程提供监理服务，监理单位应积极配合相关工作，增加的监理费按专用条件第十四条规定执行。</w:t>
      </w:r>
    </w:p>
    <w:p w14:paraId="4F73E969">
      <w:pPr>
        <w:spacing w:line="360" w:lineRule="auto"/>
        <w:ind w:firstLine="482" w:firstLineChars="200"/>
        <w:rPr>
          <w:rFonts w:ascii="宋体" w:hAnsi="宋体"/>
          <w:sz w:val="24"/>
          <w:szCs w:val="24"/>
        </w:rPr>
      </w:pPr>
      <w:r>
        <w:rPr>
          <w:rFonts w:hint="eastAsia" w:ascii="宋体" w:hAnsi="宋体"/>
          <w:b/>
          <w:bCs/>
          <w:sz w:val="24"/>
          <w:szCs w:val="24"/>
        </w:rPr>
        <w:t>第十五条</w:t>
      </w:r>
      <w:r>
        <w:rPr>
          <w:rFonts w:hint="eastAsia" w:ascii="宋体" w:hAnsi="宋体"/>
          <w:sz w:val="24"/>
          <w:szCs w:val="24"/>
        </w:rPr>
        <w:t>　三方同意用</w:t>
      </w:r>
      <w:r>
        <w:rPr>
          <w:rFonts w:hint="eastAsia" w:ascii="宋体" w:hAnsi="宋体"/>
          <w:sz w:val="24"/>
          <w:szCs w:val="24"/>
          <w:u w:val="single"/>
        </w:rPr>
        <w:t xml:space="preserve">  人民币 </w:t>
      </w:r>
      <w:r>
        <w:rPr>
          <w:rFonts w:hint="eastAsia" w:ascii="宋体" w:hAnsi="宋体"/>
          <w:sz w:val="24"/>
          <w:szCs w:val="24"/>
        </w:rPr>
        <w:t>支付报酬，按</w:t>
      </w:r>
      <w:r>
        <w:rPr>
          <w:rFonts w:hint="eastAsia" w:ascii="宋体" w:hAnsi="宋体"/>
          <w:sz w:val="24"/>
          <w:szCs w:val="24"/>
          <w:u w:val="single"/>
        </w:rPr>
        <w:t xml:space="preserve">    /   </w:t>
      </w:r>
      <w:r>
        <w:rPr>
          <w:rFonts w:hint="eastAsia" w:ascii="宋体" w:hAnsi="宋体"/>
          <w:sz w:val="24"/>
          <w:szCs w:val="24"/>
        </w:rPr>
        <w:t xml:space="preserve"> 汇率计付。</w:t>
      </w:r>
    </w:p>
    <w:p w14:paraId="16DE77BB">
      <w:pPr>
        <w:spacing w:line="360" w:lineRule="auto"/>
        <w:ind w:firstLine="482" w:firstLineChars="200"/>
        <w:rPr>
          <w:rFonts w:ascii="宋体" w:hAnsi="宋体"/>
          <w:sz w:val="24"/>
          <w:szCs w:val="24"/>
        </w:rPr>
      </w:pPr>
      <w:r>
        <w:rPr>
          <w:rFonts w:hint="eastAsia" w:ascii="宋体" w:hAnsi="宋体"/>
          <w:b/>
          <w:sz w:val="24"/>
          <w:szCs w:val="24"/>
        </w:rPr>
        <w:t>第十六条</w:t>
      </w:r>
      <w:r>
        <w:rPr>
          <w:rFonts w:hint="eastAsia" w:ascii="宋体" w:hAnsi="宋体"/>
          <w:sz w:val="24"/>
          <w:szCs w:val="24"/>
        </w:rPr>
        <w:t xml:space="preserve">  建设单位支付监理单位报酬时，监理单位须提供合法有效等额发票，否则，建设单位拒绝付款。</w:t>
      </w:r>
    </w:p>
    <w:p w14:paraId="19E1E1EC">
      <w:pPr>
        <w:spacing w:line="360" w:lineRule="auto"/>
        <w:ind w:firstLine="472" w:firstLineChars="196"/>
        <w:rPr>
          <w:rFonts w:ascii="宋体" w:hAnsi="宋体"/>
          <w:sz w:val="24"/>
          <w:szCs w:val="24"/>
        </w:rPr>
      </w:pPr>
      <w:r>
        <w:rPr>
          <w:rFonts w:hint="eastAsia" w:ascii="宋体" w:hAnsi="宋体"/>
          <w:b/>
          <w:sz w:val="24"/>
          <w:szCs w:val="24"/>
        </w:rPr>
        <w:t>第十七条</w:t>
      </w:r>
      <w:r>
        <w:rPr>
          <w:rFonts w:hint="eastAsia" w:ascii="宋体" w:hAnsi="宋体"/>
          <w:sz w:val="24"/>
          <w:szCs w:val="24"/>
        </w:rPr>
        <w:t>　总包单位进行分包需经监理审核再报建设单位审批；奖励办法：无。</w:t>
      </w:r>
    </w:p>
    <w:p w14:paraId="1D2EED40">
      <w:pPr>
        <w:spacing w:line="360" w:lineRule="auto"/>
        <w:ind w:firstLine="482" w:firstLineChars="200"/>
        <w:rPr>
          <w:rFonts w:ascii="宋体" w:hAnsi="宋体"/>
          <w:b/>
          <w:sz w:val="24"/>
          <w:szCs w:val="24"/>
        </w:rPr>
      </w:pPr>
      <w:r>
        <w:rPr>
          <w:rFonts w:hint="eastAsia" w:ascii="宋体" w:hAnsi="宋体"/>
          <w:b/>
          <w:sz w:val="24"/>
          <w:szCs w:val="24"/>
        </w:rPr>
        <w:t>第十八条　</w:t>
      </w:r>
      <w:r>
        <w:rPr>
          <w:rFonts w:hint="eastAsia" w:ascii="宋体" w:hAnsi="宋体"/>
          <w:sz w:val="24"/>
          <w:szCs w:val="24"/>
        </w:rPr>
        <w:t>本合同在履行过程中发生争议时，当事人三方应及时协商解决。协商不成时，可向工程项目所在地法院提出诉讼。</w:t>
      </w:r>
    </w:p>
    <w:p w14:paraId="4899F915">
      <w:pPr>
        <w:spacing w:line="360" w:lineRule="auto"/>
        <w:ind w:firstLine="420"/>
        <w:rPr>
          <w:rFonts w:ascii="宋体" w:hAnsi="宋体"/>
          <w:sz w:val="24"/>
          <w:szCs w:val="24"/>
        </w:rPr>
      </w:pPr>
      <w:r>
        <w:rPr>
          <w:rFonts w:hint="eastAsia" w:ascii="宋体" w:hAnsi="宋体"/>
          <w:b/>
          <w:spacing w:val="16"/>
          <w:sz w:val="24"/>
          <w:szCs w:val="24"/>
        </w:rPr>
        <w:t>第十九条</w:t>
      </w:r>
      <w:r>
        <w:rPr>
          <w:rFonts w:hint="eastAsia" w:ascii="宋体" w:hAnsi="宋体"/>
          <w:spacing w:val="16"/>
          <w:sz w:val="24"/>
          <w:szCs w:val="24"/>
        </w:rPr>
        <w:t xml:space="preserve">  工程</w:t>
      </w:r>
      <w:r>
        <w:rPr>
          <w:rFonts w:hint="eastAsia" w:ascii="宋体" w:hAnsi="宋体"/>
          <w:sz w:val="24"/>
          <w:szCs w:val="24"/>
        </w:rPr>
        <w:t>保修期监理责任</w:t>
      </w:r>
    </w:p>
    <w:p w14:paraId="3802D2D3">
      <w:pPr>
        <w:spacing w:line="360" w:lineRule="auto"/>
        <w:ind w:firstLine="480" w:firstLineChars="200"/>
        <w:rPr>
          <w:rFonts w:ascii="宋体" w:hAnsi="宋体"/>
          <w:sz w:val="24"/>
          <w:szCs w:val="24"/>
        </w:rPr>
      </w:pPr>
      <w:r>
        <w:rPr>
          <w:rFonts w:hint="eastAsia" w:ascii="宋体" w:hAnsi="宋体"/>
          <w:sz w:val="24"/>
          <w:szCs w:val="24"/>
        </w:rPr>
        <w:t>工程保修期为24个月。</w:t>
      </w:r>
      <w:r>
        <w:rPr>
          <w:rFonts w:hint="eastAsia" w:ascii="宋体" w:hAnsi="宋体"/>
          <w:spacing w:val="16"/>
          <w:sz w:val="24"/>
          <w:szCs w:val="24"/>
        </w:rPr>
        <w:t>工程</w:t>
      </w:r>
      <w:r>
        <w:rPr>
          <w:rFonts w:hint="eastAsia" w:ascii="宋体" w:hAnsi="宋体"/>
          <w:sz w:val="24"/>
          <w:szCs w:val="24"/>
        </w:rPr>
        <w:t>保修期监理责任为</w:t>
      </w:r>
      <w:r>
        <w:rPr>
          <w:rFonts w:ascii="Arial" w:hAnsi="Arial" w:cs="Arial"/>
          <w:sz w:val="24"/>
          <w:szCs w:val="24"/>
          <w:shd w:val="clear" w:color="auto" w:fill="FFFFFF"/>
        </w:rPr>
        <w:t>所监理工程竣工验收后，在原参加施工阶段监理工作的监理人员中保留必要人员，承担工程质量保修期的监理，履行</w:t>
      </w:r>
      <w:r>
        <w:rPr>
          <w:rFonts w:hint="eastAsia" w:ascii="Arial" w:hAnsi="Arial" w:cs="Arial"/>
          <w:sz w:val="24"/>
          <w:szCs w:val="24"/>
          <w:shd w:val="clear" w:color="auto" w:fill="FFFFFF"/>
        </w:rPr>
        <w:t>本合同</w:t>
      </w:r>
      <w:r>
        <w:rPr>
          <w:rFonts w:ascii="Arial" w:hAnsi="Arial" w:cs="Arial"/>
          <w:sz w:val="24"/>
          <w:szCs w:val="24"/>
          <w:shd w:val="clear" w:color="auto" w:fill="FFFFFF"/>
        </w:rPr>
        <w:t>约定</w:t>
      </w:r>
      <w:r>
        <w:rPr>
          <w:rFonts w:hint="eastAsia" w:ascii="Arial" w:hAnsi="Arial" w:cs="Arial"/>
          <w:sz w:val="24"/>
          <w:szCs w:val="24"/>
          <w:shd w:val="clear" w:color="auto" w:fill="FFFFFF"/>
        </w:rPr>
        <w:t>的相关监理责任</w:t>
      </w:r>
      <w:r>
        <w:rPr>
          <w:rFonts w:ascii="Arial" w:hAnsi="Arial" w:cs="Arial"/>
          <w:sz w:val="24"/>
          <w:szCs w:val="24"/>
          <w:shd w:val="clear" w:color="auto" w:fill="FFFFFF"/>
        </w:rPr>
        <w:t>。</w:t>
      </w:r>
    </w:p>
    <w:p w14:paraId="709D23DA">
      <w:pPr>
        <w:snapToGrid w:val="0"/>
        <w:spacing w:line="360" w:lineRule="auto"/>
        <w:ind w:firstLine="480" w:firstLineChars="200"/>
        <w:rPr>
          <w:rFonts w:ascii="宋体" w:hAnsi="宋体"/>
          <w:sz w:val="24"/>
          <w:szCs w:val="24"/>
        </w:rPr>
      </w:pPr>
      <w:r>
        <w:rPr>
          <w:rFonts w:hint="eastAsia" w:ascii="宋体" w:hAnsi="宋体"/>
          <w:sz w:val="24"/>
          <w:szCs w:val="24"/>
        </w:rPr>
        <w:t xml:space="preserve">监理单位负责检查项目使用状况，确认问题责任所属，督促责任方做好保修工作。  </w:t>
      </w:r>
    </w:p>
    <w:p w14:paraId="41D44F6A">
      <w:pPr>
        <w:spacing w:line="360" w:lineRule="auto"/>
        <w:ind w:firstLine="420"/>
        <w:rPr>
          <w:rFonts w:ascii="宋体" w:hAnsi="宋体"/>
          <w:spacing w:val="16"/>
          <w:sz w:val="24"/>
          <w:szCs w:val="24"/>
        </w:rPr>
      </w:pPr>
      <w:r>
        <w:rPr>
          <w:rFonts w:hint="eastAsia" w:ascii="宋体" w:hAnsi="宋体"/>
          <w:b/>
          <w:spacing w:val="16"/>
          <w:sz w:val="24"/>
          <w:szCs w:val="24"/>
        </w:rPr>
        <w:t>第二十条</w:t>
      </w:r>
      <w:r>
        <w:rPr>
          <w:rFonts w:hint="eastAsia" w:ascii="宋体" w:hAnsi="宋体"/>
          <w:spacing w:val="16"/>
          <w:sz w:val="24"/>
          <w:szCs w:val="24"/>
        </w:rPr>
        <w:t xml:space="preserve"> 工程造价控制责任</w:t>
      </w:r>
    </w:p>
    <w:p w14:paraId="45088CAA">
      <w:pPr>
        <w:spacing w:line="360" w:lineRule="auto"/>
        <w:ind w:firstLine="480" w:firstLineChars="200"/>
        <w:rPr>
          <w:rFonts w:ascii="宋体" w:hAnsi="宋体"/>
          <w:sz w:val="24"/>
          <w:szCs w:val="24"/>
        </w:rPr>
      </w:pPr>
      <w:r>
        <w:rPr>
          <w:rFonts w:hint="eastAsia" w:ascii="宋体" w:hAnsi="宋体"/>
          <w:sz w:val="24"/>
          <w:szCs w:val="24"/>
        </w:rPr>
        <w:t>在施工期间，由于监理单位对工程造价控制不力（除人工、材料、机械价格调整和合同工程量清单漏项外），导致建设单位的经济损失由监理单位承担。经核实，监理单位对工程变更、签证</w:t>
      </w:r>
      <w:r>
        <w:rPr>
          <w:rFonts w:hint="eastAsia" w:ascii="宋体" w:hAnsi="宋体"/>
          <w:bCs/>
          <w:sz w:val="24"/>
          <w:szCs w:val="24"/>
        </w:rPr>
        <w:t>、进度款</w:t>
      </w:r>
      <w:r>
        <w:rPr>
          <w:rFonts w:hint="eastAsia" w:ascii="宋体" w:hAnsi="宋体"/>
          <w:sz w:val="24"/>
          <w:szCs w:val="24"/>
        </w:rPr>
        <w:t>等文件审核存在较大误差或错误，按与规定计价差额的50%在监理费请款中直接扣除。</w:t>
      </w:r>
    </w:p>
    <w:p w14:paraId="105C655A">
      <w:pPr>
        <w:snapToGrid w:val="0"/>
        <w:spacing w:line="360" w:lineRule="auto"/>
        <w:ind w:firstLine="480"/>
        <w:rPr>
          <w:rFonts w:ascii="宋体" w:hAnsi="宋体"/>
          <w:spacing w:val="16"/>
          <w:sz w:val="24"/>
          <w:szCs w:val="24"/>
        </w:rPr>
      </w:pPr>
      <w:r>
        <w:rPr>
          <w:rFonts w:hint="eastAsia" w:ascii="宋体" w:hAnsi="宋体"/>
          <w:b/>
          <w:spacing w:val="16"/>
          <w:sz w:val="24"/>
          <w:szCs w:val="24"/>
        </w:rPr>
        <w:t xml:space="preserve">第二十一条 </w:t>
      </w:r>
      <w:r>
        <w:rPr>
          <w:rFonts w:hint="eastAsia" w:ascii="宋体" w:hAnsi="宋体"/>
          <w:spacing w:val="16"/>
          <w:sz w:val="24"/>
          <w:szCs w:val="24"/>
        </w:rPr>
        <w:t>工程结算控制责任</w:t>
      </w:r>
    </w:p>
    <w:p w14:paraId="606EB037">
      <w:pPr>
        <w:spacing w:line="360" w:lineRule="auto"/>
        <w:ind w:firstLine="480" w:firstLineChars="200"/>
        <w:rPr>
          <w:rFonts w:ascii="宋体" w:hAnsi="宋体"/>
          <w:sz w:val="24"/>
          <w:szCs w:val="24"/>
        </w:rPr>
      </w:pPr>
      <w:r>
        <w:rPr>
          <w:rFonts w:hint="eastAsia" w:ascii="宋体" w:hAnsi="宋体"/>
          <w:sz w:val="24"/>
          <w:szCs w:val="24"/>
        </w:rPr>
        <w:t>经监理初审的工程结算送建设单位评审后，最终结算评审结果审减额超过监理结算初审价的</w:t>
      </w:r>
      <w:r>
        <w:rPr>
          <w:rFonts w:ascii="宋体" w:hAnsi="宋体"/>
          <w:sz w:val="24"/>
          <w:szCs w:val="24"/>
        </w:rPr>
        <w:t>10%，按建设单位评审结算价的3‰扣除监理费。</w:t>
      </w:r>
    </w:p>
    <w:p w14:paraId="1BE03309">
      <w:pPr>
        <w:widowControl/>
        <w:spacing w:line="336" w:lineRule="auto"/>
        <w:ind w:firstLine="482" w:firstLineChars="200"/>
        <w:jc w:val="left"/>
        <w:rPr>
          <w:rFonts w:ascii="宋体" w:hAnsi="宋体" w:cs="宋体"/>
          <w:sz w:val="24"/>
          <w:szCs w:val="24"/>
        </w:rPr>
      </w:pPr>
      <w:r>
        <w:rPr>
          <w:rFonts w:hint="eastAsia" w:ascii="宋体" w:hAnsi="宋体" w:cs="宋体"/>
          <w:b/>
          <w:sz w:val="24"/>
          <w:szCs w:val="24"/>
        </w:rPr>
        <w:t>第二十二条</w:t>
      </w:r>
      <w:r>
        <w:rPr>
          <w:rFonts w:ascii="宋体" w:hAnsi="宋体" w:cs="宋体"/>
          <w:sz w:val="24"/>
          <w:szCs w:val="24"/>
        </w:rPr>
        <w:t xml:space="preserve">  监理单位的违约责任承担形式</w:t>
      </w:r>
    </w:p>
    <w:p w14:paraId="48997BA5">
      <w:pPr>
        <w:widowControl/>
        <w:spacing w:line="360" w:lineRule="auto"/>
        <w:ind w:firstLine="480" w:firstLineChars="200"/>
        <w:jc w:val="left"/>
        <w:rPr>
          <w:rFonts w:ascii="宋体" w:hAnsi="宋体" w:cs="宋体"/>
          <w:sz w:val="24"/>
          <w:szCs w:val="24"/>
        </w:rPr>
      </w:pPr>
      <w:r>
        <w:rPr>
          <w:rFonts w:ascii="宋体" w:hAnsi="宋体" w:cs="宋体"/>
          <w:sz w:val="24"/>
          <w:szCs w:val="24"/>
        </w:rPr>
        <w:t xml:space="preserve">1、 </w:t>
      </w:r>
      <w:r>
        <w:rPr>
          <w:rFonts w:hint="eastAsia" w:ascii="宋体" w:hAnsi="宋体" w:cs="宋体"/>
          <w:sz w:val="24"/>
          <w:szCs w:val="24"/>
        </w:rPr>
        <w:t>监理单位违反本合同约定的违约责任形式包括但不限于：</w:t>
      </w:r>
    </w:p>
    <w:p w14:paraId="72312E77">
      <w:pPr>
        <w:widowControl/>
        <w:spacing w:line="360" w:lineRule="auto"/>
        <w:ind w:firstLine="480" w:firstLineChars="200"/>
        <w:jc w:val="left"/>
        <w:rPr>
          <w:rFonts w:ascii="宋体" w:hAnsi="宋体" w:cs="宋体"/>
          <w:sz w:val="24"/>
          <w:szCs w:val="24"/>
        </w:rPr>
      </w:pPr>
      <w:r>
        <w:rPr>
          <w:rFonts w:ascii="宋体" w:hAnsi="宋体" w:cs="宋体"/>
          <w:sz w:val="24"/>
          <w:szCs w:val="24"/>
        </w:rPr>
        <w:t>1.1限期改正责任。监理单位履行合同义务不符合要求，建设方项目代表人有权提出书面警告函，监理单位必须在限期内履行完毕</w:t>
      </w:r>
      <w:r>
        <w:rPr>
          <w:rFonts w:hint="eastAsia" w:ascii="宋体" w:hAnsi="宋体" w:cs="宋体"/>
          <w:sz w:val="24"/>
          <w:szCs w:val="24"/>
        </w:rPr>
        <w:t>义务。监理单位在收到书面警告函之日起</w:t>
      </w:r>
      <w:r>
        <w:rPr>
          <w:rFonts w:ascii="宋体" w:hAnsi="宋体"/>
          <w:sz w:val="24"/>
          <w:szCs w:val="24"/>
          <w:u w:val="single"/>
        </w:rPr>
        <w:t xml:space="preserve"> 5 </w:t>
      </w:r>
      <w:r>
        <w:rPr>
          <w:rFonts w:hint="eastAsia" w:ascii="宋体" w:hAnsi="宋体"/>
          <w:sz w:val="24"/>
          <w:szCs w:val="24"/>
        </w:rPr>
        <w:t>天内</w:t>
      </w:r>
      <w:r>
        <w:rPr>
          <w:rFonts w:hint="eastAsia" w:ascii="宋体" w:hAnsi="宋体" w:cs="宋体"/>
          <w:sz w:val="24"/>
          <w:szCs w:val="24"/>
        </w:rPr>
        <w:t>向建设单位交纳违约金</w:t>
      </w:r>
      <w:r>
        <w:rPr>
          <w:rFonts w:ascii="宋体" w:hAnsi="宋体" w:cs="宋体"/>
          <w:sz w:val="24"/>
          <w:szCs w:val="24"/>
          <w:u w:val="single"/>
        </w:rPr>
        <w:t>10000</w:t>
      </w:r>
      <w:r>
        <w:rPr>
          <w:rFonts w:hint="eastAsia" w:ascii="宋体" w:hAnsi="宋体" w:cs="宋体"/>
          <w:sz w:val="24"/>
          <w:szCs w:val="24"/>
        </w:rPr>
        <w:t>元</w:t>
      </w:r>
      <w:r>
        <w:rPr>
          <w:rFonts w:ascii="宋体" w:hAnsi="宋体" w:cs="宋体"/>
          <w:sz w:val="24"/>
          <w:szCs w:val="24"/>
        </w:rPr>
        <w:t>/次。</w:t>
      </w:r>
    </w:p>
    <w:p w14:paraId="59377F3F">
      <w:pPr>
        <w:widowControl/>
        <w:spacing w:line="360" w:lineRule="auto"/>
        <w:ind w:firstLine="480" w:firstLineChars="200"/>
        <w:jc w:val="left"/>
        <w:rPr>
          <w:rFonts w:ascii="宋体" w:hAnsi="宋体" w:cs="宋体"/>
          <w:sz w:val="24"/>
          <w:szCs w:val="24"/>
        </w:rPr>
      </w:pPr>
      <w:r>
        <w:rPr>
          <w:rFonts w:ascii="宋体" w:hAnsi="宋体" w:cs="宋体"/>
          <w:sz w:val="24"/>
          <w:szCs w:val="24"/>
        </w:rPr>
        <w:t>1.2一般违约责任。监理单位按本合同约定应当承担一般违约责任时，必须向建设单位交纳违约金人民币</w:t>
      </w:r>
      <w:r>
        <w:rPr>
          <w:rFonts w:ascii="宋体" w:hAnsi="宋体" w:cs="宋体"/>
          <w:sz w:val="24"/>
          <w:szCs w:val="24"/>
          <w:u w:val="single"/>
        </w:rPr>
        <w:t>30000</w:t>
      </w:r>
      <w:r>
        <w:rPr>
          <w:rFonts w:hint="eastAsia" w:ascii="宋体" w:hAnsi="宋体" w:cs="宋体"/>
          <w:sz w:val="24"/>
          <w:szCs w:val="24"/>
        </w:rPr>
        <w:t>元</w:t>
      </w:r>
      <w:r>
        <w:rPr>
          <w:rFonts w:ascii="宋体" w:hAnsi="宋体" w:cs="宋体"/>
          <w:sz w:val="24"/>
          <w:szCs w:val="24"/>
        </w:rPr>
        <w:t xml:space="preserve">/次。 </w:t>
      </w:r>
    </w:p>
    <w:p w14:paraId="689575B6">
      <w:pPr>
        <w:widowControl/>
        <w:spacing w:line="360" w:lineRule="auto"/>
        <w:ind w:firstLine="480" w:firstLineChars="200"/>
        <w:jc w:val="left"/>
        <w:rPr>
          <w:rFonts w:ascii="宋体" w:hAnsi="宋体" w:cs="宋体"/>
          <w:sz w:val="24"/>
          <w:szCs w:val="24"/>
        </w:rPr>
      </w:pPr>
      <w:r>
        <w:rPr>
          <w:rFonts w:ascii="宋体" w:hAnsi="宋体" w:cs="宋体"/>
          <w:sz w:val="24"/>
          <w:szCs w:val="24"/>
        </w:rPr>
        <w:t>1.3</w:t>
      </w:r>
      <w:r>
        <w:rPr>
          <w:rFonts w:hint="eastAsia" w:ascii="宋体" w:hAnsi="宋体" w:cs="宋体"/>
          <w:sz w:val="24"/>
          <w:szCs w:val="24"/>
        </w:rPr>
        <w:t>工期延误责任。</w:t>
      </w:r>
      <w:r>
        <w:rPr>
          <w:rFonts w:ascii="宋体" w:hAnsi="宋体" w:cs="宋体"/>
          <w:sz w:val="24"/>
          <w:szCs w:val="24"/>
        </w:rPr>
        <w:t>监理单位按本合同约定应当承担</w:t>
      </w:r>
      <w:r>
        <w:rPr>
          <w:rFonts w:hint="eastAsia" w:ascii="宋体" w:hAnsi="宋体" w:cs="宋体"/>
          <w:sz w:val="24"/>
          <w:szCs w:val="24"/>
        </w:rPr>
        <w:t>工期延误</w:t>
      </w:r>
      <w:r>
        <w:rPr>
          <w:rFonts w:ascii="宋体" w:hAnsi="宋体" w:cs="宋体"/>
          <w:sz w:val="24"/>
          <w:szCs w:val="24"/>
        </w:rPr>
        <w:t>责任时，必须向建设单位交纳违约金人民币</w:t>
      </w:r>
      <w:r>
        <w:rPr>
          <w:rFonts w:ascii="宋体" w:hAnsi="宋体" w:cs="宋体"/>
          <w:sz w:val="24"/>
          <w:szCs w:val="24"/>
          <w:u w:val="single"/>
        </w:rPr>
        <w:t>30000</w:t>
      </w:r>
      <w:r>
        <w:rPr>
          <w:rFonts w:hint="eastAsia" w:ascii="宋体" w:hAnsi="宋体" w:cs="宋体"/>
          <w:sz w:val="24"/>
          <w:szCs w:val="24"/>
        </w:rPr>
        <w:t>元</w:t>
      </w:r>
      <w:r>
        <w:rPr>
          <w:rFonts w:ascii="宋体" w:hAnsi="宋体" w:cs="宋体"/>
          <w:sz w:val="24"/>
          <w:szCs w:val="24"/>
        </w:rPr>
        <w:t>/</w:t>
      </w:r>
      <w:r>
        <w:rPr>
          <w:rFonts w:hint="eastAsia" w:ascii="宋体" w:hAnsi="宋体" w:cs="宋体"/>
          <w:sz w:val="24"/>
          <w:szCs w:val="24"/>
        </w:rPr>
        <w:t>节点</w:t>
      </w:r>
      <w:r>
        <w:rPr>
          <w:rFonts w:ascii="宋体" w:hAnsi="宋体" w:cs="宋体"/>
          <w:sz w:val="24"/>
          <w:szCs w:val="24"/>
        </w:rPr>
        <w:t>。</w:t>
      </w:r>
    </w:p>
    <w:p w14:paraId="31350D9C">
      <w:pPr>
        <w:widowControl/>
        <w:spacing w:line="360" w:lineRule="auto"/>
        <w:ind w:firstLine="480" w:firstLineChars="200"/>
        <w:jc w:val="left"/>
        <w:rPr>
          <w:rFonts w:ascii="宋体" w:hAnsi="宋体" w:cs="宋体"/>
          <w:sz w:val="24"/>
          <w:szCs w:val="24"/>
        </w:rPr>
      </w:pPr>
      <w:r>
        <w:rPr>
          <w:rFonts w:ascii="宋体" w:hAnsi="宋体" w:cs="宋体"/>
          <w:sz w:val="24"/>
          <w:szCs w:val="24"/>
        </w:rPr>
        <w:t>1.4严重违约责任。监理单位按本合同约定应当承担严重违约责任时，必须向建设单位交纳违约金人民币</w:t>
      </w:r>
      <w:r>
        <w:rPr>
          <w:rFonts w:ascii="宋体" w:hAnsi="宋体" w:cs="宋体"/>
          <w:sz w:val="24"/>
          <w:szCs w:val="24"/>
          <w:u w:val="single"/>
        </w:rPr>
        <w:t>50000</w:t>
      </w:r>
      <w:r>
        <w:rPr>
          <w:rFonts w:hint="eastAsia" w:ascii="宋体" w:hAnsi="宋体" w:cs="宋体"/>
          <w:sz w:val="24"/>
          <w:szCs w:val="24"/>
        </w:rPr>
        <w:t>元</w:t>
      </w:r>
      <w:r>
        <w:rPr>
          <w:rFonts w:ascii="宋体" w:hAnsi="宋体" w:cs="宋体"/>
          <w:sz w:val="24"/>
          <w:szCs w:val="24"/>
        </w:rPr>
        <w:t>/次。</w:t>
      </w:r>
    </w:p>
    <w:p w14:paraId="484E538E">
      <w:pPr>
        <w:widowControl/>
        <w:spacing w:line="360" w:lineRule="auto"/>
        <w:ind w:firstLine="480" w:firstLineChars="200"/>
        <w:jc w:val="left"/>
        <w:rPr>
          <w:rFonts w:ascii="宋体" w:hAnsi="宋体" w:cs="宋体"/>
          <w:sz w:val="24"/>
          <w:szCs w:val="24"/>
        </w:rPr>
      </w:pPr>
      <w:r>
        <w:rPr>
          <w:rFonts w:ascii="宋体" w:hAnsi="宋体" w:cs="宋体"/>
          <w:sz w:val="24"/>
          <w:szCs w:val="24"/>
        </w:rPr>
        <w:t>1.5部分解除合同。监理单位自收到部分解除合同通知之日起，本合同部分解除即生效，监理单位立即停止被解除部分的现场监理工作，5日内移交完整的监理资料，由建设管理单位委托其他监理单位继续完成监理服务。监理单位未在规定期限内完成移交，或交接资料不完整，或延误交接现场工作，导致建设工期延误和其它方面的损失，监理单位赔偿所有损失。</w:t>
      </w:r>
    </w:p>
    <w:p w14:paraId="32BE6942">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6</w:t>
      </w:r>
      <w:r>
        <w:rPr>
          <w:rFonts w:hint="eastAsia" w:ascii="宋体" w:hAnsi="宋体" w:cs="宋体"/>
          <w:sz w:val="24"/>
          <w:szCs w:val="24"/>
        </w:rPr>
        <w:t>解除合同。建设管理单位认为的违约情形或累计三次严重违约责任，建设管理单位有权单方部分或全部解除合同。监理单位自收到解除合同通知之日起，本合同即解除，监理单位立即停止现场监理工作，5日内移交完整的监理资料。监理单位未在规定期限内完成移交，或交接资料不完整，或延误交接现场工作，导致建设工期延误和其它方面的损失，监理单位赔偿所有损失。</w:t>
      </w:r>
    </w:p>
    <w:p w14:paraId="0342D281">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7</w:t>
      </w:r>
      <w:r>
        <w:rPr>
          <w:rFonts w:hint="eastAsia" w:ascii="宋体" w:hAnsi="宋体" w:cs="宋体"/>
          <w:sz w:val="24"/>
          <w:szCs w:val="24"/>
        </w:rPr>
        <w:t>当监理单位不履行或没有充分履行其相关承诺及监理义务、本专用条件中约定的监理工作内容，建设管理单位可书面通知监理单位，指明其未能履约的内容和承担违约责任的等级。</w:t>
      </w:r>
    </w:p>
    <w:p w14:paraId="26516303">
      <w:pPr>
        <w:widowControl/>
        <w:spacing w:line="360" w:lineRule="auto"/>
        <w:ind w:firstLine="482" w:firstLineChars="200"/>
        <w:jc w:val="left"/>
        <w:rPr>
          <w:rFonts w:ascii="宋体" w:hAnsi="宋体" w:cs="宋体"/>
          <w:sz w:val="24"/>
          <w:szCs w:val="24"/>
        </w:rPr>
      </w:pPr>
      <w:r>
        <w:rPr>
          <w:rFonts w:hint="eastAsia" w:ascii="宋体" w:hAnsi="宋体" w:cs="宋体"/>
          <w:b/>
          <w:sz w:val="24"/>
          <w:szCs w:val="24"/>
        </w:rPr>
        <w:t>第二十三条</w:t>
      </w:r>
      <w:r>
        <w:rPr>
          <w:rFonts w:hint="eastAsia" w:ascii="宋体" w:hAnsi="宋体" w:cs="宋体"/>
          <w:sz w:val="24"/>
          <w:szCs w:val="24"/>
        </w:rPr>
        <w:t xml:space="preserve">  监理单位应充分深入和掌控现场实际情况，督促并配合承包人。对于施工现场出现的工程质量不合格，监理单位未发现或发现后未及时上报，导致工程返工而造成损失的，按每次严重违约责任处理。如发生工程质量事故，依法追究监理单位法律责任。</w:t>
      </w:r>
    </w:p>
    <w:p w14:paraId="124F2B1A">
      <w:pPr>
        <w:widowControl/>
        <w:spacing w:line="360" w:lineRule="auto"/>
        <w:ind w:firstLine="482" w:firstLineChars="200"/>
        <w:jc w:val="left"/>
        <w:rPr>
          <w:rFonts w:ascii="宋体" w:hAnsi="宋体" w:cs="宋体"/>
          <w:sz w:val="24"/>
          <w:szCs w:val="24"/>
        </w:rPr>
      </w:pPr>
      <w:r>
        <w:rPr>
          <w:rFonts w:hint="eastAsia" w:ascii="宋体" w:hAnsi="宋体" w:cs="宋体"/>
          <w:b/>
          <w:sz w:val="24"/>
          <w:szCs w:val="24"/>
        </w:rPr>
        <w:t>第二十四条</w:t>
      </w:r>
      <w:r>
        <w:rPr>
          <w:rFonts w:hint="eastAsia" w:ascii="宋体" w:hAnsi="宋体" w:cs="宋体"/>
          <w:sz w:val="24"/>
          <w:szCs w:val="24"/>
        </w:rPr>
        <w:t xml:space="preserve">  为保证建设项目有序、规范和顺利进行，监理单位必须主动支持建设管理单位工作，对建设单位的指令和书面通知，无正当理由拒不执行，按严重违约处理。</w:t>
      </w:r>
    </w:p>
    <w:p w14:paraId="57A4942D">
      <w:pPr>
        <w:widowControl/>
        <w:spacing w:line="360" w:lineRule="auto"/>
        <w:ind w:firstLine="482" w:firstLineChars="200"/>
        <w:jc w:val="left"/>
        <w:rPr>
          <w:rFonts w:ascii="宋体" w:hAnsi="宋体" w:cs="宋体"/>
          <w:sz w:val="24"/>
          <w:szCs w:val="24"/>
        </w:rPr>
      </w:pPr>
      <w:r>
        <w:rPr>
          <w:rFonts w:hint="eastAsia" w:ascii="宋体" w:hAnsi="宋体" w:cs="宋体"/>
          <w:b/>
          <w:sz w:val="24"/>
          <w:szCs w:val="24"/>
        </w:rPr>
        <w:t>第二十五条</w:t>
      </w:r>
      <w:r>
        <w:rPr>
          <w:rFonts w:hint="eastAsia" w:ascii="宋体" w:hAnsi="宋体" w:cs="宋体"/>
          <w:sz w:val="24"/>
          <w:szCs w:val="24"/>
        </w:rPr>
        <w:t xml:space="preserve">  监理单位未按承诺建立组织架构、派驻足够符合岗位条件的监理工程师和投入设备，监理单位必须按建设管理单位要求限期整改，并承担违约责任。具体约定为：</w:t>
      </w:r>
    </w:p>
    <w:p w14:paraId="08234F42">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项目部监理机构组成人员未符合招标条件、投标文件或合同约定的，建设单位有权拒付监理费用并限期整改，监理单位承担严重违约责任1次，且承担由此产生的质量安全事故责任；监理单位拒不整改的，则解除合同。</w:t>
      </w:r>
    </w:p>
    <w:p w14:paraId="1BA8E64D">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（2）在建设管理单位书面通知进场后3日内，总监理工程师不到位，承担严重违约责任1次，且总监限期到位；监理单位拒不配合的，则解除合同。</w:t>
      </w:r>
    </w:p>
    <w:p w14:paraId="2209F4FE">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b/>
          <w:sz w:val="24"/>
          <w:szCs w:val="24"/>
        </w:rPr>
        <w:t>总监理工程师必须主持本项目的日常监理工作，</w:t>
      </w:r>
      <w:r>
        <w:rPr>
          <w:rFonts w:hint="eastAsia" w:ascii="宋体" w:hAnsi="宋体"/>
          <w:b/>
          <w:spacing w:val="2"/>
          <w:position w:val="2"/>
          <w:sz w:val="24"/>
          <w:szCs w:val="24"/>
        </w:rPr>
        <w:t>总监每月驻场不少于</w:t>
      </w:r>
      <w:r>
        <w:rPr>
          <w:rFonts w:ascii="宋体" w:hAnsi="宋体"/>
          <w:b/>
          <w:spacing w:val="2"/>
          <w:position w:val="2"/>
          <w:sz w:val="24"/>
          <w:szCs w:val="24"/>
        </w:rPr>
        <w:t>22天，每日驻场时间不少于8小时。总监和总监代表驻场由建设管理单位项目代表负责考勤，每缺勤一天，</w:t>
      </w:r>
      <w:r>
        <w:rPr>
          <w:rFonts w:hint="eastAsia" w:ascii="宋体" w:hAnsi="宋体" w:cs="宋体"/>
          <w:b/>
          <w:sz w:val="24"/>
          <w:szCs w:val="24"/>
        </w:rPr>
        <w:t>监理单位应承担限期改正责任</w:t>
      </w:r>
      <w:r>
        <w:rPr>
          <w:rFonts w:ascii="宋体" w:hAnsi="宋体" w:cs="宋体"/>
          <w:b/>
          <w:sz w:val="24"/>
          <w:szCs w:val="24"/>
        </w:rPr>
        <w:t>1次，累计三次以上的各次按一般违约责任处理</w:t>
      </w:r>
      <w:r>
        <w:rPr>
          <w:rFonts w:ascii="宋体" w:hAnsi="宋体"/>
          <w:b/>
          <w:spacing w:val="2"/>
          <w:position w:val="2"/>
          <w:sz w:val="24"/>
          <w:szCs w:val="24"/>
        </w:rPr>
        <w:t>；</w:t>
      </w:r>
      <w:r>
        <w:rPr>
          <w:rFonts w:hint="eastAsia" w:ascii="宋体" w:hAnsi="宋体"/>
          <w:b/>
          <w:spacing w:val="2"/>
          <w:position w:val="2"/>
          <w:sz w:val="24"/>
          <w:szCs w:val="24"/>
        </w:rPr>
        <w:t>在监理费请款中直接扣除。</w:t>
      </w:r>
    </w:p>
    <w:p w14:paraId="40DA8A87">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在建设管理单位书面通知进场后3日内，监理单位主要监理工程师、有关设备投入不到位，应限期整改到位。上述情况每发生1次，监理单位应承担限期改正责任1次；上述情况累计三次以上的各次按一般违约责任处理；监理单位拒不配合，未限期整改，则解除合同。</w:t>
      </w:r>
    </w:p>
    <w:p w14:paraId="00D91D58">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（5）未经批准不得调换总监或更换主要监理工程师，否则，更换总监或总监代表每人次罚款50000元，更换专业监理工程罚款10000元。监理单位更换的监理工程师的资质必须不低于原监理工程师。</w:t>
      </w:r>
      <w:r>
        <w:rPr>
          <w:rFonts w:hint="eastAsia" w:ascii="宋体" w:hAnsi="宋体"/>
          <w:spacing w:val="2"/>
          <w:position w:val="2"/>
          <w:sz w:val="24"/>
          <w:szCs w:val="24"/>
        </w:rPr>
        <w:t>建设管理单位认为总监或其他监理人员履行职责不符合要求的，在发出更换通知次日起必须更换，否则，每延期</w:t>
      </w:r>
      <w:r>
        <w:rPr>
          <w:rFonts w:hint="eastAsia" w:ascii="宋体" w:hAnsi="宋体"/>
          <w:spacing w:val="2"/>
          <w:position w:val="2"/>
          <w:sz w:val="24"/>
          <w:szCs w:val="24"/>
          <w:u w:val="single"/>
        </w:rPr>
        <w:t>1</w:t>
      </w:r>
      <w:r>
        <w:rPr>
          <w:rFonts w:hint="eastAsia" w:ascii="宋体" w:hAnsi="宋体"/>
          <w:spacing w:val="2"/>
          <w:position w:val="2"/>
          <w:sz w:val="24"/>
          <w:szCs w:val="24"/>
        </w:rPr>
        <w:t>天按限期整改责任1次处理，</w:t>
      </w:r>
      <w:r>
        <w:rPr>
          <w:rFonts w:hint="eastAsia" w:ascii="宋体" w:hAnsi="宋体" w:cs="宋体"/>
          <w:sz w:val="24"/>
          <w:szCs w:val="24"/>
        </w:rPr>
        <w:t>累计三次以上的各次按一般违约责任处理</w:t>
      </w:r>
      <w:r>
        <w:rPr>
          <w:rFonts w:hint="eastAsia" w:ascii="宋体" w:hAnsi="宋体"/>
          <w:spacing w:val="2"/>
          <w:position w:val="2"/>
          <w:sz w:val="24"/>
          <w:szCs w:val="24"/>
        </w:rPr>
        <w:t>。</w:t>
      </w:r>
    </w:p>
    <w:p w14:paraId="6EE407E4">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（7）专业监理工程师必须每天考勤，离开工地</w:t>
      </w:r>
      <w:r>
        <w:rPr>
          <w:rFonts w:ascii="宋体" w:hAnsi="宋体" w:cs="宋体"/>
          <w:b/>
          <w:sz w:val="24"/>
          <w:szCs w:val="24"/>
          <w:u w:val="single"/>
        </w:rPr>
        <w:t>1</w:t>
      </w:r>
      <w:r>
        <w:rPr>
          <w:rFonts w:hint="eastAsia" w:ascii="宋体" w:hAnsi="宋体" w:cs="宋体"/>
          <w:sz w:val="24"/>
          <w:szCs w:val="24"/>
        </w:rPr>
        <w:t>天以上需报建设管理单位批准，每月总请假日数不得超过</w:t>
      </w:r>
      <w:r>
        <w:rPr>
          <w:rFonts w:ascii="宋体" w:hAnsi="宋体" w:cs="宋体"/>
          <w:b/>
          <w:sz w:val="24"/>
          <w:szCs w:val="24"/>
          <w:u w:val="single"/>
        </w:rPr>
        <w:t>4</w:t>
      </w:r>
      <w:r>
        <w:rPr>
          <w:rFonts w:hint="eastAsia" w:ascii="宋体" w:hAnsi="宋体" w:cs="宋体"/>
          <w:sz w:val="24"/>
          <w:szCs w:val="24"/>
        </w:rPr>
        <w:t>日（含节假日）。如擅自离开工地一次，按限期整改责任</w:t>
      </w:r>
      <w:r>
        <w:rPr>
          <w:rFonts w:ascii="宋体" w:hAnsi="宋体" w:cs="宋体"/>
          <w:sz w:val="24"/>
          <w:szCs w:val="24"/>
        </w:rPr>
        <w:t>1次处理，累计三次以上的各次按一般违约责任处理</w:t>
      </w:r>
      <w:r>
        <w:rPr>
          <w:rFonts w:hint="eastAsia" w:ascii="宋体" w:hAnsi="宋体" w:cs="宋体"/>
          <w:sz w:val="24"/>
          <w:szCs w:val="24"/>
        </w:rPr>
        <w:t>。</w:t>
      </w:r>
    </w:p>
    <w:p w14:paraId="1CFA32BC">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8）工程施工期间，监理单位应合理安排工作，保证有足够的人员轮值。监理人员不足或素质不满足工作要求，发现一次则监理单位一般违约责任1次，并立即整改。监理单位拒不整改者，建设管理单位有权单方解除合同。</w:t>
      </w:r>
    </w:p>
    <w:p w14:paraId="2AB7E8E7">
      <w:pPr>
        <w:widowControl/>
        <w:spacing w:line="360" w:lineRule="auto"/>
        <w:ind w:firstLine="482" w:firstLineChars="200"/>
        <w:jc w:val="left"/>
        <w:rPr>
          <w:rFonts w:ascii="宋体" w:hAnsi="宋体" w:cs="宋体"/>
          <w:sz w:val="24"/>
          <w:szCs w:val="24"/>
        </w:rPr>
      </w:pPr>
      <w:r>
        <w:rPr>
          <w:rFonts w:hint="eastAsia" w:ascii="宋体" w:hAnsi="宋体" w:cs="宋体"/>
          <w:b/>
          <w:sz w:val="24"/>
          <w:szCs w:val="24"/>
        </w:rPr>
        <w:t>第二十六条</w:t>
      </w:r>
      <w:r>
        <w:rPr>
          <w:rFonts w:hint="eastAsia" w:ascii="宋体" w:hAnsi="宋体" w:cs="宋体"/>
          <w:sz w:val="24"/>
          <w:szCs w:val="24"/>
        </w:rPr>
        <w:t xml:space="preserve">  建设单位要求总监理工程师或主要监理工程师必须参加的会议，总监理工程师或主要监理工程师应到会，未经建设管理单位批准不参会的，每人次按限期改正责任1次处理。</w:t>
      </w:r>
    </w:p>
    <w:p w14:paraId="4D2CDE32">
      <w:pPr>
        <w:widowControl/>
        <w:spacing w:line="360" w:lineRule="auto"/>
        <w:ind w:firstLine="482" w:firstLineChars="200"/>
        <w:jc w:val="left"/>
        <w:rPr>
          <w:rFonts w:ascii="宋体" w:hAnsi="宋体" w:cs="宋体"/>
          <w:sz w:val="24"/>
          <w:szCs w:val="24"/>
        </w:rPr>
      </w:pPr>
      <w:r>
        <w:rPr>
          <w:rFonts w:hint="eastAsia" w:ascii="宋体" w:hAnsi="宋体" w:cs="宋体"/>
          <w:b/>
          <w:sz w:val="24"/>
          <w:szCs w:val="24"/>
        </w:rPr>
        <w:t>第二十七条</w:t>
      </w:r>
      <w:r>
        <w:rPr>
          <w:rFonts w:hint="eastAsia" w:ascii="宋体" w:hAnsi="宋体" w:cs="宋体"/>
          <w:sz w:val="24"/>
          <w:szCs w:val="24"/>
        </w:rPr>
        <w:t xml:space="preserve">  监理单位在自己职责范围内应当作出决定的事项故意拖延或者不做出明确的处理意见，监理单位承担一般违约责任1次，并赔偿损失。</w:t>
      </w:r>
    </w:p>
    <w:p w14:paraId="28494940">
      <w:pPr>
        <w:widowControl/>
        <w:tabs>
          <w:tab w:val="left" w:pos="2760"/>
        </w:tabs>
        <w:spacing w:line="360" w:lineRule="auto"/>
        <w:ind w:firstLine="482" w:firstLineChars="200"/>
        <w:jc w:val="left"/>
        <w:rPr>
          <w:rFonts w:ascii="宋体" w:hAnsi="宋体" w:cs="宋体"/>
          <w:sz w:val="24"/>
          <w:szCs w:val="24"/>
        </w:rPr>
      </w:pPr>
      <w:r>
        <w:rPr>
          <w:rFonts w:hint="eastAsia" w:ascii="宋体" w:hAnsi="宋体" w:cs="宋体"/>
          <w:b/>
          <w:sz w:val="24"/>
          <w:szCs w:val="24"/>
        </w:rPr>
        <w:t>第二十八条</w:t>
      </w:r>
      <w:r>
        <w:rPr>
          <w:rFonts w:hint="eastAsia" w:ascii="宋体" w:hAnsi="宋体" w:cs="宋体"/>
          <w:sz w:val="24"/>
          <w:szCs w:val="24"/>
        </w:rPr>
        <w:t xml:space="preserve">  监理单位应在监理服务期内，办理派驻到项目所在地人员人身和自备财产的有关保险（如安全生产责任险）。否则，对有关风险及后果监理单位承担全部责任，建设单位和建设管理单位不承担任何责任。</w:t>
      </w:r>
    </w:p>
    <w:p w14:paraId="1AA296EC">
      <w:pPr>
        <w:widowControl/>
        <w:tabs>
          <w:tab w:val="left" w:pos="2760"/>
        </w:tabs>
        <w:spacing w:line="360" w:lineRule="auto"/>
        <w:ind w:firstLine="482" w:firstLineChars="200"/>
        <w:jc w:val="left"/>
        <w:rPr>
          <w:rFonts w:ascii="宋体" w:hAnsi="宋体" w:cs="宋体"/>
          <w:sz w:val="24"/>
          <w:szCs w:val="24"/>
        </w:rPr>
      </w:pPr>
      <w:r>
        <w:rPr>
          <w:rFonts w:hint="eastAsia" w:ascii="宋体" w:hAnsi="宋体" w:cs="宋体"/>
          <w:b/>
          <w:sz w:val="24"/>
          <w:szCs w:val="24"/>
        </w:rPr>
        <w:t>第二十九条</w:t>
      </w:r>
      <w:r>
        <w:rPr>
          <w:rFonts w:hint="eastAsia" w:ascii="宋体" w:hAnsi="宋体" w:cs="宋体"/>
          <w:sz w:val="24"/>
          <w:szCs w:val="24"/>
        </w:rPr>
        <w:t xml:space="preserve">  监理单位必须加强监理工程师职业操守教育，本项目监理工程师需遵守监理工程师职业道德守则，并严格遵守以下规定：</w:t>
      </w:r>
    </w:p>
    <w:p w14:paraId="7883F8F0">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1、禁止向建设单位、建设管理单位及承包人推销材料、设备，或采用具有倾向性、排他性的工作方式进行变相推销；</w:t>
      </w:r>
    </w:p>
    <w:p w14:paraId="78E0FD2D">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2、禁止与承包人串通，对不合格材料、产品用于本工程和不合格工程通过验收；</w:t>
      </w:r>
    </w:p>
    <w:p w14:paraId="2FB51A64">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3、禁止与承包人串通，对材料用量、工程量进行虚假签认；</w:t>
      </w:r>
    </w:p>
    <w:p w14:paraId="4440A099">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4、禁止与承包人串通，不合理提高施工难度及增加材料用量，以增加工程造价。</w:t>
      </w:r>
    </w:p>
    <w:p w14:paraId="24C18D98">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5、禁止接受承包人的请吃送礼，或变相受礼；</w:t>
      </w:r>
    </w:p>
    <w:p w14:paraId="58113406">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6、禁止向承包人介绍分包人；</w:t>
      </w:r>
    </w:p>
    <w:p w14:paraId="2C85994B">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7、禁止故意刁难承包人以谋取私利，损害建设单位的合法利益。</w:t>
      </w:r>
    </w:p>
    <w:p w14:paraId="1D735BE8">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凡违反以上任一规定者，一经查实，按每人次严重违约责任处理，该监理工程师限期退场。建设管理单位认为情节严重的，有权部分或全部解除合同，并依法追究监理单位及相关人员责任，情节严重者移交司法机关追究法律责任。</w:t>
      </w:r>
    </w:p>
    <w:p w14:paraId="11733DB5">
      <w:pPr>
        <w:widowControl/>
        <w:tabs>
          <w:tab w:val="left" w:pos="2760"/>
        </w:tabs>
        <w:spacing w:line="360" w:lineRule="auto"/>
        <w:ind w:firstLine="482" w:firstLineChars="200"/>
        <w:jc w:val="left"/>
        <w:rPr>
          <w:rFonts w:ascii="宋体" w:hAnsi="宋体" w:cs="宋体"/>
          <w:sz w:val="24"/>
          <w:szCs w:val="24"/>
        </w:rPr>
      </w:pPr>
      <w:r>
        <w:rPr>
          <w:rFonts w:hint="eastAsia" w:ascii="宋体" w:hAnsi="宋体" w:cs="宋体"/>
          <w:b/>
          <w:sz w:val="24"/>
          <w:szCs w:val="24"/>
        </w:rPr>
        <w:t>第三十条</w:t>
      </w:r>
      <w:r>
        <w:rPr>
          <w:rFonts w:hint="eastAsia" w:ascii="宋体" w:hAnsi="宋体" w:cs="宋体"/>
          <w:sz w:val="24"/>
          <w:szCs w:val="24"/>
        </w:rPr>
        <w:t xml:space="preserve">  工程质量或隐蔽工程，监理单位验收为合格，但经建设管理单位或工程质量检测单位抽检，质量不合格、或未按设计要求和有关规范进行施工的，监理单位应承担严重违约责任1次，同时，承包人和监理单位应赔偿建设单位的经济损失，且建设单位有权部分或全部解除合同。</w:t>
      </w:r>
    </w:p>
    <w:p w14:paraId="534123C6">
      <w:pPr>
        <w:tabs>
          <w:tab w:val="left" w:pos="900"/>
        </w:tabs>
        <w:spacing w:line="360" w:lineRule="auto"/>
        <w:ind w:firstLine="482" w:firstLineChars="200"/>
        <w:rPr>
          <w:rFonts w:ascii="宋体" w:hAnsi="宋体" w:cs="宋体"/>
          <w:sz w:val="24"/>
          <w:szCs w:val="24"/>
        </w:rPr>
      </w:pPr>
      <w:r>
        <w:rPr>
          <w:rFonts w:hint="eastAsia" w:ascii="宋体" w:hAnsi="宋体" w:cs="宋体"/>
          <w:b/>
          <w:sz w:val="24"/>
          <w:szCs w:val="24"/>
        </w:rPr>
        <w:t>第三十一条</w:t>
      </w:r>
      <w:r>
        <w:rPr>
          <w:rFonts w:hint="eastAsia" w:ascii="宋体" w:hAnsi="宋体" w:cs="宋体"/>
          <w:sz w:val="24"/>
          <w:szCs w:val="24"/>
        </w:rPr>
        <w:t xml:space="preserve">  标准条件第三十一条不适用，补充以下内容：</w:t>
      </w:r>
    </w:p>
    <w:p w14:paraId="643EE69C">
      <w:pPr>
        <w:tabs>
          <w:tab w:val="left" w:pos="900"/>
        </w:tabs>
        <w:spacing w:line="360" w:lineRule="auto"/>
        <w:ind w:firstLine="480" w:firstLineChars="200"/>
        <w:rPr>
          <w:rFonts w:ascii="宋体" w:hAnsi="宋体"/>
          <w:sz w:val="24"/>
          <w:szCs w:val="24"/>
        </w:rPr>
      </w:pPr>
      <w:r>
        <w:rPr>
          <w:rFonts w:hint="eastAsia" w:ascii="宋体" w:hAnsi="宋体" w:cs="宋体"/>
          <w:sz w:val="24"/>
          <w:szCs w:val="24"/>
        </w:rPr>
        <w:t>工程施工的关键线路节点工期因承包人原因比计划滞后5日以上，监理单位未及时提出整改措施或未监督执行，应限期改正，每发生一次按一般违约责任1次处理。关键节点工期滞后10天以上，每发生一次按严重违约责任1次处理。由此出现关键线路节点工期滞后20天以上监理单位工期控制失效的情形，建设单位有权解除合同。</w:t>
      </w:r>
    </w:p>
    <w:p w14:paraId="64B6B838">
      <w:pPr>
        <w:widowControl/>
        <w:tabs>
          <w:tab w:val="left" w:pos="2760"/>
        </w:tabs>
        <w:spacing w:line="360" w:lineRule="auto"/>
        <w:ind w:firstLine="482" w:firstLineChars="200"/>
        <w:jc w:val="left"/>
        <w:rPr>
          <w:rFonts w:ascii="宋体" w:hAnsi="宋体" w:cs="宋体"/>
          <w:sz w:val="24"/>
          <w:szCs w:val="24"/>
        </w:rPr>
      </w:pPr>
      <w:r>
        <w:rPr>
          <w:rFonts w:hint="eastAsia" w:ascii="宋体" w:hAnsi="宋体" w:cs="宋体"/>
          <w:b/>
          <w:sz w:val="24"/>
          <w:szCs w:val="24"/>
        </w:rPr>
        <w:t>第三十二条</w:t>
      </w:r>
      <w:r>
        <w:rPr>
          <w:rFonts w:hint="eastAsia" w:ascii="宋体" w:hAnsi="宋体" w:cs="宋体"/>
          <w:sz w:val="24"/>
          <w:szCs w:val="24"/>
        </w:rPr>
        <w:t xml:space="preserve">  监理单位应当按时对承包人的申报事项予以审批，因监理单位的原因造成关键工期延误5日以上10日以下的，每次按一般违约责任1次处理；延期超过10日以上的，每次按严重违约责任1次处理。</w:t>
      </w:r>
    </w:p>
    <w:p w14:paraId="0C0675A7">
      <w:pPr>
        <w:widowControl/>
        <w:tabs>
          <w:tab w:val="left" w:pos="2760"/>
        </w:tabs>
        <w:spacing w:line="360" w:lineRule="auto"/>
        <w:ind w:firstLine="482" w:firstLineChars="200"/>
        <w:jc w:val="left"/>
        <w:rPr>
          <w:rFonts w:ascii="宋体" w:hAnsi="宋体" w:cs="宋体"/>
          <w:sz w:val="24"/>
          <w:szCs w:val="24"/>
        </w:rPr>
      </w:pPr>
      <w:r>
        <w:rPr>
          <w:rFonts w:hint="eastAsia" w:ascii="宋体" w:hAnsi="宋体" w:cs="宋体"/>
          <w:b/>
          <w:sz w:val="24"/>
          <w:szCs w:val="24"/>
        </w:rPr>
        <w:t>第三十三条</w:t>
      </w:r>
      <w:r>
        <w:rPr>
          <w:rFonts w:hint="eastAsia" w:ascii="宋体" w:hAnsi="宋体" w:cs="宋体"/>
          <w:sz w:val="24"/>
          <w:szCs w:val="24"/>
        </w:rPr>
        <w:t xml:space="preserve">  对于承包人提交的请款报告，监理单位未按实际完成工程量审核，或未按本合同要求签署拨款意见，按限期改正责任1次处理，累计3次以上的各次按一般违约责任处理；如造成工程款超付的情况，按严重违约责任处理，造成损失的，监理单位应赔偿损失，同时，建设管理单位有权解除合同。</w:t>
      </w:r>
    </w:p>
    <w:p w14:paraId="1B155A37">
      <w:pPr>
        <w:widowControl/>
        <w:spacing w:line="360" w:lineRule="auto"/>
        <w:ind w:firstLine="482" w:firstLineChars="200"/>
        <w:jc w:val="left"/>
        <w:rPr>
          <w:rFonts w:ascii="宋体" w:hAnsi="宋体" w:cs="宋体"/>
          <w:sz w:val="24"/>
          <w:szCs w:val="24"/>
        </w:rPr>
      </w:pPr>
      <w:r>
        <w:rPr>
          <w:rFonts w:hint="eastAsia" w:ascii="宋体" w:hAnsi="宋体" w:cs="宋体"/>
          <w:b/>
          <w:sz w:val="24"/>
          <w:szCs w:val="24"/>
        </w:rPr>
        <w:t>第三十四条</w:t>
      </w:r>
      <w:r>
        <w:rPr>
          <w:rFonts w:hint="eastAsia" w:ascii="宋体" w:hAnsi="宋体" w:cs="宋体"/>
          <w:sz w:val="24"/>
          <w:szCs w:val="24"/>
        </w:rPr>
        <w:t xml:space="preserve">  监理单位为违约行为的直接责任人，其违约行为达到严重违约（或相当于严重违约）1次，主管人员因其下属的严重违约（或相当于严重违约）累计达到3次，则建设单位有权认为该监理人员已不适于继续担任本工程的监理工作，监理单位必须限期更换该人员。</w:t>
      </w:r>
    </w:p>
    <w:p w14:paraId="18CE6219">
      <w:pPr>
        <w:widowControl/>
        <w:spacing w:line="360" w:lineRule="auto"/>
        <w:ind w:firstLine="482" w:firstLineChars="200"/>
        <w:jc w:val="left"/>
        <w:rPr>
          <w:rFonts w:ascii="宋体" w:hAnsi="宋体" w:cs="宋体"/>
          <w:sz w:val="24"/>
          <w:szCs w:val="24"/>
        </w:rPr>
      </w:pPr>
      <w:r>
        <w:rPr>
          <w:rFonts w:hint="eastAsia" w:ascii="宋体" w:hAnsi="宋体" w:cs="宋体"/>
          <w:b/>
          <w:sz w:val="24"/>
          <w:szCs w:val="24"/>
        </w:rPr>
        <w:t>第三十五条　</w:t>
      </w:r>
      <w:r>
        <w:rPr>
          <w:rFonts w:hint="eastAsia" w:ascii="宋体" w:hAnsi="宋体" w:cs="宋体"/>
          <w:sz w:val="24"/>
          <w:szCs w:val="24"/>
        </w:rPr>
        <w:t>因下列监理单位原因：</w:t>
      </w:r>
    </w:p>
    <w:p w14:paraId="2E2E1BD3">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（1）在施工过程中，监理单位发出错误指令或指令不及时；</w:t>
      </w:r>
    </w:p>
    <w:p w14:paraId="19E8E7BD">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（2）监理单位越权审批设计变更；</w:t>
      </w:r>
    </w:p>
    <w:p w14:paraId="7D00A3BE">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（3）未旁站或旁站不到位；</w:t>
      </w:r>
    </w:p>
    <w:p w14:paraId="4B5751EA">
      <w:pPr>
        <w:widowControl/>
        <w:spacing w:line="360" w:lineRule="auto"/>
        <w:ind w:firstLine="600" w:firstLineChars="250"/>
        <w:jc w:val="left"/>
        <w:rPr>
          <w:rFonts w:ascii="宋体" w:hAnsi="宋体" w:cs="宋体"/>
          <w:sz w:val="24"/>
          <w:szCs w:val="24"/>
        </w:rPr>
      </w:pPr>
      <w:r>
        <w:rPr>
          <w:rFonts w:hint="eastAsia" w:ascii="宋体" w:hAnsi="宋体" w:cs="宋体"/>
          <w:sz w:val="24"/>
          <w:szCs w:val="24"/>
        </w:rPr>
        <w:t>(4) 因安全文明施工监督不到位，收到停工整改通知；</w:t>
      </w:r>
    </w:p>
    <w:p w14:paraId="4BBE57E7">
      <w:pPr>
        <w:tabs>
          <w:tab w:val="left" w:pos="900"/>
        </w:tabs>
        <w:spacing w:line="360" w:lineRule="auto"/>
        <w:ind w:firstLine="480" w:firstLineChars="200"/>
        <w:rPr>
          <w:rFonts w:ascii="宋体" w:hAnsi="宋体"/>
          <w:sz w:val="24"/>
          <w:szCs w:val="24"/>
        </w:rPr>
      </w:pPr>
      <w:r>
        <w:rPr>
          <w:rFonts w:hint="eastAsia" w:ascii="宋体" w:hAnsi="宋体" w:cs="宋体"/>
          <w:sz w:val="24"/>
          <w:szCs w:val="24"/>
        </w:rPr>
        <w:t>（5）其它因监理单位自身失误造成的原因。</w:t>
      </w:r>
    </w:p>
    <w:p w14:paraId="0E4EB03A">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 致使本工程在投资、工期、质量、安全、文明施工等方面造成损失的，监理单位应赔偿损失，累计赔偿总额不受监理费总额限制。</w:t>
      </w:r>
    </w:p>
    <w:p w14:paraId="09521885">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 1、因监理单位原因造成工程投资增加的，全额赔偿增加部分的工程投资。</w:t>
      </w:r>
    </w:p>
    <w:p w14:paraId="13242255">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 2、因监理单位责任导致工期延误，监理单位应每天按监理费合同价的</w:t>
      </w:r>
      <w:r>
        <w:rPr>
          <w:rFonts w:hint="eastAsia" w:ascii="宋体" w:hAnsi="宋体" w:cs="宋体"/>
          <w:sz w:val="24"/>
          <w:szCs w:val="24"/>
          <w:u w:val="single"/>
        </w:rPr>
        <w:t>1%</w:t>
      </w:r>
      <w:r>
        <w:rPr>
          <w:rFonts w:hint="eastAsia" w:ascii="宋体" w:hAnsi="宋体" w:cs="宋体"/>
          <w:sz w:val="24"/>
          <w:szCs w:val="24"/>
        </w:rPr>
        <w:t>向建设单位支付违约金。因延期导致第三方赔偿责任的，监理单位必须承担赔偿责任。</w:t>
      </w:r>
    </w:p>
    <w:p w14:paraId="4E0357EF">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3、各分部、单位或整体工程质量一次性验收不符合质量标准时，按相应工程占总工程的比例扣除监理单位相应监理费，同时，监理单位赔偿建设单位一切损失。</w:t>
      </w:r>
    </w:p>
    <w:p w14:paraId="1173D22A">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4、因安全文明施工监督不到位，收到停工整改通知，每次按严重违约责任处理。</w:t>
      </w:r>
    </w:p>
    <w:p w14:paraId="20243F0A">
      <w:pPr>
        <w:widowControl/>
        <w:spacing w:line="360" w:lineRule="auto"/>
        <w:ind w:firstLine="482" w:firstLineChars="200"/>
        <w:jc w:val="left"/>
        <w:rPr>
          <w:rFonts w:ascii="宋体" w:hAnsi="宋体" w:cs="宋体"/>
          <w:sz w:val="24"/>
          <w:szCs w:val="24"/>
        </w:rPr>
      </w:pPr>
      <w:r>
        <w:rPr>
          <w:rFonts w:hint="eastAsia" w:ascii="宋体" w:hAnsi="宋体" w:cs="宋体"/>
          <w:b/>
          <w:sz w:val="24"/>
          <w:szCs w:val="24"/>
        </w:rPr>
        <w:t>第三十六条</w:t>
      </w:r>
      <w:r>
        <w:rPr>
          <w:rFonts w:hint="eastAsia" w:ascii="宋体" w:hAnsi="宋体" w:cs="宋体"/>
          <w:sz w:val="24"/>
          <w:szCs w:val="24"/>
        </w:rPr>
        <w:t xml:space="preserve"> 其他监理单位应承担违约责任的约定</w:t>
      </w:r>
    </w:p>
    <w:p w14:paraId="696D0610">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1、承包人未按施工组织设计投入人工、机械、设备、材料等，监理单位未督促、处理，限期改正，承担限期改正责任1次。</w:t>
      </w:r>
    </w:p>
    <w:p w14:paraId="75F87ABB">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2、对工程的抽验频率未达到有关要求或试验、检测弄虚作假，每次承担一般违约责任1次。</w:t>
      </w:r>
    </w:p>
    <w:p w14:paraId="5ED7CDC2">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3、每次进场材料，监理单位未检查和登记，每次承担一般违约责任1次。不合格材料使用于本工程，每次承担严重违约责任1次。若出现质量事故，依法追究监理单位责任。</w:t>
      </w:r>
    </w:p>
    <w:p w14:paraId="18006336">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4、承包人提交的现场签证资料，监理单位无准确、真实的现场原始记录或未现场复核，立即改正，承担一般违约责任1次。对签证错误造成直接经济损失10万元（含10万元）以上的，依法追究监理单位责任。</w:t>
      </w:r>
    </w:p>
    <w:p w14:paraId="11FE9BB9">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5、承包人提交的施工方案、设计变更，监理单位对其中明显不符合实际情况，监理单位审核同意的，限期改正外，每次承担严重违约责任1次。</w:t>
      </w:r>
    </w:p>
    <w:p w14:paraId="281A7839">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6、对于承包人提交的请款报告，监理单位未按实际完成的工作量进行审核，限期改正外，每次承担严重违约责任1次；超付工程款的，监理单位必须承担严重违约责任2次。</w:t>
      </w:r>
    </w:p>
    <w:p w14:paraId="5B8FB589">
      <w:pPr>
        <w:widowControl/>
        <w:tabs>
          <w:tab w:val="left" w:pos="2760"/>
        </w:tabs>
        <w:spacing w:line="360" w:lineRule="auto"/>
        <w:ind w:firstLine="480" w:firstLineChars="200"/>
        <w:jc w:val="left"/>
        <w:rPr>
          <w:rFonts w:ascii="宋体" w:hAnsi="宋体" w:cs="宋体"/>
          <w:sz w:val="24"/>
          <w:szCs w:val="24"/>
        </w:rPr>
      </w:pPr>
      <w:r>
        <w:rPr>
          <w:rFonts w:hint="eastAsia" w:ascii="宋体" w:hAnsi="宋体" w:cs="宋体"/>
          <w:sz w:val="24"/>
          <w:szCs w:val="24"/>
        </w:rPr>
        <w:t>7、监理单位应按照有关安全文明施工的要求，承担监理责任。承包人未做好安全防护、文明施工措施，未按有关规定组织安全生产，监理单位未督促整改，每次承担限期改正责任1次。发生安全生产事故的，监理单位承担严重违约责任1次。情节严重的，建设单位有权部分或全部解除合同，赔偿所有损失。</w:t>
      </w:r>
    </w:p>
    <w:p w14:paraId="006983E3">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8、工程验收不合格或工地发生重大质量或安全事故的，监理单位应按照专用条件</w:t>
      </w:r>
      <w:r>
        <w:rPr>
          <w:rFonts w:hint="eastAsia" w:ascii="宋体" w:hAnsi="宋体" w:cs="宋体"/>
          <w:b/>
          <w:sz w:val="24"/>
          <w:szCs w:val="24"/>
          <w:u w:val="single"/>
        </w:rPr>
        <w:t>第三十条和第三十五条</w:t>
      </w:r>
      <w:r>
        <w:rPr>
          <w:rFonts w:hint="eastAsia" w:ascii="宋体" w:hAnsi="宋体" w:cs="宋体"/>
          <w:sz w:val="24"/>
          <w:szCs w:val="24"/>
        </w:rPr>
        <w:t>向建设单位支付赔偿金，并依法追究责任。</w:t>
      </w:r>
    </w:p>
    <w:p w14:paraId="28FE4CF1">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9、监理单位须按照《建设工程文件归档整理规范》、《广东省建筑施工安全管理资料统一用表》、《广东省建筑工程竣工验收技术资料统一用表》及现行有关规定等，与工程进度同步完成监理档案资料，建设单位有权随时抽查，未及时完成的，限期改正，每次承担限期改正责任一次。</w:t>
      </w:r>
    </w:p>
    <w:p w14:paraId="79BC819E">
      <w:pPr>
        <w:widowControl/>
        <w:spacing w:line="336" w:lineRule="auto"/>
        <w:ind w:firstLine="472" w:firstLineChars="196"/>
        <w:jc w:val="left"/>
        <w:rPr>
          <w:rFonts w:ascii="宋体" w:hAnsi="宋体" w:cs="宋体"/>
          <w:sz w:val="24"/>
          <w:szCs w:val="24"/>
        </w:rPr>
      </w:pPr>
      <w:r>
        <w:rPr>
          <w:rFonts w:hint="eastAsia" w:ascii="宋体" w:hAnsi="宋体" w:cs="宋体"/>
          <w:b/>
          <w:sz w:val="24"/>
          <w:szCs w:val="24"/>
        </w:rPr>
        <w:t>第三十七条</w:t>
      </w:r>
      <w:r>
        <w:rPr>
          <w:rFonts w:hint="eastAsia" w:ascii="宋体" w:hAnsi="宋体" w:cs="宋体"/>
          <w:bCs/>
          <w:sz w:val="24"/>
          <w:szCs w:val="24"/>
        </w:rPr>
        <w:t>本合同签订生效后，在办理第一次请款前，监理单位需提供本合同银行履约保函（格式见附件</w:t>
      </w:r>
      <w:r>
        <w:rPr>
          <w:rFonts w:ascii="宋体" w:hAnsi="宋体" w:cs="宋体"/>
          <w:bCs/>
          <w:sz w:val="24"/>
          <w:szCs w:val="24"/>
        </w:rPr>
        <w:t>6），保函金额为合同价的10%，保函原则要求在中国注册且营业地点在广州行政辖区内的银行或建设单位认可的其他金融机构开具，否则，监理单位应向建设单位提出申请，并经建设单位审批同意</w:t>
      </w:r>
      <w:r>
        <w:rPr>
          <w:rFonts w:hint="eastAsia" w:ascii="宋体" w:hAnsi="宋体" w:cs="宋体"/>
          <w:sz w:val="24"/>
          <w:szCs w:val="24"/>
        </w:rPr>
        <w:t>。</w:t>
      </w:r>
    </w:p>
    <w:p w14:paraId="1059FCE5">
      <w:pPr>
        <w:widowControl/>
        <w:spacing w:line="336" w:lineRule="auto"/>
        <w:ind w:firstLine="472" w:firstLineChars="196"/>
        <w:jc w:val="left"/>
        <w:rPr>
          <w:rFonts w:ascii="宋体" w:hAnsi="宋体" w:cs="宋体"/>
          <w:sz w:val="24"/>
          <w:szCs w:val="24"/>
        </w:rPr>
      </w:pPr>
      <w:r>
        <w:rPr>
          <w:rFonts w:hint="eastAsia" w:ascii="宋体" w:hAnsi="宋体" w:cs="宋体"/>
          <w:b/>
          <w:sz w:val="24"/>
          <w:szCs w:val="24"/>
        </w:rPr>
        <w:t xml:space="preserve">第三十八条 </w:t>
      </w:r>
      <w:r>
        <w:rPr>
          <w:rFonts w:hint="eastAsia" w:ascii="宋体" w:hAnsi="宋体" w:cs="宋体"/>
          <w:sz w:val="24"/>
          <w:szCs w:val="24"/>
        </w:rPr>
        <w:t>本合同监理违约行为的处罚条款与本合同附件7《监理业务违约行为奖罚制度》合并执行，两者不一致的，以处罚严重的为准。</w:t>
      </w:r>
    </w:p>
    <w:p w14:paraId="6808E578">
      <w:pPr>
        <w:widowControl/>
        <w:spacing w:line="336" w:lineRule="auto"/>
        <w:ind w:firstLine="472" w:firstLineChars="196"/>
        <w:jc w:val="left"/>
        <w:rPr>
          <w:rFonts w:ascii="宋体" w:hAnsi="宋体" w:cs="宋体"/>
          <w:sz w:val="24"/>
          <w:szCs w:val="24"/>
        </w:rPr>
      </w:pPr>
      <w:r>
        <w:rPr>
          <w:rFonts w:hint="eastAsia" w:ascii="宋体" w:hAnsi="宋体" w:cs="宋体"/>
          <w:b/>
          <w:sz w:val="24"/>
          <w:szCs w:val="24"/>
        </w:rPr>
        <w:t>第三十九条</w:t>
      </w:r>
      <w:r>
        <w:rPr>
          <w:rFonts w:ascii="宋体" w:hAnsi="宋体" w:cs="宋体"/>
          <w:b/>
          <w:sz w:val="24"/>
          <w:szCs w:val="24"/>
        </w:rPr>
        <w:t xml:space="preserve"> </w:t>
      </w:r>
      <w:r>
        <w:rPr>
          <w:rFonts w:hint="eastAsia" w:ascii="宋体" w:hAnsi="宋体" w:cs="宋体"/>
          <w:sz w:val="24"/>
          <w:szCs w:val="24"/>
        </w:rPr>
        <w:t>为规范项目建设管理，丙方需遵守乙方《服务供应商不规范行为管理办法》</w:t>
      </w:r>
      <w:r>
        <w:rPr>
          <w:rFonts w:ascii="宋体" w:hAnsi="宋体" w:cs="宋体"/>
          <w:sz w:val="24"/>
          <w:szCs w:val="24"/>
        </w:rPr>
        <w:t>(另册)。</w:t>
      </w:r>
      <w:bookmarkStart w:id="8" w:name="_Toc237755563"/>
    </w:p>
    <w:p w14:paraId="01CF32A4">
      <w:pPr>
        <w:widowControl/>
        <w:spacing w:line="336" w:lineRule="auto"/>
        <w:ind w:firstLine="470" w:firstLineChars="196"/>
        <w:jc w:val="left"/>
        <w:rPr>
          <w:rFonts w:ascii="宋体" w:hAnsi="宋体" w:cs="宋体"/>
          <w:sz w:val="24"/>
          <w:szCs w:val="24"/>
        </w:rPr>
      </w:pPr>
    </w:p>
    <w:p w14:paraId="4BABEE52">
      <w:pPr>
        <w:spacing w:line="400" w:lineRule="exact"/>
      </w:pPr>
      <w:r>
        <w:rPr>
          <w:rFonts w:hint="eastAsia"/>
        </w:rPr>
        <w:br w:type="page"/>
      </w:r>
    </w:p>
    <w:p w14:paraId="5A415487">
      <w:pPr>
        <w:pStyle w:val="2"/>
        <w:spacing w:after="120" w:afterLines="50"/>
        <w:rPr>
          <w:sz w:val="36"/>
          <w:szCs w:val="36"/>
        </w:rPr>
      </w:pPr>
      <w:bookmarkStart w:id="9" w:name="_Toc177120552"/>
      <w:r>
        <w:rPr>
          <w:rFonts w:hint="eastAsia"/>
        </w:rPr>
        <w:t>附件1</w:t>
      </w:r>
      <w:bookmarkEnd w:id="8"/>
      <w:r>
        <w:rPr>
          <w:rFonts w:hint="eastAsia"/>
        </w:rPr>
        <w:t xml:space="preserve"> ：</w:t>
      </w:r>
      <w:r>
        <w:rPr>
          <w:rFonts w:hint="eastAsia" w:ascii="宋体" w:hAnsi="宋体"/>
          <w:sz w:val="36"/>
          <w:szCs w:val="36"/>
        </w:rPr>
        <w:t>项目监理机构人员架构表</w:t>
      </w:r>
      <w:bookmarkEnd w:id="9"/>
    </w:p>
    <w:p w14:paraId="2F6FB45D">
      <w:pPr>
        <w:spacing w:after="120" w:afterLines="50"/>
        <w:jc w:val="center"/>
        <w:rPr>
          <w:rFonts w:ascii="宋体" w:hAnsi="宋体"/>
          <w:b/>
          <w:sz w:val="24"/>
          <w:szCs w:val="24"/>
        </w:rPr>
      </w:pPr>
    </w:p>
    <w:tbl>
      <w:tblPr>
        <w:tblStyle w:val="4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5"/>
        <w:gridCol w:w="2835"/>
        <w:gridCol w:w="15"/>
        <w:gridCol w:w="2253"/>
        <w:gridCol w:w="2409"/>
      </w:tblGrid>
      <w:tr w14:paraId="3E05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418" w:type="dxa"/>
            <w:gridSpan w:val="2"/>
            <w:tcBorders>
              <w:top w:val="single" w:color="auto" w:sz="4" w:space="0"/>
              <w:left w:val="single" w:color="auto" w:sz="4" w:space="0"/>
              <w:bottom w:val="single" w:color="auto" w:sz="4" w:space="0"/>
              <w:right w:val="single" w:color="auto" w:sz="4" w:space="0"/>
            </w:tcBorders>
            <w:vAlign w:val="center"/>
          </w:tcPr>
          <w:p w14:paraId="2187F52C">
            <w:pPr>
              <w:widowControl/>
              <w:spacing w:line="360" w:lineRule="exact"/>
              <w:jc w:val="center"/>
              <w:rPr>
                <w:rFonts w:ascii="宋体" w:hAnsi="宋体" w:cs="宋体"/>
                <w:sz w:val="24"/>
                <w:szCs w:val="24"/>
              </w:rPr>
            </w:pPr>
            <w:r>
              <w:rPr>
                <w:rFonts w:hint="eastAsia" w:ascii="宋体" w:hAnsi="宋体" w:cs="宋体"/>
                <w:sz w:val="24"/>
                <w:szCs w:val="24"/>
              </w:rPr>
              <w:t>工程名称</w:t>
            </w:r>
          </w:p>
        </w:tc>
        <w:tc>
          <w:tcPr>
            <w:tcW w:w="2835" w:type="dxa"/>
            <w:tcBorders>
              <w:top w:val="single" w:color="auto" w:sz="4" w:space="0"/>
              <w:left w:val="single" w:color="auto" w:sz="4" w:space="0"/>
              <w:bottom w:val="single" w:color="auto" w:sz="4" w:space="0"/>
              <w:right w:val="single" w:color="auto" w:sz="4" w:space="0"/>
            </w:tcBorders>
            <w:vAlign w:val="center"/>
          </w:tcPr>
          <w:p w14:paraId="3AFCFAFE">
            <w:pPr>
              <w:widowControl/>
              <w:spacing w:line="360" w:lineRule="exact"/>
              <w:jc w:val="center"/>
              <w:rPr>
                <w:rFonts w:hint="eastAsia" w:ascii="宋体" w:hAnsi="宋体" w:eastAsia="宋体"/>
                <w:sz w:val="24"/>
                <w:szCs w:val="24"/>
                <w:u w:val="single"/>
                <w:lang w:eastAsia="zh-CN"/>
              </w:rPr>
            </w:pPr>
            <w:r>
              <w:rPr>
                <w:rFonts w:hint="eastAsia" w:ascii="宋体" w:hAnsi="宋体"/>
                <w:sz w:val="24"/>
                <w:szCs w:val="24"/>
              </w:rPr>
              <w:t>广州设计之都嘉禾片区项目</w:t>
            </w:r>
            <w:r>
              <w:rPr>
                <w:rFonts w:hint="eastAsia" w:ascii="宋体" w:hAnsi="宋体"/>
                <w:sz w:val="24"/>
                <w:szCs w:val="24"/>
                <w:lang w:eastAsia="zh-CN"/>
              </w:rPr>
              <w:t>三期</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0F49A2B">
            <w:pPr>
              <w:widowControl/>
              <w:spacing w:line="360" w:lineRule="exact"/>
              <w:jc w:val="center"/>
              <w:rPr>
                <w:rFonts w:ascii="宋体" w:hAnsi="宋体" w:cs="宋体"/>
                <w:sz w:val="24"/>
                <w:szCs w:val="24"/>
              </w:rPr>
            </w:pPr>
            <w:r>
              <w:rPr>
                <w:rFonts w:hint="eastAsia" w:ascii="宋体" w:hAnsi="宋体" w:cs="宋体"/>
                <w:sz w:val="24"/>
                <w:szCs w:val="24"/>
              </w:rPr>
              <w:t>工程类别</w:t>
            </w:r>
          </w:p>
        </w:tc>
        <w:tc>
          <w:tcPr>
            <w:tcW w:w="2409" w:type="dxa"/>
            <w:tcBorders>
              <w:top w:val="single" w:color="auto" w:sz="4" w:space="0"/>
              <w:left w:val="single" w:color="auto" w:sz="4" w:space="0"/>
              <w:bottom w:val="single" w:color="auto" w:sz="4" w:space="0"/>
              <w:right w:val="single" w:color="auto" w:sz="4" w:space="0"/>
            </w:tcBorders>
            <w:vAlign w:val="center"/>
          </w:tcPr>
          <w:p w14:paraId="1C1D26B8">
            <w:pPr>
              <w:widowControl/>
              <w:spacing w:line="360" w:lineRule="exact"/>
              <w:jc w:val="center"/>
              <w:rPr>
                <w:rFonts w:ascii="宋体" w:hAnsi="宋体" w:cs="宋体"/>
                <w:sz w:val="24"/>
                <w:szCs w:val="24"/>
              </w:rPr>
            </w:pPr>
            <w:r>
              <w:rPr>
                <w:rFonts w:hint="eastAsia" w:ascii="宋体" w:hAnsi="宋体" w:cs="宋体"/>
                <w:sz w:val="24"/>
                <w:szCs w:val="24"/>
              </w:rPr>
              <w:t>房屋建筑工程</w:t>
            </w:r>
          </w:p>
        </w:tc>
      </w:tr>
      <w:tr w14:paraId="7F8E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418" w:type="dxa"/>
            <w:gridSpan w:val="2"/>
            <w:tcBorders>
              <w:top w:val="single" w:color="auto" w:sz="4" w:space="0"/>
              <w:left w:val="single" w:color="auto" w:sz="4" w:space="0"/>
              <w:bottom w:val="single" w:color="auto" w:sz="4" w:space="0"/>
              <w:right w:val="single" w:color="auto" w:sz="4" w:space="0"/>
            </w:tcBorders>
            <w:vAlign w:val="center"/>
          </w:tcPr>
          <w:p w14:paraId="4ADCF38D">
            <w:pPr>
              <w:widowControl/>
              <w:spacing w:line="360" w:lineRule="exact"/>
              <w:jc w:val="center"/>
              <w:rPr>
                <w:rFonts w:ascii="宋体" w:hAnsi="宋体" w:cs="宋体"/>
                <w:sz w:val="24"/>
                <w:szCs w:val="24"/>
              </w:rPr>
            </w:pPr>
            <w:r>
              <w:rPr>
                <w:rFonts w:hint="eastAsia" w:ascii="宋体" w:hAnsi="宋体" w:cs="宋体"/>
                <w:sz w:val="24"/>
                <w:szCs w:val="24"/>
              </w:rPr>
              <w:t>项目总监</w:t>
            </w:r>
          </w:p>
        </w:tc>
        <w:tc>
          <w:tcPr>
            <w:tcW w:w="2835" w:type="dxa"/>
            <w:tcBorders>
              <w:top w:val="single" w:color="auto" w:sz="4" w:space="0"/>
              <w:left w:val="single" w:color="auto" w:sz="4" w:space="0"/>
              <w:bottom w:val="single" w:color="auto" w:sz="4" w:space="0"/>
              <w:right w:val="single" w:color="auto" w:sz="4" w:space="0"/>
            </w:tcBorders>
            <w:vAlign w:val="center"/>
          </w:tcPr>
          <w:p w14:paraId="6437E0F9">
            <w:pPr>
              <w:widowControl/>
              <w:spacing w:line="3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9E56D0C">
            <w:pPr>
              <w:widowControl/>
              <w:spacing w:line="360" w:lineRule="exact"/>
              <w:jc w:val="center"/>
              <w:rPr>
                <w:rFonts w:ascii="宋体" w:hAnsi="宋体" w:cs="宋体"/>
                <w:sz w:val="24"/>
                <w:szCs w:val="24"/>
              </w:rPr>
            </w:pPr>
            <w:r>
              <w:rPr>
                <w:rFonts w:hint="eastAsia" w:ascii="宋体" w:hAnsi="宋体" w:cs="宋体"/>
                <w:sz w:val="24"/>
                <w:szCs w:val="24"/>
              </w:rPr>
              <w:t>现场安全负责人</w:t>
            </w:r>
          </w:p>
        </w:tc>
        <w:tc>
          <w:tcPr>
            <w:tcW w:w="2409" w:type="dxa"/>
            <w:tcBorders>
              <w:top w:val="single" w:color="auto" w:sz="4" w:space="0"/>
              <w:left w:val="single" w:color="auto" w:sz="4" w:space="0"/>
              <w:bottom w:val="single" w:color="auto" w:sz="4" w:space="0"/>
              <w:right w:val="single" w:color="auto" w:sz="4" w:space="0"/>
            </w:tcBorders>
            <w:vAlign w:val="center"/>
          </w:tcPr>
          <w:p w14:paraId="525AFB32">
            <w:pPr>
              <w:widowControl/>
              <w:spacing w:line="360" w:lineRule="exact"/>
              <w:jc w:val="center"/>
              <w:rPr>
                <w:rFonts w:ascii="宋体" w:hAnsi="宋体" w:cs="宋体"/>
                <w:sz w:val="24"/>
                <w:szCs w:val="24"/>
              </w:rPr>
            </w:pPr>
            <w:r>
              <w:rPr>
                <w:rFonts w:hint="eastAsia" w:ascii="宋体" w:hAnsi="宋体" w:cs="宋体"/>
                <w:sz w:val="24"/>
                <w:szCs w:val="24"/>
                <w:lang w:val="en-US" w:eastAsia="zh-CN"/>
              </w:rPr>
              <w:t xml:space="preserve"> </w:t>
            </w:r>
          </w:p>
        </w:tc>
      </w:tr>
      <w:tr w14:paraId="7A27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8930" w:type="dxa"/>
            <w:gridSpan w:val="6"/>
            <w:tcBorders>
              <w:top w:val="single" w:color="auto" w:sz="4" w:space="0"/>
              <w:left w:val="single" w:color="auto" w:sz="4" w:space="0"/>
              <w:bottom w:val="single" w:color="auto" w:sz="4" w:space="0"/>
              <w:right w:val="single" w:color="auto" w:sz="4" w:space="0"/>
            </w:tcBorders>
            <w:vAlign w:val="center"/>
          </w:tcPr>
          <w:p w14:paraId="2D6E75EE">
            <w:pPr>
              <w:widowControl/>
              <w:spacing w:line="360" w:lineRule="exact"/>
              <w:jc w:val="center"/>
              <w:rPr>
                <w:rFonts w:ascii="宋体" w:hAnsi="宋体"/>
                <w:sz w:val="24"/>
                <w:szCs w:val="24"/>
              </w:rPr>
            </w:pPr>
            <w:r>
              <w:rPr>
                <w:rFonts w:hint="eastAsia" w:ascii="宋体" w:hAnsi="宋体" w:cs="宋体"/>
                <w:sz w:val="24"/>
                <w:szCs w:val="24"/>
              </w:rPr>
              <w:t>监 理 人 员 （共</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人）</w:t>
            </w:r>
          </w:p>
        </w:tc>
      </w:tr>
      <w:tr w14:paraId="61E8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03" w:type="dxa"/>
            <w:tcBorders>
              <w:top w:val="single" w:color="auto" w:sz="4" w:space="0"/>
              <w:left w:val="single" w:color="auto" w:sz="4" w:space="0"/>
              <w:bottom w:val="single" w:color="auto" w:sz="4" w:space="0"/>
              <w:right w:val="single" w:color="auto" w:sz="4" w:space="0"/>
            </w:tcBorders>
            <w:vAlign w:val="center"/>
          </w:tcPr>
          <w:p w14:paraId="1E70A8F6">
            <w:pPr>
              <w:widowControl/>
              <w:spacing w:line="360" w:lineRule="exact"/>
              <w:jc w:val="center"/>
              <w:rPr>
                <w:rFonts w:ascii="宋体" w:hAnsi="宋体" w:cs="宋体"/>
                <w:sz w:val="24"/>
                <w:szCs w:val="24"/>
              </w:rPr>
            </w:pPr>
            <w:r>
              <w:rPr>
                <w:rFonts w:hint="eastAsia" w:ascii="宋体" w:hAnsi="宋体" w:cs="宋体"/>
                <w:sz w:val="24"/>
                <w:szCs w:val="24"/>
              </w:rPr>
              <w:t>姓名</w:t>
            </w:r>
          </w:p>
        </w:tc>
        <w:tc>
          <w:tcPr>
            <w:tcW w:w="2865" w:type="dxa"/>
            <w:gridSpan w:val="3"/>
            <w:tcBorders>
              <w:top w:val="single" w:color="auto" w:sz="4" w:space="0"/>
              <w:left w:val="single" w:color="auto" w:sz="4" w:space="0"/>
              <w:bottom w:val="single" w:color="auto" w:sz="4" w:space="0"/>
              <w:right w:val="single" w:color="auto" w:sz="4" w:space="0"/>
            </w:tcBorders>
            <w:vAlign w:val="center"/>
          </w:tcPr>
          <w:p w14:paraId="2852F873">
            <w:pPr>
              <w:widowControl/>
              <w:spacing w:line="360" w:lineRule="exact"/>
              <w:jc w:val="center"/>
              <w:rPr>
                <w:rFonts w:ascii="宋体" w:hAnsi="宋体" w:cs="宋体"/>
                <w:sz w:val="24"/>
                <w:szCs w:val="24"/>
              </w:rPr>
            </w:pPr>
            <w:r>
              <w:rPr>
                <w:rFonts w:hint="eastAsia" w:ascii="宋体" w:hAnsi="宋体" w:cs="宋体"/>
                <w:sz w:val="24"/>
                <w:szCs w:val="24"/>
              </w:rPr>
              <w:t>岗位职务</w:t>
            </w:r>
          </w:p>
        </w:tc>
        <w:tc>
          <w:tcPr>
            <w:tcW w:w="2253" w:type="dxa"/>
            <w:tcBorders>
              <w:top w:val="single" w:color="auto" w:sz="4" w:space="0"/>
              <w:left w:val="single" w:color="auto" w:sz="4" w:space="0"/>
              <w:bottom w:val="single" w:color="auto" w:sz="4" w:space="0"/>
              <w:right w:val="single" w:color="auto" w:sz="4" w:space="0"/>
            </w:tcBorders>
            <w:vAlign w:val="center"/>
          </w:tcPr>
          <w:p w14:paraId="12603FB2">
            <w:pPr>
              <w:widowControl/>
              <w:spacing w:line="360" w:lineRule="exact"/>
              <w:jc w:val="center"/>
              <w:rPr>
                <w:rFonts w:ascii="宋体" w:hAnsi="宋体" w:cs="宋体"/>
                <w:sz w:val="24"/>
                <w:szCs w:val="24"/>
              </w:rPr>
            </w:pPr>
            <w:r>
              <w:rPr>
                <w:rFonts w:hint="eastAsia" w:ascii="宋体" w:hAnsi="宋体" w:cs="宋体"/>
                <w:sz w:val="24"/>
                <w:szCs w:val="24"/>
              </w:rPr>
              <w:t>职称</w:t>
            </w:r>
          </w:p>
        </w:tc>
        <w:tc>
          <w:tcPr>
            <w:tcW w:w="2409" w:type="dxa"/>
            <w:tcBorders>
              <w:top w:val="single" w:color="auto" w:sz="4" w:space="0"/>
              <w:left w:val="single" w:color="auto" w:sz="4" w:space="0"/>
              <w:bottom w:val="single" w:color="auto" w:sz="4" w:space="0"/>
              <w:right w:val="single" w:color="auto" w:sz="4" w:space="0"/>
            </w:tcBorders>
            <w:vAlign w:val="center"/>
          </w:tcPr>
          <w:p w14:paraId="6E1D6924">
            <w:pPr>
              <w:widowControl/>
              <w:spacing w:line="360" w:lineRule="exact"/>
              <w:jc w:val="center"/>
              <w:rPr>
                <w:rFonts w:ascii="宋体" w:hAnsi="宋体" w:cs="宋体"/>
                <w:sz w:val="24"/>
                <w:szCs w:val="24"/>
              </w:rPr>
            </w:pPr>
            <w:r>
              <w:rPr>
                <w:rFonts w:hint="eastAsia" w:ascii="宋体" w:hAnsi="宋体" w:cs="宋体"/>
                <w:sz w:val="24"/>
                <w:szCs w:val="24"/>
              </w:rPr>
              <w:t>专业</w:t>
            </w:r>
          </w:p>
        </w:tc>
      </w:tr>
      <w:tr w14:paraId="24B5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03" w:type="dxa"/>
            <w:tcBorders>
              <w:top w:val="single" w:color="auto" w:sz="4" w:space="0"/>
              <w:left w:val="single" w:color="auto" w:sz="4" w:space="0"/>
              <w:bottom w:val="single" w:color="auto" w:sz="4" w:space="0"/>
              <w:right w:val="single" w:color="auto" w:sz="4" w:space="0"/>
            </w:tcBorders>
            <w:vAlign w:val="center"/>
          </w:tcPr>
          <w:p w14:paraId="175480D1">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vAlign w:val="center"/>
          </w:tcPr>
          <w:p w14:paraId="13FBE226">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vAlign w:val="center"/>
          </w:tcPr>
          <w:p w14:paraId="0DB4B240">
            <w:pPr>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4C702F16">
            <w:pPr>
              <w:widowControl/>
              <w:spacing w:line="240" w:lineRule="auto"/>
              <w:jc w:val="center"/>
              <w:rPr>
                <w:rFonts w:ascii="宋体" w:hAnsi="宋体" w:cs="宋体"/>
                <w:sz w:val="24"/>
                <w:szCs w:val="24"/>
              </w:rPr>
            </w:pPr>
          </w:p>
        </w:tc>
      </w:tr>
      <w:tr w14:paraId="0FDD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0422EFC1">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E0AF63">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7C1EB097">
            <w:pPr>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56550EBB">
            <w:pPr>
              <w:widowControl/>
              <w:spacing w:line="240" w:lineRule="auto"/>
              <w:jc w:val="center"/>
              <w:rPr>
                <w:rFonts w:ascii="宋体" w:hAnsi="宋体" w:cs="宋体"/>
                <w:sz w:val="24"/>
                <w:szCs w:val="24"/>
              </w:rPr>
            </w:pPr>
          </w:p>
        </w:tc>
      </w:tr>
      <w:tr w14:paraId="5B10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7705BE70">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DB653A">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459F75BE">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0391969B">
            <w:pPr>
              <w:widowControl/>
              <w:spacing w:line="240" w:lineRule="auto"/>
              <w:jc w:val="center"/>
              <w:rPr>
                <w:rFonts w:ascii="宋体" w:hAnsi="宋体" w:cs="宋体"/>
                <w:sz w:val="24"/>
                <w:szCs w:val="24"/>
              </w:rPr>
            </w:pPr>
          </w:p>
        </w:tc>
      </w:tr>
      <w:tr w14:paraId="723A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0EB88EBE">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71331C">
            <w:pPr>
              <w:snapToGrid w:val="0"/>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3BD9BDE2">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36DCF5E5">
            <w:pPr>
              <w:widowControl/>
              <w:spacing w:line="240" w:lineRule="auto"/>
              <w:jc w:val="center"/>
              <w:rPr>
                <w:rFonts w:ascii="宋体" w:hAnsi="宋体" w:cs="宋体"/>
                <w:sz w:val="24"/>
                <w:szCs w:val="24"/>
              </w:rPr>
            </w:pPr>
          </w:p>
        </w:tc>
      </w:tr>
      <w:tr w14:paraId="3975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34B78D37">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F5FFDE">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42F15380">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4D22E1B3">
            <w:pPr>
              <w:widowControl/>
              <w:spacing w:line="240" w:lineRule="auto"/>
              <w:jc w:val="center"/>
              <w:rPr>
                <w:rFonts w:ascii="宋体" w:hAnsi="宋体" w:cs="宋体"/>
                <w:sz w:val="24"/>
                <w:szCs w:val="24"/>
              </w:rPr>
            </w:pPr>
          </w:p>
        </w:tc>
      </w:tr>
      <w:tr w14:paraId="3AF1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07E3AC6">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BCE061">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372AA651">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6B3A2ABA">
            <w:pPr>
              <w:widowControl/>
              <w:spacing w:line="240" w:lineRule="auto"/>
              <w:jc w:val="center"/>
              <w:rPr>
                <w:rFonts w:ascii="宋体" w:hAnsi="宋体" w:cs="宋体"/>
                <w:sz w:val="24"/>
                <w:szCs w:val="24"/>
              </w:rPr>
            </w:pPr>
          </w:p>
        </w:tc>
      </w:tr>
      <w:tr w14:paraId="2981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7061BAE">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D33B8F">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1B1E388C">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09BF778C">
            <w:pPr>
              <w:widowControl/>
              <w:spacing w:line="240" w:lineRule="auto"/>
              <w:jc w:val="center"/>
              <w:rPr>
                <w:rFonts w:ascii="宋体" w:hAnsi="宋体" w:cs="宋体"/>
                <w:sz w:val="24"/>
                <w:szCs w:val="24"/>
              </w:rPr>
            </w:pPr>
          </w:p>
        </w:tc>
      </w:tr>
      <w:tr w14:paraId="3A48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4B89EACD">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B58FFB">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5005B1FD">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542C1F4C">
            <w:pPr>
              <w:widowControl/>
              <w:spacing w:line="240" w:lineRule="auto"/>
              <w:jc w:val="center"/>
              <w:rPr>
                <w:rFonts w:ascii="宋体" w:hAnsi="宋体" w:cs="宋体"/>
                <w:sz w:val="24"/>
                <w:szCs w:val="24"/>
              </w:rPr>
            </w:pPr>
          </w:p>
        </w:tc>
      </w:tr>
      <w:tr w14:paraId="4EE2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05D3C576">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2602D4">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0440CAB5">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0667F2F9">
            <w:pPr>
              <w:widowControl/>
              <w:spacing w:line="240" w:lineRule="auto"/>
              <w:jc w:val="center"/>
              <w:rPr>
                <w:rFonts w:ascii="宋体" w:hAnsi="宋体" w:cs="宋体"/>
                <w:sz w:val="24"/>
                <w:szCs w:val="24"/>
              </w:rPr>
            </w:pPr>
          </w:p>
        </w:tc>
      </w:tr>
      <w:tr w14:paraId="3645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0B7B255E">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FC760F">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14:paraId="615C750A">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17B2D2CD">
            <w:pPr>
              <w:widowControl/>
              <w:spacing w:line="240" w:lineRule="auto"/>
              <w:jc w:val="center"/>
              <w:rPr>
                <w:rFonts w:ascii="宋体" w:hAnsi="宋体" w:cs="宋体"/>
                <w:sz w:val="24"/>
                <w:szCs w:val="24"/>
              </w:rPr>
            </w:pPr>
          </w:p>
        </w:tc>
      </w:tr>
      <w:tr w14:paraId="0696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403" w:type="dxa"/>
            <w:tcBorders>
              <w:top w:val="single" w:color="auto" w:sz="4" w:space="0"/>
              <w:left w:val="single" w:color="auto" w:sz="4" w:space="0"/>
              <w:bottom w:val="single" w:color="auto" w:sz="4" w:space="0"/>
              <w:right w:val="single" w:color="auto" w:sz="4" w:space="0"/>
            </w:tcBorders>
            <w:vAlign w:val="center"/>
          </w:tcPr>
          <w:p w14:paraId="326780A2">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vAlign w:val="center"/>
          </w:tcPr>
          <w:p w14:paraId="09B63473">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vAlign w:val="center"/>
          </w:tcPr>
          <w:p w14:paraId="1DE07C41">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633D2461">
            <w:pPr>
              <w:widowControl/>
              <w:spacing w:line="440" w:lineRule="exact"/>
              <w:jc w:val="center"/>
              <w:rPr>
                <w:rFonts w:ascii="宋体" w:hAnsi="宋体" w:cs="宋体"/>
                <w:sz w:val="24"/>
                <w:szCs w:val="24"/>
              </w:rPr>
            </w:pPr>
          </w:p>
        </w:tc>
      </w:tr>
      <w:tr w14:paraId="124D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03" w:type="dxa"/>
            <w:tcBorders>
              <w:top w:val="single" w:color="auto" w:sz="4" w:space="0"/>
              <w:left w:val="single" w:color="auto" w:sz="4" w:space="0"/>
              <w:bottom w:val="single" w:color="auto" w:sz="4" w:space="0"/>
              <w:right w:val="single" w:color="auto" w:sz="4" w:space="0"/>
            </w:tcBorders>
            <w:vAlign w:val="center"/>
          </w:tcPr>
          <w:p w14:paraId="23340A9B">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vAlign w:val="center"/>
          </w:tcPr>
          <w:p w14:paraId="4BC6CC2A">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vAlign w:val="center"/>
          </w:tcPr>
          <w:p w14:paraId="51F836F3">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3BEA3666">
            <w:pPr>
              <w:widowControl/>
              <w:spacing w:line="240" w:lineRule="auto"/>
              <w:jc w:val="center"/>
              <w:rPr>
                <w:rFonts w:ascii="宋体" w:hAnsi="宋体" w:cs="宋体"/>
                <w:sz w:val="24"/>
                <w:szCs w:val="24"/>
              </w:rPr>
            </w:pPr>
          </w:p>
        </w:tc>
      </w:tr>
      <w:tr w14:paraId="220B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tcBorders>
              <w:top w:val="single" w:color="auto" w:sz="4" w:space="0"/>
              <w:left w:val="single" w:color="auto" w:sz="4" w:space="0"/>
              <w:bottom w:val="single" w:color="auto" w:sz="4" w:space="0"/>
              <w:right w:val="single" w:color="auto" w:sz="4" w:space="0"/>
            </w:tcBorders>
            <w:vAlign w:val="center"/>
          </w:tcPr>
          <w:p w14:paraId="0144276D">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vAlign w:val="center"/>
          </w:tcPr>
          <w:p w14:paraId="0AD3F8A6">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vAlign w:val="center"/>
          </w:tcPr>
          <w:p w14:paraId="611F0DBF">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33A2C572">
            <w:pPr>
              <w:widowControl/>
              <w:spacing w:line="240" w:lineRule="auto"/>
              <w:jc w:val="center"/>
              <w:rPr>
                <w:rFonts w:ascii="宋体" w:hAnsi="宋体" w:cs="宋体"/>
                <w:sz w:val="24"/>
                <w:szCs w:val="24"/>
              </w:rPr>
            </w:pPr>
          </w:p>
        </w:tc>
      </w:tr>
      <w:tr w14:paraId="1E6A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tcBorders>
              <w:top w:val="single" w:color="auto" w:sz="4" w:space="0"/>
              <w:left w:val="single" w:color="auto" w:sz="4" w:space="0"/>
              <w:bottom w:val="single" w:color="auto" w:sz="4" w:space="0"/>
              <w:right w:val="single" w:color="auto" w:sz="4" w:space="0"/>
            </w:tcBorders>
            <w:vAlign w:val="center"/>
          </w:tcPr>
          <w:p w14:paraId="45848885">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vAlign w:val="center"/>
          </w:tcPr>
          <w:p w14:paraId="4B8C9DEB">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vAlign w:val="center"/>
          </w:tcPr>
          <w:p w14:paraId="0F4C9DE7">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7B659EC2">
            <w:pPr>
              <w:widowControl/>
              <w:spacing w:line="240" w:lineRule="auto"/>
              <w:jc w:val="center"/>
              <w:rPr>
                <w:rFonts w:ascii="宋体" w:hAnsi="宋体" w:cs="宋体"/>
                <w:sz w:val="24"/>
                <w:szCs w:val="24"/>
              </w:rPr>
            </w:pPr>
          </w:p>
        </w:tc>
      </w:tr>
      <w:tr w14:paraId="1463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tcBorders>
              <w:top w:val="single" w:color="auto" w:sz="4" w:space="0"/>
              <w:left w:val="single" w:color="auto" w:sz="4" w:space="0"/>
              <w:bottom w:val="single" w:color="auto" w:sz="4" w:space="0"/>
              <w:right w:val="single" w:color="auto" w:sz="4" w:space="0"/>
            </w:tcBorders>
            <w:vAlign w:val="center"/>
          </w:tcPr>
          <w:p w14:paraId="56CDF050">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vAlign w:val="center"/>
          </w:tcPr>
          <w:p w14:paraId="48DE78AD">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vAlign w:val="center"/>
          </w:tcPr>
          <w:p w14:paraId="71C51DA3">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36A03F7B">
            <w:pPr>
              <w:widowControl/>
              <w:spacing w:line="240" w:lineRule="auto"/>
              <w:jc w:val="center"/>
              <w:rPr>
                <w:rFonts w:ascii="宋体" w:hAnsi="宋体" w:cs="宋体"/>
                <w:sz w:val="24"/>
                <w:szCs w:val="24"/>
              </w:rPr>
            </w:pPr>
          </w:p>
        </w:tc>
      </w:tr>
      <w:tr w14:paraId="2081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tcBorders>
              <w:top w:val="single" w:color="auto" w:sz="4" w:space="0"/>
              <w:left w:val="single" w:color="auto" w:sz="4" w:space="0"/>
              <w:bottom w:val="single" w:color="auto" w:sz="4" w:space="0"/>
              <w:right w:val="single" w:color="auto" w:sz="4" w:space="0"/>
            </w:tcBorders>
            <w:vAlign w:val="center"/>
          </w:tcPr>
          <w:p w14:paraId="04F7F288">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vAlign w:val="center"/>
          </w:tcPr>
          <w:p w14:paraId="6067F71A">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vAlign w:val="center"/>
          </w:tcPr>
          <w:p w14:paraId="002F16B0">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391BF793">
            <w:pPr>
              <w:widowControl/>
              <w:spacing w:line="240" w:lineRule="auto"/>
              <w:jc w:val="center"/>
              <w:rPr>
                <w:rFonts w:ascii="宋体" w:hAnsi="宋体" w:cs="宋体"/>
                <w:sz w:val="24"/>
                <w:szCs w:val="24"/>
              </w:rPr>
            </w:pPr>
          </w:p>
        </w:tc>
      </w:tr>
      <w:tr w14:paraId="0B37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03" w:type="dxa"/>
            <w:tcBorders>
              <w:top w:val="single" w:color="auto" w:sz="4" w:space="0"/>
              <w:left w:val="single" w:color="auto" w:sz="4" w:space="0"/>
              <w:bottom w:val="single" w:color="auto" w:sz="4" w:space="0"/>
              <w:right w:val="single" w:color="auto" w:sz="4" w:space="0"/>
            </w:tcBorders>
            <w:vAlign w:val="center"/>
          </w:tcPr>
          <w:p w14:paraId="36C34337">
            <w:pPr>
              <w:widowControl/>
              <w:spacing w:line="240" w:lineRule="auto"/>
              <w:jc w:val="center"/>
              <w:rPr>
                <w:rFonts w:ascii="宋体" w:hAnsi="宋体" w:cs="宋体"/>
                <w:sz w:val="24"/>
                <w:szCs w:val="24"/>
              </w:rPr>
            </w:pPr>
          </w:p>
        </w:tc>
        <w:tc>
          <w:tcPr>
            <w:tcW w:w="2865" w:type="dxa"/>
            <w:gridSpan w:val="3"/>
            <w:tcBorders>
              <w:top w:val="single" w:color="auto" w:sz="4" w:space="0"/>
              <w:left w:val="single" w:color="auto" w:sz="4" w:space="0"/>
              <w:bottom w:val="single" w:color="auto" w:sz="4" w:space="0"/>
              <w:right w:val="single" w:color="auto" w:sz="4" w:space="0"/>
            </w:tcBorders>
            <w:vAlign w:val="center"/>
          </w:tcPr>
          <w:p w14:paraId="7617CF37">
            <w:pPr>
              <w:widowControl/>
              <w:spacing w:line="240" w:lineRule="auto"/>
              <w:jc w:val="center"/>
              <w:rPr>
                <w:rFonts w:ascii="宋体" w:hAnsi="宋体" w:cs="宋体"/>
                <w:sz w:val="24"/>
                <w:szCs w:val="24"/>
              </w:rPr>
            </w:pPr>
          </w:p>
        </w:tc>
        <w:tc>
          <w:tcPr>
            <w:tcW w:w="2253" w:type="dxa"/>
            <w:tcBorders>
              <w:top w:val="single" w:color="auto" w:sz="4" w:space="0"/>
              <w:left w:val="single" w:color="auto" w:sz="4" w:space="0"/>
              <w:bottom w:val="single" w:color="auto" w:sz="4" w:space="0"/>
              <w:right w:val="single" w:color="auto" w:sz="4" w:space="0"/>
            </w:tcBorders>
          </w:tcPr>
          <w:p w14:paraId="292872CD">
            <w:pPr>
              <w:widowControl/>
              <w:spacing w:line="240" w:lineRule="auto"/>
              <w:jc w:val="center"/>
              <w:rPr>
                <w:rFonts w:ascii="宋体" w:hAnsi="宋体" w:cs="宋体"/>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14:paraId="78DE8EB3">
            <w:pPr>
              <w:spacing w:line="240" w:lineRule="auto"/>
              <w:jc w:val="center"/>
              <w:rPr>
                <w:rFonts w:ascii="宋体" w:hAnsi="宋体" w:cs="宋体"/>
                <w:sz w:val="24"/>
                <w:szCs w:val="24"/>
              </w:rPr>
            </w:pPr>
          </w:p>
        </w:tc>
      </w:tr>
    </w:tbl>
    <w:p w14:paraId="4A4ABD8D">
      <w:pPr>
        <w:widowControl/>
        <w:adjustRightInd/>
        <w:spacing w:line="240" w:lineRule="auto"/>
        <w:jc w:val="left"/>
        <w:rPr>
          <w:rFonts w:ascii="宋体" w:hAnsi="宋体"/>
          <w:spacing w:val="2"/>
          <w:position w:val="2"/>
          <w:sz w:val="24"/>
          <w:szCs w:val="24"/>
        </w:rPr>
        <w:sectPr>
          <w:pgSz w:w="11906" w:h="16838"/>
          <w:pgMar w:top="1276" w:right="1134" w:bottom="1134" w:left="1418" w:header="851" w:footer="851" w:gutter="0"/>
          <w:cols w:space="720" w:num="1"/>
        </w:sectPr>
      </w:pPr>
    </w:p>
    <w:p w14:paraId="0D2DFFCF">
      <w:pPr>
        <w:pStyle w:val="2"/>
        <w:rPr>
          <w:sz w:val="36"/>
          <w:szCs w:val="36"/>
        </w:rPr>
      </w:pPr>
      <w:bookmarkStart w:id="10" w:name="_Toc177120553"/>
      <w:r>
        <w:rPr>
          <w:rFonts w:hint="eastAsia"/>
        </w:rPr>
        <w:t xml:space="preserve">附件2 ： </w:t>
      </w:r>
      <w:r>
        <w:rPr>
          <w:rFonts w:hint="eastAsia"/>
          <w:sz w:val="36"/>
          <w:szCs w:val="36"/>
        </w:rPr>
        <w:t>工程质量责任合同</w:t>
      </w:r>
      <w:bookmarkEnd w:id="10"/>
    </w:p>
    <w:p w14:paraId="7EE6614D">
      <w:pPr>
        <w:jc w:val="center"/>
        <w:rPr>
          <w:rFonts w:ascii="宋体" w:hAnsi="宋体"/>
          <w:b/>
          <w:bCs/>
          <w:sz w:val="24"/>
          <w:szCs w:val="24"/>
        </w:rPr>
      </w:pPr>
    </w:p>
    <w:p w14:paraId="4923CF79">
      <w:pPr>
        <w:spacing w:line="440" w:lineRule="exact"/>
        <w:ind w:firstLine="450"/>
        <w:rPr>
          <w:rFonts w:ascii="宋体" w:hAnsi="宋体"/>
          <w:sz w:val="24"/>
          <w:szCs w:val="24"/>
        </w:rPr>
      </w:pPr>
      <w:r>
        <w:rPr>
          <w:rFonts w:hint="eastAsia" w:ascii="宋体" w:hAnsi="宋体"/>
          <w:sz w:val="24"/>
          <w:szCs w:val="24"/>
        </w:rPr>
        <w:t>根据国务院《建设工程质量管理条例》，为保证在设计使用年限内建设工程质量，本项目工程的建设单位</w:t>
      </w:r>
      <w:r>
        <w:rPr>
          <w:rFonts w:hint="eastAsia" w:ascii="宋体" w:hAnsi="宋体"/>
          <w:sz w:val="24"/>
          <w:szCs w:val="24"/>
          <w:u w:val="single"/>
        </w:rPr>
        <w:t>广州设计之都建设投资开发有限公司</w:t>
      </w:r>
      <w:r>
        <w:rPr>
          <w:rFonts w:hint="eastAsia" w:ascii="宋体" w:hAnsi="宋体"/>
          <w:sz w:val="24"/>
          <w:szCs w:val="24"/>
        </w:rPr>
        <w:t>（以下称甲方）、建设管理单位</w:t>
      </w:r>
      <w:r>
        <w:rPr>
          <w:rFonts w:hint="eastAsia" w:ascii="宋体" w:hAnsi="宋体"/>
          <w:sz w:val="24"/>
          <w:szCs w:val="24"/>
          <w:u w:val="single"/>
        </w:rPr>
        <w:t xml:space="preserve"> （</w:t>
      </w:r>
      <w:r>
        <w:rPr>
          <w:rFonts w:hint="eastAsia" w:ascii="宋体" w:hAnsi="宋体"/>
          <w:sz w:val="24"/>
          <w:szCs w:val="24"/>
        </w:rPr>
        <w:t>以下称乙方）与监理单位</w:t>
      </w:r>
      <w:r>
        <w:rPr>
          <w:rFonts w:ascii="宋体" w:hAnsi="宋体"/>
          <w:sz w:val="24"/>
          <w:szCs w:val="24"/>
          <w:u w:val="single"/>
        </w:rPr>
        <w:t xml:space="preserve"> </w:t>
      </w:r>
      <w:r>
        <w:rPr>
          <w:rFonts w:hint="eastAsia" w:ascii="宋体" w:hAnsi="宋体"/>
          <w:sz w:val="24"/>
          <w:szCs w:val="24"/>
        </w:rPr>
        <w:t>（以下称丙方）经三方协商一致，特订立如下质量责任合同。</w:t>
      </w:r>
    </w:p>
    <w:p w14:paraId="0B52ABF6">
      <w:pPr>
        <w:spacing w:line="440" w:lineRule="exact"/>
        <w:ind w:firstLine="435"/>
        <w:rPr>
          <w:rFonts w:ascii="宋体" w:hAnsi="宋体"/>
          <w:sz w:val="24"/>
          <w:szCs w:val="24"/>
        </w:rPr>
      </w:pPr>
      <w:r>
        <w:rPr>
          <w:rFonts w:hint="eastAsia" w:ascii="宋体" w:hAnsi="宋体"/>
          <w:b/>
          <w:bCs/>
          <w:sz w:val="24"/>
          <w:szCs w:val="24"/>
        </w:rPr>
        <w:t>第一条</w:t>
      </w:r>
      <w:r>
        <w:rPr>
          <w:rFonts w:hint="eastAsia" w:ascii="宋体" w:hAnsi="宋体"/>
          <w:sz w:val="24"/>
          <w:szCs w:val="24"/>
        </w:rPr>
        <w:t xml:space="preserve">  本建设项目的工程质量目标为</w:t>
      </w:r>
      <w:r>
        <w:rPr>
          <w:rFonts w:hint="eastAsia" w:ascii="宋体" w:hAnsi="宋体"/>
          <w:sz w:val="24"/>
          <w:szCs w:val="24"/>
          <w:u w:val="single"/>
        </w:rPr>
        <w:t>合格</w:t>
      </w:r>
      <w:r>
        <w:rPr>
          <w:rFonts w:hint="eastAsia" w:ascii="宋体" w:hAnsi="宋体"/>
          <w:sz w:val="24"/>
          <w:szCs w:val="24"/>
        </w:rPr>
        <w:t>，监理单位对本建设工程的监理质量在设计使用年限内依法终身负责。具体监理责任人</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w:t>
      </w:r>
    </w:p>
    <w:p w14:paraId="0DF45DDC">
      <w:pPr>
        <w:spacing w:line="440" w:lineRule="exact"/>
        <w:ind w:firstLine="435"/>
        <w:rPr>
          <w:rFonts w:ascii="宋体" w:hAnsi="宋体"/>
          <w:sz w:val="24"/>
          <w:szCs w:val="24"/>
        </w:rPr>
      </w:pPr>
      <w:r>
        <w:rPr>
          <w:rFonts w:hint="eastAsia" w:ascii="宋体" w:hAnsi="宋体"/>
          <w:b/>
          <w:bCs/>
          <w:sz w:val="24"/>
          <w:szCs w:val="24"/>
        </w:rPr>
        <w:t>第二条</w:t>
      </w:r>
      <w:r>
        <w:rPr>
          <w:rFonts w:hint="eastAsia" w:ascii="宋体" w:hAnsi="宋体"/>
          <w:sz w:val="24"/>
          <w:szCs w:val="24"/>
        </w:rPr>
        <w:t xml:space="preserve">  甲乙丙三方的权利和义务</w:t>
      </w:r>
    </w:p>
    <w:p w14:paraId="0D6BC181">
      <w:pPr>
        <w:spacing w:line="440" w:lineRule="exact"/>
        <w:ind w:firstLine="435"/>
        <w:rPr>
          <w:rFonts w:ascii="宋体" w:hAnsi="宋体"/>
          <w:sz w:val="24"/>
          <w:szCs w:val="24"/>
        </w:rPr>
      </w:pPr>
      <w:r>
        <w:rPr>
          <w:rFonts w:hint="eastAsia" w:ascii="宋体" w:hAnsi="宋体"/>
          <w:sz w:val="24"/>
          <w:szCs w:val="24"/>
        </w:rPr>
        <w:t>（一）严格遵守国家有关法律法规的有关规定。</w:t>
      </w:r>
    </w:p>
    <w:p w14:paraId="11A7AB86">
      <w:pPr>
        <w:spacing w:line="440" w:lineRule="exact"/>
        <w:ind w:firstLine="435"/>
        <w:rPr>
          <w:rFonts w:ascii="宋体" w:hAnsi="宋体"/>
          <w:sz w:val="24"/>
          <w:szCs w:val="24"/>
        </w:rPr>
      </w:pPr>
      <w:r>
        <w:rPr>
          <w:rFonts w:hint="eastAsia" w:ascii="宋体" w:hAnsi="宋体"/>
          <w:sz w:val="24"/>
          <w:szCs w:val="24"/>
        </w:rPr>
        <w:t>（二）严格执行本工程监理服务合同协议书，自觉按协议书办事。</w:t>
      </w:r>
    </w:p>
    <w:p w14:paraId="6BA077DD">
      <w:pPr>
        <w:spacing w:line="440" w:lineRule="exact"/>
        <w:ind w:firstLine="435"/>
        <w:rPr>
          <w:rFonts w:ascii="宋体" w:hAnsi="宋体"/>
          <w:sz w:val="24"/>
          <w:szCs w:val="24"/>
        </w:rPr>
      </w:pPr>
      <w:r>
        <w:rPr>
          <w:rFonts w:hint="eastAsia" w:ascii="宋体" w:hAnsi="宋体"/>
          <w:sz w:val="24"/>
          <w:szCs w:val="24"/>
        </w:rPr>
        <w:t>（三）三方的施工监理业务活动坚持科学、公正、诚信、平等的原则，不得损害国家、集体的利益，不得违反工程建设管理规章制度。</w:t>
      </w:r>
    </w:p>
    <w:p w14:paraId="341A72A5">
      <w:pPr>
        <w:spacing w:line="440" w:lineRule="exact"/>
        <w:ind w:firstLine="435"/>
        <w:rPr>
          <w:rFonts w:ascii="宋体" w:hAnsi="宋体"/>
          <w:sz w:val="24"/>
          <w:szCs w:val="24"/>
        </w:rPr>
      </w:pPr>
      <w:r>
        <w:rPr>
          <w:rFonts w:hint="eastAsia" w:ascii="宋体" w:hAnsi="宋体"/>
          <w:sz w:val="24"/>
          <w:szCs w:val="24"/>
        </w:rPr>
        <w:t>（四）发现对方在施工监理业务活动中，有违反有关规定的行为，有及时提醒对方纠正的权利和义务。</w:t>
      </w:r>
    </w:p>
    <w:p w14:paraId="72FDCC26">
      <w:pPr>
        <w:spacing w:line="440" w:lineRule="exact"/>
        <w:ind w:firstLine="435"/>
        <w:rPr>
          <w:rFonts w:ascii="宋体" w:hAnsi="宋体"/>
          <w:sz w:val="24"/>
          <w:szCs w:val="24"/>
        </w:rPr>
      </w:pPr>
      <w:r>
        <w:rPr>
          <w:rFonts w:hint="eastAsia" w:ascii="宋体" w:hAnsi="宋体"/>
          <w:sz w:val="24"/>
          <w:szCs w:val="24"/>
        </w:rPr>
        <w:t>（五）发现对方严重违反监理合同文件的行为，有向其上级有关部门举报，建议给予处理并要求告知处理结果的权利。</w:t>
      </w:r>
    </w:p>
    <w:p w14:paraId="4F2F4770">
      <w:pPr>
        <w:spacing w:line="440" w:lineRule="exact"/>
        <w:ind w:firstLine="435"/>
        <w:rPr>
          <w:rFonts w:ascii="宋体" w:hAnsi="宋体"/>
          <w:sz w:val="24"/>
          <w:szCs w:val="24"/>
        </w:rPr>
      </w:pPr>
      <w:r>
        <w:rPr>
          <w:rFonts w:hint="eastAsia" w:ascii="宋体" w:hAnsi="宋体"/>
          <w:b/>
          <w:bCs/>
          <w:sz w:val="24"/>
          <w:szCs w:val="24"/>
        </w:rPr>
        <w:t>第三条</w:t>
      </w:r>
      <w:r>
        <w:rPr>
          <w:rFonts w:hint="eastAsia" w:ascii="宋体" w:hAnsi="宋体"/>
          <w:sz w:val="24"/>
          <w:szCs w:val="24"/>
        </w:rPr>
        <w:t xml:space="preserve">  甲方和乙方的义务</w:t>
      </w:r>
    </w:p>
    <w:p w14:paraId="4B4394D9">
      <w:pPr>
        <w:spacing w:line="440" w:lineRule="exact"/>
        <w:ind w:firstLine="435"/>
        <w:rPr>
          <w:rFonts w:ascii="宋体" w:hAnsi="宋体"/>
          <w:sz w:val="24"/>
          <w:szCs w:val="24"/>
        </w:rPr>
      </w:pPr>
      <w:r>
        <w:rPr>
          <w:rFonts w:hint="eastAsia" w:ascii="宋体" w:hAnsi="宋体"/>
          <w:sz w:val="24"/>
          <w:szCs w:val="24"/>
        </w:rPr>
        <w:t>（一）甲方和乙方向丙方及时提供与承包人签订的施工合同文件及有关资料（包括技术规范、工程量清单、施工图等）。</w:t>
      </w:r>
    </w:p>
    <w:p w14:paraId="477F2DED">
      <w:pPr>
        <w:spacing w:line="440" w:lineRule="exact"/>
        <w:ind w:firstLine="435"/>
        <w:rPr>
          <w:rFonts w:ascii="宋体" w:hAnsi="宋体"/>
          <w:sz w:val="24"/>
          <w:szCs w:val="24"/>
        </w:rPr>
      </w:pPr>
      <w:r>
        <w:rPr>
          <w:rFonts w:hint="eastAsia" w:ascii="宋体" w:hAnsi="宋体"/>
          <w:sz w:val="24"/>
          <w:szCs w:val="24"/>
        </w:rPr>
        <w:t>（二）甲方和乙方不得指使丙方不按法律、法规、工程建设强制性标准和监理规范进行现场监理。</w:t>
      </w:r>
    </w:p>
    <w:p w14:paraId="702F5468">
      <w:pPr>
        <w:spacing w:line="440" w:lineRule="exact"/>
        <w:ind w:firstLine="435"/>
        <w:rPr>
          <w:rFonts w:ascii="宋体" w:hAnsi="宋体"/>
          <w:sz w:val="24"/>
          <w:szCs w:val="24"/>
        </w:rPr>
      </w:pPr>
      <w:r>
        <w:rPr>
          <w:rFonts w:hint="eastAsia" w:ascii="宋体" w:hAnsi="宋体"/>
          <w:sz w:val="24"/>
          <w:szCs w:val="24"/>
        </w:rPr>
        <w:t>（三）甲方应按施工监理合同的约定支付监理费，除施工监理合同的约定外，甲方和乙方不得以任何借口克扣监理费或拖延监理费的支付。</w:t>
      </w:r>
    </w:p>
    <w:p w14:paraId="16A71EFA">
      <w:pPr>
        <w:spacing w:line="440" w:lineRule="exact"/>
        <w:ind w:firstLine="435"/>
        <w:rPr>
          <w:rFonts w:ascii="宋体" w:hAnsi="宋体"/>
          <w:sz w:val="24"/>
          <w:szCs w:val="24"/>
        </w:rPr>
      </w:pPr>
      <w:r>
        <w:rPr>
          <w:rFonts w:hint="eastAsia" w:ascii="宋体" w:hAnsi="宋体"/>
          <w:sz w:val="24"/>
          <w:szCs w:val="24"/>
        </w:rPr>
        <w:t>（四）甲方和乙方不得明示或暗示向丙方推荐单位或个人承包或分包本工程的施工监理任务。</w:t>
      </w:r>
    </w:p>
    <w:p w14:paraId="2BA61F02">
      <w:pPr>
        <w:spacing w:line="440" w:lineRule="exact"/>
        <w:ind w:firstLine="435"/>
        <w:rPr>
          <w:rFonts w:ascii="宋体" w:hAnsi="宋体"/>
          <w:sz w:val="24"/>
          <w:szCs w:val="24"/>
        </w:rPr>
      </w:pPr>
      <w:r>
        <w:rPr>
          <w:rFonts w:hint="eastAsia" w:ascii="宋体" w:hAnsi="宋体"/>
          <w:sz w:val="24"/>
          <w:szCs w:val="24"/>
        </w:rPr>
        <w:t>（五）甲方和乙方不得以任何理由索取回扣或其它好处。</w:t>
      </w:r>
    </w:p>
    <w:p w14:paraId="24DEE4A1">
      <w:pPr>
        <w:spacing w:line="440" w:lineRule="exact"/>
        <w:ind w:firstLine="435"/>
        <w:rPr>
          <w:rFonts w:ascii="宋体" w:hAnsi="宋体"/>
          <w:sz w:val="24"/>
          <w:szCs w:val="24"/>
        </w:rPr>
      </w:pPr>
      <w:r>
        <w:rPr>
          <w:rFonts w:hint="eastAsia" w:ascii="宋体" w:hAnsi="宋体"/>
          <w:b/>
          <w:bCs/>
          <w:sz w:val="24"/>
          <w:szCs w:val="24"/>
        </w:rPr>
        <w:t>第四条</w:t>
      </w:r>
      <w:r>
        <w:rPr>
          <w:rFonts w:hint="eastAsia" w:ascii="宋体" w:hAnsi="宋体"/>
          <w:sz w:val="24"/>
          <w:szCs w:val="24"/>
        </w:rPr>
        <w:t xml:space="preserve">  丙方的义务</w:t>
      </w:r>
    </w:p>
    <w:p w14:paraId="44122E2F">
      <w:pPr>
        <w:spacing w:line="440" w:lineRule="exact"/>
        <w:ind w:firstLine="435"/>
        <w:rPr>
          <w:rFonts w:ascii="宋体" w:hAnsi="宋体"/>
          <w:sz w:val="24"/>
          <w:szCs w:val="24"/>
        </w:rPr>
      </w:pPr>
      <w:r>
        <w:rPr>
          <w:rFonts w:hint="eastAsia" w:ascii="宋体" w:hAnsi="宋体"/>
          <w:sz w:val="24"/>
          <w:szCs w:val="24"/>
        </w:rPr>
        <w:t>（一）丙方应具备与本工程相应等级的监理资质证书。</w:t>
      </w:r>
    </w:p>
    <w:p w14:paraId="21EA7E84">
      <w:pPr>
        <w:spacing w:line="440" w:lineRule="exact"/>
        <w:ind w:firstLine="435"/>
        <w:rPr>
          <w:rFonts w:ascii="宋体" w:hAnsi="宋体"/>
          <w:sz w:val="24"/>
          <w:szCs w:val="24"/>
        </w:rPr>
      </w:pPr>
      <w:r>
        <w:rPr>
          <w:rFonts w:hint="eastAsia" w:ascii="宋体" w:hAnsi="宋体"/>
          <w:sz w:val="24"/>
          <w:szCs w:val="24"/>
        </w:rPr>
        <w:t>（二）丙方不得允许其它单位或个人以丙方的名义承揽本工程的施工监理任务，不得转包或违法分包所承揽的本工程的施工监理任务。</w:t>
      </w:r>
    </w:p>
    <w:p w14:paraId="582B207F">
      <w:pPr>
        <w:spacing w:line="440" w:lineRule="exact"/>
        <w:ind w:firstLine="435"/>
        <w:rPr>
          <w:rFonts w:ascii="宋体" w:hAnsi="宋体"/>
          <w:sz w:val="24"/>
          <w:szCs w:val="24"/>
        </w:rPr>
      </w:pPr>
      <w:r>
        <w:rPr>
          <w:rFonts w:hint="eastAsia" w:ascii="宋体" w:hAnsi="宋体"/>
          <w:sz w:val="24"/>
          <w:szCs w:val="24"/>
        </w:rPr>
        <w:t>（三）丙方必须严格履行施工监理合同，按委托时承诺的监理工程师及时到位。监理工程师不能擅自调换，如有特殊原因确需调换的，须经业主书面同意方能换人。</w:t>
      </w:r>
    </w:p>
    <w:p w14:paraId="3A2E8400">
      <w:pPr>
        <w:spacing w:line="440" w:lineRule="exact"/>
        <w:ind w:firstLine="435"/>
        <w:rPr>
          <w:rFonts w:ascii="宋体" w:hAnsi="宋体"/>
          <w:sz w:val="24"/>
          <w:szCs w:val="24"/>
        </w:rPr>
      </w:pPr>
      <w:r>
        <w:rPr>
          <w:rFonts w:hint="eastAsia" w:ascii="宋体" w:hAnsi="宋体"/>
          <w:sz w:val="24"/>
          <w:szCs w:val="24"/>
        </w:rPr>
        <w:t>（四）丙方必须建立工地临时试验室，按要求配备相应的试验检测人员和设备，并取得工地临时试验室资质证书。按有关规定做好各类试验，试验资料应真实、完整，统一归档。</w:t>
      </w:r>
    </w:p>
    <w:p w14:paraId="61FB7F39">
      <w:pPr>
        <w:spacing w:line="440" w:lineRule="exact"/>
        <w:ind w:firstLine="435"/>
        <w:rPr>
          <w:rFonts w:ascii="宋体" w:hAnsi="宋体"/>
          <w:sz w:val="24"/>
          <w:szCs w:val="24"/>
        </w:rPr>
      </w:pPr>
      <w:r>
        <w:rPr>
          <w:rFonts w:hint="eastAsia" w:ascii="宋体" w:hAnsi="宋体"/>
          <w:sz w:val="24"/>
          <w:szCs w:val="24"/>
        </w:rPr>
        <w:t>（五）丙方必须按照“严格监理、热情服务、秉公办事、一丝不苟”的原则，认真贯彻执行有关施工监理的各项方针政策、法规，制定详细监理工作计划，明确监理岗位职责，严格监理检查制度。对工程的重要环节和关键部位，必须实施全过程的现场监理旁站，并有完整的监理旁站记录；严格计量支付；合理有效地控制进度。</w:t>
      </w:r>
    </w:p>
    <w:p w14:paraId="4DB1F88F">
      <w:pPr>
        <w:spacing w:line="440" w:lineRule="exact"/>
        <w:ind w:firstLine="435"/>
        <w:rPr>
          <w:rFonts w:ascii="宋体" w:hAnsi="宋体"/>
          <w:sz w:val="24"/>
          <w:szCs w:val="24"/>
        </w:rPr>
      </w:pPr>
      <w:r>
        <w:rPr>
          <w:rFonts w:hint="eastAsia" w:ascii="宋体" w:hAnsi="宋体"/>
          <w:sz w:val="24"/>
          <w:szCs w:val="24"/>
        </w:rPr>
        <w:t>（六）丙方与甲方、乙方、承包人或指定分包人之间有关工程质量、进度和费用的一切往来函件、报表均应分类编号归档保存；监理资料应真实、完整。</w:t>
      </w:r>
    </w:p>
    <w:p w14:paraId="53C5A519">
      <w:pPr>
        <w:spacing w:line="440" w:lineRule="exact"/>
        <w:ind w:firstLine="590" w:firstLineChars="245"/>
        <w:rPr>
          <w:rFonts w:ascii="宋体" w:hAnsi="宋体"/>
          <w:sz w:val="24"/>
          <w:szCs w:val="24"/>
        </w:rPr>
      </w:pPr>
      <w:r>
        <w:rPr>
          <w:rFonts w:hint="eastAsia" w:ascii="宋体" w:hAnsi="宋体"/>
          <w:b/>
          <w:bCs/>
          <w:sz w:val="24"/>
          <w:szCs w:val="24"/>
        </w:rPr>
        <w:t>第五条</w:t>
      </w:r>
      <w:r>
        <w:rPr>
          <w:rFonts w:hint="eastAsia" w:ascii="宋体" w:hAnsi="宋体"/>
          <w:sz w:val="24"/>
          <w:szCs w:val="24"/>
        </w:rPr>
        <w:t xml:space="preserve">  违约责任</w:t>
      </w:r>
    </w:p>
    <w:p w14:paraId="3693526E">
      <w:pPr>
        <w:spacing w:line="440" w:lineRule="exact"/>
        <w:ind w:firstLine="435"/>
        <w:rPr>
          <w:rFonts w:ascii="宋体" w:hAnsi="宋体"/>
          <w:sz w:val="24"/>
          <w:szCs w:val="24"/>
        </w:rPr>
      </w:pPr>
      <w:r>
        <w:rPr>
          <w:rFonts w:hint="eastAsia" w:ascii="宋体" w:hAnsi="宋体"/>
          <w:sz w:val="24"/>
          <w:szCs w:val="24"/>
        </w:rPr>
        <w:t>（一）甲方、乙方及其工作人员违反本合同第二、三条，按管理权限，依据国务院《建设工程质量管理条例》有关规定给予相应的处罚；涉嫌犯罪的，依法追究刑事责任；给丙方单位造成经济损失的，应予以赔偿。</w:t>
      </w:r>
    </w:p>
    <w:p w14:paraId="3E256A90">
      <w:pPr>
        <w:spacing w:line="440" w:lineRule="exact"/>
        <w:ind w:firstLine="435"/>
        <w:rPr>
          <w:rFonts w:ascii="宋体" w:hAnsi="宋体"/>
          <w:sz w:val="24"/>
          <w:szCs w:val="24"/>
        </w:rPr>
      </w:pPr>
      <w:r>
        <w:rPr>
          <w:rFonts w:hint="eastAsia" w:ascii="宋体" w:hAnsi="宋体"/>
          <w:sz w:val="24"/>
          <w:szCs w:val="24"/>
        </w:rPr>
        <w:t>（二）丙方及其工作人员违反本合同第二、四条，按管理权限，依国务院《建设工程质量管理条例》有关规定给予相应的处罚；涉嫌犯罪的，依法追究刑事责任；给甲方单位造成经济损失的，应予以赔偿。</w:t>
      </w:r>
    </w:p>
    <w:p w14:paraId="6EF99438">
      <w:pPr>
        <w:spacing w:line="440" w:lineRule="exact"/>
        <w:ind w:firstLine="435"/>
        <w:rPr>
          <w:rFonts w:ascii="宋体" w:hAnsi="宋体"/>
          <w:sz w:val="24"/>
          <w:szCs w:val="24"/>
        </w:rPr>
      </w:pPr>
      <w:r>
        <w:rPr>
          <w:rFonts w:hint="eastAsia" w:ascii="宋体" w:hAnsi="宋体"/>
          <w:b/>
          <w:bCs/>
          <w:sz w:val="24"/>
          <w:szCs w:val="24"/>
        </w:rPr>
        <w:t>第六条</w:t>
      </w:r>
      <w:r>
        <w:rPr>
          <w:rFonts w:hint="eastAsia" w:ascii="宋体" w:hAnsi="宋体"/>
          <w:sz w:val="24"/>
          <w:szCs w:val="24"/>
        </w:rPr>
        <w:t xml:space="preserve">  本合同有效期为自甲、乙、丙三方签署之日起至该工程项目设计使用年限届满之日止。</w:t>
      </w:r>
    </w:p>
    <w:p w14:paraId="3BB8F8C8">
      <w:pPr>
        <w:spacing w:line="440" w:lineRule="exact"/>
        <w:ind w:firstLine="435"/>
        <w:rPr>
          <w:rFonts w:ascii="宋体" w:hAnsi="宋体"/>
          <w:sz w:val="24"/>
          <w:szCs w:val="24"/>
        </w:rPr>
      </w:pPr>
      <w:r>
        <w:rPr>
          <w:rFonts w:hint="eastAsia" w:ascii="宋体" w:hAnsi="宋体"/>
          <w:b/>
          <w:bCs/>
          <w:sz w:val="24"/>
          <w:szCs w:val="24"/>
        </w:rPr>
        <w:t xml:space="preserve">第七条  </w:t>
      </w:r>
      <w:r>
        <w:rPr>
          <w:rFonts w:hint="eastAsia" w:ascii="宋体" w:hAnsi="宋体"/>
          <w:sz w:val="24"/>
          <w:szCs w:val="24"/>
        </w:rPr>
        <w:t>本合同作为本工程监理服务合同协议书的附件。</w:t>
      </w:r>
    </w:p>
    <w:p w14:paraId="4E48937E">
      <w:pPr>
        <w:spacing w:line="440" w:lineRule="exact"/>
        <w:ind w:firstLine="435"/>
        <w:rPr>
          <w:rFonts w:ascii="宋体" w:hAnsi="宋体"/>
          <w:sz w:val="24"/>
          <w:szCs w:val="24"/>
        </w:rPr>
      </w:pPr>
      <w:r>
        <w:rPr>
          <w:rFonts w:hint="eastAsia" w:ascii="宋体" w:hAnsi="宋体"/>
          <w:b/>
          <w:bCs/>
          <w:sz w:val="24"/>
          <w:szCs w:val="24"/>
        </w:rPr>
        <w:t xml:space="preserve">第八条  </w:t>
      </w:r>
      <w:r>
        <w:rPr>
          <w:rFonts w:hint="eastAsia" w:ascii="宋体" w:hAnsi="宋体"/>
          <w:sz w:val="24"/>
          <w:szCs w:val="24"/>
        </w:rPr>
        <w:t>本合同甲、乙、丙三方各执一份，送交三方监督单位一份。</w:t>
      </w:r>
    </w:p>
    <w:p w14:paraId="4C67DF1A">
      <w:pPr>
        <w:spacing w:line="440" w:lineRule="exact"/>
        <w:ind w:firstLine="435"/>
        <w:rPr>
          <w:rFonts w:ascii="宋体" w:hAnsi="宋体"/>
          <w:sz w:val="24"/>
          <w:szCs w:val="24"/>
        </w:rPr>
      </w:pPr>
    </w:p>
    <w:p w14:paraId="31334026">
      <w:pPr>
        <w:spacing w:line="440" w:lineRule="exact"/>
        <w:ind w:firstLine="435"/>
        <w:rPr>
          <w:rFonts w:ascii="宋体" w:hAnsi="宋体"/>
          <w:sz w:val="24"/>
          <w:szCs w:val="24"/>
        </w:rPr>
      </w:pPr>
    </w:p>
    <w:p w14:paraId="65F3489D">
      <w:pPr>
        <w:spacing w:line="440" w:lineRule="exact"/>
        <w:ind w:firstLine="435"/>
        <w:rPr>
          <w:rFonts w:ascii="宋体" w:hAnsi="宋体"/>
          <w:sz w:val="24"/>
          <w:szCs w:val="24"/>
        </w:rPr>
      </w:pPr>
    </w:p>
    <w:p w14:paraId="4BE88866">
      <w:pPr>
        <w:spacing w:line="440" w:lineRule="exact"/>
        <w:ind w:firstLine="435"/>
        <w:rPr>
          <w:rFonts w:ascii="宋体" w:hAnsi="宋体"/>
          <w:sz w:val="24"/>
          <w:szCs w:val="24"/>
        </w:rPr>
      </w:pPr>
    </w:p>
    <w:p w14:paraId="014AC433">
      <w:pPr>
        <w:spacing w:line="440" w:lineRule="exact"/>
        <w:ind w:firstLine="435"/>
        <w:rPr>
          <w:rFonts w:ascii="宋体" w:hAnsi="宋体"/>
          <w:sz w:val="24"/>
          <w:szCs w:val="24"/>
        </w:rPr>
      </w:pPr>
    </w:p>
    <w:p w14:paraId="3EE6CCD5">
      <w:pPr>
        <w:spacing w:line="440" w:lineRule="exact"/>
        <w:ind w:firstLine="435"/>
        <w:rPr>
          <w:rFonts w:ascii="宋体" w:hAnsi="宋体"/>
          <w:sz w:val="24"/>
          <w:szCs w:val="24"/>
        </w:rPr>
      </w:pPr>
    </w:p>
    <w:p w14:paraId="52E10262">
      <w:pPr>
        <w:spacing w:line="440" w:lineRule="exact"/>
        <w:ind w:firstLine="435"/>
        <w:rPr>
          <w:rFonts w:ascii="宋体" w:hAnsi="宋体"/>
          <w:sz w:val="24"/>
          <w:szCs w:val="24"/>
        </w:rPr>
      </w:pPr>
    </w:p>
    <w:p w14:paraId="794957C1">
      <w:pPr>
        <w:spacing w:line="440" w:lineRule="exact"/>
        <w:ind w:firstLine="435"/>
        <w:rPr>
          <w:rFonts w:ascii="宋体" w:hAnsi="宋体"/>
          <w:sz w:val="24"/>
          <w:szCs w:val="24"/>
        </w:rPr>
      </w:pPr>
    </w:p>
    <w:p w14:paraId="36789BB5">
      <w:pPr>
        <w:spacing w:line="440" w:lineRule="exact"/>
        <w:ind w:firstLine="435"/>
        <w:rPr>
          <w:rFonts w:ascii="宋体" w:hAnsi="宋体"/>
          <w:sz w:val="24"/>
          <w:szCs w:val="24"/>
        </w:rPr>
      </w:pPr>
    </w:p>
    <w:p w14:paraId="5168E509">
      <w:pPr>
        <w:spacing w:line="440" w:lineRule="exact"/>
        <w:ind w:firstLine="435"/>
        <w:rPr>
          <w:rFonts w:ascii="宋体" w:hAnsi="宋体"/>
          <w:sz w:val="24"/>
          <w:szCs w:val="24"/>
        </w:rPr>
      </w:pPr>
    </w:p>
    <w:p w14:paraId="22DF78F0">
      <w:pPr>
        <w:spacing w:line="440" w:lineRule="exact"/>
        <w:ind w:firstLine="435"/>
        <w:rPr>
          <w:rFonts w:ascii="宋体" w:hAnsi="宋体"/>
          <w:sz w:val="24"/>
          <w:szCs w:val="24"/>
        </w:rPr>
      </w:pPr>
      <w:r>
        <w:rPr>
          <w:rFonts w:hint="eastAsia" w:ascii="宋体" w:hAnsi="宋体"/>
          <w:sz w:val="24"/>
          <w:szCs w:val="24"/>
        </w:rPr>
        <w:t>（本页为签署页）</w:t>
      </w:r>
    </w:p>
    <w:p w14:paraId="6FCDB27C">
      <w:pPr>
        <w:spacing w:line="360" w:lineRule="auto"/>
        <w:ind w:firstLine="480" w:firstLineChars="200"/>
        <w:rPr>
          <w:rFonts w:ascii="宋体" w:hAnsi="宋体"/>
          <w:sz w:val="24"/>
        </w:rPr>
      </w:pPr>
    </w:p>
    <w:p w14:paraId="2DDC7F83">
      <w:pPr>
        <w:spacing w:line="360" w:lineRule="auto"/>
        <w:ind w:firstLine="480" w:firstLineChars="200"/>
        <w:rPr>
          <w:rFonts w:ascii="宋体" w:hAnsi="宋体"/>
          <w:sz w:val="24"/>
        </w:rPr>
      </w:pPr>
      <w:r>
        <w:rPr>
          <w:rFonts w:hint="eastAsia" w:ascii="宋体" w:hAnsi="宋体"/>
          <w:sz w:val="24"/>
        </w:rPr>
        <w:t xml:space="preserve">建设单位：广州设计之都建设投资开发有限公司 （盖章）                    　           </w:t>
      </w:r>
    </w:p>
    <w:p w14:paraId="57077E31">
      <w:pPr>
        <w:spacing w:line="360" w:lineRule="auto"/>
        <w:ind w:firstLine="480" w:firstLineChars="200"/>
        <w:rPr>
          <w:rFonts w:ascii="宋体" w:hAnsi="宋体"/>
          <w:sz w:val="24"/>
        </w:rPr>
      </w:pPr>
      <w:r>
        <w:rPr>
          <w:rFonts w:hint="eastAsia" w:ascii="宋体" w:hAnsi="宋体"/>
          <w:sz w:val="24"/>
        </w:rPr>
        <w:t xml:space="preserve">法定代表人：                           </w:t>
      </w:r>
    </w:p>
    <w:p w14:paraId="5A26D926">
      <w:pPr>
        <w:spacing w:line="360" w:lineRule="auto"/>
        <w:ind w:firstLine="480" w:firstLineChars="200"/>
        <w:rPr>
          <w:rFonts w:ascii="宋体" w:hAnsi="宋体"/>
          <w:sz w:val="24"/>
        </w:rPr>
      </w:pPr>
      <w:r>
        <w:rPr>
          <w:rFonts w:hint="eastAsia" w:ascii="宋体" w:hAnsi="宋体"/>
          <w:sz w:val="24"/>
        </w:rPr>
        <w:t xml:space="preserve">签约代表：                             </w:t>
      </w:r>
    </w:p>
    <w:p w14:paraId="7351C8F0">
      <w:pPr>
        <w:pStyle w:val="4"/>
        <w:spacing w:line="360" w:lineRule="auto"/>
        <w:ind w:firstLine="0" w:firstLineChars="0"/>
      </w:pPr>
    </w:p>
    <w:p w14:paraId="0560D145">
      <w:pPr>
        <w:pStyle w:val="4"/>
        <w:spacing w:line="360" w:lineRule="auto"/>
        <w:ind w:firstLine="0" w:firstLineChars="0"/>
      </w:pPr>
    </w:p>
    <w:p w14:paraId="3DE793C7">
      <w:pPr>
        <w:pStyle w:val="4"/>
        <w:spacing w:line="360" w:lineRule="auto"/>
        <w:ind w:firstLine="0" w:firstLineChars="0"/>
      </w:pPr>
    </w:p>
    <w:p w14:paraId="7D015AC7">
      <w:pPr>
        <w:pStyle w:val="4"/>
        <w:spacing w:line="360" w:lineRule="auto"/>
        <w:ind w:firstLine="0" w:firstLineChars="0"/>
      </w:pPr>
    </w:p>
    <w:p w14:paraId="651B22E5">
      <w:pPr>
        <w:spacing w:line="360" w:lineRule="auto"/>
        <w:ind w:firstLine="480" w:firstLineChars="200"/>
        <w:rPr>
          <w:rFonts w:ascii="宋体" w:hAnsi="宋体"/>
          <w:sz w:val="24"/>
        </w:rPr>
      </w:pPr>
      <w:r>
        <w:rPr>
          <w:rFonts w:hint="eastAsia" w:ascii="宋体" w:hAnsi="宋体"/>
          <w:sz w:val="24"/>
        </w:rPr>
        <w:t xml:space="preserve">建设管理单位：（盖章）                    　           </w:t>
      </w:r>
    </w:p>
    <w:p w14:paraId="79DFB6CF">
      <w:pPr>
        <w:spacing w:line="360" w:lineRule="auto"/>
        <w:ind w:firstLine="480" w:firstLineChars="200"/>
        <w:rPr>
          <w:rFonts w:ascii="宋体" w:hAnsi="宋体"/>
          <w:sz w:val="24"/>
        </w:rPr>
      </w:pPr>
      <w:r>
        <w:rPr>
          <w:rFonts w:hint="eastAsia" w:ascii="宋体" w:hAnsi="宋体"/>
          <w:sz w:val="24"/>
        </w:rPr>
        <w:t xml:space="preserve">法定代表人：                           </w:t>
      </w:r>
    </w:p>
    <w:p w14:paraId="609EF98C">
      <w:pPr>
        <w:spacing w:line="360" w:lineRule="auto"/>
        <w:ind w:firstLine="480" w:firstLineChars="200"/>
        <w:rPr>
          <w:rFonts w:ascii="宋体" w:hAnsi="宋体"/>
          <w:sz w:val="24"/>
        </w:rPr>
      </w:pPr>
      <w:r>
        <w:rPr>
          <w:rFonts w:hint="eastAsia" w:ascii="宋体" w:hAnsi="宋体"/>
          <w:sz w:val="24"/>
        </w:rPr>
        <w:t xml:space="preserve">签约代表：                             </w:t>
      </w:r>
    </w:p>
    <w:p w14:paraId="0A613A21">
      <w:pPr>
        <w:pStyle w:val="4"/>
        <w:spacing w:line="360" w:lineRule="auto"/>
        <w:ind w:firstLine="0" w:firstLineChars="0"/>
      </w:pPr>
    </w:p>
    <w:p w14:paraId="54D6839C">
      <w:pPr>
        <w:pStyle w:val="4"/>
        <w:spacing w:line="360" w:lineRule="auto"/>
        <w:ind w:firstLine="0" w:firstLineChars="0"/>
      </w:pPr>
    </w:p>
    <w:p w14:paraId="4A76EF49">
      <w:pPr>
        <w:pStyle w:val="4"/>
        <w:spacing w:line="360" w:lineRule="auto"/>
        <w:ind w:firstLine="0" w:firstLineChars="0"/>
      </w:pPr>
    </w:p>
    <w:p w14:paraId="379C2978">
      <w:pPr>
        <w:pStyle w:val="4"/>
        <w:spacing w:line="360" w:lineRule="auto"/>
        <w:ind w:firstLine="0" w:firstLineChars="0"/>
      </w:pPr>
    </w:p>
    <w:p w14:paraId="207197B7">
      <w:pPr>
        <w:spacing w:line="360" w:lineRule="auto"/>
        <w:ind w:left="7767" w:leftChars="270" w:hanging="7200" w:hangingChars="3000"/>
      </w:pPr>
      <w:r>
        <w:rPr>
          <w:rFonts w:hint="eastAsia" w:ascii="宋体" w:hAnsi="宋体"/>
          <w:sz w:val="24"/>
        </w:rPr>
        <w:t xml:space="preserve">监理单位：（盖章）　                               </w:t>
      </w:r>
    </w:p>
    <w:p w14:paraId="30F81055">
      <w:pPr>
        <w:spacing w:line="360" w:lineRule="auto"/>
        <w:ind w:left="7767" w:leftChars="270" w:hanging="7200" w:hangingChars="3000"/>
        <w:rPr>
          <w:rFonts w:ascii="宋体" w:hAnsi="宋体"/>
          <w:sz w:val="24"/>
        </w:rPr>
      </w:pPr>
      <w:r>
        <w:rPr>
          <w:rFonts w:hint="eastAsia" w:ascii="宋体" w:hAnsi="宋体"/>
          <w:sz w:val="24"/>
        </w:rPr>
        <w:t xml:space="preserve">法定代表人：　　　　　　　　　　　　　   </w:t>
      </w:r>
    </w:p>
    <w:p w14:paraId="4FE319D0">
      <w:pPr>
        <w:spacing w:line="360" w:lineRule="auto"/>
        <w:ind w:left="7767" w:leftChars="270" w:hanging="7200" w:hangingChars="3000"/>
        <w:rPr>
          <w:rFonts w:ascii="宋体" w:hAnsi="宋体"/>
          <w:sz w:val="24"/>
        </w:rPr>
      </w:pPr>
      <w:r>
        <w:rPr>
          <w:rFonts w:hint="eastAsia" w:ascii="宋体" w:hAnsi="宋体"/>
          <w:sz w:val="24"/>
        </w:rPr>
        <w:t xml:space="preserve">签约代表： </w:t>
      </w:r>
    </w:p>
    <w:p w14:paraId="105799DF">
      <w:pPr>
        <w:spacing w:line="440" w:lineRule="exact"/>
        <w:ind w:firstLine="435"/>
        <w:rPr>
          <w:rFonts w:ascii="宋体" w:hAnsi="宋体"/>
          <w:sz w:val="24"/>
          <w:szCs w:val="24"/>
        </w:rPr>
      </w:pPr>
    </w:p>
    <w:p w14:paraId="0B33B9E9">
      <w:pPr>
        <w:spacing w:line="440" w:lineRule="exact"/>
        <w:ind w:firstLine="435"/>
        <w:rPr>
          <w:rFonts w:ascii="宋体" w:hAnsi="宋体"/>
          <w:sz w:val="24"/>
          <w:szCs w:val="24"/>
        </w:rPr>
      </w:pPr>
    </w:p>
    <w:p w14:paraId="7B2282B3">
      <w:pPr>
        <w:spacing w:line="440" w:lineRule="exact"/>
        <w:ind w:firstLine="435"/>
        <w:rPr>
          <w:rFonts w:ascii="宋体" w:hAnsi="宋体"/>
          <w:sz w:val="24"/>
          <w:szCs w:val="24"/>
        </w:rPr>
      </w:pPr>
    </w:p>
    <w:p w14:paraId="0193814D">
      <w:pPr>
        <w:spacing w:line="440" w:lineRule="exact"/>
        <w:ind w:firstLine="435"/>
        <w:rPr>
          <w:rFonts w:ascii="宋体" w:hAnsi="宋体"/>
          <w:sz w:val="24"/>
          <w:szCs w:val="24"/>
        </w:rPr>
      </w:pPr>
    </w:p>
    <w:p w14:paraId="004D44F9">
      <w:pPr>
        <w:spacing w:line="440" w:lineRule="exact"/>
        <w:ind w:firstLine="435"/>
        <w:rPr>
          <w:rFonts w:ascii="宋体" w:hAnsi="宋体"/>
          <w:sz w:val="24"/>
          <w:szCs w:val="24"/>
        </w:rPr>
      </w:pPr>
    </w:p>
    <w:p w14:paraId="2C660E28">
      <w:pPr>
        <w:spacing w:line="440" w:lineRule="exact"/>
        <w:ind w:firstLine="435"/>
        <w:rPr>
          <w:rFonts w:ascii="宋体" w:hAnsi="宋体"/>
          <w:sz w:val="24"/>
          <w:szCs w:val="24"/>
        </w:rPr>
      </w:pPr>
    </w:p>
    <w:p w14:paraId="60160EB9">
      <w:pPr>
        <w:spacing w:line="440" w:lineRule="exact"/>
        <w:ind w:firstLine="435"/>
        <w:rPr>
          <w:rFonts w:ascii="宋体" w:hAnsi="宋体"/>
          <w:sz w:val="24"/>
          <w:szCs w:val="24"/>
        </w:rPr>
      </w:pPr>
    </w:p>
    <w:p w14:paraId="779CCD6E">
      <w:pPr>
        <w:spacing w:line="440" w:lineRule="exact"/>
        <w:ind w:firstLine="435"/>
        <w:rPr>
          <w:rFonts w:ascii="宋体" w:hAnsi="宋体"/>
          <w:sz w:val="24"/>
          <w:szCs w:val="24"/>
        </w:rPr>
      </w:pPr>
    </w:p>
    <w:p w14:paraId="14DA8CA7">
      <w:pPr>
        <w:spacing w:line="440" w:lineRule="exact"/>
        <w:ind w:firstLine="435"/>
        <w:rPr>
          <w:rFonts w:ascii="宋体" w:hAnsi="宋体"/>
          <w:sz w:val="24"/>
          <w:szCs w:val="24"/>
        </w:rPr>
      </w:pPr>
    </w:p>
    <w:p w14:paraId="63D055D6">
      <w:pPr>
        <w:spacing w:line="440" w:lineRule="exact"/>
        <w:ind w:firstLine="435"/>
        <w:rPr>
          <w:rFonts w:ascii="宋体" w:hAnsi="宋体"/>
          <w:sz w:val="24"/>
          <w:szCs w:val="24"/>
        </w:rPr>
      </w:pPr>
    </w:p>
    <w:p w14:paraId="4E9136D3">
      <w:pPr>
        <w:spacing w:line="440" w:lineRule="exact"/>
        <w:ind w:firstLine="435"/>
        <w:rPr>
          <w:rFonts w:ascii="宋体" w:hAnsi="宋体"/>
          <w:sz w:val="24"/>
          <w:szCs w:val="24"/>
        </w:rPr>
      </w:pPr>
    </w:p>
    <w:p w14:paraId="0F56614D">
      <w:pPr>
        <w:spacing w:line="440" w:lineRule="exact"/>
        <w:ind w:firstLine="435"/>
        <w:rPr>
          <w:rFonts w:ascii="宋体" w:hAnsi="宋体"/>
          <w:sz w:val="24"/>
          <w:szCs w:val="24"/>
        </w:rPr>
      </w:pPr>
    </w:p>
    <w:p w14:paraId="224EB904">
      <w:pPr>
        <w:widowControl/>
        <w:adjustRightInd/>
        <w:spacing w:line="240" w:lineRule="auto"/>
        <w:jc w:val="left"/>
        <w:rPr>
          <w:rFonts w:ascii="宋体" w:hAnsi="宋体"/>
          <w:sz w:val="24"/>
          <w:szCs w:val="24"/>
        </w:rPr>
        <w:sectPr>
          <w:pgSz w:w="11906" w:h="16838"/>
          <w:pgMar w:top="1418" w:right="1134" w:bottom="1134" w:left="1418" w:header="851" w:footer="851" w:gutter="0"/>
          <w:cols w:space="720" w:num="1"/>
        </w:sectPr>
      </w:pPr>
    </w:p>
    <w:p w14:paraId="4A4BBAF5">
      <w:pPr>
        <w:spacing w:line="400" w:lineRule="exact"/>
        <w:rPr>
          <w:rFonts w:ascii="宋体" w:hAnsi="宋体"/>
          <w:spacing w:val="2"/>
          <w:position w:val="2"/>
          <w:sz w:val="24"/>
          <w:szCs w:val="24"/>
        </w:rPr>
      </w:pPr>
    </w:p>
    <w:p w14:paraId="6420C593">
      <w:pPr>
        <w:pStyle w:val="2"/>
        <w:spacing w:line="360" w:lineRule="auto"/>
        <w:rPr>
          <w:sz w:val="36"/>
          <w:szCs w:val="36"/>
        </w:rPr>
      </w:pPr>
      <w:bookmarkStart w:id="11" w:name="_Toc15492411"/>
      <w:bookmarkStart w:id="12" w:name="_Toc177120554"/>
      <w:r>
        <w:rPr>
          <w:rFonts w:hint="eastAsia"/>
        </w:rPr>
        <w:t>附件3：</w:t>
      </w:r>
      <w:bookmarkEnd w:id="11"/>
      <w:r>
        <w:rPr>
          <w:rFonts w:hint="eastAsia"/>
          <w:sz w:val="36"/>
          <w:szCs w:val="36"/>
        </w:rPr>
        <w:t>安全生产文明施工协议</w:t>
      </w:r>
      <w:bookmarkEnd w:id="12"/>
    </w:p>
    <w:p w14:paraId="702E5D58">
      <w:pPr>
        <w:spacing w:line="360" w:lineRule="auto"/>
        <w:jc w:val="center"/>
        <w:rPr>
          <w:rFonts w:ascii="宋体" w:hAnsi="宋体"/>
          <w:b/>
          <w:bCs/>
          <w:sz w:val="24"/>
          <w:szCs w:val="24"/>
        </w:rPr>
      </w:pPr>
    </w:p>
    <w:p w14:paraId="7741CEF3">
      <w:pPr>
        <w:spacing w:line="360" w:lineRule="auto"/>
        <w:ind w:firstLine="570"/>
        <w:jc w:val="left"/>
        <w:rPr>
          <w:rFonts w:ascii="宋体" w:hAnsi="宋体"/>
          <w:sz w:val="24"/>
          <w:szCs w:val="24"/>
        </w:rPr>
      </w:pPr>
      <w:r>
        <w:rPr>
          <w:rFonts w:hint="eastAsia" w:ascii="宋体" w:hAnsi="宋体"/>
          <w:sz w:val="24"/>
          <w:szCs w:val="24"/>
        </w:rPr>
        <w:t>为贯彻“安全第一，预防为主”的方针，根据《中华人民共和国安全生产法》、《广东省安全生产条例》等有关法律、法规的规定，结合本工程项目实际情况，按规定签订如下协议。</w:t>
      </w:r>
    </w:p>
    <w:p w14:paraId="33331BF9">
      <w:pPr>
        <w:numPr>
          <w:ilvl w:val="0"/>
          <w:numId w:val="6"/>
        </w:numPr>
        <w:adjustRightInd/>
        <w:spacing w:line="360" w:lineRule="auto"/>
        <w:rPr>
          <w:rFonts w:ascii="宋体" w:hAnsi="宋体"/>
          <w:sz w:val="24"/>
          <w:szCs w:val="24"/>
        </w:rPr>
      </w:pPr>
      <w:r>
        <w:rPr>
          <w:rFonts w:hint="eastAsia" w:ascii="宋体" w:hAnsi="宋体"/>
          <w:sz w:val="24"/>
          <w:szCs w:val="24"/>
        </w:rPr>
        <w:t>建设单位的权利与义务</w:t>
      </w:r>
    </w:p>
    <w:p w14:paraId="5082A74E">
      <w:pPr>
        <w:numPr>
          <w:ilvl w:val="1"/>
          <w:numId w:val="7"/>
        </w:numPr>
        <w:tabs>
          <w:tab w:val="left" w:pos="0"/>
          <w:tab w:val="left" w:pos="720"/>
          <w:tab w:val="left" w:pos="894"/>
        </w:tabs>
        <w:adjustRightInd/>
        <w:spacing w:line="360" w:lineRule="auto"/>
        <w:ind w:left="0" w:firstLine="420"/>
        <w:jc w:val="left"/>
        <w:rPr>
          <w:rFonts w:ascii="宋体" w:hAnsi="宋体"/>
          <w:sz w:val="24"/>
          <w:szCs w:val="24"/>
        </w:rPr>
      </w:pPr>
      <w:r>
        <w:rPr>
          <w:rFonts w:hint="eastAsia" w:ascii="宋体" w:hAnsi="宋体"/>
          <w:sz w:val="24"/>
          <w:szCs w:val="24"/>
        </w:rPr>
        <w:t>遵守国家、省、市有关安全生产文明施工的法律、法规及有关规定，加强安全生产管理，建立、健全安全生产责任制度，完善安全生产条件，确保安全生产。</w:t>
      </w:r>
    </w:p>
    <w:p w14:paraId="4A0F5704">
      <w:pPr>
        <w:numPr>
          <w:ilvl w:val="1"/>
          <w:numId w:val="7"/>
        </w:numPr>
        <w:tabs>
          <w:tab w:val="left" w:pos="0"/>
          <w:tab w:val="left" w:pos="720"/>
          <w:tab w:val="left" w:pos="894"/>
        </w:tabs>
        <w:adjustRightInd/>
        <w:spacing w:line="360" w:lineRule="auto"/>
        <w:ind w:left="0" w:firstLine="420"/>
        <w:jc w:val="left"/>
        <w:rPr>
          <w:rFonts w:ascii="宋体" w:hAnsi="宋体"/>
          <w:sz w:val="24"/>
          <w:szCs w:val="24"/>
        </w:rPr>
      </w:pPr>
      <w:r>
        <w:rPr>
          <w:rFonts w:hint="eastAsia" w:ascii="宋体" w:hAnsi="宋体"/>
          <w:sz w:val="24"/>
          <w:szCs w:val="24"/>
        </w:rPr>
        <w:t>按国家有关规定保证安全生产所必需的资金投入。</w:t>
      </w:r>
    </w:p>
    <w:p w14:paraId="2527A273">
      <w:pPr>
        <w:numPr>
          <w:ilvl w:val="1"/>
          <w:numId w:val="7"/>
        </w:numPr>
        <w:tabs>
          <w:tab w:val="left" w:pos="0"/>
          <w:tab w:val="left" w:pos="720"/>
          <w:tab w:val="left" w:pos="894"/>
        </w:tabs>
        <w:adjustRightInd/>
        <w:spacing w:line="360" w:lineRule="auto"/>
        <w:ind w:left="0" w:firstLine="420"/>
        <w:jc w:val="left"/>
        <w:rPr>
          <w:rFonts w:ascii="宋体" w:hAnsi="宋体"/>
          <w:sz w:val="24"/>
          <w:szCs w:val="24"/>
        </w:rPr>
      </w:pPr>
      <w:r>
        <w:rPr>
          <w:rFonts w:hint="eastAsia" w:ascii="宋体" w:hAnsi="宋体"/>
          <w:sz w:val="24"/>
          <w:szCs w:val="24"/>
        </w:rPr>
        <w:t>保证不将工程项目发包（分包）给不具备安全生产条件或者不具备相应资质的单位或个人。</w:t>
      </w:r>
    </w:p>
    <w:p w14:paraId="0EE77D1B">
      <w:pPr>
        <w:numPr>
          <w:ilvl w:val="1"/>
          <w:numId w:val="7"/>
        </w:numPr>
        <w:tabs>
          <w:tab w:val="left" w:pos="0"/>
          <w:tab w:val="left" w:pos="720"/>
          <w:tab w:val="left" w:pos="894"/>
        </w:tabs>
        <w:adjustRightInd/>
        <w:spacing w:line="360" w:lineRule="auto"/>
        <w:ind w:left="0" w:firstLine="420"/>
        <w:jc w:val="left"/>
        <w:rPr>
          <w:rFonts w:ascii="宋体" w:hAnsi="宋体"/>
          <w:sz w:val="24"/>
          <w:szCs w:val="24"/>
        </w:rPr>
      </w:pPr>
      <w:r>
        <w:rPr>
          <w:rFonts w:hint="eastAsia" w:ascii="宋体" w:hAnsi="宋体"/>
          <w:sz w:val="24"/>
          <w:szCs w:val="24"/>
        </w:rPr>
        <w:t>对监理单位在监理过程中依照合同或依法采取的有效监控措施，如停工、停用等给予支持；对监理单位以公司文件书面形式提交并要求做出决定的事宜在规定时限内做出书面决定。</w:t>
      </w:r>
    </w:p>
    <w:p w14:paraId="132B76BF">
      <w:pPr>
        <w:numPr>
          <w:ilvl w:val="1"/>
          <w:numId w:val="7"/>
        </w:numPr>
        <w:tabs>
          <w:tab w:val="left" w:pos="0"/>
          <w:tab w:val="left" w:pos="720"/>
          <w:tab w:val="left" w:pos="894"/>
        </w:tabs>
        <w:adjustRightInd/>
        <w:spacing w:line="360" w:lineRule="auto"/>
        <w:ind w:left="0" w:firstLine="420"/>
        <w:jc w:val="left"/>
        <w:rPr>
          <w:rFonts w:ascii="宋体" w:hAnsi="宋体"/>
          <w:sz w:val="24"/>
          <w:szCs w:val="24"/>
        </w:rPr>
      </w:pPr>
      <w:r>
        <w:rPr>
          <w:rFonts w:hint="eastAsia" w:ascii="宋体" w:hAnsi="宋体"/>
          <w:sz w:val="24"/>
          <w:szCs w:val="24"/>
        </w:rPr>
        <w:t>授权工地常驻代表负责与监理单位联系安全生产、文明施工的事宜，如需更换此人时提前通知监理单位。</w:t>
      </w:r>
    </w:p>
    <w:p w14:paraId="25CB5F47">
      <w:pPr>
        <w:numPr>
          <w:ilvl w:val="0"/>
          <w:numId w:val="7"/>
        </w:numPr>
        <w:tabs>
          <w:tab w:val="left" w:pos="720"/>
        </w:tabs>
        <w:adjustRightInd/>
        <w:spacing w:line="360" w:lineRule="auto"/>
        <w:rPr>
          <w:rFonts w:ascii="宋体" w:hAnsi="宋体"/>
          <w:sz w:val="24"/>
          <w:szCs w:val="24"/>
        </w:rPr>
      </w:pPr>
      <w:r>
        <w:rPr>
          <w:rFonts w:hint="eastAsia" w:ascii="宋体" w:hAnsi="宋体"/>
          <w:sz w:val="24"/>
          <w:szCs w:val="24"/>
        </w:rPr>
        <w:t>监理单位的权利与义务</w:t>
      </w:r>
    </w:p>
    <w:p w14:paraId="28049655">
      <w:pPr>
        <w:tabs>
          <w:tab w:val="left" w:pos="894"/>
        </w:tabs>
        <w:spacing w:line="360" w:lineRule="auto"/>
        <w:jc w:val="left"/>
        <w:rPr>
          <w:rFonts w:ascii="宋体" w:hAnsi="宋体"/>
          <w:sz w:val="24"/>
          <w:szCs w:val="24"/>
        </w:rPr>
      </w:pPr>
      <w:r>
        <w:rPr>
          <w:rFonts w:hint="eastAsia" w:ascii="宋体" w:hAnsi="宋体"/>
          <w:sz w:val="24"/>
          <w:szCs w:val="24"/>
        </w:rPr>
        <w:t xml:space="preserve">    1、遵守国家、省、市有关安全生产文明施工的法律、法规及有关规定，加强工程建设安全的监理，建立、健全安全监理责任制度，保证工程建设的安全。</w:t>
      </w:r>
    </w:p>
    <w:p w14:paraId="5F20EDBD">
      <w:pPr>
        <w:tabs>
          <w:tab w:val="left" w:pos="894"/>
        </w:tabs>
        <w:spacing w:line="360" w:lineRule="auto"/>
        <w:rPr>
          <w:rFonts w:ascii="宋体" w:hAnsi="宋体"/>
          <w:sz w:val="24"/>
          <w:szCs w:val="24"/>
        </w:rPr>
      </w:pPr>
      <w:r>
        <w:rPr>
          <w:rFonts w:hint="eastAsia" w:ascii="宋体" w:hAnsi="宋体"/>
          <w:sz w:val="24"/>
          <w:szCs w:val="24"/>
        </w:rPr>
        <w:t>建立、健全安全生产文明施工监理的组织、明确安全监理工程师的职责。</w:t>
      </w:r>
    </w:p>
    <w:p w14:paraId="69C6DC84">
      <w:pPr>
        <w:spacing w:line="360" w:lineRule="auto"/>
        <w:rPr>
          <w:rFonts w:ascii="宋体" w:hAnsi="宋体"/>
          <w:sz w:val="24"/>
          <w:szCs w:val="24"/>
        </w:rPr>
      </w:pPr>
      <w:r>
        <w:rPr>
          <w:rFonts w:hint="eastAsia" w:ascii="宋体" w:hAnsi="宋体"/>
          <w:sz w:val="24"/>
          <w:szCs w:val="24"/>
        </w:rPr>
        <w:t xml:space="preserve">    2、建立安全生产文明施工的专项监理制度或方案。</w:t>
      </w:r>
    </w:p>
    <w:p w14:paraId="38FBA92B">
      <w:pPr>
        <w:spacing w:line="360" w:lineRule="auto"/>
        <w:jc w:val="left"/>
        <w:rPr>
          <w:rFonts w:ascii="宋体" w:hAnsi="宋体"/>
          <w:sz w:val="24"/>
          <w:szCs w:val="24"/>
        </w:rPr>
      </w:pPr>
      <w:r>
        <w:rPr>
          <w:rFonts w:hint="eastAsia" w:ascii="宋体" w:hAnsi="宋体"/>
          <w:sz w:val="24"/>
          <w:szCs w:val="24"/>
        </w:rPr>
        <w:t xml:space="preserve">    3、对承包人的资质进行审查，对无资质单位会同建设单位不准进入。</w:t>
      </w:r>
    </w:p>
    <w:p w14:paraId="63371A9A">
      <w:pPr>
        <w:spacing w:line="360" w:lineRule="auto"/>
        <w:jc w:val="left"/>
        <w:rPr>
          <w:rFonts w:ascii="宋体" w:hAnsi="宋体"/>
          <w:sz w:val="24"/>
          <w:szCs w:val="24"/>
        </w:rPr>
      </w:pPr>
      <w:r>
        <w:rPr>
          <w:rFonts w:hint="eastAsia" w:ascii="宋体" w:hAnsi="宋体"/>
          <w:sz w:val="24"/>
          <w:szCs w:val="24"/>
        </w:rPr>
        <w:t xml:space="preserve">    4、对承包人提供的安全施工组织设计及专项安全技术方案进行审核。</w:t>
      </w:r>
    </w:p>
    <w:p w14:paraId="1AB30E9C">
      <w:pPr>
        <w:spacing w:line="360" w:lineRule="auto"/>
        <w:rPr>
          <w:rFonts w:ascii="宋体" w:hAnsi="宋体"/>
          <w:sz w:val="24"/>
          <w:szCs w:val="24"/>
        </w:rPr>
      </w:pPr>
      <w:r>
        <w:rPr>
          <w:rFonts w:hint="eastAsia" w:ascii="宋体" w:hAnsi="宋体"/>
          <w:sz w:val="24"/>
          <w:szCs w:val="24"/>
        </w:rPr>
        <w:t xml:space="preserve">    5、对施工人员、材料、主要设备的使用和运行状况进行检查并记录。</w:t>
      </w:r>
    </w:p>
    <w:p w14:paraId="367CCCDB">
      <w:pPr>
        <w:spacing w:line="360" w:lineRule="auto"/>
        <w:rPr>
          <w:rFonts w:ascii="宋体" w:hAnsi="宋体"/>
          <w:sz w:val="24"/>
          <w:szCs w:val="24"/>
        </w:rPr>
      </w:pPr>
      <w:r>
        <w:rPr>
          <w:rFonts w:hint="eastAsia" w:ascii="宋体" w:hAnsi="宋体"/>
          <w:sz w:val="24"/>
          <w:szCs w:val="24"/>
        </w:rPr>
        <w:t xml:space="preserve">    6、对重要施工环节和安全事故易发工序实施旁站或巡检。</w:t>
      </w:r>
    </w:p>
    <w:p w14:paraId="4B0869F3">
      <w:pPr>
        <w:spacing w:line="360" w:lineRule="auto"/>
        <w:rPr>
          <w:rFonts w:ascii="宋体" w:hAnsi="宋体"/>
          <w:sz w:val="24"/>
          <w:szCs w:val="24"/>
        </w:rPr>
      </w:pPr>
      <w:r>
        <w:rPr>
          <w:rFonts w:hint="eastAsia" w:ascii="宋体" w:hAnsi="宋体"/>
          <w:sz w:val="24"/>
          <w:szCs w:val="24"/>
        </w:rPr>
        <w:t xml:space="preserve">    7、按规定对安全措施费用的列支和使用实施有效监控。</w:t>
      </w:r>
    </w:p>
    <w:p w14:paraId="3E75D914">
      <w:pPr>
        <w:spacing w:line="360" w:lineRule="auto"/>
        <w:rPr>
          <w:rFonts w:ascii="宋体" w:hAnsi="宋体"/>
          <w:sz w:val="24"/>
          <w:szCs w:val="24"/>
        </w:rPr>
      </w:pPr>
      <w:r>
        <w:rPr>
          <w:rFonts w:hint="eastAsia" w:ascii="宋体" w:hAnsi="宋体"/>
          <w:sz w:val="24"/>
          <w:szCs w:val="24"/>
        </w:rPr>
        <w:t xml:space="preserve">    8、及时制止承包人明显违章指挥和操作的行为。</w:t>
      </w:r>
    </w:p>
    <w:p w14:paraId="663B65DB">
      <w:pPr>
        <w:spacing w:line="360" w:lineRule="auto"/>
        <w:rPr>
          <w:rFonts w:ascii="宋体" w:hAnsi="宋体"/>
          <w:sz w:val="24"/>
          <w:szCs w:val="24"/>
        </w:rPr>
      </w:pPr>
      <w:r>
        <w:rPr>
          <w:rFonts w:hint="eastAsia" w:ascii="宋体" w:hAnsi="宋体"/>
          <w:sz w:val="24"/>
          <w:szCs w:val="24"/>
        </w:rPr>
        <w:t xml:space="preserve">    9、对危及工程和人员安全的施工及设备的使用，及时下达停工（停用）指令，坚决予以纠正。</w:t>
      </w:r>
    </w:p>
    <w:p w14:paraId="22F54FDE">
      <w:pPr>
        <w:tabs>
          <w:tab w:val="left" w:pos="720"/>
        </w:tabs>
        <w:spacing w:line="360" w:lineRule="auto"/>
        <w:rPr>
          <w:rFonts w:ascii="宋体" w:hAnsi="宋体"/>
          <w:sz w:val="24"/>
          <w:szCs w:val="24"/>
        </w:rPr>
      </w:pPr>
      <w:r>
        <w:rPr>
          <w:rFonts w:hint="eastAsia" w:ascii="宋体" w:hAnsi="宋体"/>
          <w:sz w:val="24"/>
          <w:szCs w:val="24"/>
        </w:rPr>
        <w:t xml:space="preserve">    10、对施工现场存在的安全隐患及时发出整改通知并向安监机构报告。</w:t>
      </w:r>
    </w:p>
    <w:p w14:paraId="3C923F25">
      <w:pPr>
        <w:spacing w:line="360" w:lineRule="auto"/>
        <w:rPr>
          <w:rFonts w:ascii="宋体" w:hAnsi="宋体"/>
          <w:sz w:val="24"/>
          <w:szCs w:val="24"/>
        </w:rPr>
      </w:pPr>
      <w:r>
        <w:rPr>
          <w:rFonts w:hint="eastAsia" w:ascii="宋体" w:hAnsi="宋体"/>
          <w:sz w:val="24"/>
          <w:szCs w:val="24"/>
        </w:rPr>
        <w:t xml:space="preserve">    11、对因安全原因被建设行政主管部门和监督机构责令停工整改的，要积极主动抓好督促落实并及时反馈情况。</w:t>
      </w:r>
    </w:p>
    <w:p w14:paraId="682A344C">
      <w:pPr>
        <w:spacing w:line="360" w:lineRule="auto"/>
        <w:rPr>
          <w:rFonts w:ascii="宋体" w:hAnsi="宋体"/>
          <w:sz w:val="24"/>
          <w:szCs w:val="24"/>
        </w:rPr>
      </w:pPr>
      <w:r>
        <w:rPr>
          <w:rFonts w:hint="eastAsia" w:ascii="宋体" w:hAnsi="宋体"/>
          <w:sz w:val="24"/>
          <w:szCs w:val="24"/>
        </w:rPr>
        <w:t xml:space="preserve">    12、督促承包人按规定购买施工意外保险和搞好文明施工管理。</w:t>
      </w:r>
    </w:p>
    <w:p w14:paraId="2B3BD5BB">
      <w:pPr>
        <w:spacing w:line="360" w:lineRule="auto"/>
        <w:rPr>
          <w:rFonts w:ascii="宋体" w:hAnsi="宋体"/>
          <w:sz w:val="24"/>
          <w:szCs w:val="24"/>
        </w:rPr>
      </w:pPr>
      <w:r>
        <w:rPr>
          <w:rFonts w:hint="eastAsia" w:ascii="宋体" w:hAnsi="宋体"/>
          <w:sz w:val="24"/>
          <w:szCs w:val="24"/>
        </w:rPr>
        <w:t xml:space="preserve">    13、参与安全事故的调查处理。</w:t>
      </w:r>
    </w:p>
    <w:p w14:paraId="2EC3BC26">
      <w:pPr>
        <w:spacing w:line="360" w:lineRule="auto"/>
        <w:rPr>
          <w:rFonts w:ascii="宋体" w:hAnsi="宋体"/>
          <w:sz w:val="24"/>
          <w:szCs w:val="24"/>
        </w:rPr>
      </w:pPr>
      <w:r>
        <w:rPr>
          <w:rFonts w:hint="eastAsia" w:ascii="宋体" w:hAnsi="宋体"/>
          <w:sz w:val="24"/>
          <w:szCs w:val="24"/>
        </w:rPr>
        <w:t xml:space="preserve">    14、参与事故应急救援预案的公布和演练。</w:t>
      </w:r>
    </w:p>
    <w:p w14:paraId="36FDCAA9">
      <w:pPr>
        <w:snapToGrid w:val="0"/>
        <w:spacing w:line="360" w:lineRule="auto"/>
        <w:ind w:firstLine="480"/>
        <w:rPr>
          <w:rFonts w:ascii="宋体" w:hAnsi="宋体"/>
          <w:sz w:val="24"/>
          <w:szCs w:val="24"/>
        </w:rPr>
      </w:pPr>
      <w:r>
        <w:rPr>
          <w:rFonts w:hint="eastAsia" w:ascii="宋体" w:hAnsi="宋体"/>
          <w:sz w:val="24"/>
          <w:szCs w:val="24"/>
        </w:rPr>
        <w:t>15、做好安全施工监理记录，日记和监理月报等资料整理，并督促承包单位及时整理现场安全管理文件资料。</w:t>
      </w:r>
    </w:p>
    <w:p w14:paraId="4103DF7D">
      <w:pPr>
        <w:snapToGrid w:val="0"/>
        <w:spacing w:line="360" w:lineRule="auto"/>
        <w:ind w:firstLine="480"/>
        <w:rPr>
          <w:rFonts w:ascii="宋体" w:hAnsi="宋体"/>
          <w:sz w:val="24"/>
          <w:szCs w:val="24"/>
        </w:rPr>
      </w:pPr>
    </w:p>
    <w:p w14:paraId="0935D907">
      <w:pPr>
        <w:spacing w:line="360" w:lineRule="auto"/>
        <w:ind w:left="435" w:leftChars="207"/>
        <w:rPr>
          <w:rFonts w:ascii="宋体" w:hAnsi="宋体"/>
          <w:sz w:val="24"/>
          <w:szCs w:val="24"/>
        </w:rPr>
      </w:pPr>
      <w:r>
        <w:rPr>
          <w:rFonts w:hint="eastAsia" w:ascii="宋体" w:hAnsi="宋体"/>
          <w:sz w:val="24"/>
          <w:szCs w:val="24"/>
        </w:rPr>
        <w:t xml:space="preserve">建设单位：                            建设管理单位：                   </w:t>
      </w:r>
    </w:p>
    <w:p w14:paraId="75DCFD45">
      <w:pPr>
        <w:spacing w:line="360" w:lineRule="auto"/>
        <w:ind w:left="3795" w:leftChars="207" w:right="-365" w:rightChars="-174" w:hanging="3360" w:hangingChars="1400"/>
        <w:rPr>
          <w:rFonts w:hint="eastAsia" w:ascii="宋体" w:hAnsi="宋体" w:eastAsia="宋体"/>
          <w:sz w:val="24"/>
          <w:szCs w:val="24"/>
          <w:lang w:eastAsia="zh-CN"/>
        </w:rPr>
      </w:pPr>
      <w:r>
        <w:rPr>
          <w:rFonts w:hint="eastAsia" w:ascii="宋体" w:hAnsi="宋体"/>
          <w:spacing w:val="0"/>
          <w:sz w:val="24"/>
          <w:szCs w:val="24"/>
        </w:rPr>
        <w:t>广州设计之都建设投资开发有限公司</w:t>
      </w:r>
      <w:r>
        <w:rPr>
          <w:rFonts w:hint="eastAsia" w:ascii="宋体" w:hAnsi="宋体"/>
          <w:sz w:val="24"/>
          <w:szCs w:val="24"/>
        </w:rPr>
        <w:t xml:space="preserve">      </w:t>
      </w:r>
    </w:p>
    <w:p w14:paraId="47238043">
      <w:pPr>
        <w:spacing w:line="360" w:lineRule="auto"/>
        <w:ind w:left="435" w:leftChars="207"/>
        <w:rPr>
          <w:rFonts w:ascii="宋体" w:hAnsi="宋体"/>
          <w:sz w:val="24"/>
          <w:szCs w:val="24"/>
        </w:rPr>
      </w:pPr>
      <w:r>
        <w:rPr>
          <w:rFonts w:hint="eastAsia" w:ascii="宋体" w:hAnsi="宋体"/>
          <w:sz w:val="24"/>
          <w:szCs w:val="24"/>
        </w:rPr>
        <w:t xml:space="preserve">(签章)                               (签章)                       </w:t>
      </w:r>
    </w:p>
    <w:p w14:paraId="2A87EDE0">
      <w:pPr>
        <w:spacing w:line="360" w:lineRule="auto"/>
        <w:ind w:left="5527" w:leftChars="207" w:right="-546" w:rightChars="-260" w:hanging="5092" w:hangingChars="2122"/>
        <w:rPr>
          <w:rFonts w:ascii="宋体" w:hAnsi="宋体"/>
          <w:sz w:val="24"/>
          <w:szCs w:val="24"/>
        </w:rPr>
      </w:pPr>
      <w:r>
        <w:rPr>
          <w:rFonts w:hint="eastAsia" w:ascii="宋体" w:hAnsi="宋体"/>
          <w:sz w:val="24"/>
          <w:szCs w:val="24"/>
        </w:rPr>
        <w:t xml:space="preserve">地址：广州白云区设计之都鹤贤北 </w:t>
      </w:r>
      <w:r>
        <w:rPr>
          <w:rFonts w:hint="eastAsia" w:ascii="宋体" w:hAnsi="宋体"/>
          <w:sz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地址</w:t>
      </w:r>
    </w:p>
    <w:p w14:paraId="5C7E0913">
      <w:pPr>
        <w:spacing w:line="360" w:lineRule="auto"/>
        <w:ind w:left="0" w:leftChars="0" w:right="-546" w:rightChars="-260" w:firstLine="1132" w:firstLineChars="472"/>
        <w:rPr>
          <w:rFonts w:ascii="宋体" w:hAnsi="宋体"/>
          <w:sz w:val="24"/>
          <w:szCs w:val="24"/>
        </w:rPr>
      </w:pPr>
      <w:r>
        <w:rPr>
          <w:rFonts w:hint="eastAsia" w:ascii="宋体" w:hAnsi="宋体"/>
          <w:sz w:val="24"/>
          <w:szCs w:val="24"/>
        </w:rPr>
        <w:t xml:space="preserve">街9号E2栋7楼 </w:t>
      </w:r>
      <w:r>
        <w:rPr>
          <w:rFonts w:ascii="宋体" w:hAnsi="宋体"/>
          <w:sz w:val="24"/>
          <w:szCs w:val="24"/>
        </w:rPr>
        <w:t xml:space="preserve">                     </w:t>
      </w:r>
    </w:p>
    <w:p w14:paraId="192EB144">
      <w:pPr>
        <w:spacing w:line="360" w:lineRule="auto"/>
        <w:ind w:left="435" w:leftChars="207"/>
        <w:rPr>
          <w:rFonts w:ascii="宋体" w:hAnsi="宋体"/>
          <w:sz w:val="24"/>
          <w:szCs w:val="24"/>
        </w:rPr>
      </w:pPr>
      <w:r>
        <w:rPr>
          <w:rFonts w:hint="eastAsia" w:ascii="宋体" w:hAnsi="宋体"/>
          <w:sz w:val="24"/>
          <w:szCs w:val="24"/>
        </w:rPr>
        <w:t xml:space="preserve">法定代表人：                        </w:t>
      </w:r>
      <w:r>
        <w:rPr>
          <w:rFonts w:ascii="宋体" w:hAnsi="宋体"/>
          <w:sz w:val="24"/>
          <w:szCs w:val="24"/>
        </w:rPr>
        <w:t xml:space="preserve"> </w:t>
      </w:r>
      <w:r>
        <w:rPr>
          <w:rFonts w:hint="eastAsia" w:ascii="宋体" w:hAnsi="宋体"/>
          <w:sz w:val="24"/>
          <w:szCs w:val="24"/>
        </w:rPr>
        <w:t xml:space="preserve">法定代表人：                </w:t>
      </w:r>
    </w:p>
    <w:p w14:paraId="078346BD">
      <w:pPr>
        <w:spacing w:line="360" w:lineRule="auto"/>
        <w:ind w:left="435" w:leftChars="207"/>
        <w:rPr>
          <w:rFonts w:ascii="宋体" w:hAnsi="宋体"/>
          <w:sz w:val="24"/>
          <w:szCs w:val="24"/>
        </w:rPr>
      </w:pPr>
      <w:r>
        <w:rPr>
          <w:rFonts w:hint="eastAsia" w:ascii="宋体" w:hAnsi="宋体"/>
          <w:sz w:val="24"/>
          <w:szCs w:val="24"/>
        </w:rPr>
        <w:t xml:space="preserve">签约代表：                           签约代表：                   </w:t>
      </w:r>
    </w:p>
    <w:p w14:paraId="3ED73B1E">
      <w:pPr>
        <w:spacing w:line="360" w:lineRule="auto"/>
        <w:ind w:firstLine="360" w:firstLineChars="150"/>
        <w:rPr>
          <w:rFonts w:ascii="宋体" w:hAnsi="宋体"/>
          <w:sz w:val="24"/>
          <w:szCs w:val="24"/>
        </w:rPr>
      </w:pPr>
      <w:r>
        <w:rPr>
          <w:rFonts w:hint="eastAsia" w:ascii="宋体" w:hAnsi="宋体"/>
          <w:sz w:val="24"/>
          <w:szCs w:val="24"/>
        </w:rPr>
        <w:t xml:space="preserve">                         </w:t>
      </w:r>
    </w:p>
    <w:p w14:paraId="5C3C4865">
      <w:pPr>
        <w:pStyle w:val="46"/>
        <w:spacing w:line="360" w:lineRule="auto"/>
        <w:ind w:firstLine="360" w:firstLineChars="150"/>
        <w:rPr>
          <w:rFonts w:ascii="宋体" w:hAnsi="宋体"/>
          <w:sz w:val="24"/>
          <w:szCs w:val="24"/>
        </w:rPr>
      </w:pPr>
    </w:p>
    <w:p w14:paraId="35F0F4A3">
      <w:pPr>
        <w:spacing w:line="360" w:lineRule="auto"/>
        <w:ind w:left="435" w:leftChars="207"/>
        <w:rPr>
          <w:rFonts w:ascii="宋体" w:hAnsi="宋体"/>
          <w:sz w:val="24"/>
          <w:szCs w:val="24"/>
        </w:rPr>
      </w:pPr>
      <w:r>
        <w:rPr>
          <w:rFonts w:hint="eastAsia" w:ascii="宋体" w:hAnsi="宋体"/>
          <w:sz w:val="24"/>
          <w:szCs w:val="24"/>
        </w:rPr>
        <w:t>监理单位：</w:t>
      </w:r>
      <w:r>
        <w:rPr>
          <w:rFonts w:ascii="宋体" w:hAnsi="宋体"/>
          <w:sz w:val="24"/>
          <w:szCs w:val="24"/>
        </w:rPr>
        <w:t>(签章)</w:t>
      </w:r>
    </w:p>
    <w:p w14:paraId="5B88FF11">
      <w:pPr>
        <w:spacing w:line="360" w:lineRule="auto"/>
        <w:ind w:left="435" w:leftChars="207"/>
        <w:rPr>
          <w:rFonts w:ascii="宋体" w:hAnsi="宋体"/>
          <w:sz w:val="24"/>
          <w:szCs w:val="24"/>
        </w:rPr>
      </w:pPr>
      <w:r>
        <w:rPr>
          <w:rFonts w:hint="eastAsia" w:ascii="宋体" w:hAnsi="宋体"/>
          <w:sz w:val="24"/>
          <w:szCs w:val="24"/>
        </w:rPr>
        <w:t>地址：</w:t>
      </w:r>
    </w:p>
    <w:p w14:paraId="0278641E">
      <w:pPr>
        <w:spacing w:line="360" w:lineRule="auto"/>
        <w:ind w:left="435" w:leftChars="207"/>
        <w:rPr>
          <w:rFonts w:ascii="宋体" w:hAnsi="宋体"/>
          <w:sz w:val="24"/>
          <w:szCs w:val="24"/>
        </w:rPr>
      </w:pPr>
      <w:r>
        <w:rPr>
          <w:rFonts w:hint="eastAsia" w:ascii="宋体" w:hAnsi="宋体"/>
          <w:sz w:val="24"/>
          <w:szCs w:val="24"/>
        </w:rPr>
        <w:t>法定代表人：</w:t>
      </w:r>
    </w:p>
    <w:p w14:paraId="5672823E">
      <w:pPr>
        <w:spacing w:line="360" w:lineRule="auto"/>
        <w:ind w:left="435" w:leftChars="207"/>
        <w:rPr>
          <w:rFonts w:ascii="宋体" w:hAnsi="宋体"/>
          <w:sz w:val="24"/>
          <w:szCs w:val="24"/>
        </w:rPr>
      </w:pPr>
      <w:r>
        <w:rPr>
          <w:rFonts w:hint="eastAsia" w:ascii="宋体" w:hAnsi="宋体"/>
          <w:sz w:val="24"/>
          <w:szCs w:val="24"/>
        </w:rPr>
        <w:t>签约代表：</w:t>
      </w:r>
    </w:p>
    <w:p w14:paraId="68E2DD30">
      <w:pPr>
        <w:spacing w:line="360" w:lineRule="auto"/>
        <w:ind w:left="435" w:leftChars="207"/>
        <w:rPr>
          <w:rFonts w:ascii="宋体" w:hAnsi="宋体"/>
          <w:sz w:val="24"/>
          <w:szCs w:val="24"/>
        </w:rPr>
      </w:pPr>
    </w:p>
    <w:p w14:paraId="028D5733">
      <w:pPr>
        <w:spacing w:line="360" w:lineRule="auto"/>
        <w:ind w:left="435" w:leftChars="207"/>
        <w:rPr>
          <w:rFonts w:ascii="宋体" w:hAnsi="宋体"/>
          <w:sz w:val="24"/>
          <w:szCs w:val="24"/>
        </w:rPr>
        <w:sectPr>
          <w:type w:val="continuous"/>
          <w:pgSz w:w="11906" w:h="16838"/>
          <w:pgMar w:top="1440" w:right="1800" w:bottom="1440" w:left="1800" w:header="851" w:footer="992" w:gutter="0"/>
          <w:cols w:space="720" w:num="1"/>
          <w:docGrid w:type="lines" w:linePitch="312" w:charSpace="0"/>
        </w:sectPr>
      </w:pPr>
      <w:r>
        <w:rPr>
          <w:rFonts w:hint="eastAsia" w:ascii="宋体" w:hAnsi="宋体"/>
          <w:sz w:val="24"/>
          <w:szCs w:val="24"/>
        </w:rPr>
        <w:t>签订日期：      年     月    日</w:t>
      </w:r>
    </w:p>
    <w:p w14:paraId="7AF09306">
      <w:pPr>
        <w:pStyle w:val="2"/>
        <w:widowControl/>
        <w:spacing w:line="440" w:lineRule="exact"/>
        <w:rPr>
          <w:rFonts w:ascii="宋体"/>
          <w:szCs w:val="30"/>
        </w:rPr>
      </w:pPr>
      <w:bookmarkStart w:id="13" w:name="_Toc15492413"/>
      <w:bookmarkStart w:id="14" w:name="_Toc177120555"/>
      <w:r>
        <w:rPr>
          <w:rFonts w:hint="eastAsia"/>
        </w:rPr>
        <w:t>附件4：</w:t>
      </w:r>
      <w:bookmarkEnd w:id="13"/>
      <w:r>
        <w:rPr>
          <w:rFonts w:hint="eastAsia" w:ascii="宋体"/>
          <w:szCs w:val="30"/>
        </w:rPr>
        <w:t>廉</w:t>
      </w:r>
      <w:r>
        <w:rPr>
          <w:rFonts w:ascii="宋体"/>
          <w:szCs w:val="30"/>
        </w:rPr>
        <w:t xml:space="preserve"> </w:t>
      </w:r>
      <w:r>
        <w:rPr>
          <w:rFonts w:hint="eastAsia" w:ascii="宋体"/>
          <w:szCs w:val="30"/>
        </w:rPr>
        <w:t>政</w:t>
      </w:r>
      <w:r>
        <w:rPr>
          <w:rFonts w:ascii="宋体"/>
          <w:szCs w:val="30"/>
        </w:rPr>
        <w:t xml:space="preserve"> </w:t>
      </w:r>
      <w:r>
        <w:rPr>
          <w:rFonts w:hint="eastAsia" w:ascii="宋体"/>
          <w:szCs w:val="30"/>
        </w:rPr>
        <w:t>合</w:t>
      </w:r>
      <w:r>
        <w:rPr>
          <w:rFonts w:ascii="宋体"/>
          <w:szCs w:val="30"/>
        </w:rPr>
        <w:t xml:space="preserve"> </w:t>
      </w:r>
      <w:r>
        <w:rPr>
          <w:rFonts w:hint="eastAsia" w:ascii="宋体"/>
          <w:szCs w:val="30"/>
        </w:rPr>
        <w:t>同</w:t>
      </w:r>
      <w:bookmarkEnd w:id="14"/>
    </w:p>
    <w:p w14:paraId="6A534AF6">
      <w:pPr>
        <w:spacing w:line="360" w:lineRule="auto"/>
        <w:rPr>
          <w:rFonts w:ascii="宋体"/>
          <w:sz w:val="24"/>
        </w:rPr>
      </w:pPr>
    </w:p>
    <w:p w14:paraId="5AFDA647">
      <w:pPr>
        <w:spacing w:line="360" w:lineRule="auto"/>
        <w:ind w:firstLine="482" w:firstLineChars="200"/>
        <w:rPr>
          <w:rFonts w:ascii="宋体"/>
          <w:b/>
          <w:sz w:val="24"/>
          <w:u w:val="single"/>
        </w:rPr>
      </w:pPr>
      <w:r>
        <w:rPr>
          <w:rFonts w:hint="eastAsia" w:ascii="宋体" w:hAnsi="宋体"/>
          <w:b/>
          <w:sz w:val="24"/>
        </w:rPr>
        <w:t>建设单位：</w:t>
      </w:r>
      <w:r>
        <w:rPr>
          <w:rFonts w:hint="eastAsia" w:ascii="宋体" w:hAnsi="宋体"/>
          <w:b/>
          <w:sz w:val="24"/>
          <w:u w:val="single"/>
        </w:rPr>
        <w:t>广州设计之都建设投资开发有限公司</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p>
    <w:p w14:paraId="5FA677E4">
      <w:pPr>
        <w:spacing w:line="360" w:lineRule="auto"/>
        <w:ind w:firstLine="482" w:firstLineChars="200"/>
        <w:rPr>
          <w:rFonts w:ascii="宋体" w:hAnsi="宋体"/>
          <w:b/>
          <w:sz w:val="24"/>
          <w:u w:val="single"/>
        </w:rPr>
      </w:pPr>
      <w:r>
        <w:rPr>
          <w:rFonts w:hint="eastAsia" w:ascii="宋体" w:hAnsi="宋体"/>
          <w:b/>
          <w:sz w:val="24"/>
        </w:rPr>
        <w:t>建设管理单位：</w:t>
      </w:r>
      <w:r>
        <w:rPr>
          <w:rFonts w:hint="eastAsia" w:ascii="宋体" w:hAnsi="宋体"/>
          <w:b/>
          <w:sz w:val="24"/>
          <w:u w:val="single"/>
        </w:rPr>
        <w:t xml:space="preserve">                         </w:t>
      </w:r>
      <w:r>
        <w:rPr>
          <w:rFonts w:ascii="宋体" w:hAnsi="宋体"/>
          <w:b/>
          <w:sz w:val="24"/>
          <w:u w:val="single"/>
        </w:rPr>
        <w:t xml:space="preserve"> </w:t>
      </w:r>
    </w:p>
    <w:p w14:paraId="229E2306">
      <w:pPr>
        <w:spacing w:line="360" w:lineRule="auto"/>
        <w:ind w:firstLine="482" w:firstLineChars="200"/>
        <w:rPr>
          <w:rFonts w:ascii="宋体" w:hAnsi="宋体"/>
          <w:sz w:val="24"/>
        </w:rPr>
      </w:pPr>
      <w:r>
        <w:rPr>
          <w:rFonts w:hint="eastAsia" w:ascii="宋体" w:hAnsi="宋体"/>
          <w:b/>
          <w:sz w:val="24"/>
        </w:rPr>
        <w:t>监理单位：</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szCs w:val="24"/>
          <w:u w:val="single"/>
        </w:rPr>
        <w:t xml:space="preserve">      </w:t>
      </w:r>
      <w:r>
        <w:rPr>
          <w:rFonts w:ascii="宋体" w:hAnsi="宋体"/>
          <w:sz w:val="24"/>
        </w:rPr>
        <w:t xml:space="preserve">     </w:t>
      </w:r>
    </w:p>
    <w:p w14:paraId="733006A3">
      <w:pPr>
        <w:spacing w:line="360" w:lineRule="auto"/>
        <w:ind w:firstLine="480" w:firstLineChars="200"/>
        <w:rPr>
          <w:rFonts w:ascii="宋体"/>
          <w:sz w:val="24"/>
        </w:rPr>
      </w:pPr>
      <w:r>
        <w:rPr>
          <w:rFonts w:hint="eastAsia" w:ascii="宋体" w:hAnsi="宋体"/>
          <w:sz w:val="24"/>
        </w:rPr>
        <w:t>根据国家、省工程建设和廉政建设的有关规定，为做好合同工程的廉政建设，保证工程质量与施工安全，提高建设资金的有效使用和投资效益，建设单位、建设管理单位和监理单位就加强合同工程的廉政建设，订立本合同。</w:t>
      </w:r>
    </w:p>
    <w:p w14:paraId="23E2D377">
      <w:pPr>
        <w:spacing w:line="360" w:lineRule="auto"/>
        <w:ind w:firstLine="480" w:firstLineChars="200"/>
        <w:rPr>
          <w:rFonts w:ascii="宋体"/>
          <w:bCs/>
          <w:sz w:val="24"/>
        </w:rPr>
      </w:pPr>
      <w:r>
        <w:rPr>
          <w:rFonts w:ascii="宋体" w:hAnsi="宋体"/>
          <w:bCs/>
          <w:sz w:val="24"/>
        </w:rPr>
        <w:t xml:space="preserve">1  </w:t>
      </w:r>
      <w:r>
        <w:rPr>
          <w:rFonts w:hint="eastAsia" w:ascii="宋体" w:hAnsi="宋体"/>
          <w:bCs/>
          <w:sz w:val="24"/>
        </w:rPr>
        <w:t>三方权利和义务</w:t>
      </w:r>
    </w:p>
    <w:p w14:paraId="42ADD2E3">
      <w:pPr>
        <w:spacing w:line="360" w:lineRule="auto"/>
        <w:ind w:firstLine="480" w:firstLineChars="200"/>
        <w:rPr>
          <w:rFonts w:ascii="宋体"/>
          <w:sz w:val="24"/>
        </w:rPr>
      </w:pPr>
      <w:r>
        <w:rPr>
          <w:rFonts w:ascii="宋体" w:hAnsi="宋体"/>
          <w:sz w:val="24"/>
        </w:rPr>
        <w:t xml:space="preserve">1.1  </w:t>
      </w:r>
      <w:r>
        <w:rPr>
          <w:rFonts w:hint="eastAsia" w:ascii="宋体" w:hAnsi="宋体"/>
          <w:sz w:val="24"/>
        </w:rPr>
        <w:t>严格遵守国家有关法律法规的规定。</w:t>
      </w:r>
    </w:p>
    <w:p w14:paraId="0C17D696">
      <w:pPr>
        <w:spacing w:line="360" w:lineRule="auto"/>
        <w:ind w:firstLine="480" w:firstLineChars="200"/>
        <w:rPr>
          <w:rFonts w:ascii="宋体"/>
          <w:sz w:val="24"/>
        </w:rPr>
      </w:pPr>
      <w:r>
        <w:rPr>
          <w:rFonts w:ascii="宋体" w:hAnsi="宋体"/>
          <w:sz w:val="24"/>
        </w:rPr>
        <w:t xml:space="preserve">1.2  </w:t>
      </w:r>
      <w:r>
        <w:rPr>
          <w:rFonts w:hint="eastAsia" w:ascii="宋体" w:hAnsi="宋体"/>
          <w:sz w:val="24"/>
        </w:rPr>
        <w:t>严格执行一切合同文件，自觉按合同办事。</w:t>
      </w:r>
    </w:p>
    <w:p w14:paraId="35EEAC36">
      <w:pPr>
        <w:spacing w:line="360" w:lineRule="auto"/>
        <w:ind w:firstLine="480" w:firstLineChars="200"/>
        <w:rPr>
          <w:rFonts w:ascii="宋体"/>
          <w:sz w:val="24"/>
        </w:rPr>
      </w:pPr>
      <w:r>
        <w:rPr>
          <w:rFonts w:ascii="宋体" w:hAnsi="宋体"/>
          <w:sz w:val="24"/>
        </w:rPr>
        <w:t xml:space="preserve">1.3  </w:t>
      </w:r>
      <w:r>
        <w:rPr>
          <w:rFonts w:hint="eastAsia" w:ascii="宋体" w:hAnsi="宋体"/>
          <w:sz w:val="24"/>
        </w:rPr>
        <w:t>三方的业务活动坚持公平、公开、公正和诚信的原则（法律认定的商业秘密和合同文件另有规定除外），不得损害国家和集体利益，不得违反工程建设管理规章制度。</w:t>
      </w:r>
    </w:p>
    <w:p w14:paraId="74C5D35E">
      <w:pPr>
        <w:spacing w:line="360" w:lineRule="auto"/>
        <w:ind w:firstLine="480" w:firstLineChars="200"/>
        <w:rPr>
          <w:rFonts w:ascii="宋体"/>
          <w:sz w:val="24"/>
        </w:rPr>
      </w:pPr>
      <w:r>
        <w:rPr>
          <w:rFonts w:ascii="宋体" w:hAnsi="宋体"/>
          <w:sz w:val="24"/>
        </w:rPr>
        <w:t xml:space="preserve">1.4  </w:t>
      </w:r>
      <w:r>
        <w:rPr>
          <w:rFonts w:hint="eastAsia" w:ascii="宋体" w:hAnsi="宋体"/>
          <w:sz w:val="24"/>
        </w:rPr>
        <w:t>建立健全廉政制度，开展廉政教育，设立廉政告示牌，公布举报电话，监督并认真查处违法违纪行为。</w:t>
      </w:r>
    </w:p>
    <w:p w14:paraId="487BB176">
      <w:pPr>
        <w:spacing w:line="360" w:lineRule="auto"/>
        <w:ind w:firstLine="480" w:firstLineChars="200"/>
        <w:rPr>
          <w:rFonts w:ascii="宋体"/>
          <w:sz w:val="24"/>
        </w:rPr>
      </w:pPr>
      <w:r>
        <w:rPr>
          <w:rFonts w:ascii="宋体" w:hAnsi="宋体"/>
          <w:sz w:val="24"/>
        </w:rPr>
        <w:t xml:space="preserve">1.5  </w:t>
      </w:r>
      <w:r>
        <w:rPr>
          <w:rFonts w:hint="eastAsia" w:ascii="宋体" w:hAnsi="宋体"/>
          <w:sz w:val="24"/>
        </w:rPr>
        <w:t>发现对方在业务活动中有违反廉政建设规定的行为，应及时给予提醒和纠正。</w:t>
      </w:r>
    </w:p>
    <w:p w14:paraId="5AC16AAF">
      <w:pPr>
        <w:spacing w:line="360" w:lineRule="auto"/>
        <w:ind w:firstLine="480" w:firstLineChars="200"/>
        <w:rPr>
          <w:rFonts w:ascii="宋体"/>
          <w:bCs/>
          <w:sz w:val="24"/>
        </w:rPr>
      </w:pPr>
      <w:r>
        <w:rPr>
          <w:rFonts w:ascii="宋体" w:hAnsi="宋体"/>
          <w:sz w:val="24"/>
        </w:rPr>
        <w:t xml:space="preserve">1.6  </w:t>
      </w:r>
      <w:r>
        <w:rPr>
          <w:rFonts w:hint="eastAsia" w:ascii="宋体" w:hAnsi="宋体"/>
          <w:sz w:val="24"/>
        </w:rPr>
        <w:t>发现对方严重违反合同的行为，有向其上级部门举报、建议给予处理并要求告知处理结果的权利。</w:t>
      </w:r>
    </w:p>
    <w:p w14:paraId="3D8875C4">
      <w:pPr>
        <w:spacing w:line="360" w:lineRule="auto"/>
        <w:ind w:firstLine="480" w:firstLineChars="200"/>
        <w:rPr>
          <w:rFonts w:ascii="宋体"/>
          <w:bCs/>
          <w:sz w:val="24"/>
        </w:rPr>
      </w:pPr>
      <w:r>
        <w:rPr>
          <w:rFonts w:ascii="宋体" w:hAnsi="宋体"/>
          <w:bCs/>
          <w:sz w:val="24"/>
        </w:rPr>
        <w:t xml:space="preserve">2  </w:t>
      </w:r>
      <w:r>
        <w:rPr>
          <w:rFonts w:hint="eastAsia" w:ascii="宋体" w:hAnsi="宋体"/>
          <w:bCs/>
          <w:sz w:val="24"/>
        </w:rPr>
        <w:t>建设单位和建设管理单位义务</w:t>
      </w:r>
    </w:p>
    <w:p w14:paraId="321265A7">
      <w:pPr>
        <w:spacing w:line="360" w:lineRule="auto"/>
        <w:ind w:firstLine="480" w:firstLineChars="200"/>
        <w:rPr>
          <w:rFonts w:ascii="宋体"/>
          <w:sz w:val="24"/>
        </w:rPr>
      </w:pPr>
      <w:r>
        <w:rPr>
          <w:rFonts w:ascii="宋体" w:hAnsi="宋体"/>
          <w:sz w:val="24"/>
        </w:rPr>
        <w:t xml:space="preserve">2.1  </w:t>
      </w:r>
      <w:r>
        <w:rPr>
          <w:rFonts w:hint="eastAsia" w:ascii="宋体" w:hAnsi="宋体"/>
          <w:bCs/>
          <w:sz w:val="24"/>
        </w:rPr>
        <w:t>建设单位</w:t>
      </w:r>
      <w:r>
        <w:rPr>
          <w:rFonts w:hint="eastAsia" w:ascii="宋体" w:hAnsi="宋体"/>
          <w:sz w:val="24"/>
        </w:rPr>
        <w:t>和建设管理单位及其工作人员不得索要或接受监理单位的礼金、有价证券和贵重物品，不得在监理单位报销任何应由</w:t>
      </w:r>
      <w:r>
        <w:rPr>
          <w:rFonts w:hint="eastAsia" w:ascii="宋体" w:hAnsi="宋体"/>
          <w:bCs/>
          <w:sz w:val="24"/>
        </w:rPr>
        <w:t>建设单位</w:t>
      </w:r>
      <w:r>
        <w:rPr>
          <w:rFonts w:hint="eastAsia" w:ascii="宋体" w:hAnsi="宋体"/>
          <w:sz w:val="24"/>
        </w:rPr>
        <w:t>或工作人员个人支付的费用等。</w:t>
      </w:r>
    </w:p>
    <w:p w14:paraId="611CA9FA">
      <w:pPr>
        <w:spacing w:line="360" w:lineRule="auto"/>
        <w:ind w:firstLine="480" w:firstLineChars="200"/>
        <w:rPr>
          <w:rFonts w:ascii="宋体"/>
          <w:sz w:val="24"/>
        </w:rPr>
      </w:pPr>
      <w:r>
        <w:rPr>
          <w:rFonts w:ascii="宋体" w:hAnsi="宋体"/>
          <w:sz w:val="24"/>
        </w:rPr>
        <w:t xml:space="preserve">2.2  </w:t>
      </w:r>
      <w:r>
        <w:rPr>
          <w:rFonts w:hint="eastAsia" w:ascii="宋体" w:hAnsi="宋体"/>
          <w:bCs/>
          <w:sz w:val="24"/>
        </w:rPr>
        <w:t>建设单位</w:t>
      </w:r>
      <w:r>
        <w:rPr>
          <w:rFonts w:hint="eastAsia" w:ascii="宋体" w:hAnsi="宋体"/>
          <w:sz w:val="24"/>
        </w:rPr>
        <w:t>和建设管理单位及其工作人员不得参加监理单位安排的宴请（工作餐除外）和娱乐活动；不得接受监理单位提供的通讯工具、交通工具和高档办公用品等。</w:t>
      </w:r>
    </w:p>
    <w:p w14:paraId="7DAEA6E9">
      <w:pPr>
        <w:spacing w:line="360" w:lineRule="auto"/>
        <w:ind w:firstLine="480" w:firstLineChars="200"/>
        <w:rPr>
          <w:rFonts w:ascii="宋体"/>
          <w:sz w:val="24"/>
        </w:rPr>
      </w:pPr>
      <w:r>
        <w:rPr>
          <w:rFonts w:ascii="宋体" w:hAnsi="宋体"/>
          <w:sz w:val="24"/>
        </w:rPr>
        <w:t xml:space="preserve">2.3  </w:t>
      </w:r>
      <w:r>
        <w:rPr>
          <w:rFonts w:hint="eastAsia" w:ascii="宋体" w:hAnsi="宋体"/>
          <w:bCs/>
          <w:sz w:val="24"/>
        </w:rPr>
        <w:t>建设单位</w:t>
      </w:r>
      <w:r>
        <w:rPr>
          <w:rFonts w:hint="eastAsia" w:ascii="宋体" w:hAnsi="宋体"/>
          <w:sz w:val="24"/>
        </w:rPr>
        <w:t>和建设管理单位及其工作人员不得要求或者接受监理单位为其住房装修、婚丧嫁娶活动、配偶子女的工作安排以及出国出境、旅游等提供方便等。</w:t>
      </w:r>
    </w:p>
    <w:p w14:paraId="1799C12F">
      <w:pPr>
        <w:spacing w:line="360" w:lineRule="auto"/>
        <w:ind w:firstLine="480" w:firstLineChars="200"/>
        <w:rPr>
          <w:rFonts w:ascii="宋体"/>
          <w:sz w:val="24"/>
        </w:rPr>
      </w:pPr>
      <w:r>
        <w:rPr>
          <w:rFonts w:ascii="宋体" w:hAnsi="宋体"/>
          <w:sz w:val="24"/>
        </w:rPr>
        <w:t xml:space="preserve">2.4  </w:t>
      </w:r>
      <w:r>
        <w:rPr>
          <w:rFonts w:hint="eastAsia" w:ascii="宋体" w:hAnsi="宋体"/>
          <w:bCs/>
          <w:sz w:val="24"/>
        </w:rPr>
        <w:t>建设单位</w:t>
      </w:r>
      <w:r>
        <w:rPr>
          <w:rFonts w:hint="eastAsia" w:ascii="宋体" w:hAnsi="宋体"/>
          <w:sz w:val="24"/>
        </w:rPr>
        <w:t>和建设管理单位及其工作人员及其配偶、子女不得从事与建设管理单位有关的工程材料设备供应、工程分包、劳务等经济活动。</w:t>
      </w:r>
    </w:p>
    <w:p w14:paraId="4CE52668">
      <w:pPr>
        <w:spacing w:line="360" w:lineRule="auto"/>
        <w:ind w:firstLine="480" w:firstLineChars="200"/>
        <w:rPr>
          <w:rFonts w:ascii="宋体"/>
          <w:sz w:val="24"/>
        </w:rPr>
      </w:pPr>
      <w:r>
        <w:rPr>
          <w:rFonts w:ascii="宋体" w:hAnsi="宋体"/>
          <w:sz w:val="24"/>
        </w:rPr>
        <w:t xml:space="preserve">2.5  </w:t>
      </w:r>
      <w:r>
        <w:rPr>
          <w:rFonts w:hint="eastAsia" w:ascii="宋体" w:hAnsi="宋体"/>
          <w:bCs/>
          <w:sz w:val="24"/>
        </w:rPr>
        <w:t>建设单位</w:t>
      </w:r>
      <w:r>
        <w:rPr>
          <w:rFonts w:hint="eastAsia" w:ascii="宋体" w:hAnsi="宋体"/>
          <w:sz w:val="24"/>
        </w:rPr>
        <w:t>和建设管理单位及其工作人员不得以任何理由向监理单位推荐分包单位或推销材料，不得要求监理单位购买合同约定外的材料和设备。</w:t>
      </w:r>
    </w:p>
    <w:p w14:paraId="1C1CBA19">
      <w:pPr>
        <w:spacing w:line="360" w:lineRule="auto"/>
        <w:ind w:firstLine="480" w:firstLineChars="200"/>
        <w:rPr>
          <w:rFonts w:ascii="宋体"/>
          <w:bCs/>
          <w:sz w:val="24"/>
        </w:rPr>
      </w:pPr>
      <w:r>
        <w:rPr>
          <w:rFonts w:ascii="宋体" w:hAnsi="宋体"/>
          <w:sz w:val="24"/>
        </w:rPr>
        <w:t xml:space="preserve">2.6  </w:t>
      </w:r>
      <w:r>
        <w:rPr>
          <w:rFonts w:hint="eastAsia" w:ascii="宋体" w:hAnsi="宋体"/>
          <w:bCs/>
          <w:sz w:val="24"/>
        </w:rPr>
        <w:t>建设单位</w:t>
      </w:r>
      <w:r>
        <w:rPr>
          <w:rFonts w:hint="eastAsia" w:ascii="宋体" w:hAnsi="宋体"/>
          <w:sz w:val="24"/>
        </w:rPr>
        <w:t>和建设管理单位及其工作人员要秉公办事，不准营私舞弊，不准利用职权从事各种个人有偿中介活动和安排个人施工队伍。</w:t>
      </w:r>
    </w:p>
    <w:p w14:paraId="563D1D10">
      <w:pPr>
        <w:spacing w:line="360" w:lineRule="auto"/>
        <w:ind w:firstLine="480" w:firstLineChars="200"/>
        <w:rPr>
          <w:rFonts w:ascii="宋体"/>
          <w:bCs/>
          <w:sz w:val="24"/>
        </w:rPr>
      </w:pPr>
      <w:r>
        <w:rPr>
          <w:rFonts w:ascii="宋体" w:hAnsi="宋体"/>
          <w:bCs/>
          <w:sz w:val="24"/>
        </w:rPr>
        <w:t xml:space="preserve">3  </w:t>
      </w:r>
      <w:r>
        <w:rPr>
          <w:rFonts w:hint="eastAsia" w:ascii="宋体" w:hAnsi="宋体"/>
          <w:bCs/>
          <w:sz w:val="24"/>
        </w:rPr>
        <w:t>监理单位义务</w:t>
      </w:r>
    </w:p>
    <w:p w14:paraId="70EBF617">
      <w:pPr>
        <w:spacing w:line="360" w:lineRule="auto"/>
        <w:ind w:firstLine="480" w:firstLineChars="200"/>
        <w:rPr>
          <w:rFonts w:ascii="宋体"/>
          <w:sz w:val="24"/>
        </w:rPr>
      </w:pPr>
      <w:r>
        <w:rPr>
          <w:rFonts w:ascii="宋体" w:hAnsi="宋体"/>
          <w:sz w:val="24"/>
        </w:rPr>
        <w:t xml:space="preserve">3.1  </w:t>
      </w:r>
      <w:r>
        <w:rPr>
          <w:rFonts w:hint="eastAsia" w:ascii="宋体" w:hAnsi="宋体"/>
          <w:sz w:val="24"/>
        </w:rPr>
        <w:t>监理单位不得以任何理由向</w:t>
      </w:r>
      <w:r>
        <w:rPr>
          <w:rFonts w:hint="eastAsia" w:ascii="宋体" w:hAnsi="宋体"/>
          <w:bCs/>
          <w:sz w:val="24"/>
        </w:rPr>
        <w:t>建设单位</w:t>
      </w:r>
      <w:r>
        <w:rPr>
          <w:rFonts w:hint="eastAsia" w:ascii="宋体" w:hAnsi="宋体"/>
          <w:sz w:val="24"/>
        </w:rPr>
        <w:t>和建设管理单位及其工作人员行贿或馈赠礼金、有价证券、贵重礼品。</w:t>
      </w:r>
    </w:p>
    <w:p w14:paraId="4376976D">
      <w:pPr>
        <w:spacing w:line="360" w:lineRule="auto"/>
        <w:ind w:firstLine="480" w:firstLineChars="200"/>
        <w:rPr>
          <w:rFonts w:ascii="宋体"/>
          <w:sz w:val="24"/>
        </w:rPr>
      </w:pPr>
      <w:r>
        <w:rPr>
          <w:rFonts w:ascii="宋体" w:hAnsi="宋体"/>
          <w:sz w:val="24"/>
        </w:rPr>
        <w:t xml:space="preserve">3.2  </w:t>
      </w:r>
      <w:r>
        <w:rPr>
          <w:rFonts w:hint="eastAsia" w:ascii="宋体" w:hAnsi="宋体"/>
          <w:sz w:val="24"/>
        </w:rPr>
        <w:t>监理单位不得以任何名义为</w:t>
      </w:r>
      <w:r>
        <w:rPr>
          <w:rFonts w:hint="eastAsia" w:ascii="宋体" w:hAnsi="宋体"/>
          <w:bCs/>
          <w:sz w:val="24"/>
        </w:rPr>
        <w:t>建设单位</w:t>
      </w:r>
      <w:r>
        <w:rPr>
          <w:rFonts w:hint="eastAsia" w:ascii="宋体" w:hAnsi="宋体"/>
          <w:sz w:val="24"/>
        </w:rPr>
        <w:t>和建设管理单位及其工作人员报销应由建设管理单位或工作人员个人支付的任何费用。</w:t>
      </w:r>
    </w:p>
    <w:p w14:paraId="3B2EB3D5">
      <w:pPr>
        <w:spacing w:line="360" w:lineRule="auto"/>
        <w:ind w:firstLine="480" w:firstLineChars="200"/>
        <w:rPr>
          <w:rFonts w:ascii="宋体"/>
          <w:sz w:val="24"/>
        </w:rPr>
      </w:pPr>
      <w:r>
        <w:rPr>
          <w:rFonts w:ascii="宋体" w:hAnsi="宋体"/>
          <w:sz w:val="24"/>
        </w:rPr>
        <w:t xml:space="preserve">3.3  </w:t>
      </w:r>
      <w:r>
        <w:rPr>
          <w:rFonts w:hint="eastAsia" w:ascii="宋体" w:hAnsi="宋体"/>
          <w:sz w:val="24"/>
        </w:rPr>
        <w:t>监理单位不得以任何理由安排</w:t>
      </w:r>
      <w:r>
        <w:rPr>
          <w:rFonts w:hint="eastAsia" w:ascii="宋体" w:hAnsi="宋体"/>
          <w:bCs/>
          <w:sz w:val="24"/>
        </w:rPr>
        <w:t>建设单位</w:t>
      </w:r>
      <w:r>
        <w:rPr>
          <w:rFonts w:hint="eastAsia" w:ascii="宋体" w:hAnsi="宋体"/>
          <w:sz w:val="24"/>
        </w:rPr>
        <w:t>和建设管理单位及其工作人员参加宴请（工作餐除外）及娱乐活动。</w:t>
      </w:r>
    </w:p>
    <w:p w14:paraId="30431A0B">
      <w:pPr>
        <w:spacing w:line="360" w:lineRule="auto"/>
        <w:ind w:firstLine="480" w:firstLineChars="200"/>
        <w:rPr>
          <w:rFonts w:ascii="宋体"/>
          <w:bCs/>
          <w:sz w:val="24"/>
        </w:rPr>
      </w:pPr>
      <w:r>
        <w:rPr>
          <w:rFonts w:ascii="宋体" w:hAnsi="宋体"/>
          <w:sz w:val="24"/>
        </w:rPr>
        <w:t xml:space="preserve">3.4  </w:t>
      </w:r>
      <w:r>
        <w:rPr>
          <w:rFonts w:hint="eastAsia" w:ascii="宋体" w:hAnsi="宋体"/>
          <w:sz w:val="24"/>
        </w:rPr>
        <w:t>监理单位不得为</w:t>
      </w:r>
      <w:r>
        <w:rPr>
          <w:rFonts w:hint="eastAsia" w:ascii="宋体" w:hAnsi="宋体"/>
          <w:bCs/>
          <w:sz w:val="24"/>
        </w:rPr>
        <w:t>建设单位</w:t>
      </w:r>
      <w:r>
        <w:rPr>
          <w:rFonts w:hint="eastAsia" w:ascii="宋体" w:hAnsi="宋体"/>
          <w:sz w:val="24"/>
        </w:rPr>
        <w:t>和建设管理单位购置或提供高档通讯工具和高档办公用品等。</w:t>
      </w:r>
    </w:p>
    <w:p w14:paraId="33F45D4B">
      <w:pPr>
        <w:tabs>
          <w:tab w:val="left" w:pos="900"/>
        </w:tabs>
        <w:spacing w:line="360" w:lineRule="auto"/>
        <w:ind w:firstLine="480" w:firstLineChars="200"/>
        <w:rPr>
          <w:rFonts w:ascii="宋体"/>
          <w:bCs/>
          <w:sz w:val="24"/>
        </w:rPr>
      </w:pPr>
      <w:r>
        <w:rPr>
          <w:rFonts w:ascii="宋体" w:hAnsi="宋体"/>
          <w:bCs/>
          <w:sz w:val="24"/>
        </w:rPr>
        <w:t xml:space="preserve">4  </w:t>
      </w:r>
      <w:r>
        <w:rPr>
          <w:rFonts w:hint="eastAsia" w:ascii="宋体" w:hAnsi="宋体"/>
          <w:bCs/>
          <w:sz w:val="24"/>
        </w:rPr>
        <w:t>违约责任</w:t>
      </w:r>
    </w:p>
    <w:p w14:paraId="1C1552C4">
      <w:pPr>
        <w:spacing w:line="360" w:lineRule="auto"/>
        <w:ind w:firstLine="480" w:firstLineChars="200"/>
        <w:rPr>
          <w:rFonts w:ascii="宋体"/>
          <w:sz w:val="24"/>
        </w:rPr>
      </w:pPr>
      <w:r>
        <w:rPr>
          <w:rFonts w:ascii="宋体" w:hAnsi="宋体"/>
          <w:sz w:val="24"/>
        </w:rPr>
        <w:t xml:space="preserve">4.1  </w:t>
      </w:r>
      <w:r>
        <w:rPr>
          <w:rFonts w:hint="eastAsia" w:ascii="宋体" w:hAnsi="宋体"/>
          <w:bCs/>
          <w:sz w:val="24"/>
        </w:rPr>
        <w:t>建设单位</w:t>
      </w:r>
      <w:r>
        <w:rPr>
          <w:rFonts w:hint="eastAsia" w:ascii="宋体" w:hAnsi="宋体"/>
          <w:sz w:val="24"/>
        </w:rPr>
        <w:t>和建设管理单位及其工作人员违反本合同第</w:t>
      </w:r>
      <w:r>
        <w:rPr>
          <w:rFonts w:ascii="宋体" w:hAnsi="宋体"/>
          <w:sz w:val="24"/>
        </w:rPr>
        <w:t>1</w:t>
      </w:r>
      <w:r>
        <w:rPr>
          <w:rFonts w:hint="eastAsia" w:ascii="宋体" w:hAnsi="宋体"/>
          <w:sz w:val="24"/>
        </w:rPr>
        <w:t>条和第</w:t>
      </w:r>
      <w:r>
        <w:rPr>
          <w:rFonts w:ascii="宋体" w:hAnsi="宋体"/>
          <w:sz w:val="24"/>
        </w:rPr>
        <w:t>2</w:t>
      </w:r>
      <w:r>
        <w:rPr>
          <w:rFonts w:hint="eastAsia" w:ascii="宋体" w:hAnsi="宋体"/>
          <w:sz w:val="24"/>
        </w:rPr>
        <w:t>条规定，应依据有关规定给予廉政建设规定的处分；涉嫌犯罪的，移交司法机关追究刑事责任；给监理单位造成经济损失的，应予赔偿。</w:t>
      </w:r>
    </w:p>
    <w:p w14:paraId="0AA0657A">
      <w:pPr>
        <w:spacing w:line="360" w:lineRule="auto"/>
        <w:ind w:firstLine="480" w:firstLineChars="200"/>
        <w:rPr>
          <w:rFonts w:ascii="宋体"/>
          <w:sz w:val="24"/>
        </w:rPr>
      </w:pPr>
      <w:r>
        <w:rPr>
          <w:rFonts w:ascii="宋体" w:hAnsi="宋体"/>
          <w:sz w:val="24"/>
        </w:rPr>
        <w:t xml:space="preserve">4.2  </w:t>
      </w:r>
      <w:r>
        <w:rPr>
          <w:rFonts w:hint="eastAsia" w:ascii="宋体" w:hAnsi="宋体"/>
          <w:sz w:val="24"/>
        </w:rPr>
        <w:t>监理单位及其工作人员违反本合同第</w:t>
      </w:r>
      <w:r>
        <w:rPr>
          <w:rFonts w:ascii="宋体" w:hAnsi="宋体"/>
          <w:sz w:val="24"/>
        </w:rPr>
        <w:t>1</w:t>
      </w:r>
      <w:r>
        <w:rPr>
          <w:rFonts w:hint="eastAsia" w:ascii="宋体" w:hAnsi="宋体"/>
          <w:sz w:val="24"/>
        </w:rPr>
        <w:t>条和第</w:t>
      </w:r>
      <w:r>
        <w:rPr>
          <w:rFonts w:ascii="宋体" w:hAnsi="宋体"/>
          <w:sz w:val="24"/>
        </w:rPr>
        <w:t>3</w:t>
      </w:r>
      <w:r>
        <w:rPr>
          <w:rFonts w:hint="eastAsia" w:ascii="宋体" w:hAnsi="宋体"/>
          <w:sz w:val="24"/>
        </w:rPr>
        <w:t>条规定，应依据有关规定给予廉政建设规定的处分；给</w:t>
      </w:r>
      <w:r>
        <w:rPr>
          <w:rFonts w:hint="eastAsia" w:ascii="宋体" w:hAnsi="宋体"/>
          <w:bCs/>
          <w:sz w:val="24"/>
        </w:rPr>
        <w:t>建设单位</w:t>
      </w:r>
      <w:r>
        <w:rPr>
          <w:rFonts w:hint="eastAsia" w:ascii="宋体" w:hAnsi="宋体"/>
          <w:sz w:val="24"/>
        </w:rPr>
        <w:t>和建设管理单位造成经济损失的，应予赔偿；情节严重的，由建设主管部门给予监理单位一至三年内不得进入工程建设市场的处罚。</w:t>
      </w:r>
    </w:p>
    <w:p w14:paraId="7E0874A7">
      <w:pPr>
        <w:numPr>
          <w:ilvl w:val="0"/>
          <w:numId w:val="8"/>
        </w:numPr>
        <w:adjustRightInd/>
        <w:spacing w:line="360" w:lineRule="auto"/>
        <w:ind w:left="0" w:firstLine="480" w:firstLineChars="200"/>
        <w:rPr>
          <w:rFonts w:ascii="宋体"/>
          <w:bCs/>
          <w:sz w:val="24"/>
        </w:rPr>
      </w:pPr>
      <w:r>
        <w:rPr>
          <w:rFonts w:hint="eastAsia" w:ascii="宋体" w:hAnsi="宋体"/>
          <w:bCs/>
          <w:sz w:val="24"/>
        </w:rPr>
        <w:t>三方约定</w:t>
      </w:r>
    </w:p>
    <w:p w14:paraId="0634AC08">
      <w:pPr>
        <w:pStyle w:val="23"/>
        <w:spacing w:after="0" w:line="360" w:lineRule="auto"/>
        <w:ind w:left="0" w:leftChars="0" w:firstLine="480" w:firstLineChars="200"/>
        <w:rPr>
          <w:rFonts w:hAnsi="宋体"/>
          <w:sz w:val="24"/>
        </w:rPr>
      </w:pPr>
      <w:r>
        <w:rPr>
          <w:rFonts w:hint="eastAsia" w:hAnsi="宋体"/>
          <w:sz w:val="24"/>
        </w:rPr>
        <w:t>本合同由三方或其上级部门负责监督执行，并由三方或其上级部门相互约请对本合同执行情况进行检查。</w:t>
      </w:r>
    </w:p>
    <w:p w14:paraId="3190DAA3">
      <w:pPr>
        <w:spacing w:line="360" w:lineRule="auto"/>
        <w:ind w:firstLine="480" w:firstLineChars="200"/>
        <w:rPr>
          <w:rFonts w:ascii="宋体"/>
          <w:bCs/>
          <w:sz w:val="24"/>
        </w:rPr>
      </w:pPr>
      <w:r>
        <w:rPr>
          <w:rFonts w:ascii="宋体" w:hAnsi="宋体"/>
          <w:bCs/>
          <w:sz w:val="24"/>
        </w:rPr>
        <w:t xml:space="preserve">6  </w:t>
      </w:r>
      <w:r>
        <w:rPr>
          <w:rFonts w:hint="eastAsia" w:ascii="宋体" w:hAnsi="宋体"/>
          <w:bCs/>
          <w:sz w:val="24"/>
        </w:rPr>
        <w:t>合同生效</w:t>
      </w:r>
    </w:p>
    <w:p w14:paraId="0149553F">
      <w:pPr>
        <w:spacing w:line="360" w:lineRule="auto"/>
        <w:ind w:firstLine="480" w:firstLineChars="200"/>
        <w:rPr>
          <w:rFonts w:ascii="宋体"/>
          <w:bCs/>
          <w:sz w:val="24"/>
        </w:rPr>
      </w:pPr>
      <w:r>
        <w:rPr>
          <w:rFonts w:hint="eastAsia" w:ascii="宋体" w:hAnsi="宋体"/>
          <w:sz w:val="24"/>
        </w:rPr>
        <w:t>本合同的有效期，自三方签署之日起至该工程竣工验收合格之日止。</w:t>
      </w:r>
    </w:p>
    <w:p w14:paraId="19ACE058">
      <w:pPr>
        <w:spacing w:line="360" w:lineRule="auto"/>
        <w:ind w:firstLine="480" w:firstLineChars="200"/>
        <w:rPr>
          <w:rFonts w:ascii="宋体"/>
          <w:bCs/>
          <w:sz w:val="24"/>
        </w:rPr>
      </w:pPr>
      <w:r>
        <w:rPr>
          <w:rFonts w:ascii="宋体" w:hAnsi="宋体"/>
          <w:bCs/>
          <w:sz w:val="24"/>
        </w:rPr>
        <w:t xml:space="preserve">7  </w:t>
      </w:r>
      <w:r>
        <w:rPr>
          <w:rFonts w:hint="eastAsia" w:ascii="宋体" w:hAnsi="宋体"/>
          <w:bCs/>
          <w:sz w:val="24"/>
        </w:rPr>
        <w:t>合同法律效力</w:t>
      </w:r>
    </w:p>
    <w:p w14:paraId="51CEAFC2">
      <w:pPr>
        <w:pStyle w:val="34"/>
        <w:spacing w:line="360" w:lineRule="auto"/>
        <w:ind w:right="147" w:firstLine="480" w:firstLineChars="200"/>
        <w:rPr>
          <w:sz w:val="24"/>
          <w:szCs w:val="24"/>
        </w:rPr>
      </w:pPr>
      <w:r>
        <w:rPr>
          <w:rFonts w:hint="eastAsia"/>
          <w:sz w:val="24"/>
          <w:szCs w:val="24"/>
        </w:rPr>
        <w:t>本合同作为</w:t>
      </w:r>
      <w:r>
        <w:rPr>
          <w:rFonts w:hint="eastAsia" w:ascii="宋体" w:hAnsi="宋体"/>
          <w:sz w:val="24"/>
          <w:szCs w:val="24"/>
        </w:rPr>
        <w:t>广州设计之都嘉禾片区项目</w:t>
      </w:r>
      <w:r>
        <w:rPr>
          <w:rFonts w:hint="eastAsia" w:ascii="宋体" w:hAnsi="宋体"/>
          <w:sz w:val="24"/>
          <w:szCs w:val="24"/>
          <w:lang w:eastAsia="zh-CN"/>
        </w:rPr>
        <w:t>三期</w:t>
      </w:r>
      <w:r>
        <w:rPr>
          <w:rFonts w:hint="eastAsia"/>
          <w:sz w:val="24"/>
          <w:szCs w:val="24"/>
        </w:rPr>
        <w:t>监理服务合同的附件，与监理合同具有同等的法律效力，经三方签署后生效。</w:t>
      </w:r>
    </w:p>
    <w:p w14:paraId="33F205FE">
      <w:pPr>
        <w:pStyle w:val="34"/>
        <w:spacing w:line="360" w:lineRule="auto"/>
        <w:ind w:right="150"/>
        <w:rPr>
          <w:sz w:val="24"/>
          <w:szCs w:val="24"/>
        </w:rPr>
      </w:pPr>
    </w:p>
    <w:p w14:paraId="05F1523F">
      <w:pPr>
        <w:pStyle w:val="34"/>
        <w:spacing w:line="360" w:lineRule="auto"/>
        <w:ind w:right="150"/>
        <w:rPr>
          <w:sz w:val="24"/>
          <w:szCs w:val="24"/>
        </w:rPr>
      </w:pPr>
      <w:r>
        <w:rPr>
          <w:rFonts w:hint="eastAsia"/>
          <w:sz w:val="24"/>
          <w:szCs w:val="24"/>
        </w:rPr>
        <w:t>（以下无正文）</w:t>
      </w:r>
    </w:p>
    <w:p w14:paraId="7CF707A4">
      <w:pPr>
        <w:spacing w:line="360" w:lineRule="auto"/>
        <w:rPr>
          <w:rFonts w:ascii="宋体"/>
          <w:sz w:val="24"/>
        </w:rPr>
      </w:pPr>
    </w:p>
    <w:bookmarkEnd w:id="0"/>
    <w:p w14:paraId="044D6CBC">
      <w:pPr>
        <w:spacing w:line="360" w:lineRule="auto"/>
        <w:ind w:left="435" w:leftChars="207"/>
        <w:rPr>
          <w:rFonts w:ascii="宋体" w:hAnsi="宋体"/>
          <w:sz w:val="24"/>
          <w:szCs w:val="24"/>
        </w:rPr>
      </w:pPr>
      <w:r>
        <w:rPr>
          <w:rFonts w:hint="eastAsia" w:ascii="宋体" w:hAnsi="宋体"/>
          <w:sz w:val="24"/>
          <w:szCs w:val="24"/>
        </w:rPr>
        <w:t xml:space="preserve">建设单位：广州设计之都建设投资开发有限公司(签章)                                  </w:t>
      </w:r>
    </w:p>
    <w:p w14:paraId="07DEBDE1">
      <w:pPr>
        <w:spacing w:line="360" w:lineRule="auto"/>
        <w:ind w:left="435" w:leftChars="207" w:right="-546" w:rightChars="-260"/>
        <w:rPr>
          <w:rFonts w:ascii="宋体" w:hAnsi="宋体"/>
          <w:sz w:val="24"/>
          <w:szCs w:val="24"/>
        </w:rPr>
      </w:pPr>
      <w:r>
        <w:rPr>
          <w:rFonts w:hint="eastAsia" w:ascii="宋体" w:hAnsi="宋体"/>
          <w:sz w:val="24"/>
          <w:szCs w:val="24"/>
        </w:rPr>
        <w:t>地址：广州白云区设计之都鹤贤北街9号E2栋7楼</w:t>
      </w:r>
      <w:r>
        <w:rPr>
          <w:rFonts w:hint="eastAsia" w:ascii="宋体" w:hAnsi="宋体"/>
          <w:sz w:val="24"/>
        </w:rPr>
        <w:t xml:space="preserve">  </w:t>
      </w:r>
      <w:r>
        <w:rPr>
          <w:rFonts w:hint="eastAsia" w:ascii="宋体" w:hAnsi="宋体"/>
          <w:sz w:val="24"/>
          <w:szCs w:val="24"/>
        </w:rPr>
        <w:t xml:space="preserve"> </w:t>
      </w:r>
      <w:r>
        <w:rPr>
          <w:rFonts w:ascii="宋体" w:hAnsi="宋体"/>
          <w:sz w:val="24"/>
          <w:szCs w:val="24"/>
        </w:rPr>
        <w:t xml:space="preserve">                           </w:t>
      </w:r>
    </w:p>
    <w:p w14:paraId="08271945">
      <w:pPr>
        <w:spacing w:line="360" w:lineRule="auto"/>
        <w:ind w:left="435" w:leftChars="207"/>
        <w:rPr>
          <w:rFonts w:ascii="宋体" w:hAnsi="宋体"/>
          <w:sz w:val="24"/>
          <w:szCs w:val="24"/>
        </w:rPr>
      </w:pPr>
      <w:r>
        <w:rPr>
          <w:rFonts w:hint="eastAsia" w:ascii="宋体" w:hAnsi="宋体"/>
          <w:sz w:val="24"/>
          <w:szCs w:val="24"/>
        </w:rPr>
        <w:t xml:space="preserve">法定代表人：                            </w:t>
      </w:r>
    </w:p>
    <w:p w14:paraId="5B82E3E7">
      <w:pPr>
        <w:spacing w:line="360" w:lineRule="auto"/>
        <w:ind w:left="435" w:leftChars="207"/>
        <w:rPr>
          <w:rFonts w:ascii="宋体" w:hAnsi="宋体"/>
          <w:sz w:val="24"/>
          <w:szCs w:val="24"/>
        </w:rPr>
      </w:pPr>
      <w:r>
        <w:rPr>
          <w:rFonts w:hint="eastAsia" w:ascii="宋体" w:hAnsi="宋体"/>
          <w:sz w:val="24"/>
          <w:szCs w:val="24"/>
        </w:rPr>
        <w:t xml:space="preserve">签约代表：                           </w:t>
      </w:r>
      <w:r>
        <w:rPr>
          <w:rFonts w:ascii="宋体" w:hAnsi="宋体"/>
          <w:sz w:val="24"/>
          <w:szCs w:val="24"/>
        </w:rPr>
        <w:t xml:space="preserve">    </w:t>
      </w:r>
      <w:r>
        <w:rPr>
          <w:rFonts w:hint="eastAsia" w:ascii="宋体" w:hAnsi="宋体"/>
          <w:sz w:val="24"/>
          <w:szCs w:val="24"/>
        </w:rPr>
        <w:t xml:space="preserve">                 </w:t>
      </w:r>
    </w:p>
    <w:p w14:paraId="1D625069">
      <w:pPr>
        <w:spacing w:line="360" w:lineRule="auto"/>
        <w:ind w:left="435" w:leftChars="207" w:firstLine="120" w:firstLineChars="50"/>
        <w:rPr>
          <w:rFonts w:ascii="宋体" w:hAnsi="宋体"/>
          <w:sz w:val="24"/>
          <w:szCs w:val="24"/>
        </w:rPr>
      </w:pPr>
      <w:r>
        <w:rPr>
          <w:rFonts w:hint="eastAsia" w:ascii="宋体" w:hAnsi="宋体"/>
          <w:sz w:val="24"/>
          <w:szCs w:val="24"/>
        </w:rPr>
        <w:t xml:space="preserve">                     </w:t>
      </w:r>
    </w:p>
    <w:p w14:paraId="2CA82E9B">
      <w:pPr>
        <w:spacing w:line="440" w:lineRule="exact"/>
        <w:ind w:left="435" w:leftChars="207"/>
        <w:rPr>
          <w:rFonts w:ascii="宋体" w:hAnsi="宋体"/>
          <w:sz w:val="24"/>
          <w:szCs w:val="24"/>
        </w:rPr>
      </w:pPr>
    </w:p>
    <w:p w14:paraId="6F6F4901">
      <w:pPr>
        <w:spacing w:line="360" w:lineRule="auto"/>
        <w:ind w:left="435" w:leftChars="207"/>
        <w:rPr>
          <w:rFonts w:ascii="宋体" w:hAnsi="宋体"/>
          <w:sz w:val="24"/>
          <w:szCs w:val="24"/>
        </w:rPr>
      </w:pPr>
    </w:p>
    <w:p w14:paraId="000C0F2B">
      <w:pPr>
        <w:spacing w:line="360" w:lineRule="auto"/>
        <w:ind w:left="435" w:leftChars="207"/>
        <w:rPr>
          <w:rFonts w:ascii="宋体" w:hAnsi="宋体"/>
          <w:sz w:val="24"/>
          <w:szCs w:val="24"/>
        </w:rPr>
      </w:pPr>
      <w:r>
        <w:rPr>
          <w:rFonts w:hint="eastAsia" w:ascii="宋体" w:hAnsi="宋体"/>
          <w:sz w:val="24"/>
          <w:szCs w:val="24"/>
        </w:rPr>
        <w:t>建设管理单位： (签章)</w:t>
      </w:r>
    </w:p>
    <w:p w14:paraId="762CC8A1">
      <w:pPr>
        <w:spacing w:line="360" w:lineRule="auto"/>
        <w:ind w:left="435" w:leftChars="207"/>
        <w:rPr>
          <w:rFonts w:ascii="宋体" w:hAnsi="宋体"/>
          <w:sz w:val="24"/>
          <w:szCs w:val="24"/>
        </w:rPr>
      </w:pPr>
      <w:r>
        <w:rPr>
          <w:rFonts w:hint="eastAsia" w:ascii="宋体" w:hAnsi="宋体"/>
          <w:sz w:val="24"/>
          <w:szCs w:val="24"/>
        </w:rPr>
        <w:t>地址：</w:t>
      </w:r>
    </w:p>
    <w:p w14:paraId="45D7A40A">
      <w:pPr>
        <w:spacing w:line="360" w:lineRule="auto"/>
        <w:ind w:left="435" w:leftChars="207"/>
        <w:rPr>
          <w:rFonts w:ascii="宋体" w:hAnsi="宋体"/>
          <w:sz w:val="24"/>
          <w:szCs w:val="24"/>
        </w:rPr>
      </w:pPr>
      <w:r>
        <w:rPr>
          <w:rFonts w:hint="eastAsia" w:ascii="宋体" w:hAnsi="宋体"/>
          <w:sz w:val="24"/>
          <w:szCs w:val="24"/>
        </w:rPr>
        <w:t>法定代表人：</w:t>
      </w:r>
    </w:p>
    <w:p w14:paraId="4FA7CA9D">
      <w:pPr>
        <w:spacing w:line="360" w:lineRule="auto"/>
        <w:ind w:left="435" w:leftChars="207"/>
        <w:rPr>
          <w:rFonts w:ascii="宋体" w:hAnsi="宋体"/>
          <w:sz w:val="24"/>
          <w:szCs w:val="24"/>
        </w:rPr>
      </w:pPr>
      <w:r>
        <w:rPr>
          <w:rFonts w:hint="eastAsia" w:ascii="宋体" w:hAnsi="宋体"/>
          <w:sz w:val="24"/>
          <w:szCs w:val="24"/>
        </w:rPr>
        <w:t>签约代表：</w:t>
      </w:r>
    </w:p>
    <w:p w14:paraId="33F45DC7">
      <w:pPr>
        <w:spacing w:line="440" w:lineRule="exact"/>
        <w:ind w:left="435" w:leftChars="207"/>
        <w:rPr>
          <w:rFonts w:ascii="宋体" w:hAnsi="宋体"/>
          <w:sz w:val="24"/>
          <w:szCs w:val="24"/>
        </w:rPr>
      </w:pPr>
    </w:p>
    <w:p w14:paraId="0BD28627">
      <w:pPr>
        <w:pStyle w:val="46"/>
      </w:pPr>
    </w:p>
    <w:p w14:paraId="5BB316F7">
      <w:pPr>
        <w:spacing w:line="360" w:lineRule="auto"/>
        <w:ind w:left="435" w:leftChars="207"/>
        <w:rPr>
          <w:rFonts w:ascii="宋体" w:hAnsi="宋体"/>
          <w:sz w:val="24"/>
          <w:szCs w:val="24"/>
        </w:rPr>
      </w:pPr>
    </w:p>
    <w:p w14:paraId="3B65EBB2">
      <w:pPr>
        <w:spacing w:line="360" w:lineRule="auto"/>
        <w:ind w:left="435" w:leftChars="207"/>
        <w:rPr>
          <w:rFonts w:ascii="宋体" w:hAnsi="宋体"/>
          <w:sz w:val="24"/>
          <w:szCs w:val="24"/>
        </w:rPr>
      </w:pPr>
      <w:r>
        <w:rPr>
          <w:rFonts w:hint="eastAsia" w:ascii="宋体" w:hAnsi="宋体"/>
          <w:sz w:val="24"/>
          <w:szCs w:val="24"/>
        </w:rPr>
        <w:t>监理单位： (签章)</w:t>
      </w:r>
    </w:p>
    <w:p w14:paraId="7CFFFAED">
      <w:pPr>
        <w:spacing w:line="360" w:lineRule="auto"/>
        <w:ind w:left="435" w:leftChars="207"/>
        <w:rPr>
          <w:rFonts w:ascii="宋体" w:hAnsi="宋体"/>
          <w:sz w:val="24"/>
          <w:szCs w:val="24"/>
        </w:rPr>
      </w:pPr>
      <w:r>
        <w:rPr>
          <w:rFonts w:hint="eastAsia" w:ascii="宋体" w:hAnsi="宋体"/>
          <w:sz w:val="24"/>
          <w:szCs w:val="24"/>
        </w:rPr>
        <w:t>地址：</w:t>
      </w:r>
    </w:p>
    <w:p w14:paraId="706FB6DA">
      <w:pPr>
        <w:spacing w:line="360" w:lineRule="auto"/>
        <w:ind w:left="435" w:leftChars="207"/>
        <w:rPr>
          <w:rFonts w:ascii="宋体" w:hAnsi="宋体"/>
          <w:sz w:val="24"/>
          <w:szCs w:val="24"/>
        </w:rPr>
      </w:pPr>
      <w:r>
        <w:rPr>
          <w:rFonts w:hint="eastAsia" w:ascii="宋体" w:hAnsi="宋体"/>
          <w:sz w:val="24"/>
          <w:szCs w:val="24"/>
        </w:rPr>
        <w:t>法定代表人：</w:t>
      </w:r>
    </w:p>
    <w:p w14:paraId="67B6AA92">
      <w:pPr>
        <w:spacing w:line="360" w:lineRule="auto"/>
        <w:ind w:left="435" w:leftChars="207"/>
        <w:rPr>
          <w:rFonts w:ascii="宋体" w:hAnsi="宋体"/>
          <w:sz w:val="24"/>
          <w:szCs w:val="24"/>
        </w:rPr>
      </w:pPr>
      <w:r>
        <w:rPr>
          <w:rFonts w:hint="eastAsia" w:ascii="宋体" w:hAnsi="宋体"/>
          <w:sz w:val="24"/>
          <w:szCs w:val="24"/>
        </w:rPr>
        <w:t>签约代表：</w:t>
      </w:r>
    </w:p>
    <w:p w14:paraId="75AA97E3">
      <w:pPr>
        <w:spacing w:line="400" w:lineRule="exact"/>
        <w:rPr>
          <w:rFonts w:ascii="宋体" w:hAnsi="宋体"/>
          <w:spacing w:val="2"/>
          <w:position w:val="2"/>
          <w:sz w:val="24"/>
          <w:szCs w:val="24"/>
        </w:rPr>
      </w:pPr>
    </w:p>
    <w:p w14:paraId="429D9F91">
      <w:pPr>
        <w:spacing w:line="400" w:lineRule="exact"/>
        <w:rPr>
          <w:rFonts w:ascii="宋体" w:hAnsi="宋体"/>
          <w:spacing w:val="2"/>
          <w:position w:val="2"/>
          <w:sz w:val="24"/>
          <w:szCs w:val="24"/>
        </w:rPr>
      </w:pPr>
    </w:p>
    <w:p w14:paraId="5334D9ED">
      <w:pPr>
        <w:spacing w:line="400" w:lineRule="exact"/>
        <w:rPr>
          <w:rFonts w:ascii="宋体" w:hAnsi="宋体"/>
          <w:spacing w:val="2"/>
          <w:position w:val="2"/>
          <w:sz w:val="24"/>
          <w:szCs w:val="24"/>
        </w:rPr>
      </w:pPr>
    </w:p>
    <w:p w14:paraId="0061FFC3">
      <w:pPr>
        <w:spacing w:line="400" w:lineRule="exact"/>
        <w:rPr>
          <w:rFonts w:ascii="宋体" w:hAnsi="宋体"/>
          <w:spacing w:val="2"/>
          <w:position w:val="2"/>
          <w:sz w:val="24"/>
          <w:szCs w:val="24"/>
        </w:rPr>
      </w:pPr>
    </w:p>
    <w:p w14:paraId="007DF5BF">
      <w:pPr>
        <w:spacing w:line="400" w:lineRule="exact"/>
        <w:rPr>
          <w:rFonts w:ascii="宋体" w:hAnsi="宋体"/>
          <w:spacing w:val="2"/>
          <w:position w:val="2"/>
          <w:sz w:val="24"/>
          <w:szCs w:val="24"/>
        </w:rPr>
      </w:pPr>
    </w:p>
    <w:p w14:paraId="178E7CCE">
      <w:pPr>
        <w:pStyle w:val="2"/>
        <w:spacing w:line="400" w:lineRule="exact"/>
      </w:pPr>
      <w:bookmarkStart w:id="15" w:name="_Toc177120556"/>
      <w:r>
        <w:rPr>
          <w:rFonts w:hint="eastAsia"/>
        </w:rPr>
        <w:t>附件5：中标通知书</w:t>
      </w:r>
      <w:bookmarkEnd w:id="15"/>
    </w:p>
    <w:p w14:paraId="5D98FDEF">
      <w:pPr>
        <w:spacing w:line="400" w:lineRule="exact"/>
        <w:rPr>
          <w:rFonts w:ascii="宋体" w:hAnsi="宋体"/>
          <w:spacing w:val="2"/>
          <w:position w:val="2"/>
          <w:sz w:val="24"/>
          <w:szCs w:val="24"/>
        </w:rPr>
      </w:pPr>
    </w:p>
    <w:p w14:paraId="25FA6CAD">
      <w:pPr>
        <w:spacing w:line="400" w:lineRule="exact"/>
        <w:rPr>
          <w:rFonts w:ascii="宋体" w:hAnsi="宋体"/>
          <w:spacing w:val="2"/>
          <w:position w:val="2"/>
          <w:sz w:val="24"/>
          <w:szCs w:val="24"/>
        </w:rPr>
        <w:sectPr>
          <w:pgSz w:w="11906" w:h="16838"/>
          <w:pgMar w:top="1440" w:right="1800" w:bottom="1440" w:left="1800" w:header="851" w:footer="992" w:gutter="0"/>
          <w:cols w:space="720" w:num="1"/>
          <w:docGrid w:type="lines" w:linePitch="312" w:charSpace="0"/>
        </w:sectPr>
      </w:pPr>
    </w:p>
    <w:p w14:paraId="06EBBBC1">
      <w:pPr>
        <w:pStyle w:val="2"/>
        <w:spacing w:line="360" w:lineRule="auto"/>
      </w:pPr>
      <w:bookmarkStart w:id="16" w:name="_Toc177120557"/>
      <w:r>
        <w:rPr>
          <w:rFonts w:hint="eastAsia"/>
        </w:rPr>
        <w:t>附件6： 银行履约保函格式</w:t>
      </w:r>
      <w:bookmarkEnd w:id="16"/>
    </w:p>
    <w:p w14:paraId="09AEB8B9">
      <w:pPr>
        <w:spacing w:line="360" w:lineRule="auto"/>
        <w:rPr>
          <w:rFonts w:ascii="宋体" w:hAnsi="宋体"/>
          <w:sz w:val="24"/>
          <w:szCs w:val="24"/>
        </w:rPr>
      </w:pPr>
      <w:r>
        <w:rPr>
          <w:rFonts w:hint="eastAsia" w:ascii="宋体" w:hAnsi="宋体"/>
          <w:sz w:val="24"/>
          <w:szCs w:val="24"/>
        </w:rPr>
        <w:t xml:space="preserve">                                                           编号：</w:t>
      </w:r>
    </w:p>
    <w:p w14:paraId="52647834">
      <w:pPr>
        <w:spacing w:line="360" w:lineRule="auto"/>
        <w:ind w:firstLine="480"/>
        <w:rPr>
          <w:rFonts w:ascii="宋体" w:hAnsi="宋体"/>
          <w:sz w:val="24"/>
          <w:szCs w:val="24"/>
        </w:rPr>
      </w:pPr>
    </w:p>
    <w:p w14:paraId="03FD4547">
      <w:pPr>
        <w:spacing w:line="360" w:lineRule="auto"/>
        <w:ind w:firstLine="480"/>
        <w:rPr>
          <w:rFonts w:ascii="宋体" w:hAnsi="宋体"/>
          <w:sz w:val="24"/>
          <w:szCs w:val="24"/>
        </w:rPr>
      </w:pPr>
      <w:r>
        <w:rPr>
          <w:rFonts w:hint="eastAsia" w:ascii="宋体" w:hAnsi="宋体"/>
          <w:sz w:val="24"/>
          <w:szCs w:val="24"/>
        </w:rPr>
        <w:t>致：(业主)</w:t>
      </w:r>
      <w:r>
        <w:rPr>
          <w:rFonts w:hint="eastAsia" w:ascii="宋体" w:hAnsi="宋体"/>
          <w:sz w:val="24"/>
          <w:szCs w:val="24"/>
          <w:u w:val="single"/>
        </w:rPr>
        <w:t xml:space="preserve">                       </w:t>
      </w:r>
      <w:r>
        <w:rPr>
          <w:rFonts w:hint="eastAsia" w:ascii="宋体" w:hAnsi="宋体"/>
          <w:sz w:val="24"/>
          <w:szCs w:val="24"/>
        </w:rPr>
        <w:t xml:space="preserve"> </w:t>
      </w:r>
    </w:p>
    <w:p w14:paraId="0323B3E6">
      <w:pPr>
        <w:spacing w:line="360" w:lineRule="auto"/>
        <w:ind w:firstLine="965"/>
        <w:rPr>
          <w:rFonts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 xml:space="preserve"> </w:t>
      </w:r>
    </w:p>
    <w:p w14:paraId="759CB194">
      <w:pPr>
        <w:spacing w:line="360" w:lineRule="auto"/>
        <w:ind w:firstLine="570"/>
        <w:rPr>
          <w:rFonts w:ascii="宋体" w:hAnsi="宋体"/>
          <w:sz w:val="24"/>
          <w:szCs w:val="24"/>
        </w:rPr>
      </w:pPr>
      <w:r>
        <w:rPr>
          <w:rFonts w:hint="eastAsia" w:ascii="宋体" w:hAnsi="宋体"/>
          <w:sz w:val="24"/>
          <w:szCs w:val="24"/>
        </w:rPr>
        <w:t>鉴于          (以下称承包人)已保证按中标通知书(   年  月   日签署)实施                      工程又鉴于贵方在招标文件中要求承包人按规定金额提交一份已经认可的银行保函作履约担保，本行已同意为承包人出具保函。</w:t>
      </w:r>
    </w:p>
    <w:p w14:paraId="60844A57">
      <w:pPr>
        <w:spacing w:line="360" w:lineRule="auto"/>
        <w:ind w:firstLine="570"/>
        <w:rPr>
          <w:rFonts w:ascii="宋体" w:hAnsi="宋体"/>
          <w:sz w:val="24"/>
          <w:szCs w:val="24"/>
        </w:rPr>
      </w:pPr>
      <w:r>
        <w:rPr>
          <w:rFonts w:hint="eastAsia" w:ascii="宋体" w:hAnsi="宋体"/>
          <w:sz w:val="24"/>
          <w:szCs w:val="24"/>
        </w:rPr>
        <w:t>本行作为保证人并代表承包人向贵方承担支付人民币       元的责任，在收到贵方第一次书面付款要求后，不挑剔、不争辩，并不要求贵方出具证明或说明理由，即在上述担保金范围内向贵方支付。</w:t>
      </w:r>
    </w:p>
    <w:p w14:paraId="03238A74">
      <w:pPr>
        <w:spacing w:line="360" w:lineRule="auto"/>
        <w:ind w:firstLine="570"/>
        <w:rPr>
          <w:rFonts w:ascii="宋体" w:hAnsi="宋体"/>
          <w:sz w:val="24"/>
          <w:szCs w:val="24"/>
        </w:rPr>
      </w:pPr>
      <w:r>
        <w:rPr>
          <w:rFonts w:hint="eastAsia" w:ascii="宋体" w:hAnsi="宋体"/>
          <w:sz w:val="24"/>
          <w:szCs w:val="24"/>
        </w:rPr>
        <w:t>本行放弃贵方应先向承包人索赔上述金额然后再向本行提出要求的权力。</w:t>
      </w:r>
    </w:p>
    <w:p w14:paraId="09E49020">
      <w:pPr>
        <w:spacing w:line="360" w:lineRule="auto"/>
        <w:ind w:firstLine="570"/>
        <w:rPr>
          <w:rFonts w:ascii="宋体" w:hAnsi="宋体"/>
          <w:sz w:val="24"/>
          <w:szCs w:val="24"/>
        </w:rPr>
      </w:pPr>
      <w:r>
        <w:rPr>
          <w:rFonts w:hint="eastAsia" w:ascii="宋体" w:hAnsi="宋体"/>
          <w:sz w:val="24"/>
          <w:szCs w:val="24"/>
        </w:rPr>
        <w:t>本行还同意，在贵方和承包人之间的合同条件发生补充或修改后，本行所承担保函的责任不变，有关补充或修改亦无须通知本行。</w:t>
      </w:r>
    </w:p>
    <w:p w14:paraId="6169B32E">
      <w:pPr>
        <w:spacing w:line="360" w:lineRule="auto"/>
        <w:ind w:firstLine="570"/>
        <w:rPr>
          <w:rFonts w:ascii="宋体" w:hAnsi="宋体"/>
          <w:sz w:val="24"/>
          <w:szCs w:val="24"/>
        </w:rPr>
      </w:pPr>
      <w:r>
        <w:rPr>
          <w:rFonts w:hint="eastAsia" w:ascii="宋体" w:hAnsi="宋体"/>
          <w:sz w:val="24"/>
          <w:szCs w:val="24"/>
        </w:rPr>
        <w:t>本保函在竣工验收合格后28天内且在贵方通知撤消前一直有效，但本保函有效期最长不得超过保函生效之日起 年。</w:t>
      </w:r>
    </w:p>
    <w:p w14:paraId="7A62EC64">
      <w:pPr>
        <w:spacing w:line="360" w:lineRule="auto"/>
        <w:ind w:firstLine="570"/>
        <w:rPr>
          <w:rFonts w:ascii="宋体" w:hAnsi="宋体"/>
          <w:sz w:val="24"/>
          <w:szCs w:val="24"/>
        </w:rPr>
      </w:pPr>
    </w:p>
    <w:p w14:paraId="2C9C0733">
      <w:pPr>
        <w:spacing w:line="360" w:lineRule="auto"/>
        <w:ind w:firstLine="570"/>
        <w:rPr>
          <w:rFonts w:ascii="宋体" w:hAnsi="宋体"/>
          <w:sz w:val="24"/>
          <w:szCs w:val="24"/>
        </w:rPr>
      </w:pPr>
      <w:r>
        <w:rPr>
          <w:rFonts w:hint="eastAsia" w:ascii="宋体" w:hAnsi="宋体"/>
          <w:sz w:val="24"/>
          <w:szCs w:val="24"/>
        </w:rPr>
        <w:t>担保银行名称：</w:t>
      </w:r>
    </w:p>
    <w:p w14:paraId="49853069">
      <w:pPr>
        <w:spacing w:line="360" w:lineRule="auto"/>
        <w:ind w:firstLine="570"/>
        <w:rPr>
          <w:rFonts w:ascii="宋体" w:hAnsi="宋体"/>
          <w:sz w:val="24"/>
          <w:szCs w:val="24"/>
        </w:rPr>
      </w:pPr>
    </w:p>
    <w:p w14:paraId="61F6E2BF">
      <w:pPr>
        <w:spacing w:line="360" w:lineRule="auto"/>
        <w:ind w:firstLine="570"/>
        <w:rPr>
          <w:rFonts w:ascii="宋体" w:hAnsi="宋体"/>
          <w:sz w:val="24"/>
          <w:szCs w:val="24"/>
        </w:rPr>
      </w:pPr>
      <w:r>
        <w:rPr>
          <w:rFonts w:hint="eastAsia" w:ascii="宋体" w:hAnsi="宋体"/>
          <w:sz w:val="24"/>
          <w:szCs w:val="24"/>
        </w:rPr>
        <w:t>法定代表人签字盖章：</w:t>
      </w:r>
    </w:p>
    <w:p w14:paraId="5792C188">
      <w:pPr>
        <w:spacing w:line="360" w:lineRule="auto"/>
        <w:ind w:firstLine="570"/>
        <w:rPr>
          <w:rFonts w:ascii="宋体" w:hAnsi="宋体"/>
          <w:sz w:val="24"/>
          <w:szCs w:val="24"/>
        </w:rPr>
      </w:pPr>
    </w:p>
    <w:p w14:paraId="002E6264">
      <w:pPr>
        <w:spacing w:line="360" w:lineRule="auto"/>
        <w:ind w:firstLine="570"/>
        <w:rPr>
          <w:rFonts w:ascii="宋体" w:hAnsi="宋体"/>
          <w:sz w:val="24"/>
          <w:szCs w:val="24"/>
        </w:rPr>
      </w:pPr>
      <w:r>
        <w:rPr>
          <w:rFonts w:hint="eastAsia" w:ascii="宋体" w:hAnsi="宋体"/>
          <w:sz w:val="24"/>
          <w:szCs w:val="24"/>
        </w:rPr>
        <w:t>联系电话：</w:t>
      </w:r>
    </w:p>
    <w:p w14:paraId="58710A2B">
      <w:pPr>
        <w:spacing w:line="360" w:lineRule="auto"/>
        <w:ind w:firstLine="570"/>
        <w:rPr>
          <w:rFonts w:ascii="宋体" w:hAnsi="宋体"/>
          <w:sz w:val="24"/>
          <w:szCs w:val="24"/>
        </w:rPr>
      </w:pPr>
    </w:p>
    <w:p w14:paraId="74946ADF">
      <w:pPr>
        <w:spacing w:line="360" w:lineRule="auto"/>
        <w:ind w:firstLine="570"/>
        <w:rPr>
          <w:rFonts w:ascii="宋体" w:hAnsi="宋体"/>
          <w:sz w:val="24"/>
          <w:szCs w:val="24"/>
        </w:rPr>
      </w:pPr>
      <w:r>
        <w:rPr>
          <w:rFonts w:hint="eastAsia" w:ascii="宋体" w:hAnsi="宋体"/>
          <w:sz w:val="24"/>
          <w:szCs w:val="24"/>
        </w:rPr>
        <w:t>地址：</w:t>
      </w:r>
    </w:p>
    <w:p w14:paraId="6AA69373">
      <w:pPr>
        <w:spacing w:line="360" w:lineRule="auto"/>
        <w:ind w:firstLine="570"/>
        <w:rPr>
          <w:rFonts w:ascii="宋体" w:hAnsi="宋体"/>
          <w:sz w:val="24"/>
          <w:szCs w:val="24"/>
        </w:rPr>
      </w:pPr>
    </w:p>
    <w:p w14:paraId="616FD1F3">
      <w:pPr>
        <w:spacing w:line="360" w:lineRule="auto"/>
        <w:ind w:firstLine="570"/>
        <w:rPr>
          <w:rFonts w:ascii="宋体" w:hAnsi="宋体"/>
          <w:sz w:val="24"/>
          <w:szCs w:val="24"/>
        </w:rPr>
      </w:pPr>
      <w:r>
        <w:rPr>
          <w:rFonts w:hint="eastAsia" w:ascii="宋体" w:hAnsi="宋体"/>
          <w:sz w:val="24"/>
          <w:szCs w:val="24"/>
        </w:rPr>
        <w:t>日期：</w:t>
      </w:r>
    </w:p>
    <w:p w14:paraId="4DE9B043">
      <w:pPr>
        <w:spacing w:line="400" w:lineRule="exact"/>
        <w:rPr>
          <w:rFonts w:ascii="宋体" w:hAnsi="宋体"/>
          <w:spacing w:val="2"/>
          <w:position w:val="2"/>
          <w:sz w:val="24"/>
          <w:szCs w:val="24"/>
        </w:rPr>
      </w:pPr>
    </w:p>
    <w:p w14:paraId="567EE7DB">
      <w:pPr>
        <w:pStyle w:val="2"/>
        <w:snapToGrid w:val="0"/>
        <w:spacing w:line="360" w:lineRule="auto"/>
        <w:ind w:left="105" w:leftChars="50" w:firstLine="602" w:firstLineChars="200"/>
      </w:pPr>
      <w:bookmarkStart w:id="17" w:name="_Toc177120558"/>
      <w:r>
        <w:rPr>
          <w:rFonts w:hint="eastAsia"/>
        </w:rPr>
        <w:t>附件7 ：</w:t>
      </w:r>
      <w:r>
        <w:rPr>
          <w:rFonts w:hint="eastAsia"/>
          <w:sz w:val="32"/>
          <w:szCs w:val="32"/>
        </w:rPr>
        <w:t>监理业务违约行为处罚制度</w:t>
      </w:r>
      <w:bookmarkEnd w:id="17"/>
    </w:p>
    <w:p w14:paraId="2CA91289">
      <w:pPr>
        <w:tabs>
          <w:tab w:val="left" w:pos="0"/>
        </w:tabs>
        <w:snapToGrid w:val="0"/>
        <w:spacing w:line="360" w:lineRule="auto"/>
        <w:ind w:left="105" w:leftChars="50" w:firstLine="480" w:firstLineChars="200"/>
        <w:rPr>
          <w:rFonts w:ascii="宋体" w:hAnsi="宋体"/>
          <w:sz w:val="24"/>
          <w:szCs w:val="24"/>
        </w:rPr>
      </w:pPr>
      <w:r>
        <w:rPr>
          <w:rFonts w:hint="eastAsia" w:ascii="宋体" w:hAnsi="宋体"/>
          <w:sz w:val="24"/>
          <w:szCs w:val="24"/>
        </w:rPr>
        <w:t>对工程质量控制、进度控制、人员管理、投资控制、现场监理工作考核等五方面实行处罚制度，罚金监理进度款中扣除，在最终结算中核减监理费。</w:t>
      </w:r>
    </w:p>
    <w:p w14:paraId="7EC48DAE">
      <w:pPr>
        <w:tabs>
          <w:tab w:val="left" w:pos="0"/>
        </w:tabs>
        <w:snapToGrid w:val="0"/>
        <w:spacing w:line="360" w:lineRule="auto"/>
        <w:ind w:left="105" w:leftChars="50" w:firstLine="480" w:firstLineChars="200"/>
        <w:rPr>
          <w:rFonts w:ascii="宋体" w:hAnsi="宋体"/>
          <w:sz w:val="24"/>
          <w:szCs w:val="24"/>
        </w:rPr>
      </w:pPr>
      <w:r>
        <w:rPr>
          <w:rFonts w:hint="eastAsia" w:ascii="宋体" w:hAnsi="宋体"/>
          <w:sz w:val="24"/>
          <w:szCs w:val="24"/>
        </w:rPr>
        <w:t xml:space="preserve">建设管理位组织建设单位成立工程管理奖罚专责小组，负责奖罚金的审批、支付、结算等有关管理工作。 </w:t>
      </w:r>
    </w:p>
    <w:p w14:paraId="2BCB385A">
      <w:pPr>
        <w:tabs>
          <w:tab w:val="left" w:pos="0"/>
        </w:tabs>
        <w:snapToGrid w:val="0"/>
        <w:spacing w:line="360" w:lineRule="auto"/>
        <w:ind w:left="105" w:leftChars="50" w:firstLine="480" w:firstLineChars="200"/>
        <w:rPr>
          <w:rFonts w:ascii="宋体" w:hAnsi="宋体"/>
          <w:sz w:val="24"/>
          <w:szCs w:val="24"/>
        </w:rPr>
      </w:pPr>
      <w:r>
        <w:rPr>
          <w:rFonts w:hint="eastAsia" w:ascii="宋体" w:hAnsi="宋体"/>
          <w:sz w:val="24"/>
          <w:szCs w:val="24"/>
        </w:rPr>
        <w:t>本附件与</w:t>
      </w:r>
      <w:r>
        <w:rPr>
          <w:rFonts w:hint="eastAsia" w:ascii="宋体" w:hAnsi="宋体" w:cs="宋体"/>
          <w:sz w:val="24"/>
          <w:szCs w:val="24"/>
        </w:rPr>
        <w:t>本合同专用条件各条款中监理违约行为的处罚条款合并执行，两者不一致的，以处罚严重的为准。</w:t>
      </w:r>
    </w:p>
    <w:p w14:paraId="33250008">
      <w:pPr>
        <w:spacing w:line="360" w:lineRule="auto"/>
        <w:rPr>
          <w:rFonts w:ascii="宋体" w:hAnsi="宋体" w:cs="宋体"/>
          <w:sz w:val="24"/>
          <w:szCs w:val="24"/>
        </w:rPr>
      </w:pPr>
      <w:bookmarkStart w:id="18" w:name="_Toc509503430"/>
      <w:r>
        <w:rPr>
          <w:rFonts w:hint="eastAsia" w:ascii="宋体" w:hAnsi="宋体" w:cs="宋体"/>
          <w:sz w:val="24"/>
          <w:szCs w:val="24"/>
        </w:rPr>
        <w:t>一、工程质量控制处罚措施</w:t>
      </w:r>
      <w:bookmarkEnd w:id="18"/>
    </w:p>
    <w:p w14:paraId="6F00A4CB">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1、发生监理人员在质量管理工作中弄虚作假，将不合格分部工程、工序通过验收，造成工程质量事故的，每次扣除监理服务费2万元，同时撤换监理相关责任人，并对监理单位发出警告。发生该情况超出三次以上，建设管理单位向行政主管部门申请进行通报、停止投标资格等处罚，并保留终止合同的权利。</w:t>
      </w:r>
    </w:p>
    <w:p w14:paraId="2E8B0AEF">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2、发生监理人员借职务之便违规强行向施工单位介绍分包队伍、推销材料的，每次处以5万元整的罚款，同时辞退该监理人员，并将其介绍的分包队伍或推销的材料清除出场。涉嫌违纪的，将移送监察机关处理。</w:t>
      </w:r>
    </w:p>
    <w:p w14:paraId="2DA46918">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3、发生监理人员抽检频率达不到20%的，按被检项目单元每少一个百分点给予2000元的经济处罚，同时必须进行补检。</w:t>
      </w:r>
    </w:p>
    <w:p w14:paraId="727187A7">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4、发生监理人员利用施工单位的试验室或采取旁站的方式突击采集抽验数据，每发现一次给予5000元的经济处罚。</w:t>
      </w:r>
    </w:p>
    <w:p w14:paraId="3E8135CA">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5、发生监理单位对关键工序和主要工程的重要部位没有进行旁站的，每次处以2000元的经济处罚。若因此造成重大质量或安全事故的，按合同规定办理。</w:t>
      </w:r>
    </w:p>
    <w:p w14:paraId="4A3DEDD4">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6、发生上述处罚情形时，由工程部收集图文资料、提出处罚意见，经有关部门会办后，报请公司领导审批。</w:t>
      </w:r>
    </w:p>
    <w:p w14:paraId="59366D3C">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7、建设管理单位组织工程管理奖罚专责小组做出处罚意见的最终认定、签署。</w:t>
      </w:r>
    </w:p>
    <w:p w14:paraId="6EE733FF">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8、处罚形成决定后，发报人书面通知监理单位。</w:t>
      </w:r>
    </w:p>
    <w:p w14:paraId="3A4967C9">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9、处罚款在当月计量中单独计列，支付时扣除。</w:t>
      </w:r>
    </w:p>
    <w:p w14:paraId="61518C66">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10、监理费结算中扣除累积的质量处罚金。</w:t>
      </w:r>
    </w:p>
    <w:p w14:paraId="4F9B0FC7">
      <w:pPr>
        <w:tabs>
          <w:tab w:val="left" w:pos="0"/>
        </w:tabs>
        <w:snapToGrid w:val="0"/>
        <w:spacing w:line="360" w:lineRule="auto"/>
        <w:rPr>
          <w:rFonts w:ascii="宋体" w:hAnsi="宋体"/>
          <w:sz w:val="24"/>
          <w:szCs w:val="24"/>
        </w:rPr>
      </w:pPr>
      <w:bookmarkStart w:id="19" w:name="_Toc509503431"/>
      <w:r>
        <w:rPr>
          <w:rFonts w:hint="eastAsia" w:ascii="宋体" w:hAnsi="宋体"/>
          <w:sz w:val="24"/>
          <w:szCs w:val="24"/>
        </w:rPr>
        <w:t>二、工程进度控制奖罚措施</w:t>
      </w:r>
      <w:bookmarkEnd w:id="19"/>
    </w:p>
    <w:p w14:paraId="3160AD44">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 xml:space="preserve">1、若由于监理单位的监理不力，未能督促施工单位按合同规定的工期完成合同工程的，建设管理单位将对监理单位进行处罚：工程拖延工期在30天内（含30天），对监理单位按2000元/天进行处罚；超过30天，按4000元/天进行处罚，最高拖期损失赔偿金限额为监理合同总价的5%（合同工期系指施工合同工期）。 </w:t>
      </w:r>
    </w:p>
    <w:p w14:paraId="5A11C2EA">
      <w:pPr>
        <w:tabs>
          <w:tab w:val="left" w:pos="0"/>
        </w:tabs>
        <w:snapToGrid w:val="0"/>
        <w:spacing w:line="360" w:lineRule="auto"/>
        <w:ind w:firstLine="547" w:firstLineChars="228"/>
        <w:rPr>
          <w:rFonts w:ascii="宋体" w:hAnsi="宋体"/>
          <w:sz w:val="24"/>
          <w:szCs w:val="24"/>
        </w:rPr>
      </w:pPr>
      <w:r>
        <w:rPr>
          <w:rFonts w:hint="eastAsia" w:ascii="宋体" w:hAnsi="宋体"/>
          <w:sz w:val="24"/>
          <w:szCs w:val="24"/>
        </w:rPr>
        <w:t>2、若由于监理单位的管理有力，督促施工单位按合同规定的工期完成合同工程的，建设管理单位将对监理单位进行奖励：施工单位提前工期在30天内（含30天），对监理单位按2000元/天进行奖励，超过30天，按4000元/天进行奖励，最高奖励金限额为监理合同总价的5%，在综合奖励金中计提。</w:t>
      </w:r>
    </w:p>
    <w:p w14:paraId="08C21AEF">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3、当建设管理单位要求工程提前完工时，监理单位应无条件按建设管理单位要求增加监理人员，以保证工程顺利实施和监理服务质量。按新定的工期按时完工的，建设管理单位将按缩短的工期1000元/天给予奖励，该奖励金从综合奖励预备金中计提。</w:t>
      </w:r>
    </w:p>
    <w:p w14:paraId="1EF4CCE5">
      <w:pPr>
        <w:tabs>
          <w:tab w:val="left" w:pos="0"/>
        </w:tabs>
        <w:snapToGrid w:val="0"/>
        <w:spacing w:line="360" w:lineRule="auto"/>
        <w:ind w:firstLine="547" w:firstLineChars="228"/>
        <w:rPr>
          <w:rFonts w:ascii="宋体" w:hAnsi="宋体"/>
          <w:sz w:val="24"/>
          <w:szCs w:val="24"/>
        </w:rPr>
      </w:pPr>
      <w:r>
        <w:rPr>
          <w:rFonts w:hint="eastAsia" w:ascii="宋体" w:hAnsi="宋体"/>
          <w:sz w:val="24"/>
          <w:szCs w:val="24"/>
        </w:rPr>
        <w:t>4、当建设管理单位要求工程提前完工时，若监理单位未按建设管理单位要求增加监理人员，或增加的监理人员素质不能满足工作要求的，建设管理单位将处以暂停支付监理费、约见法定代表人的处罚，情形严重的建设管理单位保留终止合同的权利。</w:t>
      </w:r>
    </w:p>
    <w:p w14:paraId="26964B17">
      <w:pPr>
        <w:tabs>
          <w:tab w:val="left" w:pos="0"/>
        </w:tabs>
        <w:snapToGrid w:val="0"/>
        <w:spacing w:line="360" w:lineRule="auto"/>
        <w:ind w:firstLine="547" w:firstLineChars="228"/>
        <w:rPr>
          <w:rFonts w:ascii="宋体" w:hAnsi="宋体"/>
          <w:sz w:val="24"/>
          <w:szCs w:val="24"/>
        </w:rPr>
      </w:pPr>
      <w:r>
        <w:rPr>
          <w:rFonts w:hint="eastAsia" w:ascii="宋体" w:hAnsi="宋体"/>
          <w:sz w:val="24"/>
          <w:szCs w:val="24"/>
        </w:rPr>
        <w:t>5、当建设管理单位要求工程提前完工时，若由于监理单位的监理不力，未能督促施工单位按新定的工期按时完成，建设管理单位将对监理单位进行处罚：按新定工期拖期在30天内（含30天），对监理单位按1000元/天进行处罚；超过30天，按2000元/天进行处罚，最高拖期损失赔偿金限额为监理合同总价的5%。</w:t>
      </w:r>
    </w:p>
    <w:p w14:paraId="4EA84FC3">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6、监理进度控制奖罚金在完工时计算，由建设管理单位工程部收集工期考核书面资料、提出奖罚意见，经有关部门会办后，报请公司领导审批。</w:t>
      </w:r>
    </w:p>
    <w:p w14:paraId="5E1489EB">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7、建设管理单位组织工程管理奖罚专责小组做出奖罚意见的最终认定、签署。</w:t>
      </w:r>
    </w:p>
    <w:p w14:paraId="43F6C15F">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8、奖罚形成决定后，在最终结算时增减监理费结算价，并在最终结算时支付或扣除。</w:t>
      </w:r>
    </w:p>
    <w:p w14:paraId="768B7C8F">
      <w:pPr>
        <w:spacing w:line="360" w:lineRule="auto"/>
        <w:rPr>
          <w:rFonts w:ascii="宋体" w:hAnsi="宋体"/>
          <w:sz w:val="24"/>
          <w:szCs w:val="24"/>
        </w:rPr>
      </w:pPr>
      <w:bookmarkStart w:id="20" w:name="_Toc509503432"/>
      <w:r>
        <w:rPr>
          <w:rFonts w:hint="eastAsia" w:ascii="宋体" w:hAnsi="宋体"/>
          <w:sz w:val="24"/>
          <w:szCs w:val="24"/>
        </w:rPr>
        <w:t>三、投资控制处罚措施</w:t>
      </w:r>
      <w:bookmarkEnd w:id="20"/>
    </w:p>
    <w:p w14:paraId="1E847093">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1、发生监理人员与施工单位串通、弄虚作假审批变更项目的，对监理单位处以不实金额10%的罚金，同时撤换相关责任人。发生该情况超出三次以上或不实金额累计超过10万元，建设管理单位向行政主管部门申请进行通报、停止投标资格等处罚，情节严重的将移交司法机关处理。</w:t>
      </w:r>
    </w:p>
    <w:p w14:paraId="2AC7A438">
      <w:pPr>
        <w:snapToGrid w:val="0"/>
        <w:spacing w:line="360" w:lineRule="auto"/>
        <w:ind w:firstLine="480" w:firstLineChars="200"/>
        <w:rPr>
          <w:rFonts w:ascii="宋体" w:hAnsi="宋体"/>
          <w:sz w:val="24"/>
          <w:szCs w:val="24"/>
        </w:rPr>
      </w:pPr>
      <w:r>
        <w:rPr>
          <w:rFonts w:hint="eastAsia" w:ascii="宋体" w:hAnsi="宋体"/>
          <w:sz w:val="24"/>
          <w:szCs w:val="24"/>
        </w:rPr>
        <w:t xml:space="preserve">2、监理工程师在监理工作中发生越权审批或肢解变更项目、变相超权审批等行为，每次处以1万元的罚款，情节特别严重的处以3万元的罚款，给建设管理单位造成经济损失的，监理单位应以损失额的30%额外赔付给建设管理单位，同时撤换责任监理人员。    </w:t>
      </w:r>
    </w:p>
    <w:p w14:paraId="79753142">
      <w:pPr>
        <w:snapToGrid w:val="0"/>
        <w:spacing w:line="360" w:lineRule="auto"/>
        <w:ind w:firstLine="480"/>
        <w:rPr>
          <w:rFonts w:ascii="宋体" w:hAnsi="宋体"/>
          <w:sz w:val="24"/>
          <w:szCs w:val="24"/>
        </w:rPr>
      </w:pPr>
      <w:r>
        <w:rPr>
          <w:rFonts w:hint="eastAsia" w:ascii="宋体" w:hAnsi="宋体"/>
          <w:sz w:val="24"/>
          <w:szCs w:val="24"/>
        </w:rPr>
        <w:t>3、监理工程师如在计量和工程变更管理工作中弄虚作假，造成虚计变更工程量，每次扣除监理服务费2万元，同时撤换责任监理人员。给建设管理单位造成重大损失、情节严重的将移交司法机关处理。</w:t>
      </w:r>
    </w:p>
    <w:p w14:paraId="60CD2EF0">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4、发生上述处罚情形时，由工程部收集图文资料、提出处罚意见，经有关部门会办后，报请公司领导审批。</w:t>
      </w:r>
    </w:p>
    <w:p w14:paraId="5B5FD84E">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5、建设管理单位组织工程管理奖罚专责小组做出处罚意见的最终认定、签署。</w:t>
      </w:r>
    </w:p>
    <w:p w14:paraId="3525810D">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6、处罚决定形成后，发报人书面通知监理单位。</w:t>
      </w:r>
    </w:p>
    <w:p w14:paraId="171B44F9">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7、处罚款在当月计量中单独计列，支付时扣除。</w:t>
      </w:r>
    </w:p>
    <w:p w14:paraId="5CE376D5">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8、监理费结算中扣除累积的投资控制处罚金。</w:t>
      </w:r>
    </w:p>
    <w:p w14:paraId="0E03F3A6">
      <w:pPr>
        <w:spacing w:line="360" w:lineRule="auto"/>
        <w:rPr>
          <w:rFonts w:ascii="宋体" w:hAnsi="宋体"/>
          <w:sz w:val="24"/>
          <w:szCs w:val="24"/>
        </w:rPr>
      </w:pPr>
      <w:bookmarkStart w:id="21" w:name="_Toc509503433"/>
      <w:r>
        <w:rPr>
          <w:rFonts w:hint="eastAsia" w:ascii="宋体" w:hAnsi="宋体"/>
          <w:sz w:val="24"/>
          <w:szCs w:val="24"/>
        </w:rPr>
        <w:t>四、监理人员管理处罚措施</w:t>
      </w:r>
      <w:bookmarkEnd w:id="21"/>
    </w:p>
    <w:p w14:paraId="077D6A1D">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1、发现有监理人员不能胜任工作、不负责任、不正确履行监理职责，或不按合同规定操作的，建设管理单位有权要求监理单位撤换此监理人员，直到建设管理单位满意为止。</w:t>
      </w:r>
    </w:p>
    <w:p w14:paraId="1B3A56EC">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2、监理单位必须按投标书中列报的拟投入本项目的监理人员全部按时到位，监理单位不得擅自更换上述人员。如确需更换，需提前书面报告建设管理单位。申请更换的监理人员资历不得低于原监理人员，监理单位须将更换人员的相关资料如毕业证书、职称证书、执业资格证书、业绩证明材料报建设管理单位备案。建设管理单位在收到报告后7天内给予答复，未经建设管理单位同意不得更换，否则视为该监理人员缺位，按以下第三点处理。</w:t>
      </w:r>
    </w:p>
    <w:p w14:paraId="59A6D490">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3、建设管理单位将不定期进行核查，如发现监理单位违反上述规定，将按下列条款进行处理：</w:t>
      </w:r>
    </w:p>
    <w:p w14:paraId="689587A7">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（1）总监或总监代表未到位或擅自更换的，经建设管理单位发出通知后3天内未到位的，从第4天开始，处以2万元/人·天的罚款。</w:t>
      </w:r>
    </w:p>
    <w:p w14:paraId="0D67C608">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（2）专业监理工程师或安全主任未到位或擅自更换的，建设管理单位发出通知后3天内未到位的，从第4天开始，处以5000元/人·天的罚款，直至监理单位纠正为止。</w:t>
      </w:r>
    </w:p>
    <w:p w14:paraId="67F752E1">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（3）建设管理单位在向监理人发出整改通知起的14天内未见纠正的，视监理人违约并扣除全部履约保证金，直至终止合同。</w:t>
      </w:r>
    </w:p>
    <w:p w14:paraId="4CCCDB47">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（4）负责现场人员到位考勤的监理人员在考勤中弄虚作假，发现一次处以1000元的罚款。</w:t>
      </w:r>
    </w:p>
    <w:p w14:paraId="142956A1">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4、监理单位拟投入主要监理人员必须为项目专职人员，不得兼任其他项目的监理工作，总监（总监代表）、专业监理人员及安全监理人员应长驻施工现场，如发生以下情况按相应条款处理：</w:t>
      </w:r>
    </w:p>
    <w:p w14:paraId="04B225F0">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1）总监（总监代表）、专业监理人员及安全监理人员离开施工现场超过2天应向建设管理单位请假，未经建设管理单位同意擅自离开现场超过两天时间的，按超过天数处以以下标准的罚款：总监（总监代表）3000元/人·天；专业监理人员及安全监理人员2000元/人·天。</w:t>
      </w:r>
    </w:p>
    <w:p w14:paraId="3E4EA77F">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（2）总监应参加监理例会、建设管理单位组织的工程专题会议，确有原因无法参加应事先向建设管理单位请假，如无故缺席会议处以5000元/次的罚款。</w:t>
      </w:r>
    </w:p>
    <w:p w14:paraId="52B46F07">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（3）三次发生上述第2点情形的，视监理人违约，扣除全部履约保证金。</w:t>
      </w:r>
    </w:p>
    <w:p w14:paraId="0CDCC616">
      <w:pPr>
        <w:snapToGrid w:val="0"/>
        <w:spacing w:line="360" w:lineRule="auto"/>
        <w:ind w:firstLine="480"/>
        <w:rPr>
          <w:rFonts w:ascii="宋体" w:hAnsi="宋体"/>
          <w:sz w:val="24"/>
          <w:szCs w:val="24"/>
        </w:rPr>
      </w:pPr>
      <w:r>
        <w:rPr>
          <w:rFonts w:hint="eastAsia" w:ascii="宋体" w:hAnsi="宋体"/>
          <w:sz w:val="24"/>
          <w:szCs w:val="24"/>
        </w:rPr>
        <w:t>（4）因伤病住院的监理人员离开工地应及时报告建设管理单位，同时必须在7天内补充相应人员；否则，按超过天数处以1000元/人.天的罚款。</w:t>
      </w:r>
    </w:p>
    <w:p w14:paraId="0B581A81">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5、发生上述处罚情形时，由工程部收集图文资料、提出处罚意见，经有关部门会办后，报请公司领导审批。</w:t>
      </w:r>
    </w:p>
    <w:p w14:paraId="746F0262">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6、建设管理单位组织工程管理奖罚专责小组做出处罚意见的最终认定、签署。</w:t>
      </w:r>
    </w:p>
    <w:p w14:paraId="7EA5D812">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7、处罚决定形成后，发报人书面通知监理单位。</w:t>
      </w:r>
    </w:p>
    <w:p w14:paraId="27EF880D">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8、处罚款在当月计量中单独计列，支付时扣除。</w:t>
      </w:r>
    </w:p>
    <w:p w14:paraId="7EC6B438">
      <w:pPr>
        <w:tabs>
          <w:tab w:val="left" w:pos="0"/>
        </w:tabs>
        <w:snapToGrid w:val="0"/>
        <w:spacing w:line="360" w:lineRule="auto"/>
        <w:ind w:firstLine="480" w:firstLineChars="200"/>
        <w:rPr>
          <w:rFonts w:ascii="宋体" w:hAnsi="宋体"/>
          <w:sz w:val="24"/>
          <w:szCs w:val="24"/>
        </w:rPr>
      </w:pPr>
      <w:r>
        <w:rPr>
          <w:rFonts w:hint="eastAsia" w:ascii="宋体" w:hAnsi="宋体"/>
          <w:sz w:val="24"/>
          <w:szCs w:val="24"/>
        </w:rPr>
        <w:t>9、监理费结算中扣除累积的监理人员管理处罚金。</w:t>
      </w:r>
    </w:p>
    <w:p w14:paraId="1ACB7D84">
      <w:pPr>
        <w:spacing w:line="360" w:lineRule="auto"/>
        <w:rPr>
          <w:rFonts w:ascii="宋体" w:hAnsi="宋体"/>
          <w:sz w:val="24"/>
          <w:szCs w:val="24"/>
        </w:rPr>
      </w:pPr>
      <w:bookmarkStart w:id="22" w:name="_Toc509503434"/>
      <w:r>
        <w:rPr>
          <w:rFonts w:hint="eastAsia" w:ascii="宋体" w:hAnsi="宋体"/>
          <w:sz w:val="24"/>
          <w:szCs w:val="24"/>
        </w:rPr>
        <w:t>五、现场监理工作考核处罚措施</w:t>
      </w:r>
      <w:bookmarkEnd w:id="22"/>
    </w:p>
    <w:p w14:paraId="1258855F">
      <w:pPr>
        <w:snapToGrid w:val="0"/>
        <w:spacing w:line="360" w:lineRule="auto"/>
        <w:ind w:firstLine="480" w:firstLineChars="200"/>
        <w:rPr>
          <w:rFonts w:ascii="宋体" w:hAnsi="宋体"/>
          <w:sz w:val="24"/>
          <w:szCs w:val="24"/>
        </w:rPr>
      </w:pPr>
      <w:r>
        <w:rPr>
          <w:rFonts w:hint="eastAsia" w:ascii="宋体" w:hAnsi="宋体"/>
          <w:sz w:val="24"/>
          <w:szCs w:val="24"/>
        </w:rPr>
        <w:t>1、除以上质量控制、进度控制、投资控制、监理人员管理奖罚措施外，建设管理单位还对监理单位现场监理工作实行考核，考核内容、处罚办法如下表：</w:t>
      </w:r>
    </w:p>
    <w:p w14:paraId="0F32FBA5">
      <w:pPr>
        <w:ind w:right="-874" w:rightChars="-416"/>
        <w:jc w:val="center"/>
        <w:rPr>
          <w:rFonts w:ascii="宋体" w:hAnsi="宋体"/>
          <w:b/>
          <w:sz w:val="24"/>
        </w:rPr>
      </w:pPr>
      <w:r>
        <w:rPr>
          <w:rFonts w:hint="eastAsia" w:ascii="宋体" w:hAnsi="宋体"/>
          <w:b/>
          <w:sz w:val="24"/>
        </w:rPr>
        <w:t>现场监理工作考核处罚表</w:t>
      </w:r>
    </w:p>
    <w:tbl>
      <w:tblPr>
        <w:tblStyle w:val="4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2"/>
        <w:gridCol w:w="599"/>
        <w:gridCol w:w="6815"/>
        <w:gridCol w:w="1539"/>
      </w:tblGrid>
      <w:tr w14:paraId="27AAC1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7" w:hRule="atLeast"/>
          <w:jc w:val="center"/>
        </w:trPr>
        <w:tc>
          <w:tcPr>
            <w:tcW w:w="642" w:type="dxa"/>
            <w:tcMar>
              <w:top w:w="113" w:type="dxa"/>
              <w:left w:w="85" w:type="dxa"/>
              <w:bottom w:w="113" w:type="dxa"/>
              <w:right w:w="85" w:type="dxa"/>
            </w:tcMar>
            <w:vAlign w:val="center"/>
          </w:tcPr>
          <w:p w14:paraId="09B28A01">
            <w:pPr>
              <w:pStyle w:val="101"/>
            </w:pPr>
            <w:r>
              <w:rPr>
                <w:rFonts w:hint="eastAsia"/>
              </w:rPr>
              <w:t>项目</w:t>
            </w:r>
          </w:p>
        </w:tc>
        <w:tc>
          <w:tcPr>
            <w:tcW w:w="599" w:type="dxa"/>
            <w:tcMar>
              <w:top w:w="113" w:type="dxa"/>
              <w:left w:w="85" w:type="dxa"/>
              <w:bottom w:w="113" w:type="dxa"/>
              <w:right w:w="85" w:type="dxa"/>
            </w:tcMar>
            <w:vAlign w:val="center"/>
          </w:tcPr>
          <w:p w14:paraId="34AAD6E7">
            <w:pPr>
              <w:pStyle w:val="101"/>
            </w:pPr>
            <w:r>
              <w:rPr>
                <w:rFonts w:hint="eastAsia"/>
              </w:rPr>
              <w:t>分项考核内容</w:t>
            </w:r>
          </w:p>
        </w:tc>
        <w:tc>
          <w:tcPr>
            <w:tcW w:w="6815" w:type="dxa"/>
            <w:tcMar>
              <w:top w:w="113" w:type="dxa"/>
              <w:left w:w="85" w:type="dxa"/>
              <w:bottom w:w="113" w:type="dxa"/>
              <w:right w:w="85" w:type="dxa"/>
            </w:tcMar>
            <w:vAlign w:val="center"/>
          </w:tcPr>
          <w:p w14:paraId="16303848">
            <w:pPr>
              <w:pStyle w:val="101"/>
            </w:pPr>
            <w:r>
              <w:rPr>
                <w:rFonts w:hint="eastAsia"/>
              </w:rPr>
              <w:t>违 约 事 项 及 罚 款 办 法</w:t>
            </w:r>
          </w:p>
        </w:tc>
        <w:tc>
          <w:tcPr>
            <w:tcW w:w="1539" w:type="dxa"/>
            <w:tcMar>
              <w:top w:w="113" w:type="dxa"/>
              <w:left w:w="85" w:type="dxa"/>
              <w:bottom w:w="113" w:type="dxa"/>
              <w:right w:w="85" w:type="dxa"/>
            </w:tcMar>
            <w:vAlign w:val="center"/>
          </w:tcPr>
          <w:p w14:paraId="75D10C27">
            <w:pPr>
              <w:pStyle w:val="101"/>
              <w:ind w:right="-462" w:rightChars="-220" w:firstLine="315" w:firstLineChars="150"/>
              <w:jc w:val="both"/>
            </w:pPr>
            <w:r>
              <w:rPr>
                <w:rFonts w:hint="eastAsia"/>
              </w:rPr>
              <w:t>罚款</w:t>
            </w:r>
          </w:p>
          <w:p w14:paraId="22423A9B">
            <w:pPr>
              <w:pStyle w:val="101"/>
              <w:ind w:right="-462" w:rightChars="-220"/>
              <w:jc w:val="both"/>
            </w:pPr>
          </w:p>
        </w:tc>
      </w:tr>
      <w:tr w14:paraId="220EB9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restart"/>
            <w:tcMar>
              <w:top w:w="113" w:type="dxa"/>
              <w:left w:w="85" w:type="dxa"/>
              <w:bottom w:w="113" w:type="dxa"/>
              <w:right w:w="85" w:type="dxa"/>
            </w:tcMar>
            <w:vAlign w:val="center"/>
          </w:tcPr>
          <w:p w14:paraId="277FDFD1">
            <w:pPr>
              <w:pStyle w:val="101"/>
            </w:pPr>
          </w:p>
          <w:p w14:paraId="62750A0D">
            <w:pPr>
              <w:pStyle w:val="101"/>
            </w:pPr>
          </w:p>
          <w:p w14:paraId="2FE66E4E">
            <w:pPr>
              <w:pStyle w:val="101"/>
            </w:pPr>
          </w:p>
          <w:p w14:paraId="0C19B35B">
            <w:pPr>
              <w:pStyle w:val="101"/>
            </w:pPr>
          </w:p>
          <w:p w14:paraId="4D4E7DE5">
            <w:pPr>
              <w:pStyle w:val="101"/>
            </w:pPr>
          </w:p>
          <w:p w14:paraId="65D7988F">
            <w:pPr>
              <w:pStyle w:val="101"/>
            </w:pPr>
          </w:p>
          <w:p w14:paraId="0E8BFE83">
            <w:pPr>
              <w:pStyle w:val="101"/>
            </w:pPr>
          </w:p>
          <w:p w14:paraId="777BEC85">
            <w:pPr>
              <w:pStyle w:val="101"/>
            </w:pPr>
            <w:r>
              <w:rPr>
                <w:rFonts w:hint="eastAsia"/>
                <w:snapToGrid/>
              </w:rPr>
              <w:drawing>
                <wp:anchor distT="0" distB="0" distL="114300" distR="114300" simplePos="0" relativeHeight="251662336" behindDoc="1" locked="1" layoutInCell="1" allowOverlap="1">
                  <wp:simplePos x="0" y="0"/>
                  <wp:positionH relativeFrom="column">
                    <wp:posOffset>4013200</wp:posOffset>
                  </wp:positionH>
                  <wp:positionV relativeFrom="paragraph">
                    <wp:posOffset>8648700</wp:posOffset>
                  </wp:positionV>
                  <wp:extent cx="508000" cy="482600"/>
                  <wp:effectExtent l="0" t="0" r="6350" b="0"/>
                  <wp:wrapNone/>
                  <wp:docPr id="4" name="图片 4"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08000" cy="482600"/>
                          </a:xfrm>
                          <a:prstGeom prst="rect">
                            <a:avLst/>
                          </a:prstGeom>
                          <a:noFill/>
                          <a:ln>
                            <a:noFill/>
                          </a:ln>
                        </pic:spPr>
                      </pic:pic>
                    </a:graphicData>
                  </a:graphic>
                </wp:anchor>
              </w:drawing>
            </w:r>
            <w:r>
              <w:rPr>
                <w:rFonts w:hint="eastAsia"/>
                <w:snapToGrid/>
              </w:rPr>
              <w:drawing>
                <wp:anchor distT="0" distB="0" distL="114300" distR="114300" simplePos="0" relativeHeight="251661312" behindDoc="1" locked="1" layoutInCell="1" allowOverlap="1">
                  <wp:simplePos x="0" y="0"/>
                  <wp:positionH relativeFrom="column">
                    <wp:posOffset>3060700</wp:posOffset>
                  </wp:positionH>
                  <wp:positionV relativeFrom="paragraph">
                    <wp:posOffset>5321300</wp:posOffset>
                  </wp:positionV>
                  <wp:extent cx="1409700" cy="203200"/>
                  <wp:effectExtent l="0" t="0" r="0" b="6350"/>
                  <wp:wrapNone/>
                  <wp:docPr id="3" name="图片 3"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09700" cy="203200"/>
                          </a:xfrm>
                          <a:prstGeom prst="rect">
                            <a:avLst/>
                          </a:prstGeom>
                          <a:noFill/>
                          <a:ln>
                            <a:noFill/>
                          </a:ln>
                        </pic:spPr>
                      </pic:pic>
                    </a:graphicData>
                  </a:graphic>
                </wp:anchor>
              </w:drawing>
            </w:r>
            <w:r>
              <w:rPr>
                <w:rFonts w:hint="eastAsia"/>
                <w:snapToGrid/>
              </w:rPr>
              <w:drawing>
                <wp:anchor distT="0" distB="0" distL="114300" distR="114300" simplePos="0" relativeHeight="251660288" behindDoc="1" locked="1" layoutInCell="1" allowOverlap="1">
                  <wp:simplePos x="0" y="0"/>
                  <wp:positionH relativeFrom="column">
                    <wp:posOffset>1574800</wp:posOffset>
                  </wp:positionH>
                  <wp:positionV relativeFrom="paragraph">
                    <wp:posOffset>4559300</wp:posOffset>
                  </wp:positionV>
                  <wp:extent cx="1460500" cy="215900"/>
                  <wp:effectExtent l="0" t="0" r="6350" b="0"/>
                  <wp:wrapNone/>
                  <wp:docPr id="2" name="图片 2"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60500" cy="215900"/>
                          </a:xfrm>
                          <a:prstGeom prst="rect">
                            <a:avLst/>
                          </a:prstGeom>
                          <a:noFill/>
                          <a:ln>
                            <a:noFill/>
                          </a:ln>
                        </pic:spPr>
                      </pic:pic>
                    </a:graphicData>
                  </a:graphic>
                </wp:anchor>
              </w:drawing>
            </w:r>
            <w:r>
              <w:rPr>
                <w:rFonts w:hint="eastAsia"/>
              </w:rPr>
              <w:t>一、</w:t>
            </w:r>
          </w:p>
          <w:p w14:paraId="41EB1522">
            <w:pPr>
              <w:pStyle w:val="101"/>
            </w:pPr>
            <w:r>
              <w:rPr>
                <w:rFonts w:hint="eastAsia"/>
              </w:rPr>
              <w:t>监理质量安全保证体系</w:t>
            </w:r>
          </w:p>
        </w:tc>
        <w:tc>
          <w:tcPr>
            <w:tcW w:w="599" w:type="dxa"/>
            <w:vMerge w:val="restart"/>
            <w:tcMar>
              <w:top w:w="113" w:type="dxa"/>
              <w:left w:w="85" w:type="dxa"/>
              <w:bottom w:w="113" w:type="dxa"/>
              <w:right w:w="85" w:type="dxa"/>
            </w:tcMar>
            <w:vAlign w:val="center"/>
          </w:tcPr>
          <w:p w14:paraId="1B6EEE6B">
            <w:pPr>
              <w:pStyle w:val="101"/>
            </w:pPr>
            <w:r>
              <w:rPr>
                <w:rFonts w:hint="eastAsia"/>
              </w:rPr>
              <w:t>人员情况</w:t>
            </w:r>
          </w:p>
        </w:tc>
        <w:tc>
          <w:tcPr>
            <w:tcW w:w="6815" w:type="dxa"/>
            <w:tcMar>
              <w:top w:w="113" w:type="dxa"/>
              <w:left w:w="85" w:type="dxa"/>
              <w:bottom w:w="113" w:type="dxa"/>
              <w:right w:w="85" w:type="dxa"/>
            </w:tcMar>
            <w:vAlign w:val="center"/>
          </w:tcPr>
          <w:p w14:paraId="2C571756">
            <w:pPr>
              <w:pStyle w:val="105"/>
            </w:pPr>
            <w:r>
              <w:t>1</w:t>
            </w:r>
            <w:r>
              <w:rPr>
                <w:rFonts w:hint="eastAsia"/>
              </w:rPr>
              <w:t>、在合同有效期内，经建设管理单位同意变换监理人员</w:t>
            </w:r>
          </w:p>
        </w:tc>
        <w:tc>
          <w:tcPr>
            <w:tcW w:w="1539" w:type="dxa"/>
            <w:tcMar>
              <w:top w:w="113" w:type="dxa"/>
              <w:left w:w="85" w:type="dxa"/>
              <w:bottom w:w="113" w:type="dxa"/>
              <w:right w:w="85" w:type="dxa"/>
            </w:tcMar>
            <w:vAlign w:val="center"/>
          </w:tcPr>
          <w:p w14:paraId="53315DC8">
            <w:pPr>
              <w:pStyle w:val="101"/>
            </w:pPr>
            <w:r>
              <w:rPr>
                <w:rFonts w:hint="eastAsia"/>
              </w:rPr>
              <w:t>1000/人</w:t>
            </w:r>
          </w:p>
        </w:tc>
      </w:tr>
      <w:tr w14:paraId="04D8EB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6D9E887">
            <w:pPr>
              <w:pStyle w:val="101"/>
            </w:pPr>
          </w:p>
        </w:tc>
        <w:tc>
          <w:tcPr>
            <w:tcW w:w="599" w:type="dxa"/>
            <w:vMerge w:val="continue"/>
            <w:tcMar>
              <w:top w:w="113" w:type="dxa"/>
              <w:left w:w="85" w:type="dxa"/>
              <w:bottom w:w="113" w:type="dxa"/>
              <w:right w:w="85" w:type="dxa"/>
            </w:tcMar>
            <w:vAlign w:val="center"/>
          </w:tcPr>
          <w:p w14:paraId="6CA0736A">
            <w:pPr>
              <w:pStyle w:val="101"/>
            </w:pPr>
          </w:p>
        </w:tc>
        <w:tc>
          <w:tcPr>
            <w:tcW w:w="6815" w:type="dxa"/>
            <w:tcMar>
              <w:top w:w="113" w:type="dxa"/>
              <w:left w:w="85" w:type="dxa"/>
              <w:bottom w:w="113" w:type="dxa"/>
              <w:right w:w="85" w:type="dxa"/>
            </w:tcMar>
            <w:vAlign w:val="center"/>
          </w:tcPr>
          <w:p w14:paraId="160B6516">
            <w:pPr>
              <w:pStyle w:val="105"/>
            </w:pPr>
            <w:r>
              <w:t>2</w:t>
            </w:r>
            <w:r>
              <w:rPr>
                <w:rFonts w:hint="eastAsia"/>
              </w:rPr>
              <w:t>、未经建设管理单位同意擅自变换监理人员或变换人员超过规定的人次</w:t>
            </w:r>
          </w:p>
        </w:tc>
        <w:tc>
          <w:tcPr>
            <w:tcW w:w="1539" w:type="dxa"/>
            <w:tcMar>
              <w:top w:w="113" w:type="dxa"/>
              <w:left w:w="85" w:type="dxa"/>
              <w:bottom w:w="113" w:type="dxa"/>
              <w:right w:w="85" w:type="dxa"/>
            </w:tcMar>
            <w:vAlign w:val="center"/>
          </w:tcPr>
          <w:p w14:paraId="469873E6">
            <w:pPr>
              <w:pStyle w:val="101"/>
            </w:pPr>
            <w:r>
              <w:rPr>
                <w:rFonts w:hint="eastAsia"/>
              </w:rPr>
              <w:t>2000元/人</w:t>
            </w:r>
          </w:p>
        </w:tc>
      </w:tr>
      <w:tr w14:paraId="6DB6FF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7" w:hRule="atLeast"/>
          <w:jc w:val="center"/>
        </w:trPr>
        <w:tc>
          <w:tcPr>
            <w:tcW w:w="642" w:type="dxa"/>
            <w:vMerge w:val="continue"/>
            <w:tcMar>
              <w:top w:w="113" w:type="dxa"/>
              <w:left w:w="85" w:type="dxa"/>
              <w:bottom w:w="113" w:type="dxa"/>
              <w:right w:w="85" w:type="dxa"/>
            </w:tcMar>
            <w:vAlign w:val="center"/>
          </w:tcPr>
          <w:p w14:paraId="371ED850">
            <w:pPr>
              <w:pStyle w:val="101"/>
            </w:pPr>
          </w:p>
        </w:tc>
        <w:tc>
          <w:tcPr>
            <w:tcW w:w="599" w:type="dxa"/>
            <w:vMerge w:val="continue"/>
            <w:tcMar>
              <w:top w:w="113" w:type="dxa"/>
              <w:left w:w="85" w:type="dxa"/>
              <w:bottom w:w="113" w:type="dxa"/>
              <w:right w:w="85" w:type="dxa"/>
            </w:tcMar>
            <w:vAlign w:val="center"/>
          </w:tcPr>
          <w:p w14:paraId="3D849577">
            <w:pPr>
              <w:pStyle w:val="101"/>
            </w:pPr>
          </w:p>
        </w:tc>
        <w:tc>
          <w:tcPr>
            <w:tcW w:w="6815" w:type="dxa"/>
            <w:tcMar>
              <w:top w:w="113" w:type="dxa"/>
              <w:left w:w="85" w:type="dxa"/>
              <w:bottom w:w="113" w:type="dxa"/>
              <w:right w:w="85" w:type="dxa"/>
            </w:tcMar>
            <w:vAlign w:val="center"/>
          </w:tcPr>
          <w:p w14:paraId="4C8E1931">
            <w:pPr>
              <w:pStyle w:val="105"/>
            </w:pPr>
            <w:r>
              <w:t>3</w:t>
            </w:r>
            <w:r>
              <w:rPr>
                <w:rFonts w:hint="eastAsia"/>
              </w:rPr>
              <w:t>、监理人员先期离开而监理部隐而不报或不按建设管理单位批准的期限增加人员</w:t>
            </w:r>
          </w:p>
        </w:tc>
        <w:tc>
          <w:tcPr>
            <w:tcW w:w="1539" w:type="dxa"/>
            <w:tcMar>
              <w:top w:w="113" w:type="dxa"/>
              <w:left w:w="85" w:type="dxa"/>
              <w:bottom w:w="113" w:type="dxa"/>
              <w:right w:w="85" w:type="dxa"/>
            </w:tcMar>
            <w:vAlign w:val="center"/>
          </w:tcPr>
          <w:p w14:paraId="1A2949FA">
            <w:pPr>
              <w:pStyle w:val="101"/>
            </w:pPr>
            <w:r>
              <w:rPr>
                <w:rFonts w:hint="eastAsia"/>
              </w:rPr>
              <w:t>500元/天/人</w:t>
            </w:r>
          </w:p>
        </w:tc>
      </w:tr>
      <w:tr w14:paraId="138F191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B3EFC1B">
            <w:pPr>
              <w:pStyle w:val="101"/>
            </w:pPr>
          </w:p>
        </w:tc>
        <w:tc>
          <w:tcPr>
            <w:tcW w:w="599" w:type="dxa"/>
            <w:vMerge w:val="continue"/>
            <w:tcMar>
              <w:top w:w="113" w:type="dxa"/>
              <w:left w:w="85" w:type="dxa"/>
              <w:bottom w:w="113" w:type="dxa"/>
              <w:right w:w="85" w:type="dxa"/>
            </w:tcMar>
            <w:vAlign w:val="center"/>
          </w:tcPr>
          <w:p w14:paraId="5466D84B">
            <w:pPr>
              <w:pStyle w:val="101"/>
            </w:pPr>
          </w:p>
        </w:tc>
        <w:tc>
          <w:tcPr>
            <w:tcW w:w="6815" w:type="dxa"/>
            <w:tcMar>
              <w:top w:w="113" w:type="dxa"/>
              <w:left w:w="85" w:type="dxa"/>
              <w:bottom w:w="113" w:type="dxa"/>
              <w:right w:w="85" w:type="dxa"/>
            </w:tcMar>
            <w:vAlign w:val="center"/>
          </w:tcPr>
          <w:p w14:paraId="6683D2F2">
            <w:pPr>
              <w:pStyle w:val="105"/>
            </w:pPr>
            <w:r>
              <w:t>4</w:t>
            </w:r>
            <w:r>
              <w:rPr>
                <w:rFonts w:hint="eastAsia"/>
              </w:rPr>
              <w:t>、监理人员缺乏必要的知识和操作技能清退出场</w:t>
            </w:r>
          </w:p>
        </w:tc>
        <w:tc>
          <w:tcPr>
            <w:tcW w:w="1539" w:type="dxa"/>
            <w:tcMar>
              <w:top w:w="113" w:type="dxa"/>
              <w:left w:w="85" w:type="dxa"/>
              <w:bottom w:w="113" w:type="dxa"/>
              <w:right w:w="85" w:type="dxa"/>
            </w:tcMar>
            <w:vAlign w:val="center"/>
          </w:tcPr>
          <w:p w14:paraId="4F778DF3">
            <w:pPr>
              <w:pStyle w:val="101"/>
            </w:pPr>
            <w:r>
              <w:rPr>
                <w:rFonts w:hint="eastAsia"/>
              </w:rPr>
              <w:t>500元/天/人</w:t>
            </w:r>
          </w:p>
        </w:tc>
      </w:tr>
      <w:tr w14:paraId="1249B4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008B017">
            <w:pPr>
              <w:pStyle w:val="101"/>
            </w:pPr>
          </w:p>
        </w:tc>
        <w:tc>
          <w:tcPr>
            <w:tcW w:w="599" w:type="dxa"/>
            <w:vMerge w:val="continue"/>
            <w:tcMar>
              <w:top w:w="113" w:type="dxa"/>
              <w:left w:w="85" w:type="dxa"/>
              <w:bottom w:w="113" w:type="dxa"/>
              <w:right w:w="85" w:type="dxa"/>
            </w:tcMar>
            <w:vAlign w:val="center"/>
          </w:tcPr>
          <w:p w14:paraId="6D88CE53">
            <w:pPr>
              <w:pStyle w:val="101"/>
            </w:pPr>
          </w:p>
        </w:tc>
        <w:tc>
          <w:tcPr>
            <w:tcW w:w="6815" w:type="dxa"/>
            <w:tcMar>
              <w:top w:w="113" w:type="dxa"/>
              <w:left w:w="85" w:type="dxa"/>
              <w:bottom w:w="113" w:type="dxa"/>
              <w:right w:w="85" w:type="dxa"/>
            </w:tcMar>
            <w:vAlign w:val="center"/>
          </w:tcPr>
          <w:p w14:paraId="11541DE0">
            <w:pPr>
              <w:pStyle w:val="105"/>
            </w:pPr>
            <w:r>
              <w:t>5</w:t>
            </w:r>
            <w:r>
              <w:rPr>
                <w:rFonts w:hint="eastAsia"/>
              </w:rPr>
              <w:t>、监理人员工作期间不佩带标志牌</w:t>
            </w:r>
          </w:p>
        </w:tc>
        <w:tc>
          <w:tcPr>
            <w:tcW w:w="1539" w:type="dxa"/>
            <w:tcMar>
              <w:top w:w="113" w:type="dxa"/>
              <w:left w:w="85" w:type="dxa"/>
              <w:bottom w:w="113" w:type="dxa"/>
              <w:right w:w="85" w:type="dxa"/>
            </w:tcMar>
            <w:vAlign w:val="center"/>
          </w:tcPr>
          <w:p w14:paraId="374716C7">
            <w:pPr>
              <w:pStyle w:val="101"/>
            </w:pPr>
            <w:r>
              <w:rPr>
                <w:rFonts w:hint="eastAsia"/>
              </w:rPr>
              <w:t>300元/次</w:t>
            </w:r>
          </w:p>
        </w:tc>
      </w:tr>
      <w:tr w14:paraId="19DD8E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210C856">
            <w:pPr>
              <w:pStyle w:val="101"/>
            </w:pPr>
          </w:p>
        </w:tc>
        <w:tc>
          <w:tcPr>
            <w:tcW w:w="599" w:type="dxa"/>
            <w:vMerge w:val="continue"/>
            <w:tcMar>
              <w:top w:w="113" w:type="dxa"/>
              <w:left w:w="85" w:type="dxa"/>
              <w:bottom w:w="113" w:type="dxa"/>
              <w:right w:w="85" w:type="dxa"/>
            </w:tcMar>
            <w:vAlign w:val="center"/>
          </w:tcPr>
          <w:p w14:paraId="0C9F7451">
            <w:pPr>
              <w:pStyle w:val="101"/>
            </w:pPr>
          </w:p>
        </w:tc>
        <w:tc>
          <w:tcPr>
            <w:tcW w:w="6815" w:type="dxa"/>
            <w:tcMar>
              <w:top w:w="113" w:type="dxa"/>
              <w:left w:w="85" w:type="dxa"/>
              <w:bottom w:w="113" w:type="dxa"/>
              <w:right w:w="85" w:type="dxa"/>
            </w:tcMar>
            <w:vAlign w:val="center"/>
          </w:tcPr>
          <w:p w14:paraId="3512303D">
            <w:pPr>
              <w:pStyle w:val="105"/>
            </w:pPr>
            <w:r>
              <w:t>6</w:t>
            </w:r>
            <w:r>
              <w:rPr>
                <w:rFonts w:hint="eastAsia"/>
              </w:rPr>
              <w:t>、监理人员不能积极主动工作</w:t>
            </w:r>
          </w:p>
        </w:tc>
        <w:tc>
          <w:tcPr>
            <w:tcW w:w="1539" w:type="dxa"/>
            <w:tcMar>
              <w:top w:w="113" w:type="dxa"/>
              <w:left w:w="85" w:type="dxa"/>
              <w:bottom w:w="113" w:type="dxa"/>
              <w:right w:w="85" w:type="dxa"/>
            </w:tcMar>
            <w:vAlign w:val="center"/>
          </w:tcPr>
          <w:p w14:paraId="3DCA5589">
            <w:pPr>
              <w:pStyle w:val="101"/>
            </w:pPr>
            <w:r>
              <w:rPr>
                <w:rFonts w:hint="eastAsia"/>
              </w:rPr>
              <w:t>300元/次</w:t>
            </w:r>
          </w:p>
        </w:tc>
      </w:tr>
      <w:tr w14:paraId="663B6E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41265D9">
            <w:pPr>
              <w:pStyle w:val="101"/>
            </w:pPr>
          </w:p>
        </w:tc>
        <w:tc>
          <w:tcPr>
            <w:tcW w:w="599" w:type="dxa"/>
            <w:vMerge w:val="continue"/>
            <w:tcMar>
              <w:top w:w="113" w:type="dxa"/>
              <w:left w:w="85" w:type="dxa"/>
              <w:bottom w:w="113" w:type="dxa"/>
              <w:right w:w="85" w:type="dxa"/>
            </w:tcMar>
            <w:vAlign w:val="center"/>
          </w:tcPr>
          <w:p w14:paraId="1F4691AF">
            <w:pPr>
              <w:pStyle w:val="101"/>
            </w:pPr>
          </w:p>
        </w:tc>
        <w:tc>
          <w:tcPr>
            <w:tcW w:w="6815" w:type="dxa"/>
            <w:tcMar>
              <w:top w:w="113" w:type="dxa"/>
              <w:left w:w="85" w:type="dxa"/>
              <w:bottom w:w="113" w:type="dxa"/>
              <w:right w:w="85" w:type="dxa"/>
            </w:tcMar>
            <w:vAlign w:val="center"/>
          </w:tcPr>
          <w:p w14:paraId="5253B492">
            <w:pPr>
              <w:pStyle w:val="105"/>
            </w:pPr>
            <w:r>
              <w:t>7</w:t>
            </w:r>
            <w:r>
              <w:rPr>
                <w:rFonts w:hint="eastAsia"/>
              </w:rPr>
              <w:t>、监理人员工作期间未经同意请假</w:t>
            </w:r>
          </w:p>
        </w:tc>
        <w:tc>
          <w:tcPr>
            <w:tcW w:w="1539" w:type="dxa"/>
            <w:tcMar>
              <w:top w:w="113" w:type="dxa"/>
              <w:left w:w="85" w:type="dxa"/>
              <w:bottom w:w="113" w:type="dxa"/>
              <w:right w:w="85" w:type="dxa"/>
            </w:tcMar>
            <w:vAlign w:val="center"/>
          </w:tcPr>
          <w:p w14:paraId="5A2BD16A">
            <w:pPr>
              <w:pStyle w:val="101"/>
            </w:pPr>
            <w:r>
              <w:rPr>
                <w:rFonts w:hint="eastAsia"/>
              </w:rPr>
              <w:t>300元/次</w:t>
            </w:r>
          </w:p>
        </w:tc>
      </w:tr>
      <w:tr w14:paraId="27A9BC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6B62D81">
            <w:pPr>
              <w:pStyle w:val="101"/>
            </w:pPr>
          </w:p>
        </w:tc>
        <w:tc>
          <w:tcPr>
            <w:tcW w:w="599" w:type="dxa"/>
            <w:vMerge w:val="restart"/>
            <w:tcMar>
              <w:top w:w="113" w:type="dxa"/>
              <w:left w:w="85" w:type="dxa"/>
              <w:bottom w:w="113" w:type="dxa"/>
              <w:right w:w="85" w:type="dxa"/>
            </w:tcMar>
            <w:vAlign w:val="center"/>
          </w:tcPr>
          <w:p w14:paraId="61CAF79B">
            <w:pPr>
              <w:pStyle w:val="101"/>
            </w:pPr>
            <w:r>
              <w:rPr>
                <w:rFonts w:hint="eastAsia"/>
              </w:rPr>
              <w:t>设备情况</w:t>
            </w:r>
          </w:p>
        </w:tc>
        <w:tc>
          <w:tcPr>
            <w:tcW w:w="6815" w:type="dxa"/>
            <w:tcMar>
              <w:top w:w="113" w:type="dxa"/>
              <w:left w:w="85" w:type="dxa"/>
              <w:bottom w:w="113" w:type="dxa"/>
              <w:right w:w="85" w:type="dxa"/>
            </w:tcMar>
            <w:vAlign w:val="center"/>
          </w:tcPr>
          <w:p w14:paraId="3F60DF6C">
            <w:pPr>
              <w:pStyle w:val="105"/>
            </w:pPr>
            <w:r>
              <w:t>1</w:t>
            </w:r>
            <w:r>
              <w:rPr>
                <w:rFonts w:hint="eastAsia"/>
              </w:rPr>
              <w:t>、未按建设管理单位要求配置足够必要的试验检测等设备而影响工作</w:t>
            </w:r>
          </w:p>
        </w:tc>
        <w:tc>
          <w:tcPr>
            <w:tcW w:w="1539" w:type="dxa"/>
            <w:tcMar>
              <w:top w:w="113" w:type="dxa"/>
              <w:left w:w="85" w:type="dxa"/>
              <w:bottom w:w="113" w:type="dxa"/>
              <w:right w:w="85" w:type="dxa"/>
            </w:tcMar>
            <w:vAlign w:val="center"/>
          </w:tcPr>
          <w:p w14:paraId="6D169EDF">
            <w:pPr>
              <w:pStyle w:val="101"/>
            </w:pPr>
            <w:r>
              <w:rPr>
                <w:rFonts w:hint="eastAsia"/>
              </w:rPr>
              <w:t>1000元/天</w:t>
            </w:r>
          </w:p>
        </w:tc>
      </w:tr>
      <w:tr w14:paraId="7C0D33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5F54EC3">
            <w:pPr>
              <w:pStyle w:val="101"/>
            </w:pPr>
          </w:p>
        </w:tc>
        <w:tc>
          <w:tcPr>
            <w:tcW w:w="599" w:type="dxa"/>
            <w:vMerge w:val="continue"/>
            <w:tcMar>
              <w:top w:w="113" w:type="dxa"/>
              <w:left w:w="85" w:type="dxa"/>
              <w:bottom w:w="113" w:type="dxa"/>
              <w:right w:w="85" w:type="dxa"/>
            </w:tcMar>
            <w:vAlign w:val="center"/>
          </w:tcPr>
          <w:p w14:paraId="237DE690">
            <w:pPr>
              <w:pStyle w:val="101"/>
            </w:pPr>
          </w:p>
        </w:tc>
        <w:tc>
          <w:tcPr>
            <w:tcW w:w="6815" w:type="dxa"/>
            <w:tcMar>
              <w:top w:w="113" w:type="dxa"/>
              <w:left w:w="85" w:type="dxa"/>
              <w:bottom w:w="113" w:type="dxa"/>
              <w:right w:w="85" w:type="dxa"/>
            </w:tcMar>
            <w:vAlign w:val="center"/>
          </w:tcPr>
          <w:p w14:paraId="225511E3">
            <w:pPr>
              <w:pStyle w:val="105"/>
            </w:pPr>
            <w:r>
              <w:t>2</w:t>
            </w:r>
            <w:r>
              <w:rPr>
                <w:rFonts w:hint="eastAsia"/>
              </w:rPr>
              <w:t>、因设备管理、使用不当或不使用设备而影响工作</w:t>
            </w:r>
          </w:p>
        </w:tc>
        <w:tc>
          <w:tcPr>
            <w:tcW w:w="1539" w:type="dxa"/>
            <w:tcMar>
              <w:top w:w="113" w:type="dxa"/>
              <w:left w:w="85" w:type="dxa"/>
              <w:bottom w:w="113" w:type="dxa"/>
              <w:right w:w="85" w:type="dxa"/>
            </w:tcMar>
            <w:vAlign w:val="center"/>
          </w:tcPr>
          <w:p w14:paraId="77C33731">
            <w:pPr>
              <w:pStyle w:val="101"/>
            </w:pPr>
            <w:r>
              <w:rPr>
                <w:rFonts w:hint="eastAsia"/>
              </w:rPr>
              <w:t>500元/天</w:t>
            </w:r>
          </w:p>
        </w:tc>
      </w:tr>
      <w:tr w14:paraId="477FC3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642" w:type="dxa"/>
            <w:vMerge w:val="continue"/>
            <w:tcMar>
              <w:top w:w="113" w:type="dxa"/>
              <w:left w:w="85" w:type="dxa"/>
              <w:bottom w:w="113" w:type="dxa"/>
              <w:right w:w="85" w:type="dxa"/>
            </w:tcMar>
            <w:vAlign w:val="center"/>
          </w:tcPr>
          <w:p w14:paraId="5C637840">
            <w:pPr>
              <w:pStyle w:val="101"/>
            </w:pPr>
          </w:p>
        </w:tc>
        <w:tc>
          <w:tcPr>
            <w:tcW w:w="599" w:type="dxa"/>
            <w:vMerge w:val="restart"/>
            <w:tcMar>
              <w:top w:w="113" w:type="dxa"/>
              <w:left w:w="85" w:type="dxa"/>
              <w:bottom w:w="113" w:type="dxa"/>
              <w:right w:w="85" w:type="dxa"/>
            </w:tcMar>
            <w:vAlign w:val="center"/>
          </w:tcPr>
          <w:p w14:paraId="261C802C">
            <w:pPr>
              <w:pStyle w:val="101"/>
            </w:pPr>
            <w:r>
              <w:rPr>
                <w:rFonts w:hint="eastAsia"/>
              </w:rPr>
              <w:t>岗位职责</w:t>
            </w:r>
          </w:p>
        </w:tc>
        <w:tc>
          <w:tcPr>
            <w:tcW w:w="6815" w:type="dxa"/>
            <w:tcMar>
              <w:top w:w="113" w:type="dxa"/>
              <w:left w:w="85" w:type="dxa"/>
              <w:bottom w:w="113" w:type="dxa"/>
              <w:right w:w="85" w:type="dxa"/>
            </w:tcMar>
            <w:vAlign w:val="center"/>
          </w:tcPr>
          <w:p w14:paraId="0CC3A410">
            <w:pPr>
              <w:pStyle w:val="105"/>
            </w:pPr>
            <w:r>
              <w:t>1</w:t>
            </w:r>
            <w:r>
              <w:rPr>
                <w:rFonts w:hint="eastAsia"/>
              </w:rPr>
              <w:t>、监理岗位职责不明确</w:t>
            </w:r>
          </w:p>
        </w:tc>
        <w:tc>
          <w:tcPr>
            <w:tcW w:w="1539" w:type="dxa"/>
            <w:tcMar>
              <w:top w:w="113" w:type="dxa"/>
              <w:left w:w="85" w:type="dxa"/>
              <w:bottom w:w="113" w:type="dxa"/>
              <w:right w:w="85" w:type="dxa"/>
            </w:tcMar>
            <w:vAlign w:val="center"/>
          </w:tcPr>
          <w:p w14:paraId="7C4D4A9C">
            <w:pPr>
              <w:pStyle w:val="101"/>
            </w:pPr>
            <w:r>
              <w:rPr>
                <w:rFonts w:hint="eastAsia"/>
              </w:rPr>
              <w:t>500元/人</w:t>
            </w:r>
          </w:p>
        </w:tc>
      </w:tr>
      <w:tr w14:paraId="512D6E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B92A86C">
            <w:pPr>
              <w:pStyle w:val="101"/>
            </w:pPr>
          </w:p>
        </w:tc>
        <w:tc>
          <w:tcPr>
            <w:tcW w:w="599" w:type="dxa"/>
            <w:vMerge w:val="continue"/>
            <w:tcMar>
              <w:top w:w="113" w:type="dxa"/>
              <w:left w:w="85" w:type="dxa"/>
              <w:bottom w:w="113" w:type="dxa"/>
              <w:right w:w="85" w:type="dxa"/>
            </w:tcMar>
            <w:vAlign w:val="center"/>
          </w:tcPr>
          <w:p w14:paraId="337E04E2">
            <w:pPr>
              <w:pStyle w:val="101"/>
            </w:pPr>
          </w:p>
        </w:tc>
        <w:tc>
          <w:tcPr>
            <w:tcW w:w="6815" w:type="dxa"/>
            <w:tcMar>
              <w:top w:w="113" w:type="dxa"/>
              <w:left w:w="85" w:type="dxa"/>
              <w:bottom w:w="113" w:type="dxa"/>
              <w:right w:w="85" w:type="dxa"/>
            </w:tcMar>
            <w:vAlign w:val="center"/>
          </w:tcPr>
          <w:p w14:paraId="13AA247D">
            <w:pPr>
              <w:pStyle w:val="105"/>
            </w:pPr>
            <w:r>
              <w:t>2</w:t>
            </w:r>
            <w:r>
              <w:rPr>
                <w:rFonts w:hint="eastAsia"/>
              </w:rPr>
              <w:t>、未对监理工作进行交底或交底不清</w:t>
            </w:r>
          </w:p>
        </w:tc>
        <w:tc>
          <w:tcPr>
            <w:tcW w:w="1539" w:type="dxa"/>
            <w:tcMar>
              <w:top w:w="113" w:type="dxa"/>
              <w:left w:w="85" w:type="dxa"/>
              <w:bottom w:w="113" w:type="dxa"/>
              <w:right w:w="85" w:type="dxa"/>
            </w:tcMar>
            <w:vAlign w:val="center"/>
          </w:tcPr>
          <w:p w14:paraId="36D0196E">
            <w:pPr>
              <w:pStyle w:val="101"/>
            </w:pPr>
            <w:r>
              <w:rPr>
                <w:rFonts w:hint="eastAsia"/>
              </w:rPr>
              <w:t>300元/人</w:t>
            </w:r>
          </w:p>
        </w:tc>
      </w:tr>
      <w:tr w14:paraId="009D8A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5AAF6376">
            <w:pPr>
              <w:pStyle w:val="101"/>
            </w:pPr>
          </w:p>
        </w:tc>
        <w:tc>
          <w:tcPr>
            <w:tcW w:w="599" w:type="dxa"/>
            <w:vMerge w:val="continue"/>
            <w:tcMar>
              <w:top w:w="113" w:type="dxa"/>
              <w:left w:w="85" w:type="dxa"/>
              <w:bottom w:w="113" w:type="dxa"/>
              <w:right w:w="85" w:type="dxa"/>
            </w:tcMar>
            <w:vAlign w:val="center"/>
          </w:tcPr>
          <w:p w14:paraId="0AC06755">
            <w:pPr>
              <w:pStyle w:val="101"/>
            </w:pPr>
          </w:p>
        </w:tc>
        <w:tc>
          <w:tcPr>
            <w:tcW w:w="6815" w:type="dxa"/>
            <w:tcMar>
              <w:top w:w="113" w:type="dxa"/>
              <w:left w:w="85" w:type="dxa"/>
              <w:bottom w:w="113" w:type="dxa"/>
              <w:right w:w="85" w:type="dxa"/>
            </w:tcMar>
            <w:vAlign w:val="center"/>
          </w:tcPr>
          <w:p w14:paraId="07255D76">
            <w:pPr>
              <w:pStyle w:val="105"/>
            </w:pPr>
            <w:r>
              <w:t>3</w:t>
            </w:r>
            <w:r>
              <w:rPr>
                <w:rFonts w:hint="eastAsia"/>
              </w:rPr>
              <w:t>、监理人对监理工作可能出现的问题无预防和纠正措施</w:t>
            </w:r>
          </w:p>
        </w:tc>
        <w:tc>
          <w:tcPr>
            <w:tcW w:w="1539" w:type="dxa"/>
            <w:tcMar>
              <w:top w:w="113" w:type="dxa"/>
              <w:left w:w="85" w:type="dxa"/>
              <w:bottom w:w="113" w:type="dxa"/>
              <w:right w:w="85" w:type="dxa"/>
            </w:tcMar>
            <w:vAlign w:val="center"/>
          </w:tcPr>
          <w:p w14:paraId="4E8A384D">
            <w:pPr>
              <w:pStyle w:val="101"/>
            </w:pPr>
            <w:r>
              <w:rPr>
                <w:rFonts w:hint="eastAsia"/>
              </w:rPr>
              <w:t>500元/次</w:t>
            </w:r>
          </w:p>
        </w:tc>
      </w:tr>
      <w:tr w14:paraId="3B00CB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4A05484">
            <w:pPr>
              <w:pStyle w:val="101"/>
            </w:pPr>
          </w:p>
        </w:tc>
        <w:tc>
          <w:tcPr>
            <w:tcW w:w="599" w:type="dxa"/>
            <w:vMerge w:val="continue"/>
            <w:tcMar>
              <w:top w:w="113" w:type="dxa"/>
              <w:left w:w="85" w:type="dxa"/>
              <w:bottom w:w="113" w:type="dxa"/>
              <w:right w:w="85" w:type="dxa"/>
            </w:tcMar>
            <w:vAlign w:val="center"/>
          </w:tcPr>
          <w:p w14:paraId="25875EAD">
            <w:pPr>
              <w:pStyle w:val="101"/>
            </w:pPr>
          </w:p>
        </w:tc>
        <w:tc>
          <w:tcPr>
            <w:tcW w:w="6815" w:type="dxa"/>
            <w:tcMar>
              <w:top w:w="113" w:type="dxa"/>
              <w:left w:w="85" w:type="dxa"/>
              <w:bottom w:w="113" w:type="dxa"/>
              <w:right w:w="85" w:type="dxa"/>
            </w:tcMar>
            <w:vAlign w:val="center"/>
          </w:tcPr>
          <w:p w14:paraId="71780BB8">
            <w:pPr>
              <w:pStyle w:val="105"/>
            </w:pPr>
            <w:r>
              <w:t>4</w:t>
            </w:r>
            <w:r>
              <w:rPr>
                <w:rFonts w:hint="eastAsia"/>
              </w:rPr>
              <w:t>、监理人未对自身的监理工作制定考核制度</w:t>
            </w:r>
          </w:p>
        </w:tc>
        <w:tc>
          <w:tcPr>
            <w:tcW w:w="1539" w:type="dxa"/>
            <w:tcMar>
              <w:top w:w="113" w:type="dxa"/>
              <w:left w:w="85" w:type="dxa"/>
              <w:bottom w:w="113" w:type="dxa"/>
              <w:right w:w="85" w:type="dxa"/>
            </w:tcMar>
            <w:vAlign w:val="center"/>
          </w:tcPr>
          <w:p w14:paraId="2417E077">
            <w:pPr>
              <w:pStyle w:val="101"/>
            </w:pPr>
            <w:r>
              <w:rPr>
                <w:rFonts w:hint="eastAsia"/>
              </w:rPr>
              <w:t>2000元/次</w:t>
            </w:r>
          </w:p>
        </w:tc>
      </w:tr>
      <w:tr w14:paraId="4FE09B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F100FAD">
            <w:pPr>
              <w:pStyle w:val="101"/>
            </w:pPr>
          </w:p>
        </w:tc>
        <w:tc>
          <w:tcPr>
            <w:tcW w:w="599" w:type="dxa"/>
            <w:vMerge w:val="continue"/>
            <w:tcMar>
              <w:top w:w="113" w:type="dxa"/>
              <w:left w:w="85" w:type="dxa"/>
              <w:bottom w:w="113" w:type="dxa"/>
              <w:right w:w="85" w:type="dxa"/>
            </w:tcMar>
            <w:vAlign w:val="center"/>
          </w:tcPr>
          <w:p w14:paraId="011474DB">
            <w:pPr>
              <w:pStyle w:val="101"/>
            </w:pPr>
          </w:p>
        </w:tc>
        <w:tc>
          <w:tcPr>
            <w:tcW w:w="6815" w:type="dxa"/>
            <w:tcMar>
              <w:top w:w="113" w:type="dxa"/>
              <w:left w:w="85" w:type="dxa"/>
              <w:bottom w:w="113" w:type="dxa"/>
              <w:right w:w="85" w:type="dxa"/>
            </w:tcMar>
            <w:vAlign w:val="center"/>
          </w:tcPr>
          <w:p w14:paraId="1768C329">
            <w:pPr>
              <w:pStyle w:val="105"/>
            </w:pPr>
            <w:r>
              <w:t>5</w:t>
            </w:r>
            <w:r>
              <w:rPr>
                <w:rFonts w:hint="eastAsia"/>
              </w:rPr>
              <w:t>、监理人未建立切实可行的信息传递渠道</w:t>
            </w:r>
          </w:p>
        </w:tc>
        <w:tc>
          <w:tcPr>
            <w:tcW w:w="1539" w:type="dxa"/>
            <w:tcMar>
              <w:top w:w="113" w:type="dxa"/>
              <w:left w:w="85" w:type="dxa"/>
              <w:bottom w:w="113" w:type="dxa"/>
              <w:right w:w="85" w:type="dxa"/>
            </w:tcMar>
            <w:vAlign w:val="center"/>
          </w:tcPr>
          <w:p w14:paraId="5C8EF05A">
            <w:pPr>
              <w:pStyle w:val="101"/>
            </w:pPr>
            <w:r>
              <w:rPr>
                <w:rFonts w:hint="eastAsia"/>
              </w:rPr>
              <w:t>300元/次</w:t>
            </w:r>
          </w:p>
        </w:tc>
      </w:tr>
      <w:tr w14:paraId="739CC2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C65333B">
            <w:pPr>
              <w:pStyle w:val="101"/>
            </w:pPr>
          </w:p>
        </w:tc>
        <w:tc>
          <w:tcPr>
            <w:tcW w:w="599" w:type="dxa"/>
            <w:vMerge w:val="continue"/>
            <w:tcMar>
              <w:top w:w="113" w:type="dxa"/>
              <w:left w:w="85" w:type="dxa"/>
              <w:bottom w:w="113" w:type="dxa"/>
              <w:right w:w="85" w:type="dxa"/>
            </w:tcMar>
            <w:vAlign w:val="center"/>
          </w:tcPr>
          <w:p w14:paraId="5AA65639">
            <w:pPr>
              <w:pStyle w:val="101"/>
            </w:pPr>
          </w:p>
        </w:tc>
        <w:tc>
          <w:tcPr>
            <w:tcW w:w="6815" w:type="dxa"/>
            <w:tcMar>
              <w:top w:w="113" w:type="dxa"/>
              <w:left w:w="85" w:type="dxa"/>
              <w:bottom w:w="113" w:type="dxa"/>
              <w:right w:w="85" w:type="dxa"/>
            </w:tcMar>
            <w:vAlign w:val="center"/>
          </w:tcPr>
          <w:p w14:paraId="55807581">
            <w:pPr>
              <w:pStyle w:val="105"/>
            </w:pPr>
            <w:r>
              <w:rPr>
                <w:rFonts w:hint="eastAsia"/>
              </w:rPr>
              <w:t>6、监理人中外方、联合体各成员间协调机制不健全影响监理工作落实</w:t>
            </w:r>
          </w:p>
        </w:tc>
        <w:tc>
          <w:tcPr>
            <w:tcW w:w="1539" w:type="dxa"/>
            <w:tcMar>
              <w:top w:w="113" w:type="dxa"/>
              <w:left w:w="85" w:type="dxa"/>
              <w:bottom w:w="113" w:type="dxa"/>
              <w:right w:w="85" w:type="dxa"/>
            </w:tcMar>
            <w:vAlign w:val="center"/>
          </w:tcPr>
          <w:p w14:paraId="27DDECC0">
            <w:pPr>
              <w:pStyle w:val="101"/>
            </w:pPr>
            <w:r>
              <w:rPr>
                <w:rFonts w:hint="eastAsia"/>
              </w:rPr>
              <w:t>500元/人</w:t>
            </w:r>
          </w:p>
        </w:tc>
      </w:tr>
      <w:tr w14:paraId="330652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040DEE0">
            <w:pPr>
              <w:pStyle w:val="101"/>
            </w:pPr>
          </w:p>
        </w:tc>
        <w:tc>
          <w:tcPr>
            <w:tcW w:w="599" w:type="dxa"/>
            <w:vMerge w:val="restart"/>
            <w:tcMar>
              <w:top w:w="113" w:type="dxa"/>
              <w:left w:w="85" w:type="dxa"/>
              <w:bottom w:w="113" w:type="dxa"/>
              <w:right w:w="85" w:type="dxa"/>
            </w:tcMar>
            <w:vAlign w:val="center"/>
          </w:tcPr>
          <w:p w14:paraId="7B9407AE">
            <w:pPr>
              <w:pStyle w:val="101"/>
            </w:pPr>
            <w:r>
              <w:rPr>
                <w:rFonts w:hint="eastAsia"/>
              </w:rPr>
              <w:t xml:space="preserve">计划落实与工作考核  </w:t>
            </w:r>
          </w:p>
        </w:tc>
        <w:tc>
          <w:tcPr>
            <w:tcW w:w="6815" w:type="dxa"/>
            <w:tcMar>
              <w:top w:w="113" w:type="dxa"/>
              <w:left w:w="85" w:type="dxa"/>
              <w:bottom w:w="113" w:type="dxa"/>
              <w:right w:w="85" w:type="dxa"/>
            </w:tcMar>
            <w:vAlign w:val="center"/>
          </w:tcPr>
          <w:p w14:paraId="7925474C">
            <w:pPr>
              <w:pStyle w:val="105"/>
            </w:pPr>
            <w:r>
              <w:t>1</w:t>
            </w:r>
            <w:r>
              <w:rPr>
                <w:rFonts w:hint="eastAsia"/>
              </w:rPr>
              <w:t>、监理人未做到事前监理，未全面采取预控措施</w:t>
            </w:r>
          </w:p>
        </w:tc>
        <w:tc>
          <w:tcPr>
            <w:tcW w:w="1539" w:type="dxa"/>
            <w:tcMar>
              <w:top w:w="113" w:type="dxa"/>
              <w:left w:w="85" w:type="dxa"/>
              <w:bottom w:w="113" w:type="dxa"/>
              <w:right w:w="85" w:type="dxa"/>
            </w:tcMar>
            <w:vAlign w:val="center"/>
          </w:tcPr>
          <w:p w14:paraId="613A532F">
            <w:pPr>
              <w:pStyle w:val="101"/>
            </w:pPr>
            <w:r>
              <w:rPr>
                <w:rFonts w:hint="eastAsia"/>
              </w:rPr>
              <w:t>1000元/次</w:t>
            </w:r>
          </w:p>
        </w:tc>
      </w:tr>
      <w:tr w14:paraId="583E19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24A38A0">
            <w:pPr>
              <w:pStyle w:val="101"/>
            </w:pPr>
          </w:p>
        </w:tc>
        <w:tc>
          <w:tcPr>
            <w:tcW w:w="599" w:type="dxa"/>
            <w:vMerge w:val="continue"/>
            <w:tcMar>
              <w:top w:w="113" w:type="dxa"/>
              <w:left w:w="85" w:type="dxa"/>
              <w:bottom w:w="113" w:type="dxa"/>
              <w:right w:w="85" w:type="dxa"/>
            </w:tcMar>
            <w:vAlign w:val="center"/>
          </w:tcPr>
          <w:p w14:paraId="3A9AB774">
            <w:pPr>
              <w:pStyle w:val="101"/>
            </w:pPr>
          </w:p>
        </w:tc>
        <w:tc>
          <w:tcPr>
            <w:tcW w:w="6815" w:type="dxa"/>
            <w:tcMar>
              <w:top w:w="113" w:type="dxa"/>
              <w:left w:w="85" w:type="dxa"/>
              <w:bottom w:w="113" w:type="dxa"/>
              <w:right w:w="85" w:type="dxa"/>
            </w:tcMar>
            <w:vAlign w:val="center"/>
          </w:tcPr>
          <w:p w14:paraId="51962170">
            <w:pPr>
              <w:pStyle w:val="105"/>
            </w:pPr>
            <w:r>
              <w:t>2</w:t>
            </w:r>
            <w:r>
              <w:rPr>
                <w:rFonts w:hint="eastAsia"/>
              </w:rPr>
              <w:t>、监理工程师未对主要监理工作进行有效控制</w:t>
            </w:r>
          </w:p>
        </w:tc>
        <w:tc>
          <w:tcPr>
            <w:tcW w:w="1539" w:type="dxa"/>
            <w:tcMar>
              <w:top w:w="113" w:type="dxa"/>
              <w:left w:w="85" w:type="dxa"/>
              <w:bottom w:w="113" w:type="dxa"/>
              <w:right w:w="85" w:type="dxa"/>
            </w:tcMar>
            <w:vAlign w:val="center"/>
          </w:tcPr>
          <w:p w14:paraId="3F0AEFF3">
            <w:pPr>
              <w:pStyle w:val="101"/>
            </w:pPr>
            <w:r>
              <w:rPr>
                <w:rFonts w:hint="eastAsia"/>
              </w:rPr>
              <w:t>1000元/次</w:t>
            </w:r>
          </w:p>
        </w:tc>
      </w:tr>
      <w:tr w14:paraId="392960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FA62705">
            <w:pPr>
              <w:pStyle w:val="101"/>
            </w:pPr>
          </w:p>
        </w:tc>
        <w:tc>
          <w:tcPr>
            <w:tcW w:w="599" w:type="dxa"/>
            <w:vMerge w:val="continue"/>
            <w:tcMar>
              <w:top w:w="113" w:type="dxa"/>
              <w:left w:w="85" w:type="dxa"/>
              <w:bottom w:w="113" w:type="dxa"/>
              <w:right w:w="85" w:type="dxa"/>
            </w:tcMar>
            <w:vAlign w:val="center"/>
          </w:tcPr>
          <w:p w14:paraId="3E55CBDA">
            <w:pPr>
              <w:pStyle w:val="101"/>
            </w:pPr>
          </w:p>
        </w:tc>
        <w:tc>
          <w:tcPr>
            <w:tcW w:w="6815" w:type="dxa"/>
            <w:tcMar>
              <w:top w:w="113" w:type="dxa"/>
              <w:left w:w="85" w:type="dxa"/>
              <w:bottom w:w="113" w:type="dxa"/>
              <w:right w:w="85" w:type="dxa"/>
            </w:tcMar>
            <w:vAlign w:val="center"/>
          </w:tcPr>
          <w:p w14:paraId="1CB50AC2">
            <w:pPr>
              <w:pStyle w:val="105"/>
            </w:pPr>
            <w:r>
              <w:t>3</w:t>
            </w:r>
            <w:r>
              <w:rPr>
                <w:rFonts w:hint="eastAsia"/>
              </w:rPr>
              <w:t>、监理工作未按标准和要求进行</w:t>
            </w:r>
          </w:p>
        </w:tc>
        <w:tc>
          <w:tcPr>
            <w:tcW w:w="1539" w:type="dxa"/>
            <w:tcMar>
              <w:top w:w="113" w:type="dxa"/>
              <w:left w:w="85" w:type="dxa"/>
              <w:bottom w:w="113" w:type="dxa"/>
              <w:right w:w="85" w:type="dxa"/>
            </w:tcMar>
            <w:vAlign w:val="center"/>
          </w:tcPr>
          <w:p w14:paraId="6EFAE9A5">
            <w:pPr>
              <w:pStyle w:val="101"/>
            </w:pPr>
            <w:r>
              <w:rPr>
                <w:rFonts w:hint="eastAsia"/>
              </w:rPr>
              <w:t>500元/次</w:t>
            </w:r>
          </w:p>
        </w:tc>
      </w:tr>
      <w:tr w14:paraId="396036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5E03BD23">
            <w:pPr>
              <w:pStyle w:val="101"/>
            </w:pPr>
          </w:p>
        </w:tc>
        <w:tc>
          <w:tcPr>
            <w:tcW w:w="599" w:type="dxa"/>
            <w:vMerge w:val="continue"/>
            <w:tcMar>
              <w:top w:w="113" w:type="dxa"/>
              <w:left w:w="85" w:type="dxa"/>
              <w:bottom w:w="113" w:type="dxa"/>
              <w:right w:w="85" w:type="dxa"/>
            </w:tcMar>
            <w:vAlign w:val="center"/>
          </w:tcPr>
          <w:p w14:paraId="033581D2">
            <w:pPr>
              <w:pStyle w:val="101"/>
            </w:pPr>
          </w:p>
        </w:tc>
        <w:tc>
          <w:tcPr>
            <w:tcW w:w="6815" w:type="dxa"/>
            <w:tcMar>
              <w:top w:w="113" w:type="dxa"/>
              <w:left w:w="85" w:type="dxa"/>
              <w:bottom w:w="113" w:type="dxa"/>
              <w:right w:w="85" w:type="dxa"/>
            </w:tcMar>
            <w:vAlign w:val="center"/>
          </w:tcPr>
          <w:p w14:paraId="4EC544E5">
            <w:pPr>
              <w:pStyle w:val="105"/>
            </w:pPr>
            <w:r>
              <w:t>4</w:t>
            </w:r>
            <w:r>
              <w:rPr>
                <w:rFonts w:hint="eastAsia"/>
              </w:rPr>
              <w:t>、监理人未对监理人员的工作和纪律进行严格考核</w:t>
            </w:r>
          </w:p>
        </w:tc>
        <w:tc>
          <w:tcPr>
            <w:tcW w:w="1539" w:type="dxa"/>
            <w:tcMar>
              <w:top w:w="113" w:type="dxa"/>
              <w:left w:w="85" w:type="dxa"/>
              <w:bottom w:w="113" w:type="dxa"/>
              <w:right w:w="85" w:type="dxa"/>
            </w:tcMar>
            <w:vAlign w:val="center"/>
          </w:tcPr>
          <w:p w14:paraId="2EA19DAF">
            <w:pPr>
              <w:pStyle w:val="101"/>
            </w:pPr>
            <w:r>
              <w:rPr>
                <w:rFonts w:hint="eastAsia"/>
              </w:rPr>
              <w:t>500元/次</w:t>
            </w:r>
          </w:p>
        </w:tc>
      </w:tr>
      <w:tr w14:paraId="6029D1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904A70E">
            <w:pPr>
              <w:pStyle w:val="101"/>
            </w:pPr>
          </w:p>
        </w:tc>
        <w:tc>
          <w:tcPr>
            <w:tcW w:w="599" w:type="dxa"/>
            <w:vMerge w:val="continue"/>
            <w:tcMar>
              <w:top w:w="113" w:type="dxa"/>
              <w:left w:w="85" w:type="dxa"/>
              <w:bottom w:w="113" w:type="dxa"/>
              <w:right w:w="85" w:type="dxa"/>
            </w:tcMar>
            <w:vAlign w:val="center"/>
          </w:tcPr>
          <w:p w14:paraId="21CC9F5C">
            <w:pPr>
              <w:pStyle w:val="101"/>
            </w:pPr>
          </w:p>
        </w:tc>
        <w:tc>
          <w:tcPr>
            <w:tcW w:w="6815" w:type="dxa"/>
            <w:tcMar>
              <w:top w:w="113" w:type="dxa"/>
              <w:left w:w="85" w:type="dxa"/>
              <w:bottom w:w="113" w:type="dxa"/>
              <w:right w:w="85" w:type="dxa"/>
            </w:tcMar>
            <w:vAlign w:val="center"/>
          </w:tcPr>
          <w:p w14:paraId="63C3B4D3">
            <w:pPr>
              <w:pStyle w:val="105"/>
            </w:pPr>
            <w:r>
              <w:t>5</w:t>
            </w:r>
            <w:r>
              <w:rPr>
                <w:rFonts w:hint="eastAsia"/>
              </w:rPr>
              <w:t>、监理人员未履行岗位职责</w:t>
            </w:r>
          </w:p>
        </w:tc>
        <w:tc>
          <w:tcPr>
            <w:tcW w:w="1539" w:type="dxa"/>
            <w:tcMar>
              <w:top w:w="113" w:type="dxa"/>
              <w:left w:w="85" w:type="dxa"/>
              <w:bottom w:w="113" w:type="dxa"/>
              <w:right w:w="85" w:type="dxa"/>
            </w:tcMar>
            <w:vAlign w:val="center"/>
          </w:tcPr>
          <w:p w14:paraId="6EABC21B">
            <w:pPr>
              <w:pStyle w:val="101"/>
            </w:pPr>
            <w:r>
              <w:rPr>
                <w:rFonts w:hint="eastAsia"/>
              </w:rPr>
              <w:t>500元/次</w:t>
            </w:r>
          </w:p>
        </w:tc>
      </w:tr>
      <w:tr w14:paraId="40AC02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8A55D7D">
            <w:pPr>
              <w:pStyle w:val="101"/>
            </w:pPr>
          </w:p>
        </w:tc>
        <w:tc>
          <w:tcPr>
            <w:tcW w:w="599" w:type="dxa"/>
            <w:vMerge w:val="continue"/>
            <w:tcMar>
              <w:top w:w="113" w:type="dxa"/>
              <w:left w:w="85" w:type="dxa"/>
              <w:bottom w:w="113" w:type="dxa"/>
              <w:right w:w="85" w:type="dxa"/>
            </w:tcMar>
            <w:vAlign w:val="center"/>
          </w:tcPr>
          <w:p w14:paraId="65FD1CA7">
            <w:pPr>
              <w:pStyle w:val="101"/>
            </w:pPr>
          </w:p>
        </w:tc>
        <w:tc>
          <w:tcPr>
            <w:tcW w:w="6815" w:type="dxa"/>
            <w:tcMar>
              <w:top w:w="113" w:type="dxa"/>
              <w:left w:w="85" w:type="dxa"/>
              <w:bottom w:w="113" w:type="dxa"/>
              <w:right w:w="85" w:type="dxa"/>
            </w:tcMar>
            <w:vAlign w:val="center"/>
          </w:tcPr>
          <w:p w14:paraId="6D23B564">
            <w:pPr>
              <w:pStyle w:val="105"/>
            </w:pPr>
            <w:r>
              <w:t>6</w:t>
            </w:r>
            <w:r>
              <w:rPr>
                <w:rFonts w:hint="eastAsia"/>
              </w:rPr>
              <w:t>、监理人信息渠道不畅通</w:t>
            </w:r>
          </w:p>
        </w:tc>
        <w:tc>
          <w:tcPr>
            <w:tcW w:w="1539" w:type="dxa"/>
            <w:tcMar>
              <w:top w:w="113" w:type="dxa"/>
              <w:left w:w="85" w:type="dxa"/>
              <w:bottom w:w="113" w:type="dxa"/>
              <w:right w:w="85" w:type="dxa"/>
            </w:tcMar>
            <w:vAlign w:val="center"/>
          </w:tcPr>
          <w:p w14:paraId="6BA4F391">
            <w:pPr>
              <w:pStyle w:val="101"/>
            </w:pPr>
            <w:r>
              <w:rPr>
                <w:rFonts w:hint="eastAsia"/>
              </w:rPr>
              <w:t>300元/次</w:t>
            </w:r>
          </w:p>
        </w:tc>
      </w:tr>
      <w:tr w14:paraId="2CE210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restart"/>
            <w:tcMar>
              <w:top w:w="113" w:type="dxa"/>
              <w:left w:w="85" w:type="dxa"/>
              <w:bottom w:w="113" w:type="dxa"/>
              <w:right w:w="85" w:type="dxa"/>
            </w:tcMar>
            <w:vAlign w:val="center"/>
          </w:tcPr>
          <w:p w14:paraId="15D72390">
            <w:pPr>
              <w:pStyle w:val="101"/>
            </w:pPr>
          </w:p>
          <w:p w14:paraId="33ECDA1A">
            <w:pPr>
              <w:pStyle w:val="101"/>
            </w:pPr>
          </w:p>
          <w:p w14:paraId="14F4DDB0">
            <w:pPr>
              <w:pStyle w:val="101"/>
            </w:pPr>
          </w:p>
          <w:p w14:paraId="7367E920">
            <w:pPr>
              <w:pStyle w:val="101"/>
            </w:pPr>
          </w:p>
          <w:p w14:paraId="1A352978">
            <w:pPr>
              <w:pStyle w:val="101"/>
            </w:pPr>
          </w:p>
          <w:p w14:paraId="3704307A">
            <w:pPr>
              <w:pStyle w:val="101"/>
            </w:pPr>
          </w:p>
          <w:p w14:paraId="421C79F9">
            <w:pPr>
              <w:pStyle w:val="101"/>
            </w:pPr>
          </w:p>
          <w:p w14:paraId="3B14AAE9">
            <w:pPr>
              <w:pStyle w:val="101"/>
            </w:pPr>
          </w:p>
          <w:p w14:paraId="76F87FC5">
            <w:pPr>
              <w:pStyle w:val="101"/>
            </w:pPr>
          </w:p>
          <w:p w14:paraId="7615A48A">
            <w:pPr>
              <w:pStyle w:val="101"/>
            </w:pPr>
          </w:p>
          <w:p w14:paraId="44F99E48">
            <w:pPr>
              <w:pStyle w:val="101"/>
            </w:pPr>
          </w:p>
          <w:p w14:paraId="37A69731">
            <w:pPr>
              <w:pStyle w:val="101"/>
            </w:pPr>
            <w:r>
              <w:rPr>
                <w:rFonts w:hint="eastAsia"/>
                <w:snapToGrid/>
              </w:rPr>
              <w:drawing>
                <wp:anchor distT="0" distB="0" distL="114300" distR="114300" simplePos="0" relativeHeight="251664384" behindDoc="1" locked="1" layoutInCell="1" allowOverlap="1">
                  <wp:simplePos x="0" y="0"/>
                  <wp:positionH relativeFrom="column">
                    <wp:posOffset>1143000</wp:posOffset>
                  </wp:positionH>
                  <wp:positionV relativeFrom="paragraph">
                    <wp:posOffset>1003300</wp:posOffset>
                  </wp:positionV>
                  <wp:extent cx="596900" cy="571500"/>
                  <wp:effectExtent l="0" t="0" r="0" b="0"/>
                  <wp:wrapNone/>
                  <wp:docPr id="7" name="图片 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6900" cy="571500"/>
                          </a:xfrm>
                          <a:prstGeom prst="rect">
                            <a:avLst/>
                          </a:prstGeom>
                          <a:noFill/>
                          <a:ln>
                            <a:noFill/>
                          </a:ln>
                        </pic:spPr>
                      </pic:pic>
                    </a:graphicData>
                  </a:graphic>
                </wp:anchor>
              </w:drawing>
            </w:r>
            <w:r>
              <w:rPr>
                <w:rFonts w:hint="eastAsia"/>
                <w:snapToGrid/>
              </w:rPr>
              <w:drawing>
                <wp:anchor distT="0" distB="0" distL="114300" distR="114300" simplePos="0" relativeHeight="251663360" behindDoc="1" locked="1" layoutInCell="1" allowOverlap="1">
                  <wp:simplePos x="0" y="0"/>
                  <wp:positionH relativeFrom="column">
                    <wp:posOffset>2349500</wp:posOffset>
                  </wp:positionH>
                  <wp:positionV relativeFrom="paragraph">
                    <wp:posOffset>4876800</wp:posOffset>
                  </wp:positionV>
                  <wp:extent cx="533400" cy="508000"/>
                  <wp:effectExtent l="0" t="0" r="0" b="6350"/>
                  <wp:wrapNone/>
                  <wp:docPr id="5" name="图片 5"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3400" cy="508000"/>
                          </a:xfrm>
                          <a:prstGeom prst="rect">
                            <a:avLst/>
                          </a:prstGeom>
                          <a:noFill/>
                          <a:ln>
                            <a:noFill/>
                          </a:ln>
                        </pic:spPr>
                      </pic:pic>
                    </a:graphicData>
                  </a:graphic>
                </wp:anchor>
              </w:drawing>
            </w:r>
            <w:r>
              <w:rPr>
                <w:rFonts w:hint="eastAsia"/>
              </w:rPr>
              <w:t>二、质量控制</w:t>
            </w:r>
          </w:p>
        </w:tc>
        <w:tc>
          <w:tcPr>
            <w:tcW w:w="599" w:type="dxa"/>
            <w:vMerge w:val="restart"/>
            <w:tcMar>
              <w:top w:w="113" w:type="dxa"/>
              <w:left w:w="85" w:type="dxa"/>
              <w:bottom w:w="113" w:type="dxa"/>
              <w:right w:w="85" w:type="dxa"/>
            </w:tcMar>
            <w:vAlign w:val="center"/>
          </w:tcPr>
          <w:p w14:paraId="47D228CF">
            <w:pPr>
              <w:pStyle w:val="101"/>
            </w:pPr>
            <w:r>
              <w:rPr>
                <w:rFonts w:hint="eastAsia"/>
              </w:rPr>
              <w:t>测量控制工作</w:t>
            </w:r>
          </w:p>
        </w:tc>
        <w:tc>
          <w:tcPr>
            <w:tcW w:w="6815" w:type="dxa"/>
            <w:tcMar>
              <w:top w:w="113" w:type="dxa"/>
              <w:left w:w="85" w:type="dxa"/>
              <w:bottom w:w="113" w:type="dxa"/>
              <w:right w:w="85" w:type="dxa"/>
            </w:tcMar>
            <w:vAlign w:val="center"/>
          </w:tcPr>
          <w:p w14:paraId="78922B97">
            <w:pPr>
              <w:pStyle w:val="105"/>
              <w:jc w:val="both"/>
            </w:pPr>
            <w:r>
              <w:t>l</w:t>
            </w:r>
            <w:r>
              <w:rPr>
                <w:rFonts w:hint="eastAsia"/>
              </w:rPr>
              <w:t>、未在规定的时间内复核、审批施工承包人提交的测量资料或经监理签认的测量资料存在错误</w:t>
            </w:r>
          </w:p>
        </w:tc>
        <w:tc>
          <w:tcPr>
            <w:tcW w:w="1539" w:type="dxa"/>
            <w:tcMar>
              <w:top w:w="113" w:type="dxa"/>
              <w:left w:w="85" w:type="dxa"/>
              <w:bottom w:w="113" w:type="dxa"/>
              <w:right w:w="85" w:type="dxa"/>
            </w:tcMar>
            <w:vAlign w:val="center"/>
          </w:tcPr>
          <w:p w14:paraId="6428BE28">
            <w:pPr>
              <w:pStyle w:val="101"/>
            </w:pPr>
            <w:r>
              <w:rPr>
                <w:rFonts w:hint="eastAsia"/>
              </w:rPr>
              <w:t>1000元/次</w:t>
            </w:r>
          </w:p>
        </w:tc>
      </w:tr>
      <w:tr w14:paraId="0E7599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642" w:type="dxa"/>
            <w:vMerge w:val="continue"/>
            <w:tcMar>
              <w:top w:w="113" w:type="dxa"/>
              <w:left w:w="85" w:type="dxa"/>
              <w:bottom w:w="113" w:type="dxa"/>
              <w:right w:w="85" w:type="dxa"/>
            </w:tcMar>
            <w:vAlign w:val="center"/>
          </w:tcPr>
          <w:p w14:paraId="1470F32A">
            <w:pPr>
              <w:pStyle w:val="101"/>
            </w:pPr>
          </w:p>
        </w:tc>
        <w:tc>
          <w:tcPr>
            <w:tcW w:w="599" w:type="dxa"/>
            <w:vMerge w:val="continue"/>
            <w:tcMar>
              <w:top w:w="113" w:type="dxa"/>
              <w:left w:w="85" w:type="dxa"/>
              <w:bottom w:w="113" w:type="dxa"/>
              <w:right w:w="85" w:type="dxa"/>
            </w:tcMar>
            <w:vAlign w:val="center"/>
          </w:tcPr>
          <w:p w14:paraId="06CD5EC3">
            <w:pPr>
              <w:pStyle w:val="101"/>
            </w:pPr>
          </w:p>
        </w:tc>
        <w:tc>
          <w:tcPr>
            <w:tcW w:w="6815" w:type="dxa"/>
            <w:tcMar>
              <w:top w:w="113" w:type="dxa"/>
              <w:left w:w="85" w:type="dxa"/>
              <w:bottom w:w="113" w:type="dxa"/>
              <w:right w:w="85" w:type="dxa"/>
            </w:tcMar>
            <w:vAlign w:val="center"/>
          </w:tcPr>
          <w:p w14:paraId="02936D2A">
            <w:pPr>
              <w:pStyle w:val="105"/>
            </w:pPr>
            <w:r>
              <w:t>2</w:t>
            </w:r>
            <w:r>
              <w:rPr>
                <w:rFonts w:hint="eastAsia"/>
              </w:rPr>
              <w:t>、施工承包人施工放线出现错误而监理未及时发现</w:t>
            </w:r>
          </w:p>
        </w:tc>
        <w:tc>
          <w:tcPr>
            <w:tcW w:w="1539" w:type="dxa"/>
            <w:tcMar>
              <w:top w:w="113" w:type="dxa"/>
              <w:left w:w="85" w:type="dxa"/>
              <w:bottom w:w="113" w:type="dxa"/>
              <w:right w:w="85" w:type="dxa"/>
            </w:tcMar>
            <w:vAlign w:val="center"/>
          </w:tcPr>
          <w:p w14:paraId="7697ACE0">
            <w:pPr>
              <w:pStyle w:val="101"/>
            </w:pPr>
            <w:r>
              <w:rPr>
                <w:rFonts w:hint="eastAsia"/>
              </w:rPr>
              <w:t>300元/次</w:t>
            </w:r>
          </w:p>
        </w:tc>
      </w:tr>
      <w:tr w14:paraId="227808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E62793A">
            <w:pPr>
              <w:pStyle w:val="101"/>
            </w:pPr>
          </w:p>
        </w:tc>
        <w:tc>
          <w:tcPr>
            <w:tcW w:w="599" w:type="dxa"/>
            <w:vMerge w:val="continue"/>
            <w:tcMar>
              <w:top w:w="113" w:type="dxa"/>
              <w:left w:w="85" w:type="dxa"/>
              <w:bottom w:w="113" w:type="dxa"/>
              <w:right w:w="85" w:type="dxa"/>
            </w:tcMar>
            <w:vAlign w:val="center"/>
          </w:tcPr>
          <w:p w14:paraId="2C9ACD26">
            <w:pPr>
              <w:pStyle w:val="101"/>
            </w:pPr>
          </w:p>
        </w:tc>
        <w:tc>
          <w:tcPr>
            <w:tcW w:w="6815" w:type="dxa"/>
            <w:tcMar>
              <w:top w:w="113" w:type="dxa"/>
              <w:left w:w="85" w:type="dxa"/>
              <w:bottom w:w="113" w:type="dxa"/>
              <w:right w:w="85" w:type="dxa"/>
            </w:tcMar>
            <w:vAlign w:val="center"/>
          </w:tcPr>
          <w:p w14:paraId="08E401DF">
            <w:pPr>
              <w:pStyle w:val="105"/>
            </w:pPr>
            <w:r>
              <w:t>3</w:t>
            </w:r>
            <w:r>
              <w:rPr>
                <w:rFonts w:hint="eastAsia"/>
              </w:rPr>
              <w:t>、监理人员不进行实际的测量复核</w:t>
            </w:r>
          </w:p>
        </w:tc>
        <w:tc>
          <w:tcPr>
            <w:tcW w:w="1539" w:type="dxa"/>
            <w:tcMar>
              <w:top w:w="113" w:type="dxa"/>
              <w:left w:w="85" w:type="dxa"/>
              <w:bottom w:w="113" w:type="dxa"/>
              <w:right w:w="85" w:type="dxa"/>
            </w:tcMar>
            <w:vAlign w:val="center"/>
          </w:tcPr>
          <w:p w14:paraId="1A8BDDF2">
            <w:pPr>
              <w:pStyle w:val="101"/>
            </w:pPr>
            <w:r>
              <w:rPr>
                <w:rFonts w:hint="eastAsia"/>
              </w:rPr>
              <w:t>500元/次</w:t>
            </w:r>
          </w:p>
        </w:tc>
      </w:tr>
      <w:tr w14:paraId="69364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034F25D">
            <w:pPr>
              <w:pStyle w:val="101"/>
            </w:pPr>
          </w:p>
        </w:tc>
        <w:tc>
          <w:tcPr>
            <w:tcW w:w="599" w:type="dxa"/>
            <w:vMerge w:val="continue"/>
            <w:tcMar>
              <w:top w:w="113" w:type="dxa"/>
              <w:left w:w="85" w:type="dxa"/>
              <w:bottom w:w="113" w:type="dxa"/>
              <w:right w:w="85" w:type="dxa"/>
            </w:tcMar>
            <w:vAlign w:val="center"/>
          </w:tcPr>
          <w:p w14:paraId="35FE012C">
            <w:pPr>
              <w:pStyle w:val="101"/>
            </w:pPr>
          </w:p>
        </w:tc>
        <w:tc>
          <w:tcPr>
            <w:tcW w:w="6815" w:type="dxa"/>
            <w:tcMar>
              <w:top w:w="113" w:type="dxa"/>
              <w:left w:w="85" w:type="dxa"/>
              <w:bottom w:w="113" w:type="dxa"/>
              <w:right w:w="85" w:type="dxa"/>
            </w:tcMar>
            <w:vAlign w:val="center"/>
          </w:tcPr>
          <w:p w14:paraId="36E907EA">
            <w:pPr>
              <w:pStyle w:val="105"/>
            </w:pPr>
            <w:r>
              <w:t>4</w:t>
            </w:r>
            <w:r>
              <w:rPr>
                <w:rFonts w:hint="eastAsia"/>
              </w:rPr>
              <w:t>、监理人员对施工承包人施工控制桩点的情况不清楚</w:t>
            </w:r>
          </w:p>
        </w:tc>
        <w:tc>
          <w:tcPr>
            <w:tcW w:w="1539" w:type="dxa"/>
            <w:tcMar>
              <w:top w:w="113" w:type="dxa"/>
              <w:left w:w="85" w:type="dxa"/>
              <w:bottom w:w="113" w:type="dxa"/>
              <w:right w:w="85" w:type="dxa"/>
            </w:tcMar>
            <w:vAlign w:val="center"/>
          </w:tcPr>
          <w:p w14:paraId="18A200F4">
            <w:pPr>
              <w:pStyle w:val="101"/>
            </w:pPr>
            <w:r>
              <w:rPr>
                <w:rFonts w:hint="eastAsia"/>
              </w:rPr>
              <w:t>300元/次</w:t>
            </w:r>
          </w:p>
        </w:tc>
      </w:tr>
      <w:tr w14:paraId="3D0EED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71C35A3">
            <w:pPr>
              <w:pStyle w:val="101"/>
            </w:pPr>
          </w:p>
        </w:tc>
        <w:tc>
          <w:tcPr>
            <w:tcW w:w="599" w:type="dxa"/>
            <w:vMerge w:val="restart"/>
            <w:tcMar>
              <w:top w:w="113" w:type="dxa"/>
              <w:left w:w="85" w:type="dxa"/>
              <w:bottom w:w="113" w:type="dxa"/>
              <w:right w:w="85" w:type="dxa"/>
            </w:tcMar>
            <w:vAlign w:val="center"/>
          </w:tcPr>
          <w:p w14:paraId="0F6CFABC">
            <w:pPr>
              <w:pStyle w:val="101"/>
            </w:pPr>
          </w:p>
          <w:p w14:paraId="43718E7F">
            <w:pPr>
              <w:pStyle w:val="101"/>
            </w:pPr>
            <w:r>
              <w:rPr>
                <w:rFonts w:hint="eastAsia"/>
              </w:rPr>
              <w:t xml:space="preserve">工程材料控制及试验检测工作  </w:t>
            </w:r>
          </w:p>
        </w:tc>
        <w:tc>
          <w:tcPr>
            <w:tcW w:w="6815" w:type="dxa"/>
            <w:tcMar>
              <w:top w:w="113" w:type="dxa"/>
              <w:left w:w="85" w:type="dxa"/>
              <w:bottom w:w="113" w:type="dxa"/>
              <w:right w:w="85" w:type="dxa"/>
            </w:tcMar>
            <w:vAlign w:val="center"/>
          </w:tcPr>
          <w:p w14:paraId="78C5523B">
            <w:pPr>
              <w:pStyle w:val="105"/>
            </w:pPr>
            <w:r>
              <w:t>l</w:t>
            </w:r>
            <w:r>
              <w:rPr>
                <w:rFonts w:hint="eastAsia"/>
              </w:rPr>
              <w:t>、施工承包人不按规定的频率报验工程材料，监理人员未立即指令</w:t>
            </w:r>
          </w:p>
        </w:tc>
        <w:tc>
          <w:tcPr>
            <w:tcW w:w="1539" w:type="dxa"/>
            <w:tcMar>
              <w:top w:w="113" w:type="dxa"/>
              <w:left w:w="85" w:type="dxa"/>
              <w:bottom w:w="113" w:type="dxa"/>
              <w:right w:w="85" w:type="dxa"/>
            </w:tcMar>
            <w:vAlign w:val="center"/>
          </w:tcPr>
          <w:p w14:paraId="78262DFE">
            <w:pPr>
              <w:pStyle w:val="101"/>
            </w:pPr>
            <w:r>
              <w:rPr>
                <w:rFonts w:hint="eastAsia"/>
              </w:rPr>
              <w:t>1000元/次</w:t>
            </w:r>
          </w:p>
        </w:tc>
      </w:tr>
      <w:tr w14:paraId="10B1B7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68CB981">
            <w:pPr>
              <w:pStyle w:val="101"/>
            </w:pPr>
          </w:p>
        </w:tc>
        <w:tc>
          <w:tcPr>
            <w:tcW w:w="599" w:type="dxa"/>
            <w:vMerge w:val="continue"/>
            <w:tcMar>
              <w:top w:w="113" w:type="dxa"/>
              <w:left w:w="85" w:type="dxa"/>
              <w:bottom w:w="113" w:type="dxa"/>
              <w:right w:w="85" w:type="dxa"/>
            </w:tcMar>
            <w:vAlign w:val="center"/>
          </w:tcPr>
          <w:p w14:paraId="6597E4D1">
            <w:pPr>
              <w:pStyle w:val="101"/>
            </w:pPr>
          </w:p>
        </w:tc>
        <w:tc>
          <w:tcPr>
            <w:tcW w:w="6815" w:type="dxa"/>
            <w:tcMar>
              <w:top w:w="113" w:type="dxa"/>
              <w:left w:w="85" w:type="dxa"/>
              <w:bottom w:w="113" w:type="dxa"/>
              <w:right w:w="85" w:type="dxa"/>
            </w:tcMar>
            <w:vAlign w:val="center"/>
          </w:tcPr>
          <w:p w14:paraId="0F17F045">
            <w:pPr>
              <w:pStyle w:val="105"/>
            </w:pPr>
            <w:r>
              <w:t>2</w:t>
            </w:r>
            <w:r>
              <w:rPr>
                <w:rFonts w:hint="eastAsia"/>
              </w:rPr>
              <w:t>、监理人不按规定对进场材料进行检查和确认</w:t>
            </w:r>
          </w:p>
        </w:tc>
        <w:tc>
          <w:tcPr>
            <w:tcW w:w="1539" w:type="dxa"/>
            <w:tcMar>
              <w:top w:w="113" w:type="dxa"/>
              <w:left w:w="85" w:type="dxa"/>
              <w:bottom w:w="113" w:type="dxa"/>
              <w:right w:w="85" w:type="dxa"/>
            </w:tcMar>
            <w:vAlign w:val="center"/>
          </w:tcPr>
          <w:p w14:paraId="7A69D189">
            <w:pPr>
              <w:pStyle w:val="101"/>
            </w:pPr>
            <w:r>
              <w:rPr>
                <w:rFonts w:hint="eastAsia"/>
              </w:rPr>
              <w:t>2000元/次</w:t>
            </w:r>
          </w:p>
        </w:tc>
      </w:tr>
      <w:tr w14:paraId="2BBD6E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7" w:hRule="atLeast"/>
          <w:jc w:val="center"/>
        </w:trPr>
        <w:tc>
          <w:tcPr>
            <w:tcW w:w="642" w:type="dxa"/>
            <w:vMerge w:val="continue"/>
            <w:tcMar>
              <w:top w:w="113" w:type="dxa"/>
              <w:left w:w="85" w:type="dxa"/>
              <w:bottom w:w="113" w:type="dxa"/>
              <w:right w:w="85" w:type="dxa"/>
            </w:tcMar>
            <w:vAlign w:val="center"/>
          </w:tcPr>
          <w:p w14:paraId="3893EEAA">
            <w:pPr>
              <w:pStyle w:val="101"/>
            </w:pPr>
          </w:p>
        </w:tc>
        <w:tc>
          <w:tcPr>
            <w:tcW w:w="599" w:type="dxa"/>
            <w:vMerge w:val="continue"/>
            <w:tcMar>
              <w:top w:w="113" w:type="dxa"/>
              <w:left w:w="85" w:type="dxa"/>
              <w:bottom w:w="113" w:type="dxa"/>
              <w:right w:w="85" w:type="dxa"/>
            </w:tcMar>
            <w:vAlign w:val="center"/>
          </w:tcPr>
          <w:p w14:paraId="4ED22D77">
            <w:pPr>
              <w:pStyle w:val="101"/>
            </w:pPr>
          </w:p>
        </w:tc>
        <w:tc>
          <w:tcPr>
            <w:tcW w:w="6815" w:type="dxa"/>
            <w:tcMar>
              <w:top w:w="113" w:type="dxa"/>
              <w:left w:w="85" w:type="dxa"/>
              <w:bottom w:w="113" w:type="dxa"/>
              <w:right w:w="85" w:type="dxa"/>
            </w:tcMar>
            <w:vAlign w:val="center"/>
          </w:tcPr>
          <w:p w14:paraId="4FAC8B56">
            <w:pPr>
              <w:pStyle w:val="105"/>
            </w:pPr>
            <w:r>
              <w:t>3</w:t>
            </w:r>
            <w:r>
              <w:rPr>
                <w:rFonts w:hint="eastAsia"/>
              </w:rPr>
              <w:t>、施工承包人进场的材料未经批准或不合格而监理未发现或发现后未立即采取有效措施</w:t>
            </w:r>
          </w:p>
        </w:tc>
        <w:tc>
          <w:tcPr>
            <w:tcW w:w="1539" w:type="dxa"/>
            <w:tcMar>
              <w:top w:w="113" w:type="dxa"/>
              <w:left w:w="85" w:type="dxa"/>
              <w:bottom w:w="113" w:type="dxa"/>
              <w:right w:w="85" w:type="dxa"/>
            </w:tcMar>
            <w:vAlign w:val="center"/>
          </w:tcPr>
          <w:p w14:paraId="55641C16">
            <w:pPr>
              <w:pStyle w:val="101"/>
            </w:pPr>
            <w:r>
              <w:rPr>
                <w:rFonts w:hint="eastAsia"/>
              </w:rPr>
              <w:t>5000元/次</w:t>
            </w:r>
          </w:p>
        </w:tc>
      </w:tr>
      <w:tr w14:paraId="7DB2C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95B9C92">
            <w:pPr>
              <w:pStyle w:val="101"/>
            </w:pPr>
          </w:p>
        </w:tc>
        <w:tc>
          <w:tcPr>
            <w:tcW w:w="599" w:type="dxa"/>
            <w:vMerge w:val="continue"/>
            <w:tcMar>
              <w:top w:w="113" w:type="dxa"/>
              <w:left w:w="85" w:type="dxa"/>
              <w:bottom w:w="113" w:type="dxa"/>
              <w:right w:w="85" w:type="dxa"/>
            </w:tcMar>
            <w:vAlign w:val="center"/>
          </w:tcPr>
          <w:p w14:paraId="4A9853B8">
            <w:pPr>
              <w:pStyle w:val="101"/>
            </w:pPr>
          </w:p>
        </w:tc>
        <w:tc>
          <w:tcPr>
            <w:tcW w:w="6815" w:type="dxa"/>
            <w:tcMar>
              <w:top w:w="113" w:type="dxa"/>
              <w:left w:w="85" w:type="dxa"/>
              <w:bottom w:w="113" w:type="dxa"/>
              <w:right w:w="85" w:type="dxa"/>
            </w:tcMar>
            <w:vAlign w:val="center"/>
          </w:tcPr>
          <w:p w14:paraId="48C03B4F">
            <w:pPr>
              <w:pStyle w:val="105"/>
            </w:pPr>
            <w:r>
              <w:t>4</w:t>
            </w:r>
            <w:r>
              <w:rPr>
                <w:rFonts w:hint="eastAsia"/>
              </w:rPr>
              <w:t>、监理人未按规定进行材料试验的见证取样和见证试验</w:t>
            </w:r>
          </w:p>
        </w:tc>
        <w:tc>
          <w:tcPr>
            <w:tcW w:w="1539" w:type="dxa"/>
            <w:tcMar>
              <w:top w:w="113" w:type="dxa"/>
              <w:left w:w="85" w:type="dxa"/>
              <w:bottom w:w="113" w:type="dxa"/>
              <w:right w:w="85" w:type="dxa"/>
            </w:tcMar>
            <w:vAlign w:val="center"/>
          </w:tcPr>
          <w:p w14:paraId="418FCF4C">
            <w:pPr>
              <w:pStyle w:val="101"/>
            </w:pPr>
            <w:r>
              <w:rPr>
                <w:rFonts w:hint="eastAsia"/>
              </w:rPr>
              <w:t>1000元/次</w:t>
            </w:r>
          </w:p>
        </w:tc>
      </w:tr>
      <w:tr w14:paraId="64D38B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5A01D861">
            <w:pPr>
              <w:pStyle w:val="101"/>
            </w:pPr>
          </w:p>
        </w:tc>
        <w:tc>
          <w:tcPr>
            <w:tcW w:w="599" w:type="dxa"/>
            <w:vMerge w:val="continue"/>
            <w:tcMar>
              <w:top w:w="113" w:type="dxa"/>
              <w:left w:w="85" w:type="dxa"/>
              <w:bottom w:w="113" w:type="dxa"/>
              <w:right w:w="85" w:type="dxa"/>
            </w:tcMar>
            <w:vAlign w:val="center"/>
          </w:tcPr>
          <w:p w14:paraId="5237A31A">
            <w:pPr>
              <w:pStyle w:val="101"/>
            </w:pPr>
          </w:p>
        </w:tc>
        <w:tc>
          <w:tcPr>
            <w:tcW w:w="6815" w:type="dxa"/>
            <w:tcMar>
              <w:top w:w="113" w:type="dxa"/>
              <w:left w:w="85" w:type="dxa"/>
              <w:bottom w:w="113" w:type="dxa"/>
              <w:right w:w="85" w:type="dxa"/>
            </w:tcMar>
            <w:vAlign w:val="center"/>
          </w:tcPr>
          <w:p w14:paraId="06F4CA5A">
            <w:pPr>
              <w:pStyle w:val="105"/>
            </w:pPr>
            <w:r>
              <w:t>5</w:t>
            </w:r>
            <w:r>
              <w:rPr>
                <w:rFonts w:hint="eastAsia"/>
              </w:rPr>
              <w:t>、监理送交试验室材料和送交方式不满足规定的要求</w:t>
            </w:r>
          </w:p>
        </w:tc>
        <w:tc>
          <w:tcPr>
            <w:tcW w:w="1539" w:type="dxa"/>
            <w:tcMar>
              <w:top w:w="113" w:type="dxa"/>
              <w:left w:w="85" w:type="dxa"/>
              <w:bottom w:w="113" w:type="dxa"/>
              <w:right w:w="85" w:type="dxa"/>
            </w:tcMar>
            <w:vAlign w:val="center"/>
          </w:tcPr>
          <w:p w14:paraId="64CDCF77">
            <w:pPr>
              <w:pStyle w:val="101"/>
            </w:pPr>
            <w:r>
              <w:rPr>
                <w:rFonts w:hint="eastAsia"/>
              </w:rPr>
              <w:t>2000元/次</w:t>
            </w:r>
          </w:p>
        </w:tc>
      </w:tr>
      <w:tr w14:paraId="4F829F06">
        <w:tblPrEx>
          <w:tblCellMar>
            <w:top w:w="0" w:type="dxa"/>
            <w:left w:w="108" w:type="dxa"/>
            <w:bottom w:w="0" w:type="dxa"/>
            <w:right w:w="108" w:type="dxa"/>
          </w:tblCellMar>
        </w:tblPrEx>
        <w:trPr>
          <w:cantSplit/>
          <w:trHeight w:val="461" w:hRule="atLeast"/>
          <w:jc w:val="center"/>
        </w:trPr>
        <w:tc>
          <w:tcPr>
            <w:tcW w:w="642" w:type="dxa"/>
            <w:vMerge w:val="continue"/>
            <w:tcMar>
              <w:top w:w="113" w:type="dxa"/>
              <w:left w:w="85" w:type="dxa"/>
              <w:bottom w:w="113" w:type="dxa"/>
              <w:right w:w="85" w:type="dxa"/>
            </w:tcMar>
            <w:vAlign w:val="center"/>
          </w:tcPr>
          <w:p w14:paraId="50ECBCE2">
            <w:pPr>
              <w:pStyle w:val="101"/>
            </w:pPr>
          </w:p>
        </w:tc>
        <w:tc>
          <w:tcPr>
            <w:tcW w:w="599" w:type="dxa"/>
            <w:vMerge w:val="continue"/>
            <w:tcMar>
              <w:top w:w="113" w:type="dxa"/>
              <w:left w:w="85" w:type="dxa"/>
              <w:bottom w:w="113" w:type="dxa"/>
              <w:right w:w="85" w:type="dxa"/>
            </w:tcMar>
            <w:vAlign w:val="center"/>
          </w:tcPr>
          <w:p w14:paraId="6FDB8E32">
            <w:pPr>
              <w:pStyle w:val="101"/>
            </w:pPr>
          </w:p>
        </w:tc>
        <w:tc>
          <w:tcPr>
            <w:tcW w:w="6815" w:type="dxa"/>
            <w:tcMar>
              <w:top w:w="113" w:type="dxa"/>
              <w:left w:w="85" w:type="dxa"/>
              <w:bottom w:w="113" w:type="dxa"/>
              <w:right w:w="85" w:type="dxa"/>
            </w:tcMar>
            <w:vAlign w:val="center"/>
          </w:tcPr>
          <w:p w14:paraId="6CC1882C">
            <w:pPr>
              <w:pStyle w:val="105"/>
            </w:pPr>
            <w:r>
              <w:t>6</w:t>
            </w:r>
            <w:r>
              <w:rPr>
                <w:rFonts w:hint="eastAsia"/>
              </w:rPr>
              <w:t>、监理未对材料进行统计，以致不能动态地掌握材料审批、进场和使用情况</w:t>
            </w:r>
          </w:p>
        </w:tc>
        <w:tc>
          <w:tcPr>
            <w:tcW w:w="1539" w:type="dxa"/>
            <w:tcMar>
              <w:top w:w="113" w:type="dxa"/>
              <w:left w:w="85" w:type="dxa"/>
              <w:bottom w:w="113" w:type="dxa"/>
              <w:right w:w="85" w:type="dxa"/>
            </w:tcMar>
            <w:vAlign w:val="center"/>
          </w:tcPr>
          <w:p w14:paraId="01706806">
            <w:pPr>
              <w:pStyle w:val="101"/>
            </w:pPr>
            <w:r>
              <w:rPr>
                <w:rFonts w:hint="eastAsia"/>
              </w:rPr>
              <w:t>1000元/次</w:t>
            </w:r>
          </w:p>
        </w:tc>
      </w:tr>
      <w:tr w14:paraId="084FC7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E12B25B">
            <w:pPr>
              <w:pStyle w:val="101"/>
            </w:pPr>
          </w:p>
        </w:tc>
        <w:tc>
          <w:tcPr>
            <w:tcW w:w="599" w:type="dxa"/>
            <w:vMerge w:val="continue"/>
            <w:tcMar>
              <w:top w:w="113" w:type="dxa"/>
              <w:left w:w="85" w:type="dxa"/>
              <w:bottom w:w="113" w:type="dxa"/>
              <w:right w:w="85" w:type="dxa"/>
            </w:tcMar>
            <w:vAlign w:val="center"/>
          </w:tcPr>
          <w:p w14:paraId="5E11199F">
            <w:pPr>
              <w:pStyle w:val="101"/>
            </w:pPr>
          </w:p>
        </w:tc>
        <w:tc>
          <w:tcPr>
            <w:tcW w:w="6815" w:type="dxa"/>
            <w:tcMar>
              <w:top w:w="113" w:type="dxa"/>
              <w:left w:w="85" w:type="dxa"/>
              <w:bottom w:w="113" w:type="dxa"/>
              <w:right w:w="85" w:type="dxa"/>
            </w:tcMar>
            <w:vAlign w:val="center"/>
          </w:tcPr>
          <w:p w14:paraId="349D7AF0">
            <w:pPr>
              <w:pStyle w:val="105"/>
            </w:pPr>
            <w:r>
              <w:rPr>
                <w:rFonts w:hint="eastAsia"/>
              </w:rPr>
              <w:t>7、监理人未按抽检频率进行各类平行试验</w:t>
            </w:r>
          </w:p>
        </w:tc>
        <w:tc>
          <w:tcPr>
            <w:tcW w:w="1539" w:type="dxa"/>
            <w:tcMar>
              <w:top w:w="113" w:type="dxa"/>
              <w:left w:w="85" w:type="dxa"/>
              <w:bottom w:w="113" w:type="dxa"/>
              <w:right w:w="85" w:type="dxa"/>
            </w:tcMar>
            <w:vAlign w:val="center"/>
          </w:tcPr>
          <w:p w14:paraId="1EE1B4C4">
            <w:pPr>
              <w:pStyle w:val="101"/>
            </w:pPr>
            <w:r>
              <w:rPr>
                <w:rFonts w:hint="eastAsia"/>
              </w:rPr>
              <w:t>1000元/次</w:t>
            </w:r>
          </w:p>
        </w:tc>
      </w:tr>
      <w:tr w14:paraId="164686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5788686A">
            <w:pPr>
              <w:pStyle w:val="101"/>
            </w:pPr>
          </w:p>
        </w:tc>
        <w:tc>
          <w:tcPr>
            <w:tcW w:w="599" w:type="dxa"/>
            <w:vMerge w:val="continue"/>
            <w:tcMar>
              <w:top w:w="113" w:type="dxa"/>
              <w:left w:w="85" w:type="dxa"/>
              <w:bottom w:w="113" w:type="dxa"/>
              <w:right w:w="85" w:type="dxa"/>
            </w:tcMar>
            <w:vAlign w:val="center"/>
          </w:tcPr>
          <w:p w14:paraId="5934E97D">
            <w:pPr>
              <w:pStyle w:val="101"/>
            </w:pPr>
          </w:p>
        </w:tc>
        <w:tc>
          <w:tcPr>
            <w:tcW w:w="6815" w:type="dxa"/>
            <w:tcMar>
              <w:top w:w="113" w:type="dxa"/>
              <w:left w:w="85" w:type="dxa"/>
              <w:bottom w:w="113" w:type="dxa"/>
              <w:right w:w="85" w:type="dxa"/>
            </w:tcMar>
            <w:vAlign w:val="center"/>
          </w:tcPr>
          <w:p w14:paraId="3C6E751D">
            <w:pPr>
              <w:pStyle w:val="105"/>
            </w:pPr>
            <w:r>
              <w:rPr>
                <w:rFonts w:hint="eastAsia"/>
              </w:rPr>
              <w:t>8、监理人未对配合比进行鉴证试验</w:t>
            </w:r>
          </w:p>
        </w:tc>
        <w:tc>
          <w:tcPr>
            <w:tcW w:w="1539" w:type="dxa"/>
            <w:tcMar>
              <w:top w:w="113" w:type="dxa"/>
              <w:left w:w="85" w:type="dxa"/>
              <w:bottom w:w="113" w:type="dxa"/>
              <w:right w:w="85" w:type="dxa"/>
            </w:tcMar>
            <w:vAlign w:val="center"/>
          </w:tcPr>
          <w:p w14:paraId="7C1B1446">
            <w:pPr>
              <w:pStyle w:val="101"/>
            </w:pPr>
            <w:r>
              <w:rPr>
                <w:rFonts w:hint="eastAsia"/>
              </w:rPr>
              <w:t>2000元/次</w:t>
            </w:r>
          </w:p>
        </w:tc>
      </w:tr>
      <w:tr w14:paraId="480143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2E3BCEE">
            <w:pPr>
              <w:pStyle w:val="101"/>
            </w:pPr>
          </w:p>
        </w:tc>
        <w:tc>
          <w:tcPr>
            <w:tcW w:w="599" w:type="dxa"/>
            <w:vMerge w:val="continue"/>
            <w:tcMar>
              <w:top w:w="113" w:type="dxa"/>
              <w:left w:w="85" w:type="dxa"/>
              <w:bottom w:w="113" w:type="dxa"/>
              <w:right w:w="85" w:type="dxa"/>
            </w:tcMar>
            <w:vAlign w:val="center"/>
          </w:tcPr>
          <w:p w14:paraId="0C53EE9D">
            <w:pPr>
              <w:pStyle w:val="101"/>
            </w:pPr>
          </w:p>
        </w:tc>
        <w:tc>
          <w:tcPr>
            <w:tcW w:w="6815" w:type="dxa"/>
            <w:tcMar>
              <w:top w:w="113" w:type="dxa"/>
              <w:left w:w="85" w:type="dxa"/>
              <w:bottom w:w="113" w:type="dxa"/>
              <w:right w:w="85" w:type="dxa"/>
            </w:tcMar>
            <w:vAlign w:val="center"/>
          </w:tcPr>
          <w:p w14:paraId="16A44A9E">
            <w:pPr>
              <w:pStyle w:val="105"/>
            </w:pPr>
            <w:r>
              <w:rPr>
                <w:rFonts w:hint="eastAsia"/>
              </w:rPr>
              <w:t>9、监理人未指令施工承包人建立试验台帐，并要求报送台帐资料</w:t>
            </w:r>
          </w:p>
        </w:tc>
        <w:tc>
          <w:tcPr>
            <w:tcW w:w="1539" w:type="dxa"/>
            <w:tcMar>
              <w:top w:w="113" w:type="dxa"/>
              <w:left w:w="85" w:type="dxa"/>
              <w:bottom w:w="113" w:type="dxa"/>
              <w:right w:w="85" w:type="dxa"/>
            </w:tcMar>
            <w:vAlign w:val="center"/>
          </w:tcPr>
          <w:p w14:paraId="73C2C51E">
            <w:pPr>
              <w:pStyle w:val="101"/>
            </w:pPr>
            <w:r>
              <w:rPr>
                <w:rFonts w:hint="eastAsia"/>
              </w:rPr>
              <w:t>500元</w:t>
            </w:r>
          </w:p>
        </w:tc>
      </w:tr>
      <w:tr w14:paraId="770FAF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DE14758">
            <w:pPr>
              <w:pStyle w:val="101"/>
            </w:pPr>
          </w:p>
        </w:tc>
        <w:tc>
          <w:tcPr>
            <w:tcW w:w="599" w:type="dxa"/>
            <w:vMerge w:val="restart"/>
            <w:tcMar>
              <w:top w:w="113" w:type="dxa"/>
              <w:left w:w="85" w:type="dxa"/>
              <w:bottom w:w="113" w:type="dxa"/>
              <w:right w:w="85" w:type="dxa"/>
            </w:tcMar>
            <w:vAlign w:val="center"/>
          </w:tcPr>
          <w:p w14:paraId="786C59BA">
            <w:pPr>
              <w:pStyle w:val="101"/>
            </w:pPr>
          </w:p>
          <w:p w14:paraId="6B77AF5B">
            <w:pPr>
              <w:pStyle w:val="101"/>
            </w:pPr>
          </w:p>
          <w:p w14:paraId="4A073FC1">
            <w:pPr>
              <w:pStyle w:val="101"/>
            </w:pPr>
            <w:r>
              <w:rPr>
                <w:rFonts w:hint="eastAsia"/>
              </w:rPr>
              <w:t>工程开工控制工作</w:t>
            </w:r>
          </w:p>
        </w:tc>
        <w:tc>
          <w:tcPr>
            <w:tcW w:w="6815" w:type="dxa"/>
            <w:tcMar>
              <w:top w:w="113" w:type="dxa"/>
              <w:left w:w="85" w:type="dxa"/>
              <w:bottom w:w="113" w:type="dxa"/>
              <w:right w:w="85" w:type="dxa"/>
            </w:tcMar>
            <w:vAlign w:val="center"/>
          </w:tcPr>
          <w:p w14:paraId="0634725B">
            <w:pPr>
              <w:pStyle w:val="105"/>
            </w:pPr>
            <w:r>
              <w:t>l</w:t>
            </w:r>
            <w:r>
              <w:rPr>
                <w:rFonts w:hint="eastAsia"/>
              </w:rPr>
              <w:t>、未参加图纸会审和设计技术交底</w:t>
            </w:r>
          </w:p>
        </w:tc>
        <w:tc>
          <w:tcPr>
            <w:tcW w:w="1539" w:type="dxa"/>
            <w:tcMar>
              <w:top w:w="113" w:type="dxa"/>
              <w:left w:w="85" w:type="dxa"/>
              <w:bottom w:w="113" w:type="dxa"/>
              <w:right w:w="85" w:type="dxa"/>
            </w:tcMar>
            <w:vAlign w:val="center"/>
          </w:tcPr>
          <w:p w14:paraId="65393019">
            <w:pPr>
              <w:pStyle w:val="101"/>
            </w:pPr>
            <w:r>
              <w:rPr>
                <w:rFonts w:hint="eastAsia"/>
              </w:rPr>
              <w:t>500元/次</w:t>
            </w:r>
          </w:p>
        </w:tc>
      </w:tr>
      <w:tr w14:paraId="227C56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5F74D70">
            <w:pPr>
              <w:pStyle w:val="101"/>
            </w:pPr>
          </w:p>
        </w:tc>
        <w:tc>
          <w:tcPr>
            <w:tcW w:w="599" w:type="dxa"/>
            <w:vMerge w:val="continue"/>
            <w:tcMar>
              <w:top w:w="113" w:type="dxa"/>
              <w:left w:w="85" w:type="dxa"/>
              <w:bottom w:w="113" w:type="dxa"/>
              <w:right w:w="85" w:type="dxa"/>
            </w:tcMar>
            <w:vAlign w:val="center"/>
          </w:tcPr>
          <w:p w14:paraId="4170DCAA">
            <w:pPr>
              <w:pStyle w:val="101"/>
            </w:pPr>
          </w:p>
        </w:tc>
        <w:tc>
          <w:tcPr>
            <w:tcW w:w="6815" w:type="dxa"/>
            <w:tcMar>
              <w:top w:w="113" w:type="dxa"/>
              <w:left w:w="85" w:type="dxa"/>
              <w:bottom w:w="113" w:type="dxa"/>
              <w:right w:w="85" w:type="dxa"/>
            </w:tcMar>
            <w:vAlign w:val="center"/>
          </w:tcPr>
          <w:p w14:paraId="74766AAC">
            <w:pPr>
              <w:pStyle w:val="105"/>
              <w:jc w:val="both"/>
            </w:pPr>
            <w:r>
              <w:t>2</w:t>
            </w:r>
            <w:r>
              <w:rPr>
                <w:rFonts w:hint="eastAsia"/>
              </w:rPr>
              <w:t>、施工承包人擅自开工而监理未加以有效控制</w:t>
            </w:r>
          </w:p>
        </w:tc>
        <w:tc>
          <w:tcPr>
            <w:tcW w:w="1539" w:type="dxa"/>
            <w:tcMar>
              <w:top w:w="113" w:type="dxa"/>
              <w:left w:w="85" w:type="dxa"/>
              <w:bottom w:w="113" w:type="dxa"/>
              <w:right w:w="85" w:type="dxa"/>
            </w:tcMar>
            <w:vAlign w:val="center"/>
          </w:tcPr>
          <w:p w14:paraId="6707D095">
            <w:pPr>
              <w:pStyle w:val="101"/>
            </w:pPr>
            <w:r>
              <w:rPr>
                <w:rFonts w:hint="eastAsia"/>
              </w:rPr>
              <w:t>500元/次</w:t>
            </w:r>
          </w:p>
        </w:tc>
      </w:tr>
      <w:tr w14:paraId="519775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jc w:val="center"/>
        </w:trPr>
        <w:tc>
          <w:tcPr>
            <w:tcW w:w="642" w:type="dxa"/>
            <w:vMerge w:val="continue"/>
            <w:tcMar>
              <w:top w:w="113" w:type="dxa"/>
              <w:left w:w="85" w:type="dxa"/>
              <w:bottom w:w="113" w:type="dxa"/>
              <w:right w:w="85" w:type="dxa"/>
            </w:tcMar>
            <w:vAlign w:val="center"/>
          </w:tcPr>
          <w:p w14:paraId="3EFB1406">
            <w:pPr>
              <w:pStyle w:val="101"/>
            </w:pPr>
          </w:p>
        </w:tc>
        <w:tc>
          <w:tcPr>
            <w:tcW w:w="599" w:type="dxa"/>
            <w:vMerge w:val="continue"/>
            <w:tcMar>
              <w:top w:w="113" w:type="dxa"/>
              <w:left w:w="85" w:type="dxa"/>
              <w:bottom w:w="113" w:type="dxa"/>
              <w:right w:w="85" w:type="dxa"/>
            </w:tcMar>
            <w:vAlign w:val="center"/>
          </w:tcPr>
          <w:p w14:paraId="12321DA2">
            <w:pPr>
              <w:pStyle w:val="101"/>
            </w:pPr>
          </w:p>
        </w:tc>
        <w:tc>
          <w:tcPr>
            <w:tcW w:w="6815" w:type="dxa"/>
            <w:tcMar>
              <w:top w:w="113" w:type="dxa"/>
              <w:left w:w="85" w:type="dxa"/>
              <w:bottom w:w="113" w:type="dxa"/>
              <w:right w:w="85" w:type="dxa"/>
            </w:tcMar>
            <w:vAlign w:val="center"/>
          </w:tcPr>
          <w:p w14:paraId="1B83B616">
            <w:pPr>
              <w:pStyle w:val="105"/>
              <w:jc w:val="both"/>
            </w:pPr>
            <w:r>
              <w:t>3</w:t>
            </w:r>
            <w:r>
              <w:rPr>
                <w:rFonts w:hint="eastAsia"/>
              </w:rPr>
              <w:t>、未在规定时间内审批施工承包人按时提交的分项工程开工申请</w:t>
            </w:r>
          </w:p>
        </w:tc>
        <w:tc>
          <w:tcPr>
            <w:tcW w:w="1539" w:type="dxa"/>
            <w:tcMar>
              <w:top w:w="113" w:type="dxa"/>
              <w:left w:w="85" w:type="dxa"/>
              <w:bottom w:w="113" w:type="dxa"/>
              <w:right w:w="85" w:type="dxa"/>
            </w:tcMar>
            <w:vAlign w:val="center"/>
          </w:tcPr>
          <w:p w14:paraId="4DB3BAD6">
            <w:pPr>
              <w:pStyle w:val="101"/>
            </w:pPr>
            <w:r>
              <w:rPr>
                <w:rFonts w:hint="eastAsia"/>
              </w:rPr>
              <w:t>500元/次</w:t>
            </w:r>
          </w:p>
        </w:tc>
      </w:tr>
      <w:tr w14:paraId="6DF3A660">
        <w:tblPrEx>
          <w:tblCellMar>
            <w:top w:w="0" w:type="dxa"/>
            <w:left w:w="108" w:type="dxa"/>
            <w:bottom w:w="0" w:type="dxa"/>
            <w:right w:w="108" w:type="dxa"/>
          </w:tblCellMar>
        </w:tblPrEx>
        <w:trPr>
          <w:cantSplit/>
          <w:trHeight w:val="537" w:hRule="atLeast"/>
          <w:jc w:val="center"/>
        </w:trPr>
        <w:tc>
          <w:tcPr>
            <w:tcW w:w="642" w:type="dxa"/>
            <w:vMerge w:val="continue"/>
            <w:tcMar>
              <w:top w:w="113" w:type="dxa"/>
              <w:left w:w="85" w:type="dxa"/>
              <w:bottom w:w="113" w:type="dxa"/>
              <w:right w:w="85" w:type="dxa"/>
            </w:tcMar>
            <w:vAlign w:val="center"/>
          </w:tcPr>
          <w:p w14:paraId="3E768E4E">
            <w:pPr>
              <w:pStyle w:val="101"/>
            </w:pPr>
          </w:p>
        </w:tc>
        <w:tc>
          <w:tcPr>
            <w:tcW w:w="599" w:type="dxa"/>
            <w:vMerge w:val="continue"/>
            <w:tcMar>
              <w:top w:w="113" w:type="dxa"/>
              <w:left w:w="85" w:type="dxa"/>
              <w:bottom w:w="113" w:type="dxa"/>
              <w:right w:w="85" w:type="dxa"/>
            </w:tcMar>
            <w:vAlign w:val="center"/>
          </w:tcPr>
          <w:p w14:paraId="3EF9815C">
            <w:pPr>
              <w:pStyle w:val="101"/>
            </w:pPr>
          </w:p>
        </w:tc>
        <w:tc>
          <w:tcPr>
            <w:tcW w:w="6815" w:type="dxa"/>
            <w:tcMar>
              <w:top w:w="113" w:type="dxa"/>
              <w:left w:w="85" w:type="dxa"/>
              <w:bottom w:w="113" w:type="dxa"/>
              <w:right w:w="85" w:type="dxa"/>
            </w:tcMar>
            <w:vAlign w:val="center"/>
          </w:tcPr>
          <w:p w14:paraId="6AD1601E">
            <w:pPr>
              <w:pStyle w:val="105"/>
              <w:jc w:val="both"/>
            </w:pPr>
            <w:r>
              <w:t>4</w:t>
            </w:r>
            <w:r>
              <w:rPr>
                <w:rFonts w:hint="eastAsia"/>
              </w:rPr>
              <w:t>、施工承包人提交的开工申请（包括分项工程）内容不全或有问题而监理已审批同意</w:t>
            </w:r>
          </w:p>
        </w:tc>
        <w:tc>
          <w:tcPr>
            <w:tcW w:w="1539" w:type="dxa"/>
            <w:tcMar>
              <w:top w:w="113" w:type="dxa"/>
              <w:left w:w="85" w:type="dxa"/>
              <w:bottom w:w="113" w:type="dxa"/>
              <w:right w:w="85" w:type="dxa"/>
            </w:tcMar>
            <w:vAlign w:val="center"/>
          </w:tcPr>
          <w:p w14:paraId="1C4043BB">
            <w:pPr>
              <w:pStyle w:val="101"/>
            </w:pPr>
            <w:r>
              <w:rPr>
                <w:rFonts w:hint="eastAsia"/>
              </w:rPr>
              <w:t>500元/次</w:t>
            </w:r>
          </w:p>
        </w:tc>
      </w:tr>
      <w:tr w14:paraId="16AC90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C953738">
            <w:pPr>
              <w:pStyle w:val="101"/>
            </w:pPr>
          </w:p>
        </w:tc>
        <w:tc>
          <w:tcPr>
            <w:tcW w:w="599" w:type="dxa"/>
            <w:vMerge w:val="restart"/>
            <w:tcMar>
              <w:top w:w="113" w:type="dxa"/>
              <w:left w:w="85" w:type="dxa"/>
              <w:bottom w:w="113" w:type="dxa"/>
              <w:right w:w="85" w:type="dxa"/>
            </w:tcMar>
            <w:vAlign w:val="center"/>
          </w:tcPr>
          <w:p w14:paraId="5256E04D">
            <w:pPr>
              <w:pStyle w:val="101"/>
            </w:pPr>
          </w:p>
          <w:p w14:paraId="005F709E">
            <w:pPr>
              <w:pStyle w:val="101"/>
            </w:pPr>
            <w:r>
              <w:rPr>
                <w:rFonts w:hint="eastAsia"/>
              </w:rPr>
              <w:t>施工过程控制工作</w:t>
            </w:r>
          </w:p>
        </w:tc>
        <w:tc>
          <w:tcPr>
            <w:tcW w:w="6815" w:type="dxa"/>
            <w:tcMar>
              <w:top w:w="113" w:type="dxa"/>
              <w:left w:w="85" w:type="dxa"/>
              <w:bottom w:w="113" w:type="dxa"/>
              <w:right w:w="85" w:type="dxa"/>
            </w:tcMar>
            <w:vAlign w:val="center"/>
          </w:tcPr>
          <w:p w14:paraId="2B4F0FD7">
            <w:pPr>
              <w:pStyle w:val="105"/>
              <w:jc w:val="both"/>
            </w:pPr>
            <w:r>
              <w:t>1</w:t>
            </w:r>
            <w:r>
              <w:rPr>
                <w:rFonts w:hint="eastAsia"/>
              </w:rPr>
              <w:t>、监理人员未按规定的要求进行旁站</w:t>
            </w:r>
          </w:p>
        </w:tc>
        <w:tc>
          <w:tcPr>
            <w:tcW w:w="1539" w:type="dxa"/>
            <w:tcMar>
              <w:top w:w="113" w:type="dxa"/>
              <w:left w:w="85" w:type="dxa"/>
              <w:bottom w:w="113" w:type="dxa"/>
              <w:right w:w="85" w:type="dxa"/>
            </w:tcMar>
            <w:vAlign w:val="center"/>
          </w:tcPr>
          <w:p w14:paraId="4B6F1054">
            <w:pPr>
              <w:pStyle w:val="101"/>
            </w:pPr>
            <w:r>
              <w:rPr>
                <w:rFonts w:hint="eastAsia"/>
              </w:rPr>
              <w:t>300元/次</w:t>
            </w:r>
          </w:p>
        </w:tc>
      </w:tr>
      <w:tr w14:paraId="05A91D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5FA2151">
            <w:pPr>
              <w:pStyle w:val="101"/>
            </w:pPr>
          </w:p>
        </w:tc>
        <w:tc>
          <w:tcPr>
            <w:tcW w:w="599" w:type="dxa"/>
            <w:vMerge w:val="continue"/>
            <w:tcMar>
              <w:top w:w="113" w:type="dxa"/>
              <w:left w:w="85" w:type="dxa"/>
              <w:bottom w:w="113" w:type="dxa"/>
              <w:right w:w="85" w:type="dxa"/>
            </w:tcMar>
            <w:vAlign w:val="center"/>
          </w:tcPr>
          <w:p w14:paraId="62A21DF2">
            <w:pPr>
              <w:pStyle w:val="101"/>
            </w:pPr>
          </w:p>
        </w:tc>
        <w:tc>
          <w:tcPr>
            <w:tcW w:w="6815" w:type="dxa"/>
            <w:tcMar>
              <w:top w:w="113" w:type="dxa"/>
              <w:left w:w="85" w:type="dxa"/>
              <w:bottom w:w="113" w:type="dxa"/>
              <w:right w:w="85" w:type="dxa"/>
            </w:tcMar>
            <w:vAlign w:val="center"/>
          </w:tcPr>
          <w:p w14:paraId="090A131A">
            <w:pPr>
              <w:pStyle w:val="105"/>
              <w:jc w:val="both"/>
            </w:pPr>
            <w:r>
              <w:t>2</w:t>
            </w:r>
            <w:r>
              <w:rPr>
                <w:rFonts w:hint="eastAsia"/>
              </w:rPr>
              <w:t>、未核查施工承包人的质量、安全保证体系或施工承包人的质安体系存在问题而监理未加以指令</w:t>
            </w:r>
          </w:p>
        </w:tc>
        <w:tc>
          <w:tcPr>
            <w:tcW w:w="1539" w:type="dxa"/>
            <w:tcMar>
              <w:top w:w="113" w:type="dxa"/>
              <w:left w:w="85" w:type="dxa"/>
              <w:bottom w:w="113" w:type="dxa"/>
              <w:right w:w="85" w:type="dxa"/>
            </w:tcMar>
            <w:vAlign w:val="center"/>
          </w:tcPr>
          <w:p w14:paraId="0091E62F">
            <w:pPr>
              <w:pStyle w:val="101"/>
            </w:pPr>
            <w:r>
              <w:rPr>
                <w:rFonts w:hint="eastAsia"/>
              </w:rPr>
              <w:t>1000元/次</w:t>
            </w:r>
          </w:p>
        </w:tc>
      </w:tr>
      <w:tr w14:paraId="27FA13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1FB33765">
            <w:pPr>
              <w:pStyle w:val="101"/>
            </w:pPr>
          </w:p>
        </w:tc>
        <w:tc>
          <w:tcPr>
            <w:tcW w:w="599" w:type="dxa"/>
            <w:vMerge w:val="continue"/>
            <w:tcMar>
              <w:top w:w="113" w:type="dxa"/>
              <w:left w:w="85" w:type="dxa"/>
              <w:bottom w:w="113" w:type="dxa"/>
              <w:right w:w="85" w:type="dxa"/>
            </w:tcMar>
            <w:vAlign w:val="center"/>
          </w:tcPr>
          <w:p w14:paraId="55990CDD">
            <w:pPr>
              <w:pStyle w:val="101"/>
            </w:pPr>
          </w:p>
        </w:tc>
        <w:tc>
          <w:tcPr>
            <w:tcW w:w="6815" w:type="dxa"/>
            <w:tcMar>
              <w:top w:w="113" w:type="dxa"/>
              <w:left w:w="85" w:type="dxa"/>
              <w:bottom w:w="113" w:type="dxa"/>
              <w:right w:w="85" w:type="dxa"/>
            </w:tcMar>
            <w:vAlign w:val="center"/>
          </w:tcPr>
          <w:p w14:paraId="30FC3D5F">
            <w:pPr>
              <w:pStyle w:val="105"/>
              <w:jc w:val="both"/>
            </w:pPr>
            <w:r>
              <w:t>3</w:t>
            </w:r>
            <w:r>
              <w:rPr>
                <w:rFonts w:hint="eastAsia"/>
              </w:rPr>
              <w:t>、未核查施工承包人的生产设备和试验室、或施工承包人的设备和试验室不能满足合同要求而监理未加以指令</w:t>
            </w:r>
          </w:p>
        </w:tc>
        <w:tc>
          <w:tcPr>
            <w:tcW w:w="1539" w:type="dxa"/>
            <w:tcMar>
              <w:top w:w="113" w:type="dxa"/>
              <w:left w:w="85" w:type="dxa"/>
              <w:bottom w:w="113" w:type="dxa"/>
              <w:right w:w="85" w:type="dxa"/>
            </w:tcMar>
            <w:vAlign w:val="center"/>
          </w:tcPr>
          <w:p w14:paraId="11584DC0">
            <w:pPr>
              <w:pStyle w:val="101"/>
            </w:pPr>
            <w:r>
              <w:rPr>
                <w:rFonts w:hint="eastAsia"/>
              </w:rPr>
              <w:t>500元/次</w:t>
            </w:r>
          </w:p>
        </w:tc>
      </w:tr>
      <w:tr w14:paraId="170952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B9E45FB">
            <w:pPr>
              <w:pStyle w:val="101"/>
            </w:pPr>
          </w:p>
        </w:tc>
        <w:tc>
          <w:tcPr>
            <w:tcW w:w="599" w:type="dxa"/>
            <w:vMerge w:val="continue"/>
            <w:tcMar>
              <w:top w:w="113" w:type="dxa"/>
              <w:left w:w="85" w:type="dxa"/>
              <w:bottom w:w="113" w:type="dxa"/>
              <w:right w:w="85" w:type="dxa"/>
            </w:tcMar>
            <w:vAlign w:val="center"/>
          </w:tcPr>
          <w:p w14:paraId="54D3AD64">
            <w:pPr>
              <w:pStyle w:val="101"/>
            </w:pPr>
          </w:p>
        </w:tc>
        <w:tc>
          <w:tcPr>
            <w:tcW w:w="6815" w:type="dxa"/>
            <w:tcMar>
              <w:top w:w="113" w:type="dxa"/>
              <w:left w:w="85" w:type="dxa"/>
              <w:bottom w:w="113" w:type="dxa"/>
              <w:right w:w="85" w:type="dxa"/>
            </w:tcMar>
            <w:vAlign w:val="center"/>
          </w:tcPr>
          <w:p w14:paraId="57B5B067">
            <w:pPr>
              <w:pStyle w:val="105"/>
              <w:jc w:val="both"/>
            </w:pPr>
            <w:r>
              <w:t>4</w:t>
            </w:r>
            <w:r>
              <w:rPr>
                <w:rFonts w:hint="eastAsia"/>
              </w:rPr>
              <w:t>、监理在过程控制中未发现施工中存在的问题或监理所管辖范围建设管理单位质监部门责令返工的</w:t>
            </w:r>
          </w:p>
        </w:tc>
        <w:tc>
          <w:tcPr>
            <w:tcW w:w="1539" w:type="dxa"/>
            <w:tcMar>
              <w:top w:w="113" w:type="dxa"/>
              <w:left w:w="85" w:type="dxa"/>
              <w:bottom w:w="113" w:type="dxa"/>
              <w:right w:w="85" w:type="dxa"/>
            </w:tcMar>
            <w:vAlign w:val="center"/>
          </w:tcPr>
          <w:p w14:paraId="789D5F93">
            <w:pPr>
              <w:pStyle w:val="101"/>
            </w:pPr>
            <w:r>
              <w:rPr>
                <w:rFonts w:hint="eastAsia"/>
              </w:rPr>
              <w:t>2000元/次</w:t>
            </w:r>
          </w:p>
        </w:tc>
      </w:tr>
      <w:tr w14:paraId="13E918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46E48D6">
            <w:pPr>
              <w:pStyle w:val="101"/>
            </w:pPr>
          </w:p>
        </w:tc>
        <w:tc>
          <w:tcPr>
            <w:tcW w:w="599" w:type="dxa"/>
            <w:vMerge w:val="continue"/>
            <w:tcMar>
              <w:top w:w="113" w:type="dxa"/>
              <w:left w:w="85" w:type="dxa"/>
              <w:bottom w:w="113" w:type="dxa"/>
              <w:right w:w="85" w:type="dxa"/>
            </w:tcMar>
            <w:vAlign w:val="center"/>
          </w:tcPr>
          <w:p w14:paraId="0433D86F">
            <w:pPr>
              <w:pStyle w:val="101"/>
            </w:pPr>
          </w:p>
        </w:tc>
        <w:tc>
          <w:tcPr>
            <w:tcW w:w="6815" w:type="dxa"/>
            <w:tcMar>
              <w:top w:w="113" w:type="dxa"/>
              <w:left w:w="85" w:type="dxa"/>
              <w:bottom w:w="113" w:type="dxa"/>
              <w:right w:w="85" w:type="dxa"/>
            </w:tcMar>
            <w:vAlign w:val="center"/>
          </w:tcPr>
          <w:p w14:paraId="26F0AE76">
            <w:pPr>
              <w:pStyle w:val="105"/>
              <w:jc w:val="both"/>
            </w:pPr>
            <w:r>
              <w:t>5</w:t>
            </w:r>
            <w:r>
              <w:rPr>
                <w:rFonts w:hint="eastAsia"/>
              </w:rPr>
              <w:t>、监理人员对施工中发现的问题未文字指令或仅口头指令而未书面确认</w:t>
            </w:r>
          </w:p>
        </w:tc>
        <w:tc>
          <w:tcPr>
            <w:tcW w:w="1539" w:type="dxa"/>
            <w:tcMar>
              <w:top w:w="113" w:type="dxa"/>
              <w:left w:w="85" w:type="dxa"/>
              <w:bottom w:w="113" w:type="dxa"/>
              <w:right w:w="85" w:type="dxa"/>
            </w:tcMar>
            <w:vAlign w:val="center"/>
          </w:tcPr>
          <w:p w14:paraId="284403F7">
            <w:pPr>
              <w:pStyle w:val="101"/>
            </w:pPr>
            <w:r>
              <w:rPr>
                <w:rFonts w:hint="eastAsia"/>
              </w:rPr>
              <w:t>300元/次</w:t>
            </w:r>
          </w:p>
        </w:tc>
      </w:tr>
      <w:tr w14:paraId="6F828C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27723A8">
            <w:pPr>
              <w:pStyle w:val="101"/>
            </w:pPr>
          </w:p>
        </w:tc>
        <w:tc>
          <w:tcPr>
            <w:tcW w:w="599" w:type="dxa"/>
            <w:vMerge w:val="continue"/>
            <w:tcMar>
              <w:top w:w="113" w:type="dxa"/>
              <w:left w:w="85" w:type="dxa"/>
              <w:bottom w:w="113" w:type="dxa"/>
              <w:right w:w="85" w:type="dxa"/>
            </w:tcMar>
            <w:vAlign w:val="center"/>
          </w:tcPr>
          <w:p w14:paraId="1A056F9C">
            <w:pPr>
              <w:pStyle w:val="101"/>
            </w:pPr>
          </w:p>
        </w:tc>
        <w:tc>
          <w:tcPr>
            <w:tcW w:w="6815" w:type="dxa"/>
            <w:tcMar>
              <w:top w:w="113" w:type="dxa"/>
              <w:left w:w="85" w:type="dxa"/>
              <w:bottom w:w="113" w:type="dxa"/>
              <w:right w:w="85" w:type="dxa"/>
            </w:tcMar>
            <w:vAlign w:val="center"/>
          </w:tcPr>
          <w:p w14:paraId="1AE36888">
            <w:pPr>
              <w:pStyle w:val="105"/>
            </w:pPr>
            <w:r>
              <w:t>6</w:t>
            </w:r>
            <w:r>
              <w:rPr>
                <w:rFonts w:hint="eastAsia"/>
              </w:rPr>
              <w:t>、监理人员工作期间未在现场</w:t>
            </w:r>
          </w:p>
        </w:tc>
        <w:tc>
          <w:tcPr>
            <w:tcW w:w="1539" w:type="dxa"/>
            <w:tcMar>
              <w:top w:w="113" w:type="dxa"/>
              <w:left w:w="85" w:type="dxa"/>
              <w:bottom w:w="113" w:type="dxa"/>
              <w:right w:w="85" w:type="dxa"/>
            </w:tcMar>
            <w:vAlign w:val="center"/>
          </w:tcPr>
          <w:p w14:paraId="5107FDA0">
            <w:pPr>
              <w:pStyle w:val="101"/>
            </w:pPr>
            <w:r>
              <w:rPr>
                <w:rFonts w:hint="eastAsia"/>
              </w:rPr>
              <w:t>300元/人/次</w:t>
            </w:r>
          </w:p>
        </w:tc>
      </w:tr>
      <w:tr w14:paraId="3F2017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9D87214">
            <w:pPr>
              <w:pStyle w:val="101"/>
            </w:pPr>
          </w:p>
        </w:tc>
        <w:tc>
          <w:tcPr>
            <w:tcW w:w="599" w:type="dxa"/>
            <w:vMerge w:val="continue"/>
            <w:tcMar>
              <w:top w:w="113" w:type="dxa"/>
              <w:left w:w="85" w:type="dxa"/>
              <w:bottom w:w="113" w:type="dxa"/>
              <w:right w:w="85" w:type="dxa"/>
            </w:tcMar>
            <w:vAlign w:val="center"/>
          </w:tcPr>
          <w:p w14:paraId="7C689627">
            <w:pPr>
              <w:pStyle w:val="101"/>
            </w:pPr>
          </w:p>
        </w:tc>
        <w:tc>
          <w:tcPr>
            <w:tcW w:w="6815" w:type="dxa"/>
            <w:tcMar>
              <w:top w:w="113" w:type="dxa"/>
              <w:left w:w="85" w:type="dxa"/>
              <w:bottom w:w="113" w:type="dxa"/>
              <w:right w:w="85" w:type="dxa"/>
            </w:tcMar>
            <w:vAlign w:val="center"/>
          </w:tcPr>
          <w:p w14:paraId="2485C030">
            <w:pPr>
              <w:pStyle w:val="105"/>
            </w:pPr>
            <w:r>
              <w:t>7</w:t>
            </w:r>
            <w:r>
              <w:rPr>
                <w:rFonts w:hint="eastAsia"/>
              </w:rPr>
              <w:t>、对施工承包人的工作，监理错误地下达指令、批示</w:t>
            </w:r>
          </w:p>
        </w:tc>
        <w:tc>
          <w:tcPr>
            <w:tcW w:w="1539" w:type="dxa"/>
            <w:tcMar>
              <w:top w:w="113" w:type="dxa"/>
              <w:left w:w="85" w:type="dxa"/>
              <w:bottom w:w="113" w:type="dxa"/>
              <w:right w:w="85" w:type="dxa"/>
            </w:tcMar>
            <w:vAlign w:val="center"/>
          </w:tcPr>
          <w:p w14:paraId="7B8E0DCD">
            <w:pPr>
              <w:pStyle w:val="101"/>
            </w:pPr>
            <w:r>
              <w:rPr>
                <w:rFonts w:hint="eastAsia"/>
              </w:rPr>
              <w:t>500元/次</w:t>
            </w:r>
          </w:p>
        </w:tc>
      </w:tr>
      <w:tr w14:paraId="10FB57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165060E">
            <w:pPr>
              <w:pStyle w:val="101"/>
            </w:pPr>
          </w:p>
        </w:tc>
        <w:tc>
          <w:tcPr>
            <w:tcW w:w="599" w:type="dxa"/>
            <w:vMerge w:val="continue"/>
            <w:tcMar>
              <w:top w:w="113" w:type="dxa"/>
              <w:left w:w="85" w:type="dxa"/>
              <w:bottom w:w="113" w:type="dxa"/>
              <w:right w:w="85" w:type="dxa"/>
            </w:tcMar>
            <w:vAlign w:val="center"/>
          </w:tcPr>
          <w:p w14:paraId="0834D130">
            <w:pPr>
              <w:pStyle w:val="101"/>
            </w:pPr>
          </w:p>
        </w:tc>
        <w:tc>
          <w:tcPr>
            <w:tcW w:w="6815" w:type="dxa"/>
            <w:tcMar>
              <w:top w:w="113" w:type="dxa"/>
              <w:left w:w="85" w:type="dxa"/>
              <w:bottom w:w="113" w:type="dxa"/>
              <w:right w:w="85" w:type="dxa"/>
            </w:tcMar>
            <w:vAlign w:val="center"/>
          </w:tcPr>
          <w:p w14:paraId="60E23499">
            <w:pPr>
              <w:pStyle w:val="105"/>
            </w:pPr>
            <w:r>
              <w:t>8</w:t>
            </w:r>
            <w:r>
              <w:rPr>
                <w:rFonts w:hint="eastAsia"/>
              </w:rPr>
              <w:t>、监理人员未监督施工承包人按批准的施工方案或工艺要求施工</w:t>
            </w:r>
          </w:p>
        </w:tc>
        <w:tc>
          <w:tcPr>
            <w:tcW w:w="1539" w:type="dxa"/>
            <w:tcMar>
              <w:top w:w="113" w:type="dxa"/>
              <w:left w:w="85" w:type="dxa"/>
              <w:bottom w:w="113" w:type="dxa"/>
              <w:right w:w="85" w:type="dxa"/>
            </w:tcMar>
            <w:vAlign w:val="center"/>
          </w:tcPr>
          <w:p w14:paraId="48EA6437">
            <w:pPr>
              <w:pStyle w:val="101"/>
            </w:pPr>
            <w:r>
              <w:rPr>
                <w:rFonts w:hint="eastAsia"/>
              </w:rPr>
              <w:t>500元/次</w:t>
            </w:r>
          </w:p>
        </w:tc>
      </w:tr>
      <w:tr w14:paraId="4CAAF5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6A75104">
            <w:pPr>
              <w:pStyle w:val="101"/>
            </w:pPr>
          </w:p>
        </w:tc>
        <w:tc>
          <w:tcPr>
            <w:tcW w:w="599" w:type="dxa"/>
            <w:vMerge w:val="continue"/>
            <w:tcMar>
              <w:top w:w="113" w:type="dxa"/>
              <w:left w:w="85" w:type="dxa"/>
              <w:bottom w:w="113" w:type="dxa"/>
              <w:right w:w="85" w:type="dxa"/>
            </w:tcMar>
            <w:vAlign w:val="center"/>
          </w:tcPr>
          <w:p w14:paraId="7B88D98F">
            <w:pPr>
              <w:pStyle w:val="101"/>
            </w:pPr>
          </w:p>
        </w:tc>
        <w:tc>
          <w:tcPr>
            <w:tcW w:w="6815" w:type="dxa"/>
            <w:tcMar>
              <w:top w:w="113" w:type="dxa"/>
              <w:left w:w="85" w:type="dxa"/>
              <w:bottom w:w="113" w:type="dxa"/>
              <w:right w:w="85" w:type="dxa"/>
            </w:tcMar>
            <w:vAlign w:val="center"/>
          </w:tcPr>
          <w:p w14:paraId="0166D4F3">
            <w:pPr>
              <w:pStyle w:val="105"/>
            </w:pPr>
            <w:r>
              <w:t>9</w:t>
            </w:r>
            <w:r>
              <w:rPr>
                <w:rFonts w:hint="eastAsia"/>
              </w:rPr>
              <w:t>、监理人员不清楚施工方案</w:t>
            </w:r>
            <w:r>
              <w:t xml:space="preserve">   </w:t>
            </w:r>
          </w:p>
        </w:tc>
        <w:tc>
          <w:tcPr>
            <w:tcW w:w="1539" w:type="dxa"/>
            <w:tcMar>
              <w:top w:w="113" w:type="dxa"/>
              <w:left w:w="85" w:type="dxa"/>
              <w:bottom w:w="113" w:type="dxa"/>
              <w:right w:w="85" w:type="dxa"/>
            </w:tcMar>
            <w:vAlign w:val="center"/>
          </w:tcPr>
          <w:p w14:paraId="20C3B98F">
            <w:pPr>
              <w:pStyle w:val="101"/>
            </w:pPr>
            <w:r>
              <w:rPr>
                <w:rFonts w:hint="eastAsia"/>
              </w:rPr>
              <w:t>500元/次</w:t>
            </w:r>
          </w:p>
        </w:tc>
      </w:tr>
      <w:tr w14:paraId="27ECFD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1DD2F83">
            <w:pPr>
              <w:pStyle w:val="101"/>
            </w:pPr>
          </w:p>
        </w:tc>
        <w:tc>
          <w:tcPr>
            <w:tcW w:w="599" w:type="dxa"/>
            <w:vMerge w:val="continue"/>
            <w:tcMar>
              <w:top w:w="113" w:type="dxa"/>
              <w:left w:w="85" w:type="dxa"/>
              <w:bottom w:w="113" w:type="dxa"/>
              <w:right w:w="85" w:type="dxa"/>
            </w:tcMar>
            <w:vAlign w:val="center"/>
          </w:tcPr>
          <w:p w14:paraId="2D97F490">
            <w:pPr>
              <w:pStyle w:val="101"/>
            </w:pPr>
          </w:p>
        </w:tc>
        <w:tc>
          <w:tcPr>
            <w:tcW w:w="6815" w:type="dxa"/>
            <w:tcMar>
              <w:top w:w="113" w:type="dxa"/>
              <w:left w:w="85" w:type="dxa"/>
              <w:bottom w:w="113" w:type="dxa"/>
              <w:right w:w="85" w:type="dxa"/>
            </w:tcMar>
            <w:vAlign w:val="center"/>
          </w:tcPr>
          <w:p w14:paraId="401781F4">
            <w:pPr>
              <w:pStyle w:val="105"/>
            </w:pPr>
            <w:r>
              <w:rPr>
                <w:rFonts w:hint="eastAsia"/>
              </w:rPr>
              <w:t>10、监理人员不清楚现场情况和数据</w:t>
            </w:r>
          </w:p>
        </w:tc>
        <w:tc>
          <w:tcPr>
            <w:tcW w:w="1539" w:type="dxa"/>
            <w:tcMar>
              <w:top w:w="113" w:type="dxa"/>
              <w:left w:w="85" w:type="dxa"/>
              <w:bottom w:w="113" w:type="dxa"/>
              <w:right w:w="85" w:type="dxa"/>
            </w:tcMar>
            <w:vAlign w:val="center"/>
          </w:tcPr>
          <w:p w14:paraId="57EB4B04">
            <w:pPr>
              <w:pStyle w:val="101"/>
            </w:pPr>
            <w:r>
              <w:rPr>
                <w:rFonts w:hint="eastAsia"/>
              </w:rPr>
              <w:t>300元/次</w:t>
            </w:r>
          </w:p>
        </w:tc>
      </w:tr>
      <w:tr w14:paraId="1423E2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EC26EB9">
            <w:pPr>
              <w:pStyle w:val="101"/>
            </w:pPr>
          </w:p>
        </w:tc>
        <w:tc>
          <w:tcPr>
            <w:tcW w:w="599" w:type="dxa"/>
            <w:vMerge w:val="continue"/>
            <w:tcMar>
              <w:top w:w="113" w:type="dxa"/>
              <w:left w:w="85" w:type="dxa"/>
              <w:bottom w:w="113" w:type="dxa"/>
              <w:right w:w="85" w:type="dxa"/>
            </w:tcMar>
            <w:vAlign w:val="center"/>
          </w:tcPr>
          <w:p w14:paraId="11E29609">
            <w:pPr>
              <w:pStyle w:val="101"/>
            </w:pPr>
          </w:p>
        </w:tc>
        <w:tc>
          <w:tcPr>
            <w:tcW w:w="6815" w:type="dxa"/>
            <w:tcMar>
              <w:top w:w="113" w:type="dxa"/>
              <w:left w:w="85" w:type="dxa"/>
              <w:bottom w:w="113" w:type="dxa"/>
              <w:right w:w="85" w:type="dxa"/>
            </w:tcMar>
            <w:vAlign w:val="center"/>
          </w:tcPr>
          <w:p w14:paraId="65DB38CA">
            <w:pPr>
              <w:pStyle w:val="105"/>
            </w:pPr>
            <w:r>
              <w:t>ll</w:t>
            </w:r>
            <w:r>
              <w:rPr>
                <w:rFonts w:hint="eastAsia"/>
              </w:rPr>
              <w:t>、监理人员工作中不能全面监控分管工程项目</w:t>
            </w:r>
          </w:p>
        </w:tc>
        <w:tc>
          <w:tcPr>
            <w:tcW w:w="1539" w:type="dxa"/>
            <w:tcMar>
              <w:top w:w="113" w:type="dxa"/>
              <w:left w:w="85" w:type="dxa"/>
              <w:bottom w:w="113" w:type="dxa"/>
              <w:right w:w="85" w:type="dxa"/>
            </w:tcMar>
            <w:vAlign w:val="center"/>
          </w:tcPr>
          <w:p w14:paraId="51B59FD9">
            <w:pPr>
              <w:pStyle w:val="101"/>
            </w:pPr>
            <w:r>
              <w:rPr>
                <w:rFonts w:hint="eastAsia"/>
              </w:rPr>
              <w:t>500元/次</w:t>
            </w:r>
          </w:p>
        </w:tc>
      </w:tr>
      <w:tr w14:paraId="5A3EEB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642" w:type="dxa"/>
            <w:vMerge w:val="continue"/>
            <w:tcMar>
              <w:top w:w="113" w:type="dxa"/>
              <w:left w:w="85" w:type="dxa"/>
              <w:bottom w:w="113" w:type="dxa"/>
              <w:right w:w="85" w:type="dxa"/>
            </w:tcMar>
            <w:vAlign w:val="center"/>
          </w:tcPr>
          <w:p w14:paraId="6C44CC32">
            <w:pPr>
              <w:pStyle w:val="101"/>
            </w:pPr>
          </w:p>
        </w:tc>
        <w:tc>
          <w:tcPr>
            <w:tcW w:w="599" w:type="dxa"/>
            <w:vMerge w:val="restart"/>
            <w:tcMar>
              <w:top w:w="113" w:type="dxa"/>
              <w:left w:w="85" w:type="dxa"/>
              <w:bottom w:w="113" w:type="dxa"/>
              <w:right w:w="85" w:type="dxa"/>
            </w:tcMar>
            <w:vAlign w:val="center"/>
          </w:tcPr>
          <w:p w14:paraId="6D5592F1">
            <w:pPr>
              <w:pStyle w:val="101"/>
            </w:pPr>
            <w:r>
              <w:rPr>
                <w:rFonts w:hint="eastAsia"/>
              </w:rPr>
              <w:t>验收控制工作</w:t>
            </w:r>
          </w:p>
        </w:tc>
        <w:tc>
          <w:tcPr>
            <w:tcW w:w="6815" w:type="dxa"/>
            <w:tcMar>
              <w:top w:w="113" w:type="dxa"/>
              <w:left w:w="85" w:type="dxa"/>
              <w:bottom w:w="113" w:type="dxa"/>
              <w:right w:w="85" w:type="dxa"/>
            </w:tcMar>
            <w:vAlign w:val="center"/>
          </w:tcPr>
          <w:p w14:paraId="1D792F4E">
            <w:pPr>
              <w:pStyle w:val="105"/>
            </w:pPr>
            <w:r>
              <w:t>l</w:t>
            </w:r>
            <w:r>
              <w:rPr>
                <w:rFonts w:hint="eastAsia"/>
              </w:rPr>
              <w:t>、监理人员在验收时不进行实测实量</w:t>
            </w:r>
          </w:p>
        </w:tc>
        <w:tc>
          <w:tcPr>
            <w:tcW w:w="1539" w:type="dxa"/>
            <w:tcMar>
              <w:top w:w="113" w:type="dxa"/>
              <w:left w:w="85" w:type="dxa"/>
              <w:bottom w:w="113" w:type="dxa"/>
              <w:right w:w="85" w:type="dxa"/>
            </w:tcMar>
            <w:vAlign w:val="center"/>
          </w:tcPr>
          <w:p w14:paraId="78457FD3">
            <w:pPr>
              <w:pStyle w:val="101"/>
            </w:pPr>
            <w:r>
              <w:rPr>
                <w:rFonts w:hint="eastAsia"/>
              </w:rPr>
              <w:t>500元/次</w:t>
            </w:r>
          </w:p>
        </w:tc>
      </w:tr>
      <w:tr w14:paraId="747AB9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843ED08">
            <w:pPr>
              <w:pStyle w:val="101"/>
            </w:pPr>
          </w:p>
        </w:tc>
        <w:tc>
          <w:tcPr>
            <w:tcW w:w="599" w:type="dxa"/>
            <w:vMerge w:val="continue"/>
            <w:tcMar>
              <w:top w:w="113" w:type="dxa"/>
              <w:left w:w="85" w:type="dxa"/>
              <w:bottom w:w="113" w:type="dxa"/>
              <w:right w:w="85" w:type="dxa"/>
            </w:tcMar>
            <w:vAlign w:val="center"/>
          </w:tcPr>
          <w:p w14:paraId="17E91754">
            <w:pPr>
              <w:pStyle w:val="101"/>
            </w:pPr>
          </w:p>
        </w:tc>
        <w:tc>
          <w:tcPr>
            <w:tcW w:w="6815" w:type="dxa"/>
            <w:tcMar>
              <w:top w:w="113" w:type="dxa"/>
              <w:left w:w="85" w:type="dxa"/>
              <w:bottom w:w="113" w:type="dxa"/>
              <w:right w:w="85" w:type="dxa"/>
            </w:tcMar>
            <w:vAlign w:val="center"/>
          </w:tcPr>
          <w:p w14:paraId="666B4F11">
            <w:pPr>
              <w:pStyle w:val="105"/>
            </w:pPr>
            <w:r>
              <w:t>2</w:t>
            </w:r>
            <w:r>
              <w:rPr>
                <w:rFonts w:hint="eastAsia"/>
              </w:rPr>
              <w:t>、经监理验收的工程项目存在质量问题</w:t>
            </w:r>
          </w:p>
        </w:tc>
        <w:tc>
          <w:tcPr>
            <w:tcW w:w="1539" w:type="dxa"/>
            <w:tcMar>
              <w:top w:w="113" w:type="dxa"/>
              <w:left w:w="85" w:type="dxa"/>
              <w:bottom w:w="113" w:type="dxa"/>
              <w:right w:w="85" w:type="dxa"/>
            </w:tcMar>
            <w:vAlign w:val="center"/>
          </w:tcPr>
          <w:p w14:paraId="4384655E">
            <w:pPr>
              <w:pStyle w:val="101"/>
            </w:pPr>
            <w:r>
              <w:rPr>
                <w:rFonts w:hint="eastAsia"/>
              </w:rPr>
              <w:t>500元/次</w:t>
            </w:r>
          </w:p>
        </w:tc>
      </w:tr>
      <w:tr w14:paraId="6F9906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5C57599">
            <w:pPr>
              <w:pStyle w:val="101"/>
            </w:pPr>
          </w:p>
        </w:tc>
        <w:tc>
          <w:tcPr>
            <w:tcW w:w="599" w:type="dxa"/>
            <w:vMerge w:val="continue"/>
            <w:tcMar>
              <w:top w:w="113" w:type="dxa"/>
              <w:left w:w="85" w:type="dxa"/>
              <w:bottom w:w="113" w:type="dxa"/>
              <w:right w:w="85" w:type="dxa"/>
            </w:tcMar>
            <w:vAlign w:val="center"/>
          </w:tcPr>
          <w:p w14:paraId="64BE3A83">
            <w:pPr>
              <w:pStyle w:val="101"/>
            </w:pPr>
          </w:p>
        </w:tc>
        <w:tc>
          <w:tcPr>
            <w:tcW w:w="6815" w:type="dxa"/>
            <w:tcMar>
              <w:top w:w="113" w:type="dxa"/>
              <w:left w:w="85" w:type="dxa"/>
              <w:bottom w:w="113" w:type="dxa"/>
              <w:right w:w="85" w:type="dxa"/>
            </w:tcMar>
            <w:vAlign w:val="center"/>
          </w:tcPr>
          <w:p w14:paraId="1DE155A0">
            <w:pPr>
              <w:pStyle w:val="105"/>
            </w:pPr>
            <w:r>
              <w:rPr>
                <w:rFonts w:hint="eastAsia"/>
              </w:rPr>
              <w:t>3、未在规定时间内对工程项目进行验收或验收数据错误</w:t>
            </w:r>
          </w:p>
        </w:tc>
        <w:tc>
          <w:tcPr>
            <w:tcW w:w="1539" w:type="dxa"/>
            <w:tcMar>
              <w:top w:w="113" w:type="dxa"/>
              <w:left w:w="85" w:type="dxa"/>
              <w:bottom w:w="113" w:type="dxa"/>
              <w:right w:w="85" w:type="dxa"/>
            </w:tcMar>
            <w:vAlign w:val="center"/>
          </w:tcPr>
          <w:p w14:paraId="2025908A">
            <w:pPr>
              <w:pStyle w:val="101"/>
            </w:pPr>
            <w:r>
              <w:rPr>
                <w:rFonts w:hint="eastAsia"/>
              </w:rPr>
              <w:t>500元/次</w:t>
            </w:r>
          </w:p>
        </w:tc>
      </w:tr>
      <w:tr w14:paraId="258975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585A92FB">
            <w:pPr>
              <w:pStyle w:val="101"/>
            </w:pPr>
          </w:p>
        </w:tc>
        <w:tc>
          <w:tcPr>
            <w:tcW w:w="599" w:type="dxa"/>
            <w:vMerge w:val="continue"/>
            <w:tcMar>
              <w:top w:w="113" w:type="dxa"/>
              <w:left w:w="85" w:type="dxa"/>
              <w:bottom w:w="113" w:type="dxa"/>
              <w:right w:w="85" w:type="dxa"/>
            </w:tcMar>
            <w:vAlign w:val="center"/>
          </w:tcPr>
          <w:p w14:paraId="5DE3E9CC">
            <w:pPr>
              <w:pStyle w:val="101"/>
            </w:pPr>
          </w:p>
        </w:tc>
        <w:tc>
          <w:tcPr>
            <w:tcW w:w="6815" w:type="dxa"/>
            <w:tcMar>
              <w:top w:w="113" w:type="dxa"/>
              <w:left w:w="85" w:type="dxa"/>
              <w:bottom w:w="113" w:type="dxa"/>
              <w:right w:w="85" w:type="dxa"/>
            </w:tcMar>
            <w:vAlign w:val="center"/>
          </w:tcPr>
          <w:p w14:paraId="5CD7BE70">
            <w:pPr>
              <w:pStyle w:val="105"/>
            </w:pPr>
            <w:r>
              <w:t>4</w:t>
            </w:r>
            <w:r>
              <w:rPr>
                <w:rFonts w:hint="eastAsia"/>
              </w:rPr>
              <w:t>、监理人员在验收时的试验检测频率不够</w:t>
            </w:r>
          </w:p>
        </w:tc>
        <w:tc>
          <w:tcPr>
            <w:tcW w:w="1539" w:type="dxa"/>
            <w:tcMar>
              <w:top w:w="113" w:type="dxa"/>
              <w:left w:w="85" w:type="dxa"/>
              <w:bottom w:w="113" w:type="dxa"/>
              <w:right w:w="85" w:type="dxa"/>
            </w:tcMar>
            <w:vAlign w:val="center"/>
          </w:tcPr>
          <w:p w14:paraId="6FF05A37">
            <w:pPr>
              <w:pStyle w:val="101"/>
            </w:pPr>
            <w:r>
              <w:rPr>
                <w:rFonts w:hint="eastAsia"/>
              </w:rPr>
              <w:t>500元/次</w:t>
            </w:r>
          </w:p>
        </w:tc>
      </w:tr>
      <w:tr w14:paraId="728AF9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740230B">
            <w:pPr>
              <w:pStyle w:val="101"/>
            </w:pPr>
          </w:p>
        </w:tc>
        <w:tc>
          <w:tcPr>
            <w:tcW w:w="599" w:type="dxa"/>
            <w:vMerge w:val="continue"/>
            <w:tcMar>
              <w:top w:w="113" w:type="dxa"/>
              <w:left w:w="85" w:type="dxa"/>
              <w:bottom w:w="113" w:type="dxa"/>
              <w:right w:w="85" w:type="dxa"/>
            </w:tcMar>
            <w:vAlign w:val="center"/>
          </w:tcPr>
          <w:p w14:paraId="3915DD7B">
            <w:pPr>
              <w:pStyle w:val="101"/>
            </w:pPr>
          </w:p>
        </w:tc>
        <w:tc>
          <w:tcPr>
            <w:tcW w:w="6815" w:type="dxa"/>
            <w:tcMar>
              <w:top w:w="113" w:type="dxa"/>
              <w:left w:w="85" w:type="dxa"/>
              <w:bottom w:w="113" w:type="dxa"/>
              <w:right w:w="85" w:type="dxa"/>
            </w:tcMar>
            <w:vAlign w:val="center"/>
          </w:tcPr>
          <w:p w14:paraId="6DF7117A">
            <w:pPr>
              <w:pStyle w:val="105"/>
            </w:pPr>
            <w:r>
              <w:rPr>
                <w:rFonts w:hint="eastAsia"/>
              </w:rPr>
              <w:t>5、监理人员对项目验收依据有误</w:t>
            </w:r>
          </w:p>
        </w:tc>
        <w:tc>
          <w:tcPr>
            <w:tcW w:w="1539" w:type="dxa"/>
            <w:tcMar>
              <w:top w:w="113" w:type="dxa"/>
              <w:left w:w="85" w:type="dxa"/>
              <w:bottom w:w="113" w:type="dxa"/>
              <w:right w:w="85" w:type="dxa"/>
            </w:tcMar>
            <w:vAlign w:val="center"/>
          </w:tcPr>
          <w:p w14:paraId="463A8270">
            <w:pPr>
              <w:pStyle w:val="101"/>
            </w:pPr>
            <w:r>
              <w:rPr>
                <w:rFonts w:hint="eastAsia"/>
              </w:rPr>
              <w:t>500元/次</w:t>
            </w:r>
          </w:p>
        </w:tc>
      </w:tr>
      <w:tr w14:paraId="4AC27A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180445DA">
            <w:pPr>
              <w:pStyle w:val="101"/>
            </w:pPr>
          </w:p>
        </w:tc>
        <w:tc>
          <w:tcPr>
            <w:tcW w:w="599" w:type="dxa"/>
            <w:vMerge w:val="continue"/>
            <w:tcMar>
              <w:top w:w="113" w:type="dxa"/>
              <w:left w:w="85" w:type="dxa"/>
              <w:bottom w:w="113" w:type="dxa"/>
              <w:right w:w="85" w:type="dxa"/>
            </w:tcMar>
            <w:vAlign w:val="center"/>
          </w:tcPr>
          <w:p w14:paraId="163B3048">
            <w:pPr>
              <w:pStyle w:val="101"/>
            </w:pPr>
          </w:p>
        </w:tc>
        <w:tc>
          <w:tcPr>
            <w:tcW w:w="6815" w:type="dxa"/>
            <w:tcMar>
              <w:top w:w="113" w:type="dxa"/>
              <w:left w:w="85" w:type="dxa"/>
              <w:bottom w:w="113" w:type="dxa"/>
              <w:right w:w="85" w:type="dxa"/>
            </w:tcMar>
            <w:vAlign w:val="center"/>
          </w:tcPr>
          <w:p w14:paraId="7D26AF8B">
            <w:pPr>
              <w:pStyle w:val="105"/>
            </w:pPr>
            <w:r>
              <w:t>6</w:t>
            </w:r>
            <w:r>
              <w:rPr>
                <w:rFonts w:hint="eastAsia"/>
              </w:rPr>
              <w:t>、监理对验收中发现的问题没有记载</w:t>
            </w:r>
          </w:p>
        </w:tc>
        <w:tc>
          <w:tcPr>
            <w:tcW w:w="1539" w:type="dxa"/>
            <w:tcMar>
              <w:top w:w="113" w:type="dxa"/>
              <w:left w:w="85" w:type="dxa"/>
              <w:bottom w:w="113" w:type="dxa"/>
              <w:right w:w="85" w:type="dxa"/>
            </w:tcMar>
            <w:vAlign w:val="center"/>
          </w:tcPr>
          <w:p w14:paraId="275496D2">
            <w:pPr>
              <w:pStyle w:val="101"/>
            </w:pPr>
            <w:r>
              <w:rPr>
                <w:rFonts w:hint="eastAsia"/>
              </w:rPr>
              <w:t>500元/次</w:t>
            </w:r>
          </w:p>
        </w:tc>
      </w:tr>
      <w:tr w14:paraId="57312B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0" w:hRule="atLeast"/>
          <w:jc w:val="center"/>
        </w:trPr>
        <w:tc>
          <w:tcPr>
            <w:tcW w:w="642" w:type="dxa"/>
            <w:vMerge w:val="continue"/>
            <w:tcMar>
              <w:top w:w="113" w:type="dxa"/>
              <w:left w:w="85" w:type="dxa"/>
              <w:bottom w:w="113" w:type="dxa"/>
              <w:right w:w="85" w:type="dxa"/>
            </w:tcMar>
            <w:vAlign w:val="center"/>
          </w:tcPr>
          <w:p w14:paraId="17F5B776">
            <w:pPr>
              <w:pStyle w:val="101"/>
            </w:pPr>
          </w:p>
        </w:tc>
        <w:tc>
          <w:tcPr>
            <w:tcW w:w="599" w:type="dxa"/>
            <w:vMerge w:val="continue"/>
            <w:tcMar>
              <w:top w:w="113" w:type="dxa"/>
              <w:left w:w="85" w:type="dxa"/>
              <w:bottom w:w="113" w:type="dxa"/>
              <w:right w:w="85" w:type="dxa"/>
            </w:tcMar>
            <w:vAlign w:val="center"/>
          </w:tcPr>
          <w:p w14:paraId="41E537A4">
            <w:pPr>
              <w:pStyle w:val="101"/>
            </w:pPr>
          </w:p>
        </w:tc>
        <w:tc>
          <w:tcPr>
            <w:tcW w:w="6815" w:type="dxa"/>
            <w:tcMar>
              <w:top w:w="113" w:type="dxa"/>
              <w:left w:w="85" w:type="dxa"/>
              <w:bottom w:w="113" w:type="dxa"/>
              <w:right w:w="85" w:type="dxa"/>
            </w:tcMar>
            <w:vAlign w:val="center"/>
          </w:tcPr>
          <w:p w14:paraId="5E5A2BE9">
            <w:pPr>
              <w:pStyle w:val="105"/>
            </w:pPr>
            <w:r>
              <w:rPr>
                <w:rFonts w:hint="eastAsia"/>
              </w:rPr>
              <w:t>7、未及时检查、签认施工承包人的自检资料和隐蔽工程</w:t>
            </w:r>
          </w:p>
        </w:tc>
        <w:tc>
          <w:tcPr>
            <w:tcW w:w="1539" w:type="dxa"/>
            <w:tcMar>
              <w:top w:w="113" w:type="dxa"/>
              <w:left w:w="85" w:type="dxa"/>
              <w:bottom w:w="113" w:type="dxa"/>
              <w:right w:w="85" w:type="dxa"/>
            </w:tcMar>
            <w:vAlign w:val="center"/>
          </w:tcPr>
          <w:p w14:paraId="6CCF95E7">
            <w:pPr>
              <w:pStyle w:val="101"/>
            </w:pPr>
            <w:r>
              <w:rPr>
                <w:rFonts w:hint="eastAsia"/>
              </w:rPr>
              <w:t>500元/次</w:t>
            </w:r>
          </w:p>
        </w:tc>
      </w:tr>
      <w:tr w14:paraId="2881CB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2" w:hRule="atLeast"/>
          <w:jc w:val="center"/>
        </w:trPr>
        <w:tc>
          <w:tcPr>
            <w:tcW w:w="642" w:type="dxa"/>
            <w:vMerge w:val="continue"/>
            <w:tcMar>
              <w:top w:w="113" w:type="dxa"/>
              <w:left w:w="85" w:type="dxa"/>
              <w:bottom w:w="113" w:type="dxa"/>
              <w:right w:w="85" w:type="dxa"/>
            </w:tcMar>
            <w:vAlign w:val="center"/>
          </w:tcPr>
          <w:p w14:paraId="4D69FD37">
            <w:pPr>
              <w:pStyle w:val="101"/>
            </w:pPr>
          </w:p>
        </w:tc>
        <w:tc>
          <w:tcPr>
            <w:tcW w:w="599" w:type="dxa"/>
            <w:vMerge w:val="continue"/>
            <w:tcMar>
              <w:top w:w="113" w:type="dxa"/>
              <w:left w:w="85" w:type="dxa"/>
              <w:bottom w:w="113" w:type="dxa"/>
              <w:right w:w="85" w:type="dxa"/>
            </w:tcMar>
            <w:vAlign w:val="center"/>
          </w:tcPr>
          <w:p w14:paraId="32B18047">
            <w:pPr>
              <w:pStyle w:val="101"/>
            </w:pPr>
          </w:p>
        </w:tc>
        <w:tc>
          <w:tcPr>
            <w:tcW w:w="6815" w:type="dxa"/>
            <w:tcMar>
              <w:top w:w="113" w:type="dxa"/>
              <w:left w:w="85" w:type="dxa"/>
              <w:bottom w:w="113" w:type="dxa"/>
              <w:right w:w="85" w:type="dxa"/>
            </w:tcMar>
            <w:vAlign w:val="center"/>
          </w:tcPr>
          <w:p w14:paraId="7F0D3751">
            <w:pPr>
              <w:pStyle w:val="105"/>
            </w:pPr>
            <w:r>
              <w:t>8</w:t>
            </w:r>
            <w:r>
              <w:rPr>
                <w:rFonts w:hint="eastAsia"/>
              </w:rPr>
              <w:t>、监理对工程质量的评定有误</w:t>
            </w:r>
          </w:p>
        </w:tc>
        <w:tc>
          <w:tcPr>
            <w:tcW w:w="1539" w:type="dxa"/>
            <w:tcMar>
              <w:top w:w="113" w:type="dxa"/>
              <w:left w:w="85" w:type="dxa"/>
              <w:bottom w:w="113" w:type="dxa"/>
              <w:right w:w="85" w:type="dxa"/>
            </w:tcMar>
            <w:vAlign w:val="center"/>
          </w:tcPr>
          <w:p w14:paraId="0CF6F657">
            <w:pPr>
              <w:pStyle w:val="101"/>
            </w:pPr>
            <w:r>
              <w:rPr>
                <w:rFonts w:hint="eastAsia"/>
              </w:rPr>
              <w:t>500元/次</w:t>
            </w:r>
          </w:p>
        </w:tc>
      </w:tr>
      <w:tr w14:paraId="04E31C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E3A32E3">
            <w:pPr>
              <w:pStyle w:val="101"/>
            </w:pPr>
          </w:p>
        </w:tc>
        <w:tc>
          <w:tcPr>
            <w:tcW w:w="599" w:type="dxa"/>
            <w:vMerge w:val="restart"/>
            <w:tcMar>
              <w:top w:w="113" w:type="dxa"/>
              <w:left w:w="85" w:type="dxa"/>
              <w:bottom w:w="113" w:type="dxa"/>
              <w:right w:w="85" w:type="dxa"/>
            </w:tcMar>
            <w:vAlign w:val="center"/>
          </w:tcPr>
          <w:p w14:paraId="2A2B62A3">
            <w:pPr>
              <w:pStyle w:val="101"/>
            </w:pPr>
            <w:r>
              <w:rPr>
                <w:rFonts w:hint="eastAsia"/>
              </w:rPr>
              <w:t>质量安全事件控制</w:t>
            </w:r>
          </w:p>
        </w:tc>
        <w:tc>
          <w:tcPr>
            <w:tcW w:w="6815" w:type="dxa"/>
            <w:tcMar>
              <w:top w:w="113" w:type="dxa"/>
              <w:left w:w="85" w:type="dxa"/>
              <w:bottom w:w="113" w:type="dxa"/>
              <w:right w:w="85" w:type="dxa"/>
            </w:tcMar>
            <w:vAlign w:val="center"/>
          </w:tcPr>
          <w:p w14:paraId="1585FA4B">
            <w:pPr>
              <w:pStyle w:val="105"/>
            </w:pPr>
            <w:r>
              <w:t>l</w:t>
            </w:r>
            <w:r>
              <w:rPr>
                <w:rFonts w:hint="eastAsia"/>
              </w:rPr>
              <w:t>、监理人员隐瞒质量、安全问题或发生质量、安全问题未按程序处理</w:t>
            </w:r>
          </w:p>
        </w:tc>
        <w:tc>
          <w:tcPr>
            <w:tcW w:w="1539" w:type="dxa"/>
            <w:tcMar>
              <w:top w:w="113" w:type="dxa"/>
              <w:left w:w="85" w:type="dxa"/>
              <w:bottom w:w="113" w:type="dxa"/>
              <w:right w:w="85" w:type="dxa"/>
            </w:tcMar>
            <w:vAlign w:val="center"/>
          </w:tcPr>
          <w:p w14:paraId="3274682B">
            <w:pPr>
              <w:pStyle w:val="101"/>
            </w:pPr>
            <w:r>
              <w:rPr>
                <w:rFonts w:hint="eastAsia"/>
              </w:rPr>
              <w:t>2000元/次</w:t>
            </w:r>
          </w:p>
        </w:tc>
      </w:tr>
      <w:tr w14:paraId="524EEF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D7EEFDD">
            <w:pPr>
              <w:pStyle w:val="101"/>
            </w:pPr>
          </w:p>
        </w:tc>
        <w:tc>
          <w:tcPr>
            <w:tcW w:w="599" w:type="dxa"/>
            <w:vMerge w:val="continue"/>
            <w:tcMar>
              <w:top w:w="113" w:type="dxa"/>
              <w:left w:w="85" w:type="dxa"/>
              <w:bottom w:w="113" w:type="dxa"/>
              <w:right w:w="85" w:type="dxa"/>
            </w:tcMar>
            <w:vAlign w:val="center"/>
          </w:tcPr>
          <w:p w14:paraId="2D896351">
            <w:pPr>
              <w:pStyle w:val="101"/>
            </w:pPr>
          </w:p>
        </w:tc>
        <w:tc>
          <w:tcPr>
            <w:tcW w:w="6815" w:type="dxa"/>
            <w:tcMar>
              <w:top w:w="113" w:type="dxa"/>
              <w:left w:w="85" w:type="dxa"/>
              <w:bottom w:w="113" w:type="dxa"/>
              <w:right w:w="85" w:type="dxa"/>
            </w:tcMar>
            <w:vAlign w:val="center"/>
          </w:tcPr>
          <w:p w14:paraId="1526DB4A">
            <w:pPr>
              <w:pStyle w:val="105"/>
            </w:pPr>
            <w:r>
              <w:rPr>
                <w:rFonts w:hint="eastAsia"/>
              </w:rPr>
              <w:t>2、监理人员未及时发现质量、安全隐患而导致质量、安全事件发生</w:t>
            </w:r>
          </w:p>
        </w:tc>
        <w:tc>
          <w:tcPr>
            <w:tcW w:w="1539" w:type="dxa"/>
            <w:tcMar>
              <w:top w:w="113" w:type="dxa"/>
              <w:left w:w="85" w:type="dxa"/>
              <w:bottom w:w="113" w:type="dxa"/>
              <w:right w:w="85" w:type="dxa"/>
            </w:tcMar>
            <w:vAlign w:val="center"/>
          </w:tcPr>
          <w:p w14:paraId="4754F603">
            <w:pPr>
              <w:pStyle w:val="101"/>
              <w:rPr>
                <w:sz w:val="18"/>
                <w:szCs w:val="18"/>
              </w:rPr>
            </w:pPr>
            <w:r>
              <w:rPr>
                <w:rFonts w:hint="eastAsia"/>
                <w:sz w:val="18"/>
                <w:szCs w:val="18"/>
              </w:rPr>
              <w:t>按施工单位30%</w:t>
            </w:r>
          </w:p>
        </w:tc>
      </w:tr>
      <w:tr w14:paraId="7E77FA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1C46BCF3">
            <w:pPr>
              <w:pStyle w:val="101"/>
            </w:pPr>
          </w:p>
        </w:tc>
        <w:tc>
          <w:tcPr>
            <w:tcW w:w="599" w:type="dxa"/>
            <w:vMerge w:val="continue"/>
            <w:tcMar>
              <w:top w:w="113" w:type="dxa"/>
              <w:left w:w="85" w:type="dxa"/>
              <w:bottom w:w="113" w:type="dxa"/>
              <w:right w:w="85" w:type="dxa"/>
            </w:tcMar>
            <w:vAlign w:val="center"/>
          </w:tcPr>
          <w:p w14:paraId="0D6D6300">
            <w:pPr>
              <w:pStyle w:val="101"/>
            </w:pPr>
          </w:p>
        </w:tc>
        <w:tc>
          <w:tcPr>
            <w:tcW w:w="6815" w:type="dxa"/>
            <w:tcMar>
              <w:top w:w="113" w:type="dxa"/>
              <w:left w:w="85" w:type="dxa"/>
              <w:bottom w:w="113" w:type="dxa"/>
              <w:right w:w="85" w:type="dxa"/>
            </w:tcMar>
            <w:vAlign w:val="center"/>
          </w:tcPr>
          <w:p w14:paraId="7D3D967E">
            <w:pPr>
              <w:pStyle w:val="105"/>
            </w:pPr>
            <w:r>
              <w:rPr>
                <w:rFonts w:hint="eastAsia"/>
              </w:rPr>
              <w:t>3、发生质量、安全事件未及时指令施工承包人进行处理</w:t>
            </w:r>
          </w:p>
        </w:tc>
        <w:tc>
          <w:tcPr>
            <w:tcW w:w="1539" w:type="dxa"/>
            <w:tcMar>
              <w:top w:w="113" w:type="dxa"/>
              <w:left w:w="85" w:type="dxa"/>
              <w:bottom w:w="113" w:type="dxa"/>
              <w:right w:w="85" w:type="dxa"/>
            </w:tcMar>
            <w:vAlign w:val="center"/>
          </w:tcPr>
          <w:p w14:paraId="758B5132">
            <w:pPr>
              <w:pStyle w:val="101"/>
            </w:pPr>
            <w:r>
              <w:rPr>
                <w:rFonts w:hint="eastAsia"/>
              </w:rPr>
              <w:t>2000元/次</w:t>
            </w:r>
          </w:p>
        </w:tc>
      </w:tr>
      <w:tr w14:paraId="3A5C48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5" w:hRule="atLeast"/>
          <w:jc w:val="center"/>
        </w:trPr>
        <w:tc>
          <w:tcPr>
            <w:tcW w:w="642" w:type="dxa"/>
            <w:vMerge w:val="continue"/>
            <w:tcMar>
              <w:top w:w="113" w:type="dxa"/>
              <w:left w:w="85" w:type="dxa"/>
              <w:bottom w:w="113" w:type="dxa"/>
              <w:right w:w="85" w:type="dxa"/>
            </w:tcMar>
            <w:vAlign w:val="center"/>
          </w:tcPr>
          <w:p w14:paraId="18789086">
            <w:pPr>
              <w:pStyle w:val="101"/>
            </w:pPr>
          </w:p>
        </w:tc>
        <w:tc>
          <w:tcPr>
            <w:tcW w:w="599" w:type="dxa"/>
            <w:vMerge w:val="restart"/>
            <w:tcMar>
              <w:top w:w="113" w:type="dxa"/>
              <w:left w:w="85" w:type="dxa"/>
              <w:bottom w:w="113" w:type="dxa"/>
              <w:right w:w="85" w:type="dxa"/>
            </w:tcMar>
            <w:vAlign w:val="center"/>
          </w:tcPr>
          <w:p w14:paraId="714109FB">
            <w:pPr>
              <w:pStyle w:val="101"/>
            </w:pPr>
          </w:p>
          <w:p w14:paraId="48B525C3">
            <w:pPr>
              <w:pStyle w:val="101"/>
            </w:pPr>
            <w:r>
              <w:rPr>
                <w:rFonts w:hint="eastAsia"/>
              </w:rPr>
              <w:t>工艺试验控制工作</w:t>
            </w:r>
          </w:p>
        </w:tc>
        <w:tc>
          <w:tcPr>
            <w:tcW w:w="6815" w:type="dxa"/>
            <w:tcMar>
              <w:top w:w="113" w:type="dxa"/>
              <w:left w:w="85" w:type="dxa"/>
              <w:bottom w:w="113" w:type="dxa"/>
              <w:right w:w="85" w:type="dxa"/>
            </w:tcMar>
            <w:vAlign w:val="center"/>
          </w:tcPr>
          <w:p w14:paraId="04F8055C">
            <w:pPr>
              <w:pStyle w:val="105"/>
            </w:pPr>
            <w:r>
              <w:t>1</w:t>
            </w:r>
            <w:r>
              <w:rPr>
                <w:rFonts w:hint="eastAsia"/>
              </w:rPr>
              <w:t>、监理人员未执行工艺试验程序或必要时未指令施工承包人进行工艺试验</w:t>
            </w:r>
          </w:p>
        </w:tc>
        <w:tc>
          <w:tcPr>
            <w:tcW w:w="1539" w:type="dxa"/>
            <w:tcMar>
              <w:top w:w="113" w:type="dxa"/>
              <w:left w:w="85" w:type="dxa"/>
              <w:bottom w:w="113" w:type="dxa"/>
              <w:right w:w="85" w:type="dxa"/>
            </w:tcMar>
            <w:vAlign w:val="center"/>
          </w:tcPr>
          <w:p w14:paraId="77688412">
            <w:pPr>
              <w:pStyle w:val="101"/>
            </w:pPr>
            <w:r>
              <w:rPr>
                <w:rFonts w:hint="eastAsia"/>
              </w:rPr>
              <w:t>500元/次</w:t>
            </w:r>
          </w:p>
        </w:tc>
      </w:tr>
      <w:tr w14:paraId="54FC72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36" w:hRule="atLeast"/>
          <w:jc w:val="center"/>
        </w:trPr>
        <w:tc>
          <w:tcPr>
            <w:tcW w:w="642" w:type="dxa"/>
            <w:vMerge w:val="continue"/>
            <w:tcMar>
              <w:top w:w="113" w:type="dxa"/>
              <w:left w:w="85" w:type="dxa"/>
              <w:bottom w:w="113" w:type="dxa"/>
              <w:right w:w="85" w:type="dxa"/>
            </w:tcMar>
            <w:vAlign w:val="center"/>
          </w:tcPr>
          <w:p w14:paraId="3A87DD7D">
            <w:pPr>
              <w:pStyle w:val="101"/>
            </w:pPr>
          </w:p>
        </w:tc>
        <w:tc>
          <w:tcPr>
            <w:tcW w:w="599" w:type="dxa"/>
            <w:vMerge w:val="continue"/>
            <w:tcMar>
              <w:top w:w="113" w:type="dxa"/>
              <w:left w:w="85" w:type="dxa"/>
              <w:bottom w:w="113" w:type="dxa"/>
              <w:right w:w="85" w:type="dxa"/>
            </w:tcMar>
            <w:vAlign w:val="center"/>
          </w:tcPr>
          <w:p w14:paraId="1F53CE4D">
            <w:pPr>
              <w:pStyle w:val="101"/>
            </w:pPr>
          </w:p>
        </w:tc>
        <w:tc>
          <w:tcPr>
            <w:tcW w:w="6815" w:type="dxa"/>
            <w:tcMar>
              <w:top w:w="113" w:type="dxa"/>
              <w:left w:w="85" w:type="dxa"/>
              <w:bottom w:w="113" w:type="dxa"/>
              <w:right w:w="85" w:type="dxa"/>
            </w:tcMar>
            <w:vAlign w:val="center"/>
          </w:tcPr>
          <w:p w14:paraId="4DA053BE">
            <w:pPr>
              <w:pStyle w:val="105"/>
            </w:pPr>
            <w:r>
              <w:rPr>
                <w:rFonts w:hint="eastAsia"/>
              </w:rPr>
              <w:t>2、监理人员对工艺试验方案审批草率</w:t>
            </w:r>
          </w:p>
        </w:tc>
        <w:tc>
          <w:tcPr>
            <w:tcW w:w="1539" w:type="dxa"/>
            <w:tcMar>
              <w:top w:w="113" w:type="dxa"/>
              <w:left w:w="85" w:type="dxa"/>
              <w:bottom w:w="113" w:type="dxa"/>
              <w:right w:w="85" w:type="dxa"/>
            </w:tcMar>
            <w:vAlign w:val="center"/>
          </w:tcPr>
          <w:p w14:paraId="5B3D5560">
            <w:pPr>
              <w:pStyle w:val="101"/>
            </w:pPr>
            <w:r>
              <w:rPr>
                <w:rFonts w:hint="eastAsia"/>
              </w:rPr>
              <w:t>500元/次</w:t>
            </w:r>
          </w:p>
        </w:tc>
      </w:tr>
      <w:tr w14:paraId="6273F5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8D10BBD">
            <w:pPr>
              <w:pStyle w:val="101"/>
            </w:pPr>
          </w:p>
        </w:tc>
        <w:tc>
          <w:tcPr>
            <w:tcW w:w="599" w:type="dxa"/>
            <w:vMerge w:val="continue"/>
            <w:tcMar>
              <w:top w:w="113" w:type="dxa"/>
              <w:left w:w="85" w:type="dxa"/>
              <w:bottom w:w="113" w:type="dxa"/>
              <w:right w:w="85" w:type="dxa"/>
            </w:tcMar>
            <w:vAlign w:val="center"/>
          </w:tcPr>
          <w:p w14:paraId="20B64BA7">
            <w:pPr>
              <w:pStyle w:val="101"/>
            </w:pPr>
          </w:p>
        </w:tc>
        <w:tc>
          <w:tcPr>
            <w:tcW w:w="6815" w:type="dxa"/>
            <w:tcMar>
              <w:top w:w="113" w:type="dxa"/>
              <w:left w:w="85" w:type="dxa"/>
              <w:bottom w:w="113" w:type="dxa"/>
              <w:right w:w="85" w:type="dxa"/>
            </w:tcMar>
            <w:vAlign w:val="center"/>
          </w:tcPr>
          <w:p w14:paraId="517AC37E">
            <w:pPr>
              <w:pStyle w:val="105"/>
            </w:pPr>
            <w:r>
              <w:t>3</w:t>
            </w:r>
            <w:r>
              <w:rPr>
                <w:rFonts w:hint="eastAsia"/>
              </w:rPr>
              <w:t>、监理人员对工艺试验未进行全过程旁站或旁站记录不全</w:t>
            </w:r>
          </w:p>
        </w:tc>
        <w:tc>
          <w:tcPr>
            <w:tcW w:w="1539" w:type="dxa"/>
            <w:tcMar>
              <w:top w:w="113" w:type="dxa"/>
              <w:left w:w="85" w:type="dxa"/>
              <w:bottom w:w="113" w:type="dxa"/>
              <w:right w:w="85" w:type="dxa"/>
            </w:tcMar>
            <w:vAlign w:val="center"/>
          </w:tcPr>
          <w:p w14:paraId="26023263">
            <w:pPr>
              <w:pStyle w:val="101"/>
            </w:pPr>
            <w:r>
              <w:rPr>
                <w:rFonts w:hint="eastAsia"/>
              </w:rPr>
              <w:t>300元/次</w:t>
            </w:r>
          </w:p>
        </w:tc>
      </w:tr>
      <w:tr w14:paraId="5B51BB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63DBF7E">
            <w:pPr>
              <w:pStyle w:val="101"/>
            </w:pPr>
          </w:p>
        </w:tc>
        <w:tc>
          <w:tcPr>
            <w:tcW w:w="599" w:type="dxa"/>
            <w:vMerge w:val="continue"/>
            <w:tcMar>
              <w:top w:w="113" w:type="dxa"/>
              <w:left w:w="85" w:type="dxa"/>
              <w:bottom w:w="113" w:type="dxa"/>
              <w:right w:w="85" w:type="dxa"/>
            </w:tcMar>
            <w:vAlign w:val="center"/>
          </w:tcPr>
          <w:p w14:paraId="3B023015">
            <w:pPr>
              <w:pStyle w:val="101"/>
            </w:pPr>
          </w:p>
        </w:tc>
        <w:tc>
          <w:tcPr>
            <w:tcW w:w="6815" w:type="dxa"/>
            <w:tcMar>
              <w:top w:w="113" w:type="dxa"/>
              <w:left w:w="85" w:type="dxa"/>
              <w:bottom w:w="113" w:type="dxa"/>
              <w:right w:w="85" w:type="dxa"/>
            </w:tcMar>
            <w:vAlign w:val="center"/>
          </w:tcPr>
          <w:p w14:paraId="1284F832">
            <w:pPr>
              <w:pStyle w:val="105"/>
            </w:pPr>
            <w:r>
              <w:t>4</w:t>
            </w:r>
            <w:r>
              <w:rPr>
                <w:rFonts w:hint="eastAsia"/>
              </w:rPr>
              <w:t>、监理人员对工艺试验结果把关不严，草率批准施工，致使工程出现问题</w:t>
            </w:r>
          </w:p>
        </w:tc>
        <w:tc>
          <w:tcPr>
            <w:tcW w:w="1539" w:type="dxa"/>
            <w:tcMar>
              <w:top w:w="113" w:type="dxa"/>
              <w:left w:w="85" w:type="dxa"/>
              <w:bottom w:w="113" w:type="dxa"/>
              <w:right w:w="85" w:type="dxa"/>
            </w:tcMar>
            <w:vAlign w:val="center"/>
          </w:tcPr>
          <w:p w14:paraId="38652FEF">
            <w:pPr>
              <w:pStyle w:val="101"/>
            </w:pPr>
            <w:r>
              <w:rPr>
                <w:rFonts w:hint="eastAsia"/>
              </w:rPr>
              <w:t>1000元/次</w:t>
            </w:r>
          </w:p>
        </w:tc>
      </w:tr>
      <w:tr w14:paraId="198390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1" w:hRule="atLeast"/>
          <w:jc w:val="center"/>
        </w:trPr>
        <w:tc>
          <w:tcPr>
            <w:tcW w:w="642" w:type="dxa"/>
            <w:vMerge w:val="restart"/>
            <w:tcMar>
              <w:top w:w="113" w:type="dxa"/>
              <w:left w:w="85" w:type="dxa"/>
              <w:bottom w:w="113" w:type="dxa"/>
              <w:right w:w="85" w:type="dxa"/>
            </w:tcMar>
            <w:vAlign w:val="center"/>
          </w:tcPr>
          <w:p w14:paraId="3A6DA9EE">
            <w:pPr>
              <w:pStyle w:val="101"/>
            </w:pPr>
            <w:r>
              <w:rPr>
                <w:rFonts w:hint="eastAsia"/>
              </w:rPr>
              <w:t>三、安全控制</w:t>
            </w:r>
          </w:p>
        </w:tc>
        <w:tc>
          <w:tcPr>
            <w:tcW w:w="599" w:type="dxa"/>
            <w:vMerge w:val="restart"/>
            <w:tcMar>
              <w:top w:w="113" w:type="dxa"/>
              <w:left w:w="85" w:type="dxa"/>
              <w:bottom w:w="113" w:type="dxa"/>
              <w:right w:w="85" w:type="dxa"/>
            </w:tcMar>
            <w:vAlign w:val="center"/>
          </w:tcPr>
          <w:p w14:paraId="760861AD">
            <w:pPr>
              <w:pStyle w:val="101"/>
            </w:pPr>
            <w:r>
              <w:rPr>
                <w:rFonts w:hint="eastAsia"/>
              </w:rPr>
              <w:t>安全管理工作</w:t>
            </w:r>
          </w:p>
        </w:tc>
        <w:tc>
          <w:tcPr>
            <w:tcW w:w="6815" w:type="dxa"/>
            <w:tcMar>
              <w:top w:w="113" w:type="dxa"/>
              <w:left w:w="85" w:type="dxa"/>
              <w:bottom w:w="113" w:type="dxa"/>
              <w:right w:w="85" w:type="dxa"/>
            </w:tcMar>
            <w:vAlign w:val="center"/>
          </w:tcPr>
          <w:p w14:paraId="0093F150">
            <w:pPr>
              <w:pStyle w:val="105"/>
            </w:pPr>
            <w:r>
              <w:rPr>
                <w:rFonts w:hint="eastAsia"/>
              </w:rPr>
              <w:t>1、对施工承包人上报的施工组织设计、方案等未进行安全措施方面的审查</w:t>
            </w:r>
          </w:p>
        </w:tc>
        <w:tc>
          <w:tcPr>
            <w:tcW w:w="1539" w:type="dxa"/>
            <w:tcMar>
              <w:top w:w="113" w:type="dxa"/>
              <w:left w:w="85" w:type="dxa"/>
              <w:bottom w:w="113" w:type="dxa"/>
              <w:right w:w="85" w:type="dxa"/>
            </w:tcMar>
            <w:vAlign w:val="center"/>
          </w:tcPr>
          <w:p w14:paraId="4F8FAA27">
            <w:pPr>
              <w:pStyle w:val="101"/>
            </w:pPr>
            <w:r>
              <w:rPr>
                <w:rFonts w:hint="eastAsia"/>
              </w:rPr>
              <w:t>2000元/次</w:t>
            </w:r>
          </w:p>
        </w:tc>
      </w:tr>
      <w:tr w14:paraId="720C62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A1D2135">
            <w:pPr>
              <w:pStyle w:val="101"/>
            </w:pPr>
          </w:p>
        </w:tc>
        <w:tc>
          <w:tcPr>
            <w:tcW w:w="599" w:type="dxa"/>
            <w:vMerge w:val="continue"/>
            <w:tcMar>
              <w:top w:w="113" w:type="dxa"/>
              <w:left w:w="85" w:type="dxa"/>
              <w:bottom w:w="113" w:type="dxa"/>
              <w:right w:w="85" w:type="dxa"/>
            </w:tcMar>
            <w:vAlign w:val="center"/>
          </w:tcPr>
          <w:p w14:paraId="60BD8952">
            <w:pPr>
              <w:pStyle w:val="101"/>
            </w:pPr>
          </w:p>
        </w:tc>
        <w:tc>
          <w:tcPr>
            <w:tcW w:w="6815" w:type="dxa"/>
            <w:tcMar>
              <w:top w:w="113" w:type="dxa"/>
              <w:left w:w="85" w:type="dxa"/>
              <w:bottom w:w="113" w:type="dxa"/>
              <w:right w:w="85" w:type="dxa"/>
            </w:tcMar>
            <w:vAlign w:val="center"/>
          </w:tcPr>
          <w:p w14:paraId="37A39684">
            <w:pPr>
              <w:pStyle w:val="105"/>
            </w:pPr>
            <w:r>
              <w:rPr>
                <w:rFonts w:hint="eastAsia"/>
              </w:rPr>
              <w:t>2、未按照规定定期对施工现场进行安全检查</w:t>
            </w:r>
          </w:p>
        </w:tc>
        <w:tc>
          <w:tcPr>
            <w:tcW w:w="1539" w:type="dxa"/>
            <w:tcMar>
              <w:top w:w="113" w:type="dxa"/>
              <w:left w:w="85" w:type="dxa"/>
              <w:bottom w:w="113" w:type="dxa"/>
              <w:right w:w="85" w:type="dxa"/>
            </w:tcMar>
            <w:vAlign w:val="center"/>
          </w:tcPr>
          <w:p w14:paraId="40B933D3">
            <w:pPr>
              <w:pStyle w:val="101"/>
            </w:pPr>
            <w:r>
              <w:rPr>
                <w:rFonts w:hint="eastAsia"/>
              </w:rPr>
              <w:t>500元/次</w:t>
            </w:r>
          </w:p>
        </w:tc>
      </w:tr>
      <w:tr w14:paraId="535F99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6D5303F">
            <w:pPr>
              <w:pStyle w:val="101"/>
            </w:pPr>
          </w:p>
        </w:tc>
        <w:tc>
          <w:tcPr>
            <w:tcW w:w="599" w:type="dxa"/>
            <w:vMerge w:val="continue"/>
            <w:tcMar>
              <w:top w:w="113" w:type="dxa"/>
              <w:left w:w="85" w:type="dxa"/>
              <w:bottom w:w="113" w:type="dxa"/>
              <w:right w:w="85" w:type="dxa"/>
            </w:tcMar>
            <w:vAlign w:val="center"/>
          </w:tcPr>
          <w:p w14:paraId="27320DA3">
            <w:pPr>
              <w:pStyle w:val="101"/>
            </w:pPr>
          </w:p>
        </w:tc>
        <w:tc>
          <w:tcPr>
            <w:tcW w:w="6815" w:type="dxa"/>
            <w:tcMar>
              <w:top w:w="113" w:type="dxa"/>
              <w:left w:w="85" w:type="dxa"/>
              <w:bottom w:w="113" w:type="dxa"/>
              <w:right w:w="85" w:type="dxa"/>
            </w:tcMar>
            <w:vAlign w:val="center"/>
          </w:tcPr>
          <w:p w14:paraId="0D144355">
            <w:pPr>
              <w:pStyle w:val="105"/>
            </w:pPr>
            <w:r>
              <w:rPr>
                <w:rFonts w:hint="eastAsia"/>
              </w:rPr>
              <w:t>3、对施工现场的安全隐患未及时提出整改要求</w:t>
            </w:r>
          </w:p>
        </w:tc>
        <w:tc>
          <w:tcPr>
            <w:tcW w:w="1539" w:type="dxa"/>
            <w:tcMar>
              <w:top w:w="113" w:type="dxa"/>
              <w:left w:w="85" w:type="dxa"/>
              <w:bottom w:w="113" w:type="dxa"/>
              <w:right w:w="85" w:type="dxa"/>
            </w:tcMar>
            <w:vAlign w:val="center"/>
          </w:tcPr>
          <w:p w14:paraId="0FFFB369">
            <w:pPr>
              <w:pStyle w:val="101"/>
            </w:pPr>
            <w:r>
              <w:rPr>
                <w:rFonts w:hint="eastAsia"/>
              </w:rPr>
              <w:t>500元/次</w:t>
            </w:r>
          </w:p>
        </w:tc>
      </w:tr>
      <w:tr w14:paraId="6F8C23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6" w:hRule="atLeast"/>
          <w:jc w:val="center"/>
        </w:trPr>
        <w:tc>
          <w:tcPr>
            <w:tcW w:w="642" w:type="dxa"/>
            <w:vMerge w:val="continue"/>
            <w:tcMar>
              <w:top w:w="113" w:type="dxa"/>
              <w:left w:w="85" w:type="dxa"/>
              <w:bottom w:w="113" w:type="dxa"/>
              <w:right w:w="85" w:type="dxa"/>
            </w:tcMar>
            <w:vAlign w:val="center"/>
          </w:tcPr>
          <w:p w14:paraId="3942F0D0">
            <w:pPr>
              <w:pStyle w:val="101"/>
            </w:pPr>
          </w:p>
        </w:tc>
        <w:tc>
          <w:tcPr>
            <w:tcW w:w="599" w:type="dxa"/>
            <w:vMerge w:val="continue"/>
            <w:tcMar>
              <w:top w:w="113" w:type="dxa"/>
              <w:left w:w="85" w:type="dxa"/>
              <w:bottom w:w="113" w:type="dxa"/>
              <w:right w:w="85" w:type="dxa"/>
            </w:tcMar>
            <w:vAlign w:val="center"/>
          </w:tcPr>
          <w:p w14:paraId="6040631F">
            <w:pPr>
              <w:pStyle w:val="101"/>
            </w:pPr>
          </w:p>
        </w:tc>
        <w:tc>
          <w:tcPr>
            <w:tcW w:w="6815" w:type="dxa"/>
            <w:tcMar>
              <w:top w:w="113" w:type="dxa"/>
              <w:left w:w="85" w:type="dxa"/>
              <w:bottom w:w="113" w:type="dxa"/>
              <w:right w:w="85" w:type="dxa"/>
            </w:tcMar>
            <w:vAlign w:val="center"/>
          </w:tcPr>
          <w:p w14:paraId="2792D2D6">
            <w:pPr>
              <w:pStyle w:val="105"/>
            </w:pPr>
            <w:r>
              <w:rPr>
                <w:rFonts w:hint="eastAsia"/>
              </w:rPr>
              <w:t>4、安全档案资料管理混乱</w:t>
            </w:r>
          </w:p>
        </w:tc>
        <w:tc>
          <w:tcPr>
            <w:tcW w:w="1539" w:type="dxa"/>
            <w:tcMar>
              <w:top w:w="113" w:type="dxa"/>
              <w:left w:w="85" w:type="dxa"/>
              <w:bottom w:w="113" w:type="dxa"/>
              <w:right w:w="85" w:type="dxa"/>
            </w:tcMar>
            <w:vAlign w:val="center"/>
          </w:tcPr>
          <w:p w14:paraId="3EEA1381">
            <w:pPr>
              <w:pStyle w:val="101"/>
            </w:pPr>
            <w:r>
              <w:rPr>
                <w:rFonts w:hint="eastAsia"/>
              </w:rPr>
              <w:t>300元/次</w:t>
            </w:r>
          </w:p>
        </w:tc>
      </w:tr>
      <w:tr w14:paraId="7DB576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restart"/>
            <w:tcMar>
              <w:top w:w="113" w:type="dxa"/>
              <w:left w:w="85" w:type="dxa"/>
              <w:bottom w:w="113" w:type="dxa"/>
              <w:right w:w="85" w:type="dxa"/>
            </w:tcMar>
            <w:vAlign w:val="center"/>
          </w:tcPr>
          <w:p w14:paraId="53615B5D">
            <w:pPr>
              <w:pStyle w:val="101"/>
            </w:pPr>
            <w:r>
              <w:rPr>
                <w:rFonts w:hint="eastAsia"/>
              </w:rPr>
              <w:t>四、环水保控制</w:t>
            </w:r>
          </w:p>
        </w:tc>
        <w:tc>
          <w:tcPr>
            <w:tcW w:w="599" w:type="dxa"/>
            <w:vMerge w:val="restart"/>
            <w:tcMar>
              <w:top w:w="113" w:type="dxa"/>
              <w:left w:w="85" w:type="dxa"/>
              <w:bottom w:w="113" w:type="dxa"/>
              <w:right w:w="85" w:type="dxa"/>
            </w:tcMar>
            <w:vAlign w:val="center"/>
          </w:tcPr>
          <w:p w14:paraId="43D1AC5F">
            <w:pPr>
              <w:pStyle w:val="101"/>
            </w:pPr>
            <w:r>
              <w:rPr>
                <w:rFonts w:hint="eastAsia"/>
              </w:rPr>
              <w:t xml:space="preserve">环水保控制工作  </w:t>
            </w:r>
          </w:p>
        </w:tc>
        <w:tc>
          <w:tcPr>
            <w:tcW w:w="6815" w:type="dxa"/>
            <w:tcMar>
              <w:top w:w="113" w:type="dxa"/>
              <w:left w:w="85" w:type="dxa"/>
              <w:bottom w:w="113" w:type="dxa"/>
              <w:right w:w="85" w:type="dxa"/>
            </w:tcMar>
            <w:vAlign w:val="center"/>
          </w:tcPr>
          <w:p w14:paraId="1526ACAD">
            <w:pPr>
              <w:pStyle w:val="105"/>
            </w:pPr>
            <w:r>
              <w:rPr>
                <w:rFonts w:hint="eastAsia"/>
              </w:rPr>
              <w:t>1、未督促施工承包人制定环保、水保保证体系</w:t>
            </w:r>
          </w:p>
        </w:tc>
        <w:tc>
          <w:tcPr>
            <w:tcW w:w="1539" w:type="dxa"/>
            <w:tcMar>
              <w:top w:w="113" w:type="dxa"/>
              <w:left w:w="85" w:type="dxa"/>
              <w:bottom w:w="113" w:type="dxa"/>
              <w:right w:w="85" w:type="dxa"/>
            </w:tcMar>
            <w:vAlign w:val="center"/>
          </w:tcPr>
          <w:p w14:paraId="142E6342">
            <w:pPr>
              <w:pStyle w:val="101"/>
            </w:pPr>
            <w:r>
              <w:rPr>
                <w:rFonts w:hint="eastAsia"/>
              </w:rPr>
              <w:t>500元</w:t>
            </w:r>
          </w:p>
        </w:tc>
      </w:tr>
      <w:tr w14:paraId="7801F9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7" w:hRule="atLeast"/>
          <w:jc w:val="center"/>
        </w:trPr>
        <w:tc>
          <w:tcPr>
            <w:tcW w:w="642" w:type="dxa"/>
            <w:vMerge w:val="continue"/>
            <w:tcMar>
              <w:top w:w="113" w:type="dxa"/>
              <w:left w:w="85" w:type="dxa"/>
              <w:bottom w:w="113" w:type="dxa"/>
              <w:right w:w="85" w:type="dxa"/>
            </w:tcMar>
            <w:vAlign w:val="center"/>
          </w:tcPr>
          <w:p w14:paraId="4E1E0F69">
            <w:pPr>
              <w:pStyle w:val="101"/>
            </w:pPr>
          </w:p>
        </w:tc>
        <w:tc>
          <w:tcPr>
            <w:tcW w:w="599" w:type="dxa"/>
            <w:vMerge w:val="continue"/>
            <w:tcMar>
              <w:top w:w="113" w:type="dxa"/>
              <w:left w:w="85" w:type="dxa"/>
              <w:bottom w:w="113" w:type="dxa"/>
              <w:right w:w="85" w:type="dxa"/>
            </w:tcMar>
            <w:vAlign w:val="center"/>
          </w:tcPr>
          <w:p w14:paraId="7886D139">
            <w:pPr>
              <w:pStyle w:val="101"/>
            </w:pPr>
          </w:p>
        </w:tc>
        <w:tc>
          <w:tcPr>
            <w:tcW w:w="6815" w:type="dxa"/>
            <w:tcMar>
              <w:top w:w="113" w:type="dxa"/>
              <w:left w:w="85" w:type="dxa"/>
              <w:bottom w:w="113" w:type="dxa"/>
              <w:right w:w="85" w:type="dxa"/>
            </w:tcMar>
            <w:vAlign w:val="center"/>
          </w:tcPr>
          <w:p w14:paraId="4B6D3860">
            <w:pPr>
              <w:pStyle w:val="105"/>
            </w:pPr>
            <w:r>
              <w:rPr>
                <w:rFonts w:hint="eastAsia"/>
              </w:rPr>
              <w:t>2、施工承包人在施工过程中造成环境污染、水土流失等，监理人未指令整改或未督促整改到位</w:t>
            </w:r>
          </w:p>
        </w:tc>
        <w:tc>
          <w:tcPr>
            <w:tcW w:w="1539" w:type="dxa"/>
            <w:tcMar>
              <w:top w:w="113" w:type="dxa"/>
              <w:left w:w="85" w:type="dxa"/>
              <w:bottom w:w="113" w:type="dxa"/>
              <w:right w:w="85" w:type="dxa"/>
            </w:tcMar>
            <w:vAlign w:val="center"/>
          </w:tcPr>
          <w:p w14:paraId="6D78953B">
            <w:pPr>
              <w:pStyle w:val="101"/>
            </w:pPr>
            <w:r>
              <w:rPr>
                <w:rFonts w:hint="eastAsia"/>
              </w:rPr>
              <w:t>500元/次</w:t>
            </w:r>
          </w:p>
        </w:tc>
      </w:tr>
      <w:tr w14:paraId="1A14DF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5" w:hRule="atLeast"/>
          <w:jc w:val="center"/>
        </w:trPr>
        <w:tc>
          <w:tcPr>
            <w:tcW w:w="642" w:type="dxa"/>
            <w:vMerge w:val="continue"/>
            <w:tcMar>
              <w:top w:w="113" w:type="dxa"/>
              <w:left w:w="85" w:type="dxa"/>
              <w:bottom w:w="113" w:type="dxa"/>
              <w:right w:w="85" w:type="dxa"/>
            </w:tcMar>
            <w:vAlign w:val="center"/>
          </w:tcPr>
          <w:p w14:paraId="64FE2BF5">
            <w:pPr>
              <w:pStyle w:val="101"/>
            </w:pPr>
          </w:p>
        </w:tc>
        <w:tc>
          <w:tcPr>
            <w:tcW w:w="599" w:type="dxa"/>
            <w:vMerge w:val="continue"/>
            <w:tcMar>
              <w:top w:w="113" w:type="dxa"/>
              <w:left w:w="85" w:type="dxa"/>
              <w:bottom w:w="113" w:type="dxa"/>
              <w:right w:w="85" w:type="dxa"/>
            </w:tcMar>
            <w:vAlign w:val="center"/>
          </w:tcPr>
          <w:p w14:paraId="40F37155">
            <w:pPr>
              <w:pStyle w:val="101"/>
            </w:pPr>
          </w:p>
        </w:tc>
        <w:tc>
          <w:tcPr>
            <w:tcW w:w="6815" w:type="dxa"/>
            <w:tcMar>
              <w:top w:w="113" w:type="dxa"/>
              <w:left w:w="85" w:type="dxa"/>
              <w:bottom w:w="113" w:type="dxa"/>
              <w:right w:w="85" w:type="dxa"/>
            </w:tcMar>
            <w:vAlign w:val="center"/>
          </w:tcPr>
          <w:p w14:paraId="3EA2DC5C">
            <w:pPr>
              <w:pStyle w:val="105"/>
            </w:pPr>
            <w:r>
              <w:rPr>
                <w:rFonts w:hint="eastAsia"/>
              </w:rPr>
              <w:t>3、监理人对施工承包人的环水保监控不力，放任施工承包人在施工过程中因环境严重污染，水土严重流失而被新闻媒体曝光</w:t>
            </w:r>
          </w:p>
        </w:tc>
        <w:tc>
          <w:tcPr>
            <w:tcW w:w="1539" w:type="dxa"/>
            <w:tcMar>
              <w:top w:w="113" w:type="dxa"/>
              <w:left w:w="85" w:type="dxa"/>
              <w:bottom w:w="113" w:type="dxa"/>
              <w:right w:w="85" w:type="dxa"/>
            </w:tcMar>
            <w:vAlign w:val="center"/>
          </w:tcPr>
          <w:p w14:paraId="0F10A9A4">
            <w:pPr>
              <w:pStyle w:val="101"/>
            </w:pPr>
            <w:r>
              <w:rPr>
                <w:rFonts w:hint="eastAsia"/>
              </w:rPr>
              <w:t>1000元/次</w:t>
            </w:r>
          </w:p>
        </w:tc>
      </w:tr>
      <w:tr w14:paraId="365C5F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restart"/>
            <w:tcMar>
              <w:top w:w="113" w:type="dxa"/>
              <w:left w:w="85" w:type="dxa"/>
              <w:bottom w:w="113" w:type="dxa"/>
              <w:right w:w="85" w:type="dxa"/>
            </w:tcMar>
            <w:vAlign w:val="center"/>
          </w:tcPr>
          <w:p w14:paraId="1E16A5FE">
            <w:pPr>
              <w:pStyle w:val="101"/>
            </w:pPr>
            <w:r>
              <w:rPr>
                <w:rFonts w:hint="eastAsia"/>
              </w:rPr>
              <w:t>五、进度控制</w:t>
            </w:r>
          </w:p>
          <w:p w14:paraId="68D51E5A">
            <w:pPr>
              <w:pStyle w:val="101"/>
            </w:pPr>
          </w:p>
        </w:tc>
        <w:tc>
          <w:tcPr>
            <w:tcW w:w="599" w:type="dxa"/>
            <w:vMerge w:val="restart"/>
            <w:tcMar>
              <w:top w:w="113" w:type="dxa"/>
              <w:left w:w="85" w:type="dxa"/>
              <w:bottom w:w="113" w:type="dxa"/>
              <w:right w:w="85" w:type="dxa"/>
            </w:tcMar>
            <w:vAlign w:val="center"/>
          </w:tcPr>
          <w:p w14:paraId="02946ABB">
            <w:pPr>
              <w:pStyle w:val="101"/>
            </w:pPr>
          </w:p>
          <w:p w14:paraId="71C3BC72">
            <w:pPr>
              <w:pStyle w:val="101"/>
            </w:pPr>
            <w:r>
              <w:rPr>
                <w:rFonts w:hint="eastAsia"/>
              </w:rPr>
              <w:t>进度控制工作</w:t>
            </w:r>
          </w:p>
          <w:p w14:paraId="0CD7E939">
            <w:pPr>
              <w:pStyle w:val="101"/>
            </w:pPr>
          </w:p>
        </w:tc>
        <w:tc>
          <w:tcPr>
            <w:tcW w:w="6815" w:type="dxa"/>
            <w:tcMar>
              <w:top w:w="113" w:type="dxa"/>
              <w:left w:w="85" w:type="dxa"/>
              <w:bottom w:w="113" w:type="dxa"/>
              <w:right w:w="85" w:type="dxa"/>
            </w:tcMar>
            <w:vAlign w:val="center"/>
          </w:tcPr>
          <w:p w14:paraId="5D7B66E0">
            <w:pPr>
              <w:pStyle w:val="105"/>
            </w:pPr>
            <w:r>
              <w:t>1</w:t>
            </w:r>
            <w:r>
              <w:rPr>
                <w:rFonts w:hint="eastAsia"/>
              </w:rPr>
              <w:t>、未及时审批施工承包人提交的各种进度计划</w:t>
            </w:r>
          </w:p>
        </w:tc>
        <w:tc>
          <w:tcPr>
            <w:tcW w:w="1539" w:type="dxa"/>
            <w:tcMar>
              <w:top w:w="113" w:type="dxa"/>
              <w:left w:w="85" w:type="dxa"/>
              <w:bottom w:w="113" w:type="dxa"/>
              <w:right w:w="85" w:type="dxa"/>
            </w:tcMar>
            <w:vAlign w:val="center"/>
          </w:tcPr>
          <w:p w14:paraId="2717749F">
            <w:pPr>
              <w:pStyle w:val="101"/>
            </w:pPr>
            <w:r>
              <w:rPr>
                <w:rFonts w:hint="eastAsia"/>
              </w:rPr>
              <w:t>1000元/次</w:t>
            </w:r>
          </w:p>
        </w:tc>
      </w:tr>
      <w:tr w14:paraId="263B36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47088D0">
            <w:pPr>
              <w:pStyle w:val="101"/>
            </w:pPr>
          </w:p>
        </w:tc>
        <w:tc>
          <w:tcPr>
            <w:tcW w:w="599" w:type="dxa"/>
            <w:vMerge w:val="continue"/>
            <w:tcMar>
              <w:top w:w="113" w:type="dxa"/>
              <w:left w:w="85" w:type="dxa"/>
              <w:bottom w:w="113" w:type="dxa"/>
              <w:right w:w="85" w:type="dxa"/>
            </w:tcMar>
            <w:vAlign w:val="center"/>
          </w:tcPr>
          <w:p w14:paraId="1356765B">
            <w:pPr>
              <w:pStyle w:val="101"/>
            </w:pPr>
          </w:p>
        </w:tc>
        <w:tc>
          <w:tcPr>
            <w:tcW w:w="6815" w:type="dxa"/>
            <w:tcMar>
              <w:top w:w="113" w:type="dxa"/>
              <w:left w:w="85" w:type="dxa"/>
              <w:bottom w:w="113" w:type="dxa"/>
              <w:right w:w="85" w:type="dxa"/>
            </w:tcMar>
            <w:vAlign w:val="center"/>
          </w:tcPr>
          <w:p w14:paraId="5AAD15A3">
            <w:pPr>
              <w:pStyle w:val="105"/>
            </w:pPr>
            <w:r>
              <w:t>2</w:t>
            </w:r>
            <w:r>
              <w:rPr>
                <w:rFonts w:hint="eastAsia"/>
              </w:rPr>
              <w:t>、经监理审批的工程进度计划明显不合理</w:t>
            </w:r>
          </w:p>
        </w:tc>
        <w:tc>
          <w:tcPr>
            <w:tcW w:w="1539" w:type="dxa"/>
            <w:tcMar>
              <w:top w:w="113" w:type="dxa"/>
              <w:left w:w="85" w:type="dxa"/>
              <w:bottom w:w="113" w:type="dxa"/>
              <w:right w:w="85" w:type="dxa"/>
            </w:tcMar>
            <w:vAlign w:val="center"/>
          </w:tcPr>
          <w:p w14:paraId="684C5C7E">
            <w:pPr>
              <w:pStyle w:val="101"/>
            </w:pPr>
            <w:r>
              <w:rPr>
                <w:rFonts w:hint="eastAsia"/>
              </w:rPr>
              <w:t>1000元/次</w:t>
            </w:r>
          </w:p>
        </w:tc>
      </w:tr>
      <w:tr w14:paraId="67ABCE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9F259DB">
            <w:pPr>
              <w:pStyle w:val="101"/>
            </w:pPr>
          </w:p>
        </w:tc>
        <w:tc>
          <w:tcPr>
            <w:tcW w:w="599" w:type="dxa"/>
            <w:vMerge w:val="continue"/>
            <w:tcMar>
              <w:top w:w="113" w:type="dxa"/>
              <w:left w:w="85" w:type="dxa"/>
              <w:bottom w:w="113" w:type="dxa"/>
              <w:right w:w="85" w:type="dxa"/>
            </w:tcMar>
            <w:vAlign w:val="center"/>
          </w:tcPr>
          <w:p w14:paraId="0780683A">
            <w:pPr>
              <w:pStyle w:val="101"/>
            </w:pPr>
          </w:p>
        </w:tc>
        <w:tc>
          <w:tcPr>
            <w:tcW w:w="6815" w:type="dxa"/>
            <w:tcMar>
              <w:top w:w="113" w:type="dxa"/>
              <w:left w:w="85" w:type="dxa"/>
              <w:bottom w:w="113" w:type="dxa"/>
              <w:right w:w="85" w:type="dxa"/>
            </w:tcMar>
            <w:vAlign w:val="center"/>
          </w:tcPr>
          <w:p w14:paraId="55FF2D13">
            <w:pPr>
              <w:pStyle w:val="105"/>
            </w:pPr>
            <w:r>
              <w:t>3</w:t>
            </w:r>
            <w:r>
              <w:rPr>
                <w:rFonts w:hint="eastAsia"/>
              </w:rPr>
              <w:t>、监理未对工程进度进行复核，未对实际进度和计划进度进行统计对照</w:t>
            </w:r>
          </w:p>
        </w:tc>
        <w:tc>
          <w:tcPr>
            <w:tcW w:w="1539" w:type="dxa"/>
            <w:tcMar>
              <w:top w:w="113" w:type="dxa"/>
              <w:left w:w="85" w:type="dxa"/>
              <w:bottom w:w="113" w:type="dxa"/>
              <w:right w:w="85" w:type="dxa"/>
            </w:tcMar>
            <w:vAlign w:val="center"/>
          </w:tcPr>
          <w:p w14:paraId="6F4FA9C9">
            <w:pPr>
              <w:pStyle w:val="101"/>
            </w:pPr>
            <w:r>
              <w:rPr>
                <w:rFonts w:hint="eastAsia"/>
              </w:rPr>
              <w:t>1000元/次</w:t>
            </w:r>
          </w:p>
        </w:tc>
      </w:tr>
      <w:tr w14:paraId="6BDA10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BEB3A10">
            <w:pPr>
              <w:pStyle w:val="101"/>
            </w:pPr>
          </w:p>
        </w:tc>
        <w:tc>
          <w:tcPr>
            <w:tcW w:w="599" w:type="dxa"/>
            <w:vMerge w:val="continue"/>
            <w:tcMar>
              <w:top w:w="113" w:type="dxa"/>
              <w:left w:w="85" w:type="dxa"/>
              <w:bottom w:w="113" w:type="dxa"/>
              <w:right w:w="85" w:type="dxa"/>
            </w:tcMar>
            <w:vAlign w:val="center"/>
          </w:tcPr>
          <w:p w14:paraId="4BF7BD65">
            <w:pPr>
              <w:pStyle w:val="101"/>
            </w:pPr>
          </w:p>
        </w:tc>
        <w:tc>
          <w:tcPr>
            <w:tcW w:w="6815" w:type="dxa"/>
            <w:tcMar>
              <w:top w:w="113" w:type="dxa"/>
              <w:left w:w="85" w:type="dxa"/>
              <w:bottom w:w="113" w:type="dxa"/>
              <w:right w:w="85" w:type="dxa"/>
            </w:tcMar>
            <w:vAlign w:val="center"/>
          </w:tcPr>
          <w:p w14:paraId="41D31B5B">
            <w:pPr>
              <w:pStyle w:val="105"/>
            </w:pPr>
            <w:r>
              <w:t>4</w:t>
            </w:r>
            <w:r>
              <w:rPr>
                <w:rFonts w:hint="eastAsia"/>
              </w:rPr>
              <w:t>、进度滞后计划时，未及时督促施工承包人进行计划进度调整</w:t>
            </w:r>
          </w:p>
        </w:tc>
        <w:tc>
          <w:tcPr>
            <w:tcW w:w="1539" w:type="dxa"/>
            <w:tcMar>
              <w:top w:w="113" w:type="dxa"/>
              <w:left w:w="85" w:type="dxa"/>
              <w:bottom w:w="113" w:type="dxa"/>
              <w:right w:w="85" w:type="dxa"/>
            </w:tcMar>
            <w:vAlign w:val="center"/>
          </w:tcPr>
          <w:p w14:paraId="4B6E33B4">
            <w:pPr>
              <w:pStyle w:val="101"/>
            </w:pPr>
            <w:r>
              <w:rPr>
                <w:rFonts w:hint="eastAsia"/>
              </w:rPr>
              <w:t>2000元/次</w:t>
            </w:r>
          </w:p>
        </w:tc>
      </w:tr>
      <w:tr w14:paraId="2C084A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ACE850A">
            <w:pPr>
              <w:pStyle w:val="101"/>
            </w:pPr>
          </w:p>
        </w:tc>
        <w:tc>
          <w:tcPr>
            <w:tcW w:w="599" w:type="dxa"/>
            <w:vMerge w:val="continue"/>
            <w:tcMar>
              <w:top w:w="113" w:type="dxa"/>
              <w:left w:w="85" w:type="dxa"/>
              <w:bottom w:w="113" w:type="dxa"/>
              <w:right w:w="85" w:type="dxa"/>
            </w:tcMar>
            <w:vAlign w:val="center"/>
          </w:tcPr>
          <w:p w14:paraId="6565835C">
            <w:pPr>
              <w:pStyle w:val="101"/>
            </w:pPr>
          </w:p>
        </w:tc>
        <w:tc>
          <w:tcPr>
            <w:tcW w:w="6815" w:type="dxa"/>
            <w:tcMar>
              <w:top w:w="113" w:type="dxa"/>
              <w:left w:w="85" w:type="dxa"/>
              <w:bottom w:w="113" w:type="dxa"/>
              <w:right w:w="85" w:type="dxa"/>
            </w:tcMar>
            <w:vAlign w:val="center"/>
          </w:tcPr>
          <w:p w14:paraId="46D6DEDB">
            <w:pPr>
              <w:pStyle w:val="105"/>
            </w:pPr>
            <w:r>
              <w:t>5</w:t>
            </w:r>
            <w:r>
              <w:rPr>
                <w:rFonts w:hint="eastAsia"/>
              </w:rPr>
              <w:t>、监理人员不能正确分析和有效控制制约工程进展的各种相关因素</w:t>
            </w:r>
          </w:p>
        </w:tc>
        <w:tc>
          <w:tcPr>
            <w:tcW w:w="1539" w:type="dxa"/>
            <w:tcMar>
              <w:top w:w="113" w:type="dxa"/>
              <w:left w:w="85" w:type="dxa"/>
              <w:bottom w:w="113" w:type="dxa"/>
              <w:right w:w="85" w:type="dxa"/>
            </w:tcMar>
            <w:vAlign w:val="center"/>
          </w:tcPr>
          <w:p w14:paraId="7392B63F">
            <w:pPr>
              <w:pStyle w:val="101"/>
            </w:pPr>
            <w:r>
              <w:rPr>
                <w:rFonts w:hint="eastAsia"/>
              </w:rPr>
              <w:t>500元/次</w:t>
            </w:r>
          </w:p>
        </w:tc>
      </w:tr>
      <w:tr w14:paraId="0F7BC1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5A007637">
            <w:pPr>
              <w:pStyle w:val="101"/>
            </w:pPr>
          </w:p>
        </w:tc>
        <w:tc>
          <w:tcPr>
            <w:tcW w:w="599" w:type="dxa"/>
            <w:vMerge w:val="continue"/>
            <w:tcMar>
              <w:top w:w="113" w:type="dxa"/>
              <w:left w:w="85" w:type="dxa"/>
              <w:bottom w:w="113" w:type="dxa"/>
              <w:right w:w="85" w:type="dxa"/>
            </w:tcMar>
            <w:vAlign w:val="center"/>
          </w:tcPr>
          <w:p w14:paraId="0F942A51">
            <w:pPr>
              <w:pStyle w:val="101"/>
            </w:pPr>
          </w:p>
        </w:tc>
        <w:tc>
          <w:tcPr>
            <w:tcW w:w="6815" w:type="dxa"/>
            <w:tcMar>
              <w:top w:w="113" w:type="dxa"/>
              <w:left w:w="85" w:type="dxa"/>
              <w:bottom w:w="113" w:type="dxa"/>
              <w:right w:w="85" w:type="dxa"/>
            </w:tcMar>
            <w:vAlign w:val="center"/>
          </w:tcPr>
          <w:p w14:paraId="4C1DB35A">
            <w:pPr>
              <w:pStyle w:val="105"/>
            </w:pPr>
            <w:r>
              <w:t>6</w:t>
            </w:r>
            <w:r>
              <w:rPr>
                <w:rFonts w:hint="eastAsia"/>
              </w:rPr>
              <w:t>、无进度计划上墙图表</w:t>
            </w:r>
          </w:p>
        </w:tc>
        <w:tc>
          <w:tcPr>
            <w:tcW w:w="1539" w:type="dxa"/>
            <w:tcMar>
              <w:top w:w="113" w:type="dxa"/>
              <w:left w:w="85" w:type="dxa"/>
              <w:bottom w:w="113" w:type="dxa"/>
              <w:right w:w="85" w:type="dxa"/>
            </w:tcMar>
            <w:vAlign w:val="center"/>
          </w:tcPr>
          <w:p w14:paraId="161D0A43">
            <w:pPr>
              <w:pStyle w:val="101"/>
            </w:pPr>
            <w:r>
              <w:rPr>
                <w:rFonts w:hint="eastAsia"/>
              </w:rPr>
              <w:t>500元</w:t>
            </w:r>
          </w:p>
        </w:tc>
      </w:tr>
      <w:tr w14:paraId="2E2EE3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47127DA">
            <w:pPr>
              <w:pStyle w:val="101"/>
            </w:pPr>
          </w:p>
        </w:tc>
        <w:tc>
          <w:tcPr>
            <w:tcW w:w="599" w:type="dxa"/>
            <w:vMerge w:val="continue"/>
            <w:tcMar>
              <w:top w:w="113" w:type="dxa"/>
              <w:left w:w="85" w:type="dxa"/>
              <w:bottom w:w="113" w:type="dxa"/>
              <w:right w:w="85" w:type="dxa"/>
            </w:tcMar>
            <w:vAlign w:val="center"/>
          </w:tcPr>
          <w:p w14:paraId="75706B9A">
            <w:pPr>
              <w:pStyle w:val="101"/>
            </w:pPr>
          </w:p>
        </w:tc>
        <w:tc>
          <w:tcPr>
            <w:tcW w:w="6815" w:type="dxa"/>
            <w:tcMar>
              <w:top w:w="113" w:type="dxa"/>
              <w:left w:w="85" w:type="dxa"/>
              <w:bottom w:w="113" w:type="dxa"/>
              <w:right w:w="85" w:type="dxa"/>
            </w:tcMar>
            <w:vAlign w:val="center"/>
          </w:tcPr>
          <w:p w14:paraId="45E9874D">
            <w:pPr>
              <w:pStyle w:val="105"/>
            </w:pPr>
            <w:r>
              <w:t>7</w:t>
            </w:r>
            <w:r>
              <w:rPr>
                <w:rFonts w:hint="eastAsia"/>
              </w:rPr>
              <w:t>、对监理权限内不能解决的问题没有及时向上级汇报</w:t>
            </w:r>
          </w:p>
        </w:tc>
        <w:tc>
          <w:tcPr>
            <w:tcW w:w="1539" w:type="dxa"/>
            <w:tcMar>
              <w:top w:w="113" w:type="dxa"/>
              <w:left w:w="85" w:type="dxa"/>
              <w:bottom w:w="113" w:type="dxa"/>
              <w:right w:w="85" w:type="dxa"/>
            </w:tcMar>
            <w:vAlign w:val="center"/>
          </w:tcPr>
          <w:p w14:paraId="05B47548">
            <w:pPr>
              <w:pStyle w:val="101"/>
            </w:pPr>
            <w:r>
              <w:rPr>
                <w:rFonts w:hint="eastAsia"/>
              </w:rPr>
              <w:t>500元/次</w:t>
            </w:r>
          </w:p>
        </w:tc>
      </w:tr>
      <w:tr w14:paraId="3B1788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1747A3B9">
            <w:pPr>
              <w:pStyle w:val="101"/>
            </w:pPr>
          </w:p>
        </w:tc>
        <w:tc>
          <w:tcPr>
            <w:tcW w:w="599" w:type="dxa"/>
            <w:vMerge w:val="continue"/>
            <w:tcMar>
              <w:top w:w="113" w:type="dxa"/>
              <w:left w:w="85" w:type="dxa"/>
              <w:bottom w:w="113" w:type="dxa"/>
              <w:right w:w="85" w:type="dxa"/>
            </w:tcMar>
            <w:vAlign w:val="center"/>
          </w:tcPr>
          <w:p w14:paraId="56B64987">
            <w:pPr>
              <w:pStyle w:val="101"/>
            </w:pPr>
          </w:p>
        </w:tc>
        <w:tc>
          <w:tcPr>
            <w:tcW w:w="6815" w:type="dxa"/>
            <w:tcMar>
              <w:top w:w="113" w:type="dxa"/>
              <w:left w:w="85" w:type="dxa"/>
              <w:bottom w:w="113" w:type="dxa"/>
              <w:right w:w="85" w:type="dxa"/>
            </w:tcMar>
            <w:vAlign w:val="center"/>
          </w:tcPr>
          <w:p w14:paraId="3194F90B">
            <w:pPr>
              <w:pStyle w:val="105"/>
            </w:pPr>
            <w:r>
              <w:t>8</w:t>
            </w:r>
            <w:r>
              <w:rPr>
                <w:rFonts w:hint="eastAsia"/>
              </w:rPr>
              <w:t>、对施工承包人实施的调整计划不能有效地监控</w:t>
            </w:r>
          </w:p>
        </w:tc>
        <w:tc>
          <w:tcPr>
            <w:tcW w:w="1539" w:type="dxa"/>
            <w:tcMar>
              <w:top w:w="113" w:type="dxa"/>
              <w:left w:w="85" w:type="dxa"/>
              <w:bottom w:w="113" w:type="dxa"/>
              <w:right w:w="85" w:type="dxa"/>
            </w:tcMar>
            <w:vAlign w:val="center"/>
          </w:tcPr>
          <w:p w14:paraId="624C5082">
            <w:pPr>
              <w:pStyle w:val="101"/>
            </w:pPr>
            <w:r>
              <w:rPr>
                <w:rFonts w:hint="eastAsia"/>
              </w:rPr>
              <w:t>1000元/次</w:t>
            </w:r>
          </w:p>
        </w:tc>
      </w:tr>
      <w:tr w14:paraId="3FC6F6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1" w:hRule="atLeast"/>
          <w:jc w:val="center"/>
        </w:trPr>
        <w:tc>
          <w:tcPr>
            <w:tcW w:w="642" w:type="dxa"/>
            <w:vMerge w:val="restart"/>
            <w:tcMar>
              <w:top w:w="113" w:type="dxa"/>
              <w:left w:w="85" w:type="dxa"/>
              <w:bottom w:w="113" w:type="dxa"/>
              <w:right w:w="85" w:type="dxa"/>
            </w:tcMar>
            <w:vAlign w:val="center"/>
          </w:tcPr>
          <w:p w14:paraId="7D93877C">
            <w:pPr>
              <w:jc w:val="center"/>
              <w:rPr>
                <w:rFonts w:ascii="宋体" w:hAnsi="宋体"/>
              </w:rPr>
            </w:pPr>
            <w:r>
              <w:rPr>
                <w:rFonts w:hint="eastAsia" w:ascii="宋体" w:hAnsi="宋体"/>
              </w:rPr>
              <w:t>六、投资控制</w:t>
            </w:r>
          </w:p>
        </w:tc>
        <w:tc>
          <w:tcPr>
            <w:tcW w:w="599" w:type="dxa"/>
            <w:vMerge w:val="restart"/>
            <w:tcMar>
              <w:top w:w="113" w:type="dxa"/>
              <w:left w:w="85" w:type="dxa"/>
              <w:bottom w:w="113" w:type="dxa"/>
              <w:right w:w="85" w:type="dxa"/>
            </w:tcMar>
            <w:vAlign w:val="center"/>
          </w:tcPr>
          <w:p w14:paraId="76BA855D">
            <w:pPr>
              <w:pStyle w:val="101"/>
            </w:pPr>
            <w:r>
              <w:rPr>
                <w:rFonts w:hint="eastAsia"/>
              </w:rPr>
              <w:t xml:space="preserve">工程量清单管理  </w:t>
            </w:r>
          </w:p>
        </w:tc>
        <w:tc>
          <w:tcPr>
            <w:tcW w:w="6815" w:type="dxa"/>
            <w:tcMar>
              <w:top w:w="113" w:type="dxa"/>
              <w:left w:w="85" w:type="dxa"/>
              <w:bottom w:w="113" w:type="dxa"/>
              <w:right w:w="85" w:type="dxa"/>
            </w:tcMar>
            <w:vAlign w:val="center"/>
          </w:tcPr>
          <w:p w14:paraId="43B17BAA">
            <w:pPr>
              <w:pStyle w:val="105"/>
            </w:pPr>
            <w:r>
              <w:rPr>
                <w:rFonts w:hint="eastAsia"/>
              </w:rPr>
              <w:t>1、未在规定时间内对图纸数量和清单数量进行核算</w:t>
            </w:r>
          </w:p>
        </w:tc>
        <w:tc>
          <w:tcPr>
            <w:tcW w:w="1539" w:type="dxa"/>
            <w:tcMar>
              <w:top w:w="113" w:type="dxa"/>
              <w:left w:w="85" w:type="dxa"/>
              <w:bottom w:w="113" w:type="dxa"/>
              <w:right w:w="85" w:type="dxa"/>
            </w:tcMar>
            <w:vAlign w:val="center"/>
          </w:tcPr>
          <w:p w14:paraId="1A33BD2A">
            <w:pPr>
              <w:pStyle w:val="101"/>
            </w:pPr>
            <w:r>
              <w:rPr>
                <w:rFonts w:hint="eastAsia"/>
              </w:rPr>
              <w:t>500元</w:t>
            </w:r>
          </w:p>
        </w:tc>
      </w:tr>
      <w:tr w14:paraId="24BDAC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D6F5DF9">
            <w:pPr>
              <w:pStyle w:val="101"/>
            </w:pPr>
          </w:p>
        </w:tc>
        <w:tc>
          <w:tcPr>
            <w:tcW w:w="599" w:type="dxa"/>
            <w:vMerge w:val="continue"/>
            <w:tcMar>
              <w:top w:w="113" w:type="dxa"/>
              <w:left w:w="85" w:type="dxa"/>
              <w:bottom w:w="113" w:type="dxa"/>
              <w:right w:w="85" w:type="dxa"/>
            </w:tcMar>
            <w:vAlign w:val="center"/>
          </w:tcPr>
          <w:p w14:paraId="07985553">
            <w:pPr>
              <w:pStyle w:val="101"/>
            </w:pPr>
          </w:p>
        </w:tc>
        <w:tc>
          <w:tcPr>
            <w:tcW w:w="6815" w:type="dxa"/>
            <w:tcMar>
              <w:top w:w="113" w:type="dxa"/>
              <w:left w:w="85" w:type="dxa"/>
              <w:bottom w:w="113" w:type="dxa"/>
              <w:right w:w="85" w:type="dxa"/>
            </w:tcMar>
            <w:vAlign w:val="center"/>
          </w:tcPr>
          <w:p w14:paraId="7D554E2A">
            <w:pPr>
              <w:pStyle w:val="105"/>
            </w:pPr>
            <w:r>
              <w:t>2</w:t>
            </w:r>
            <w:r>
              <w:rPr>
                <w:rFonts w:hint="eastAsia"/>
              </w:rPr>
              <w:t>、对清单所包含的内容不清楚</w:t>
            </w:r>
          </w:p>
        </w:tc>
        <w:tc>
          <w:tcPr>
            <w:tcW w:w="1539" w:type="dxa"/>
            <w:tcMar>
              <w:top w:w="113" w:type="dxa"/>
              <w:left w:w="85" w:type="dxa"/>
              <w:bottom w:w="113" w:type="dxa"/>
              <w:right w:w="85" w:type="dxa"/>
            </w:tcMar>
            <w:vAlign w:val="center"/>
          </w:tcPr>
          <w:p w14:paraId="1EC20A35">
            <w:pPr>
              <w:pStyle w:val="101"/>
            </w:pPr>
            <w:r>
              <w:rPr>
                <w:rFonts w:hint="eastAsia"/>
              </w:rPr>
              <w:t>500元</w:t>
            </w:r>
          </w:p>
        </w:tc>
      </w:tr>
      <w:tr w14:paraId="2B69B5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3" w:hRule="atLeast"/>
          <w:jc w:val="center"/>
        </w:trPr>
        <w:tc>
          <w:tcPr>
            <w:tcW w:w="642" w:type="dxa"/>
            <w:vMerge w:val="continue"/>
            <w:tcMar>
              <w:top w:w="113" w:type="dxa"/>
              <w:left w:w="85" w:type="dxa"/>
              <w:bottom w:w="113" w:type="dxa"/>
              <w:right w:w="85" w:type="dxa"/>
            </w:tcMar>
            <w:vAlign w:val="center"/>
          </w:tcPr>
          <w:p w14:paraId="0FC8708A">
            <w:pPr>
              <w:pStyle w:val="101"/>
            </w:pPr>
          </w:p>
        </w:tc>
        <w:tc>
          <w:tcPr>
            <w:tcW w:w="599" w:type="dxa"/>
            <w:vMerge w:val="continue"/>
            <w:tcMar>
              <w:top w:w="113" w:type="dxa"/>
              <w:left w:w="85" w:type="dxa"/>
              <w:bottom w:w="113" w:type="dxa"/>
              <w:right w:w="85" w:type="dxa"/>
            </w:tcMar>
            <w:vAlign w:val="center"/>
          </w:tcPr>
          <w:p w14:paraId="1170995A">
            <w:pPr>
              <w:pStyle w:val="101"/>
            </w:pPr>
          </w:p>
        </w:tc>
        <w:tc>
          <w:tcPr>
            <w:tcW w:w="6815" w:type="dxa"/>
            <w:tcMar>
              <w:top w:w="113" w:type="dxa"/>
              <w:left w:w="85" w:type="dxa"/>
              <w:bottom w:w="113" w:type="dxa"/>
              <w:right w:w="85" w:type="dxa"/>
            </w:tcMar>
            <w:vAlign w:val="center"/>
          </w:tcPr>
          <w:p w14:paraId="2C9EE50B">
            <w:pPr>
              <w:pStyle w:val="105"/>
            </w:pPr>
            <w:r>
              <w:t>3</w:t>
            </w:r>
            <w:r>
              <w:rPr>
                <w:rFonts w:hint="eastAsia"/>
              </w:rPr>
              <w:t>、未在规定时间内编制控制支付清单</w:t>
            </w:r>
          </w:p>
        </w:tc>
        <w:tc>
          <w:tcPr>
            <w:tcW w:w="1539" w:type="dxa"/>
            <w:tcMar>
              <w:top w:w="113" w:type="dxa"/>
              <w:left w:w="85" w:type="dxa"/>
              <w:bottom w:w="113" w:type="dxa"/>
              <w:right w:w="85" w:type="dxa"/>
            </w:tcMar>
            <w:vAlign w:val="center"/>
          </w:tcPr>
          <w:p w14:paraId="3F37197E">
            <w:pPr>
              <w:pStyle w:val="101"/>
            </w:pPr>
            <w:r>
              <w:rPr>
                <w:rFonts w:hint="eastAsia"/>
              </w:rPr>
              <w:t>500元</w:t>
            </w:r>
          </w:p>
        </w:tc>
      </w:tr>
      <w:tr w14:paraId="74002C1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1B91988E">
            <w:pPr>
              <w:pStyle w:val="101"/>
            </w:pPr>
          </w:p>
        </w:tc>
        <w:tc>
          <w:tcPr>
            <w:tcW w:w="599" w:type="dxa"/>
            <w:vMerge w:val="continue"/>
            <w:tcMar>
              <w:top w:w="113" w:type="dxa"/>
              <w:left w:w="85" w:type="dxa"/>
              <w:bottom w:w="113" w:type="dxa"/>
              <w:right w:w="85" w:type="dxa"/>
            </w:tcMar>
            <w:vAlign w:val="center"/>
          </w:tcPr>
          <w:p w14:paraId="0286C597">
            <w:pPr>
              <w:pStyle w:val="101"/>
            </w:pPr>
          </w:p>
        </w:tc>
        <w:tc>
          <w:tcPr>
            <w:tcW w:w="6815" w:type="dxa"/>
            <w:tcMar>
              <w:top w:w="113" w:type="dxa"/>
              <w:left w:w="85" w:type="dxa"/>
              <w:bottom w:w="113" w:type="dxa"/>
              <w:right w:w="85" w:type="dxa"/>
            </w:tcMar>
            <w:vAlign w:val="center"/>
          </w:tcPr>
          <w:p w14:paraId="0DDD6FD0">
            <w:pPr>
              <w:pStyle w:val="105"/>
            </w:pPr>
            <w:r>
              <w:t>4</w:t>
            </w:r>
            <w:r>
              <w:rPr>
                <w:rFonts w:hint="eastAsia"/>
              </w:rPr>
              <w:t>、工程数量核算有误</w:t>
            </w:r>
          </w:p>
        </w:tc>
        <w:tc>
          <w:tcPr>
            <w:tcW w:w="1539" w:type="dxa"/>
            <w:tcMar>
              <w:top w:w="113" w:type="dxa"/>
              <w:left w:w="85" w:type="dxa"/>
              <w:bottom w:w="113" w:type="dxa"/>
              <w:right w:w="85" w:type="dxa"/>
            </w:tcMar>
            <w:vAlign w:val="center"/>
          </w:tcPr>
          <w:p w14:paraId="2031A399">
            <w:pPr>
              <w:pStyle w:val="101"/>
            </w:pPr>
            <w:r>
              <w:rPr>
                <w:rFonts w:hint="eastAsia"/>
              </w:rPr>
              <w:t>1000元/次</w:t>
            </w:r>
          </w:p>
        </w:tc>
      </w:tr>
      <w:tr w14:paraId="0638A8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1" w:hRule="atLeast"/>
          <w:jc w:val="center"/>
        </w:trPr>
        <w:tc>
          <w:tcPr>
            <w:tcW w:w="642" w:type="dxa"/>
            <w:vMerge w:val="continue"/>
            <w:tcMar>
              <w:top w:w="113" w:type="dxa"/>
              <w:left w:w="85" w:type="dxa"/>
              <w:bottom w:w="113" w:type="dxa"/>
              <w:right w:w="85" w:type="dxa"/>
            </w:tcMar>
            <w:vAlign w:val="center"/>
          </w:tcPr>
          <w:p w14:paraId="0153306F">
            <w:pPr>
              <w:pStyle w:val="101"/>
            </w:pPr>
          </w:p>
        </w:tc>
        <w:tc>
          <w:tcPr>
            <w:tcW w:w="599" w:type="dxa"/>
            <w:vMerge w:val="continue"/>
            <w:tcMar>
              <w:top w:w="113" w:type="dxa"/>
              <w:left w:w="85" w:type="dxa"/>
              <w:bottom w:w="113" w:type="dxa"/>
              <w:right w:w="85" w:type="dxa"/>
            </w:tcMar>
            <w:vAlign w:val="center"/>
          </w:tcPr>
          <w:p w14:paraId="7A59E6A0">
            <w:pPr>
              <w:pStyle w:val="101"/>
            </w:pPr>
          </w:p>
        </w:tc>
        <w:tc>
          <w:tcPr>
            <w:tcW w:w="6815" w:type="dxa"/>
            <w:tcMar>
              <w:top w:w="113" w:type="dxa"/>
              <w:left w:w="85" w:type="dxa"/>
              <w:bottom w:w="113" w:type="dxa"/>
              <w:right w:w="85" w:type="dxa"/>
            </w:tcMar>
            <w:vAlign w:val="center"/>
          </w:tcPr>
          <w:p w14:paraId="6692F009">
            <w:pPr>
              <w:pStyle w:val="105"/>
            </w:pPr>
            <w:r>
              <w:t>5</w:t>
            </w:r>
            <w:r>
              <w:rPr>
                <w:rFonts w:hint="eastAsia"/>
              </w:rPr>
              <w:t>、未对支付清单进行动态管理</w:t>
            </w:r>
          </w:p>
        </w:tc>
        <w:tc>
          <w:tcPr>
            <w:tcW w:w="1539" w:type="dxa"/>
            <w:tcMar>
              <w:top w:w="113" w:type="dxa"/>
              <w:left w:w="85" w:type="dxa"/>
              <w:bottom w:w="113" w:type="dxa"/>
              <w:right w:w="85" w:type="dxa"/>
            </w:tcMar>
            <w:vAlign w:val="center"/>
          </w:tcPr>
          <w:p w14:paraId="6B5BA5FA">
            <w:pPr>
              <w:pStyle w:val="101"/>
            </w:pPr>
            <w:r>
              <w:rPr>
                <w:rFonts w:hint="eastAsia"/>
              </w:rPr>
              <w:t>500元</w:t>
            </w:r>
          </w:p>
        </w:tc>
      </w:tr>
      <w:tr w14:paraId="1FC6CA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9A9F6F8">
            <w:pPr>
              <w:pStyle w:val="101"/>
            </w:pPr>
          </w:p>
        </w:tc>
        <w:tc>
          <w:tcPr>
            <w:tcW w:w="599" w:type="dxa"/>
            <w:vMerge w:val="restart"/>
            <w:tcMar>
              <w:top w:w="113" w:type="dxa"/>
              <w:left w:w="85" w:type="dxa"/>
              <w:bottom w:w="113" w:type="dxa"/>
              <w:right w:w="85" w:type="dxa"/>
            </w:tcMar>
            <w:vAlign w:val="center"/>
          </w:tcPr>
          <w:p w14:paraId="2040E1DC">
            <w:pPr>
              <w:pStyle w:val="101"/>
            </w:pPr>
            <w:r>
              <w:rPr>
                <w:rFonts w:hint="eastAsia"/>
              </w:rPr>
              <w:t xml:space="preserve">工程量计量控制  </w:t>
            </w:r>
          </w:p>
        </w:tc>
        <w:tc>
          <w:tcPr>
            <w:tcW w:w="6815" w:type="dxa"/>
            <w:tcMar>
              <w:top w:w="113" w:type="dxa"/>
              <w:left w:w="85" w:type="dxa"/>
              <w:bottom w:w="113" w:type="dxa"/>
              <w:right w:w="85" w:type="dxa"/>
            </w:tcMar>
            <w:vAlign w:val="center"/>
          </w:tcPr>
          <w:p w14:paraId="1766D256">
            <w:pPr>
              <w:pStyle w:val="105"/>
            </w:pPr>
            <w:r>
              <w:t>1</w:t>
            </w:r>
            <w:r>
              <w:rPr>
                <w:rFonts w:hint="eastAsia"/>
              </w:rPr>
              <w:t>、现场计量方法不正确</w:t>
            </w:r>
          </w:p>
        </w:tc>
        <w:tc>
          <w:tcPr>
            <w:tcW w:w="1539" w:type="dxa"/>
            <w:tcMar>
              <w:top w:w="113" w:type="dxa"/>
              <w:left w:w="85" w:type="dxa"/>
              <w:bottom w:w="113" w:type="dxa"/>
              <w:right w:w="85" w:type="dxa"/>
            </w:tcMar>
            <w:vAlign w:val="center"/>
          </w:tcPr>
          <w:p w14:paraId="2F3F146F">
            <w:pPr>
              <w:pStyle w:val="101"/>
            </w:pPr>
            <w:r>
              <w:rPr>
                <w:rFonts w:hint="eastAsia"/>
              </w:rPr>
              <w:t>500元/次</w:t>
            </w:r>
          </w:p>
        </w:tc>
      </w:tr>
      <w:tr w14:paraId="501C35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EF4C71F">
            <w:pPr>
              <w:pStyle w:val="101"/>
            </w:pPr>
          </w:p>
        </w:tc>
        <w:tc>
          <w:tcPr>
            <w:tcW w:w="599" w:type="dxa"/>
            <w:vMerge w:val="continue"/>
            <w:tcMar>
              <w:top w:w="113" w:type="dxa"/>
              <w:left w:w="85" w:type="dxa"/>
              <w:bottom w:w="113" w:type="dxa"/>
              <w:right w:w="85" w:type="dxa"/>
            </w:tcMar>
            <w:vAlign w:val="center"/>
          </w:tcPr>
          <w:p w14:paraId="6016D033">
            <w:pPr>
              <w:pStyle w:val="101"/>
            </w:pPr>
          </w:p>
        </w:tc>
        <w:tc>
          <w:tcPr>
            <w:tcW w:w="6815" w:type="dxa"/>
            <w:tcMar>
              <w:top w:w="113" w:type="dxa"/>
              <w:left w:w="85" w:type="dxa"/>
              <w:bottom w:w="113" w:type="dxa"/>
              <w:right w:w="85" w:type="dxa"/>
            </w:tcMar>
            <w:vAlign w:val="center"/>
          </w:tcPr>
          <w:p w14:paraId="22502E15">
            <w:pPr>
              <w:pStyle w:val="105"/>
            </w:pPr>
            <w:r>
              <w:t>2</w:t>
            </w:r>
            <w:r>
              <w:rPr>
                <w:rFonts w:hint="eastAsia"/>
              </w:rPr>
              <w:t>、现场计量数量有误</w:t>
            </w:r>
          </w:p>
        </w:tc>
        <w:tc>
          <w:tcPr>
            <w:tcW w:w="1539" w:type="dxa"/>
            <w:tcMar>
              <w:top w:w="113" w:type="dxa"/>
              <w:left w:w="85" w:type="dxa"/>
              <w:bottom w:w="113" w:type="dxa"/>
              <w:right w:w="85" w:type="dxa"/>
            </w:tcMar>
            <w:vAlign w:val="center"/>
          </w:tcPr>
          <w:p w14:paraId="62B77A92">
            <w:pPr>
              <w:pStyle w:val="101"/>
            </w:pPr>
            <w:r>
              <w:rPr>
                <w:rFonts w:hint="eastAsia"/>
              </w:rPr>
              <w:t>500元/次</w:t>
            </w:r>
          </w:p>
        </w:tc>
      </w:tr>
      <w:tr w14:paraId="353D19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E7F70CA">
            <w:pPr>
              <w:pStyle w:val="101"/>
            </w:pPr>
          </w:p>
        </w:tc>
        <w:tc>
          <w:tcPr>
            <w:tcW w:w="599" w:type="dxa"/>
            <w:vMerge w:val="continue"/>
            <w:tcMar>
              <w:top w:w="113" w:type="dxa"/>
              <w:left w:w="85" w:type="dxa"/>
              <w:bottom w:w="113" w:type="dxa"/>
              <w:right w:w="85" w:type="dxa"/>
            </w:tcMar>
            <w:vAlign w:val="center"/>
          </w:tcPr>
          <w:p w14:paraId="227F76C6">
            <w:pPr>
              <w:pStyle w:val="101"/>
            </w:pPr>
          </w:p>
        </w:tc>
        <w:tc>
          <w:tcPr>
            <w:tcW w:w="6815" w:type="dxa"/>
            <w:tcMar>
              <w:top w:w="113" w:type="dxa"/>
              <w:left w:w="85" w:type="dxa"/>
              <w:bottom w:w="113" w:type="dxa"/>
              <w:right w:w="85" w:type="dxa"/>
            </w:tcMar>
            <w:vAlign w:val="center"/>
          </w:tcPr>
          <w:p w14:paraId="36595453">
            <w:pPr>
              <w:pStyle w:val="105"/>
            </w:pPr>
            <w:r>
              <w:t>3</w:t>
            </w:r>
            <w:r>
              <w:rPr>
                <w:rFonts w:hint="eastAsia"/>
              </w:rPr>
              <w:t>、监理不进行现场计量</w:t>
            </w:r>
          </w:p>
        </w:tc>
        <w:tc>
          <w:tcPr>
            <w:tcW w:w="1539" w:type="dxa"/>
            <w:tcMar>
              <w:top w:w="113" w:type="dxa"/>
              <w:left w:w="85" w:type="dxa"/>
              <w:bottom w:w="113" w:type="dxa"/>
              <w:right w:w="85" w:type="dxa"/>
            </w:tcMar>
            <w:vAlign w:val="center"/>
          </w:tcPr>
          <w:p w14:paraId="1A78492E">
            <w:pPr>
              <w:pStyle w:val="101"/>
            </w:pPr>
            <w:r>
              <w:rPr>
                <w:rFonts w:hint="eastAsia"/>
              </w:rPr>
              <w:t>1000元/次</w:t>
            </w:r>
          </w:p>
        </w:tc>
      </w:tr>
      <w:tr w14:paraId="78407B3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97F4BBC">
            <w:pPr>
              <w:pStyle w:val="101"/>
            </w:pPr>
          </w:p>
        </w:tc>
        <w:tc>
          <w:tcPr>
            <w:tcW w:w="599" w:type="dxa"/>
            <w:vMerge w:val="continue"/>
            <w:tcMar>
              <w:top w:w="113" w:type="dxa"/>
              <w:left w:w="85" w:type="dxa"/>
              <w:bottom w:w="113" w:type="dxa"/>
              <w:right w:w="85" w:type="dxa"/>
            </w:tcMar>
            <w:vAlign w:val="center"/>
          </w:tcPr>
          <w:p w14:paraId="03AAFA95">
            <w:pPr>
              <w:pStyle w:val="101"/>
            </w:pPr>
          </w:p>
        </w:tc>
        <w:tc>
          <w:tcPr>
            <w:tcW w:w="6815" w:type="dxa"/>
            <w:tcMar>
              <w:top w:w="113" w:type="dxa"/>
              <w:left w:w="85" w:type="dxa"/>
              <w:bottom w:w="113" w:type="dxa"/>
              <w:right w:w="85" w:type="dxa"/>
            </w:tcMar>
            <w:vAlign w:val="center"/>
          </w:tcPr>
          <w:p w14:paraId="6329BBE4">
            <w:pPr>
              <w:pStyle w:val="105"/>
            </w:pPr>
            <w:r>
              <w:t>4</w:t>
            </w:r>
            <w:r>
              <w:rPr>
                <w:rFonts w:hint="eastAsia"/>
              </w:rPr>
              <w:t>、未对计量工作进行阶段性统计</w:t>
            </w:r>
          </w:p>
        </w:tc>
        <w:tc>
          <w:tcPr>
            <w:tcW w:w="1539" w:type="dxa"/>
            <w:tcMar>
              <w:top w:w="113" w:type="dxa"/>
              <w:left w:w="85" w:type="dxa"/>
              <w:bottom w:w="113" w:type="dxa"/>
              <w:right w:w="85" w:type="dxa"/>
            </w:tcMar>
            <w:vAlign w:val="center"/>
          </w:tcPr>
          <w:p w14:paraId="7C80726A">
            <w:pPr>
              <w:pStyle w:val="101"/>
            </w:pPr>
            <w:r>
              <w:rPr>
                <w:rFonts w:hint="eastAsia"/>
              </w:rPr>
              <w:t>300元/次</w:t>
            </w:r>
          </w:p>
        </w:tc>
      </w:tr>
      <w:tr w14:paraId="2C6465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BF920C4">
            <w:pPr>
              <w:pStyle w:val="101"/>
            </w:pPr>
          </w:p>
        </w:tc>
        <w:tc>
          <w:tcPr>
            <w:tcW w:w="599" w:type="dxa"/>
            <w:vMerge w:val="continue"/>
            <w:tcMar>
              <w:top w:w="113" w:type="dxa"/>
              <w:left w:w="85" w:type="dxa"/>
              <w:bottom w:w="113" w:type="dxa"/>
              <w:right w:w="85" w:type="dxa"/>
            </w:tcMar>
            <w:vAlign w:val="center"/>
          </w:tcPr>
          <w:p w14:paraId="7B2EDA57">
            <w:pPr>
              <w:pStyle w:val="101"/>
            </w:pPr>
          </w:p>
        </w:tc>
        <w:tc>
          <w:tcPr>
            <w:tcW w:w="6815" w:type="dxa"/>
            <w:tcMar>
              <w:top w:w="113" w:type="dxa"/>
              <w:left w:w="85" w:type="dxa"/>
              <w:bottom w:w="113" w:type="dxa"/>
              <w:right w:w="85" w:type="dxa"/>
            </w:tcMar>
            <w:vAlign w:val="center"/>
          </w:tcPr>
          <w:p w14:paraId="6170A2E2">
            <w:pPr>
              <w:pStyle w:val="105"/>
            </w:pPr>
            <w:r>
              <w:t>5</w:t>
            </w:r>
            <w:r>
              <w:rPr>
                <w:rFonts w:hint="eastAsia"/>
              </w:rPr>
              <w:t>、对不属于计量范围的项目进行计量或对未验收、不合格、资料不全的项目进行计量</w:t>
            </w:r>
          </w:p>
        </w:tc>
        <w:tc>
          <w:tcPr>
            <w:tcW w:w="1539" w:type="dxa"/>
            <w:tcMar>
              <w:top w:w="113" w:type="dxa"/>
              <w:left w:w="85" w:type="dxa"/>
              <w:bottom w:w="113" w:type="dxa"/>
              <w:right w:w="85" w:type="dxa"/>
            </w:tcMar>
            <w:vAlign w:val="center"/>
          </w:tcPr>
          <w:p w14:paraId="4DFBC4B6">
            <w:pPr>
              <w:pStyle w:val="101"/>
            </w:pPr>
            <w:r>
              <w:rPr>
                <w:rFonts w:hint="eastAsia"/>
              </w:rPr>
              <w:t>500元/次</w:t>
            </w:r>
          </w:p>
        </w:tc>
      </w:tr>
      <w:tr w14:paraId="74D9E2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94A5EC9">
            <w:pPr>
              <w:pStyle w:val="101"/>
            </w:pPr>
          </w:p>
        </w:tc>
        <w:tc>
          <w:tcPr>
            <w:tcW w:w="599" w:type="dxa"/>
            <w:vMerge w:val="continue"/>
            <w:tcMar>
              <w:top w:w="113" w:type="dxa"/>
              <w:left w:w="85" w:type="dxa"/>
              <w:bottom w:w="113" w:type="dxa"/>
              <w:right w:w="85" w:type="dxa"/>
            </w:tcMar>
            <w:vAlign w:val="center"/>
          </w:tcPr>
          <w:p w14:paraId="71B620C3">
            <w:pPr>
              <w:pStyle w:val="101"/>
            </w:pPr>
          </w:p>
        </w:tc>
        <w:tc>
          <w:tcPr>
            <w:tcW w:w="6815" w:type="dxa"/>
            <w:tcMar>
              <w:top w:w="113" w:type="dxa"/>
              <w:left w:w="85" w:type="dxa"/>
              <w:bottom w:w="113" w:type="dxa"/>
              <w:right w:w="85" w:type="dxa"/>
            </w:tcMar>
            <w:vAlign w:val="center"/>
          </w:tcPr>
          <w:p w14:paraId="021C81D7">
            <w:pPr>
              <w:pStyle w:val="105"/>
            </w:pPr>
            <w:r>
              <w:t>6</w:t>
            </w:r>
            <w:r>
              <w:rPr>
                <w:rFonts w:hint="eastAsia"/>
              </w:rPr>
              <w:t>、未在规定时间内审核施工承包人提交的计量表或审核后仍存在错误</w:t>
            </w:r>
          </w:p>
        </w:tc>
        <w:tc>
          <w:tcPr>
            <w:tcW w:w="1539" w:type="dxa"/>
            <w:tcMar>
              <w:top w:w="113" w:type="dxa"/>
              <w:left w:w="85" w:type="dxa"/>
              <w:bottom w:w="113" w:type="dxa"/>
              <w:right w:w="85" w:type="dxa"/>
            </w:tcMar>
            <w:vAlign w:val="center"/>
          </w:tcPr>
          <w:p w14:paraId="1316BA55">
            <w:pPr>
              <w:pStyle w:val="101"/>
            </w:pPr>
            <w:r>
              <w:rPr>
                <w:rFonts w:hint="eastAsia"/>
              </w:rPr>
              <w:t>500元/次</w:t>
            </w:r>
          </w:p>
        </w:tc>
      </w:tr>
      <w:tr w14:paraId="4F5022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17EF51C9">
            <w:pPr>
              <w:pStyle w:val="101"/>
            </w:pPr>
          </w:p>
        </w:tc>
        <w:tc>
          <w:tcPr>
            <w:tcW w:w="599" w:type="dxa"/>
            <w:vMerge w:val="continue"/>
            <w:tcMar>
              <w:top w:w="113" w:type="dxa"/>
              <w:left w:w="85" w:type="dxa"/>
              <w:bottom w:w="113" w:type="dxa"/>
              <w:right w:w="85" w:type="dxa"/>
            </w:tcMar>
            <w:vAlign w:val="center"/>
          </w:tcPr>
          <w:p w14:paraId="327EAF85">
            <w:pPr>
              <w:pStyle w:val="101"/>
            </w:pPr>
          </w:p>
        </w:tc>
        <w:tc>
          <w:tcPr>
            <w:tcW w:w="6815" w:type="dxa"/>
            <w:tcMar>
              <w:top w:w="113" w:type="dxa"/>
              <w:left w:w="85" w:type="dxa"/>
              <w:bottom w:w="113" w:type="dxa"/>
              <w:right w:w="85" w:type="dxa"/>
            </w:tcMar>
            <w:vAlign w:val="center"/>
          </w:tcPr>
          <w:p w14:paraId="5CE5A324">
            <w:pPr>
              <w:pStyle w:val="105"/>
            </w:pPr>
            <w:r>
              <w:t>7</w:t>
            </w:r>
            <w:r>
              <w:rPr>
                <w:rFonts w:hint="eastAsia"/>
              </w:rPr>
              <w:t>、计量表签字不全</w:t>
            </w:r>
          </w:p>
        </w:tc>
        <w:tc>
          <w:tcPr>
            <w:tcW w:w="1539" w:type="dxa"/>
            <w:tcMar>
              <w:top w:w="113" w:type="dxa"/>
              <w:left w:w="85" w:type="dxa"/>
              <w:bottom w:w="113" w:type="dxa"/>
              <w:right w:w="85" w:type="dxa"/>
            </w:tcMar>
            <w:vAlign w:val="center"/>
          </w:tcPr>
          <w:p w14:paraId="13B4C6D7">
            <w:pPr>
              <w:pStyle w:val="101"/>
            </w:pPr>
            <w:r>
              <w:rPr>
                <w:rFonts w:hint="eastAsia"/>
              </w:rPr>
              <w:t>500元/次</w:t>
            </w:r>
          </w:p>
        </w:tc>
      </w:tr>
      <w:tr w14:paraId="538554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9D9AE86">
            <w:pPr>
              <w:pStyle w:val="101"/>
            </w:pPr>
          </w:p>
        </w:tc>
        <w:tc>
          <w:tcPr>
            <w:tcW w:w="599" w:type="dxa"/>
            <w:vMerge w:val="restart"/>
            <w:tcMar>
              <w:top w:w="113" w:type="dxa"/>
              <w:left w:w="85" w:type="dxa"/>
              <w:bottom w:w="113" w:type="dxa"/>
              <w:right w:w="85" w:type="dxa"/>
            </w:tcMar>
            <w:vAlign w:val="center"/>
          </w:tcPr>
          <w:p w14:paraId="4C85BCE4">
            <w:pPr>
              <w:pStyle w:val="101"/>
            </w:pPr>
            <w:r>
              <w:rPr>
                <w:rFonts w:hint="eastAsia"/>
              </w:rPr>
              <w:t>工程支付控制工作</w:t>
            </w:r>
          </w:p>
          <w:p w14:paraId="5DBBA4F8">
            <w:pPr>
              <w:pStyle w:val="101"/>
            </w:pPr>
          </w:p>
          <w:p w14:paraId="0A69A618">
            <w:pPr>
              <w:pStyle w:val="101"/>
            </w:pPr>
          </w:p>
          <w:p w14:paraId="2E3DF71F">
            <w:pPr>
              <w:pStyle w:val="101"/>
            </w:pPr>
          </w:p>
          <w:p w14:paraId="404DFAE5">
            <w:pPr>
              <w:pStyle w:val="101"/>
            </w:pPr>
          </w:p>
        </w:tc>
        <w:tc>
          <w:tcPr>
            <w:tcW w:w="6815" w:type="dxa"/>
            <w:tcMar>
              <w:top w:w="113" w:type="dxa"/>
              <w:left w:w="85" w:type="dxa"/>
              <w:bottom w:w="113" w:type="dxa"/>
              <w:right w:w="85" w:type="dxa"/>
            </w:tcMar>
            <w:vAlign w:val="center"/>
          </w:tcPr>
          <w:p w14:paraId="3117D9C5">
            <w:pPr>
              <w:pStyle w:val="105"/>
            </w:pPr>
            <w:r>
              <w:t>1</w:t>
            </w:r>
            <w:r>
              <w:rPr>
                <w:rFonts w:hint="eastAsia"/>
              </w:rPr>
              <w:t>、未在规定的时间内提交支付月报</w:t>
            </w:r>
          </w:p>
        </w:tc>
        <w:tc>
          <w:tcPr>
            <w:tcW w:w="1539" w:type="dxa"/>
            <w:tcMar>
              <w:top w:w="113" w:type="dxa"/>
              <w:left w:w="85" w:type="dxa"/>
              <w:bottom w:w="113" w:type="dxa"/>
              <w:right w:w="85" w:type="dxa"/>
            </w:tcMar>
            <w:vAlign w:val="center"/>
          </w:tcPr>
          <w:p w14:paraId="2F6C8AB7">
            <w:pPr>
              <w:pStyle w:val="101"/>
            </w:pPr>
            <w:r>
              <w:rPr>
                <w:rFonts w:hint="eastAsia"/>
              </w:rPr>
              <w:t>300元/次</w:t>
            </w:r>
          </w:p>
        </w:tc>
      </w:tr>
      <w:tr w14:paraId="3FD1DF3E">
        <w:tblPrEx>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C9EACD2">
            <w:pPr>
              <w:pStyle w:val="101"/>
            </w:pPr>
          </w:p>
        </w:tc>
        <w:tc>
          <w:tcPr>
            <w:tcW w:w="599" w:type="dxa"/>
            <w:vMerge w:val="continue"/>
            <w:tcMar>
              <w:top w:w="113" w:type="dxa"/>
              <w:left w:w="85" w:type="dxa"/>
              <w:bottom w:w="113" w:type="dxa"/>
              <w:right w:w="85" w:type="dxa"/>
            </w:tcMar>
            <w:vAlign w:val="center"/>
          </w:tcPr>
          <w:p w14:paraId="6CF4DA9E">
            <w:pPr>
              <w:pStyle w:val="101"/>
            </w:pPr>
          </w:p>
        </w:tc>
        <w:tc>
          <w:tcPr>
            <w:tcW w:w="6815" w:type="dxa"/>
            <w:tcMar>
              <w:top w:w="113" w:type="dxa"/>
              <w:left w:w="85" w:type="dxa"/>
              <w:bottom w:w="113" w:type="dxa"/>
              <w:right w:w="85" w:type="dxa"/>
            </w:tcMar>
            <w:vAlign w:val="center"/>
          </w:tcPr>
          <w:p w14:paraId="78A41E3F">
            <w:pPr>
              <w:pStyle w:val="105"/>
            </w:pPr>
            <w:r>
              <w:t>2</w:t>
            </w:r>
            <w:r>
              <w:rPr>
                <w:rFonts w:hint="eastAsia"/>
              </w:rPr>
              <w:t>、中期支付有超支、漏支、错支现象</w:t>
            </w:r>
          </w:p>
        </w:tc>
        <w:tc>
          <w:tcPr>
            <w:tcW w:w="1539" w:type="dxa"/>
            <w:tcMar>
              <w:top w:w="113" w:type="dxa"/>
              <w:left w:w="85" w:type="dxa"/>
              <w:bottom w:w="113" w:type="dxa"/>
              <w:right w:w="85" w:type="dxa"/>
            </w:tcMar>
            <w:vAlign w:val="center"/>
          </w:tcPr>
          <w:p w14:paraId="29BDD373">
            <w:pPr>
              <w:pStyle w:val="101"/>
            </w:pPr>
            <w:r>
              <w:rPr>
                <w:rFonts w:hint="eastAsia"/>
              </w:rPr>
              <w:t>300元/次</w:t>
            </w:r>
          </w:p>
        </w:tc>
      </w:tr>
      <w:tr w14:paraId="708E6D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6" w:hRule="atLeast"/>
          <w:jc w:val="center"/>
        </w:trPr>
        <w:tc>
          <w:tcPr>
            <w:tcW w:w="642" w:type="dxa"/>
            <w:vMerge w:val="continue"/>
            <w:tcMar>
              <w:top w:w="113" w:type="dxa"/>
              <w:left w:w="85" w:type="dxa"/>
              <w:bottom w:w="113" w:type="dxa"/>
              <w:right w:w="85" w:type="dxa"/>
            </w:tcMar>
            <w:vAlign w:val="center"/>
          </w:tcPr>
          <w:p w14:paraId="794C640C">
            <w:pPr>
              <w:pStyle w:val="101"/>
            </w:pPr>
          </w:p>
        </w:tc>
        <w:tc>
          <w:tcPr>
            <w:tcW w:w="599" w:type="dxa"/>
            <w:vMerge w:val="continue"/>
            <w:tcMar>
              <w:top w:w="113" w:type="dxa"/>
              <w:left w:w="85" w:type="dxa"/>
              <w:bottom w:w="113" w:type="dxa"/>
              <w:right w:w="85" w:type="dxa"/>
            </w:tcMar>
            <w:vAlign w:val="center"/>
          </w:tcPr>
          <w:p w14:paraId="390C9570">
            <w:pPr>
              <w:pStyle w:val="101"/>
            </w:pPr>
          </w:p>
        </w:tc>
        <w:tc>
          <w:tcPr>
            <w:tcW w:w="6815" w:type="dxa"/>
            <w:tcMar>
              <w:top w:w="113" w:type="dxa"/>
              <w:left w:w="85" w:type="dxa"/>
              <w:bottom w:w="113" w:type="dxa"/>
              <w:right w:w="85" w:type="dxa"/>
            </w:tcMar>
            <w:vAlign w:val="center"/>
          </w:tcPr>
          <w:p w14:paraId="1E1FCC8F">
            <w:pPr>
              <w:pStyle w:val="105"/>
            </w:pPr>
            <w:r>
              <w:t>3</w:t>
            </w:r>
            <w:r>
              <w:rPr>
                <w:rFonts w:hint="eastAsia"/>
              </w:rPr>
              <w:t>、未对支付工作进行阶段统计</w:t>
            </w:r>
          </w:p>
        </w:tc>
        <w:tc>
          <w:tcPr>
            <w:tcW w:w="1539" w:type="dxa"/>
            <w:tcMar>
              <w:top w:w="113" w:type="dxa"/>
              <w:left w:w="85" w:type="dxa"/>
              <w:bottom w:w="113" w:type="dxa"/>
              <w:right w:w="85" w:type="dxa"/>
            </w:tcMar>
            <w:vAlign w:val="center"/>
          </w:tcPr>
          <w:p w14:paraId="1FFC0E24">
            <w:pPr>
              <w:pStyle w:val="101"/>
            </w:pPr>
            <w:r>
              <w:rPr>
                <w:rFonts w:hint="eastAsia"/>
              </w:rPr>
              <w:t>300元/次</w:t>
            </w:r>
          </w:p>
        </w:tc>
      </w:tr>
      <w:tr w14:paraId="0DCD03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1F2FCA7">
            <w:pPr>
              <w:pStyle w:val="101"/>
            </w:pPr>
          </w:p>
        </w:tc>
        <w:tc>
          <w:tcPr>
            <w:tcW w:w="599" w:type="dxa"/>
            <w:vMerge w:val="continue"/>
            <w:tcMar>
              <w:top w:w="113" w:type="dxa"/>
              <w:left w:w="85" w:type="dxa"/>
              <w:bottom w:w="113" w:type="dxa"/>
              <w:right w:w="85" w:type="dxa"/>
            </w:tcMar>
            <w:vAlign w:val="center"/>
          </w:tcPr>
          <w:p w14:paraId="50A9D1A7">
            <w:pPr>
              <w:pStyle w:val="101"/>
            </w:pPr>
          </w:p>
        </w:tc>
        <w:tc>
          <w:tcPr>
            <w:tcW w:w="6815" w:type="dxa"/>
            <w:tcMar>
              <w:top w:w="113" w:type="dxa"/>
              <w:left w:w="85" w:type="dxa"/>
              <w:bottom w:w="113" w:type="dxa"/>
              <w:right w:w="85" w:type="dxa"/>
            </w:tcMar>
            <w:vAlign w:val="center"/>
          </w:tcPr>
          <w:p w14:paraId="0678FE58">
            <w:pPr>
              <w:pStyle w:val="105"/>
            </w:pPr>
            <w:r>
              <w:t>4</w:t>
            </w:r>
            <w:r>
              <w:rPr>
                <w:rFonts w:hint="eastAsia"/>
              </w:rPr>
              <w:t>、支付月报内容不清或未将计量支付中的问题及时向上级部门汇报</w:t>
            </w:r>
          </w:p>
        </w:tc>
        <w:tc>
          <w:tcPr>
            <w:tcW w:w="1539" w:type="dxa"/>
            <w:tcMar>
              <w:top w:w="113" w:type="dxa"/>
              <w:left w:w="85" w:type="dxa"/>
              <w:bottom w:w="113" w:type="dxa"/>
              <w:right w:w="85" w:type="dxa"/>
            </w:tcMar>
            <w:vAlign w:val="center"/>
          </w:tcPr>
          <w:p w14:paraId="2FD54AD4">
            <w:pPr>
              <w:pStyle w:val="101"/>
            </w:pPr>
            <w:r>
              <w:rPr>
                <w:rFonts w:hint="eastAsia"/>
              </w:rPr>
              <w:t>300元</w:t>
            </w:r>
          </w:p>
        </w:tc>
      </w:tr>
      <w:tr w14:paraId="65411C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5ADEA1E9">
            <w:pPr>
              <w:pStyle w:val="101"/>
            </w:pPr>
          </w:p>
        </w:tc>
        <w:tc>
          <w:tcPr>
            <w:tcW w:w="599" w:type="dxa"/>
            <w:vMerge w:val="continue"/>
            <w:tcMar>
              <w:top w:w="113" w:type="dxa"/>
              <w:left w:w="85" w:type="dxa"/>
              <w:bottom w:w="113" w:type="dxa"/>
              <w:right w:w="85" w:type="dxa"/>
            </w:tcMar>
            <w:vAlign w:val="center"/>
          </w:tcPr>
          <w:p w14:paraId="483B7AE2">
            <w:pPr>
              <w:pStyle w:val="101"/>
            </w:pPr>
          </w:p>
        </w:tc>
        <w:tc>
          <w:tcPr>
            <w:tcW w:w="6815" w:type="dxa"/>
            <w:tcMar>
              <w:top w:w="113" w:type="dxa"/>
              <w:left w:w="85" w:type="dxa"/>
              <w:bottom w:w="113" w:type="dxa"/>
              <w:right w:w="85" w:type="dxa"/>
            </w:tcMar>
            <w:vAlign w:val="center"/>
          </w:tcPr>
          <w:p w14:paraId="604CDBEF">
            <w:pPr>
              <w:pStyle w:val="105"/>
            </w:pPr>
            <w:r>
              <w:t>5</w:t>
            </w:r>
            <w:r>
              <w:rPr>
                <w:rFonts w:hint="eastAsia"/>
              </w:rPr>
              <w:t>、支付金额不符合规定要求</w:t>
            </w:r>
          </w:p>
        </w:tc>
        <w:tc>
          <w:tcPr>
            <w:tcW w:w="1539" w:type="dxa"/>
            <w:tcMar>
              <w:top w:w="113" w:type="dxa"/>
              <w:left w:w="85" w:type="dxa"/>
              <w:bottom w:w="113" w:type="dxa"/>
              <w:right w:w="85" w:type="dxa"/>
            </w:tcMar>
            <w:vAlign w:val="center"/>
          </w:tcPr>
          <w:p w14:paraId="71730426">
            <w:pPr>
              <w:pStyle w:val="101"/>
            </w:pPr>
            <w:r>
              <w:rPr>
                <w:rFonts w:hint="eastAsia"/>
              </w:rPr>
              <w:t>300元/次</w:t>
            </w:r>
          </w:p>
        </w:tc>
      </w:tr>
      <w:tr w14:paraId="68342B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restart"/>
            <w:tcMar>
              <w:top w:w="113" w:type="dxa"/>
              <w:left w:w="85" w:type="dxa"/>
              <w:bottom w:w="113" w:type="dxa"/>
              <w:right w:w="85" w:type="dxa"/>
            </w:tcMar>
            <w:vAlign w:val="center"/>
          </w:tcPr>
          <w:p w14:paraId="77026F3F">
            <w:pPr>
              <w:pStyle w:val="101"/>
            </w:pPr>
            <w:r>
              <w:rPr>
                <w:rFonts w:hint="eastAsia"/>
                <w:snapToGrid/>
              </w:rPr>
              <w:drawing>
                <wp:anchor distT="0" distB="0" distL="114300" distR="114300" simplePos="0" relativeHeight="251665408" behindDoc="1" locked="1" layoutInCell="1" allowOverlap="1">
                  <wp:simplePos x="0" y="0"/>
                  <wp:positionH relativeFrom="column">
                    <wp:posOffset>673100</wp:posOffset>
                  </wp:positionH>
                  <wp:positionV relativeFrom="paragraph">
                    <wp:posOffset>1130300</wp:posOffset>
                  </wp:positionV>
                  <wp:extent cx="1435100" cy="203200"/>
                  <wp:effectExtent l="0" t="0" r="0" b="6350"/>
                  <wp:wrapNone/>
                  <wp:docPr id="9" name="图片 9"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35100" cy="203200"/>
                          </a:xfrm>
                          <a:prstGeom prst="rect">
                            <a:avLst/>
                          </a:prstGeom>
                          <a:noFill/>
                          <a:ln>
                            <a:noFill/>
                          </a:ln>
                        </pic:spPr>
                      </pic:pic>
                    </a:graphicData>
                  </a:graphic>
                </wp:anchor>
              </w:drawing>
            </w:r>
            <w:r>
              <w:rPr>
                <w:rFonts w:hint="eastAsia"/>
              </w:rPr>
              <w:t>七、合同管理</w:t>
            </w:r>
          </w:p>
        </w:tc>
        <w:tc>
          <w:tcPr>
            <w:tcW w:w="599" w:type="dxa"/>
            <w:vMerge w:val="restart"/>
            <w:tcMar>
              <w:top w:w="113" w:type="dxa"/>
              <w:left w:w="85" w:type="dxa"/>
              <w:bottom w:w="113" w:type="dxa"/>
              <w:right w:w="85" w:type="dxa"/>
            </w:tcMar>
            <w:vAlign w:val="center"/>
          </w:tcPr>
          <w:p w14:paraId="281BFFD3">
            <w:pPr>
              <w:pStyle w:val="101"/>
            </w:pPr>
            <w:r>
              <w:rPr>
                <w:rFonts w:hint="eastAsia"/>
              </w:rPr>
              <w:t>对施工承包人履约情况的监督</w:t>
            </w:r>
          </w:p>
        </w:tc>
        <w:tc>
          <w:tcPr>
            <w:tcW w:w="6815" w:type="dxa"/>
            <w:tcMar>
              <w:top w:w="113" w:type="dxa"/>
              <w:left w:w="85" w:type="dxa"/>
              <w:bottom w:w="113" w:type="dxa"/>
              <w:right w:w="85" w:type="dxa"/>
            </w:tcMar>
            <w:vAlign w:val="center"/>
          </w:tcPr>
          <w:p w14:paraId="4D889AED">
            <w:pPr>
              <w:pStyle w:val="105"/>
            </w:pPr>
            <w:r>
              <w:t>1</w:t>
            </w:r>
            <w:r>
              <w:rPr>
                <w:rFonts w:hint="eastAsia"/>
              </w:rPr>
              <w:t>、施工承包人质保体系不完善、不能有效发挥作用而监理未进行有效监控</w:t>
            </w:r>
          </w:p>
        </w:tc>
        <w:tc>
          <w:tcPr>
            <w:tcW w:w="1539" w:type="dxa"/>
            <w:tcMar>
              <w:top w:w="113" w:type="dxa"/>
              <w:left w:w="85" w:type="dxa"/>
              <w:bottom w:w="113" w:type="dxa"/>
              <w:right w:w="85" w:type="dxa"/>
            </w:tcMar>
            <w:vAlign w:val="center"/>
          </w:tcPr>
          <w:p w14:paraId="09BAB6CE">
            <w:pPr>
              <w:pStyle w:val="101"/>
            </w:pPr>
            <w:r>
              <w:rPr>
                <w:rFonts w:hint="eastAsia"/>
              </w:rPr>
              <w:t>500元/次</w:t>
            </w:r>
          </w:p>
        </w:tc>
      </w:tr>
      <w:tr w14:paraId="42B6F6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69FC4C3">
            <w:pPr>
              <w:pStyle w:val="101"/>
            </w:pPr>
          </w:p>
        </w:tc>
        <w:tc>
          <w:tcPr>
            <w:tcW w:w="599" w:type="dxa"/>
            <w:vMerge w:val="continue"/>
            <w:tcMar>
              <w:top w:w="113" w:type="dxa"/>
              <w:left w:w="85" w:type="dxa"/>
              <w:bottom w:w="113" w:type="dxa"/>
              <w:right w:w="85" w:type="dxa"/>
            </w:tcMar>
            <w:vAlign w:val="center"/>
          </w:tcPr>
          <w:p w14:paraId="0C2B1B09">
            <w:pPr>
              <w:pStyle w:val="101"/>
            </w:pPr>
          </w:p>
        </w:tc>
        <w:tc>
          <w:tcPr>
            <w:tcW w:w="6815" w:type="dxa"/>
            <w:tcMar>
              <w:top w:w="113" w:type="dxa"/>
              <w:left w:w="85" w:type="dxa"/>
              <w:bottom w:w="113" w:type="dxa"/>
              <w:right w:w="85" w:type="dxa"/>
            </w:tcMar>
            <w:vAlign w:val="center"/>
          </w:tcPr>
          <w:p w14:paraId="2BB3BC59">
            <w:pPr>
              <w:pStyle w:val="105"/>
            </w:pPr>
            <w:r>
              <w:rPr>
                <w:rFonts w:hint="eastAsia"/>
              </w:rPr>
              <w:t>2、施工承包人主要人员发生变动或更换以致不能满足合同，而监理未做指令</w:t>
            </w:r>
          </w:p>
        </w:tc>
        <w:tc>
          <w:tcPr>
            <w:tcW w:w="1539" w:type="dxa"/>
            <w:tcMar>
              <w:top w:w="113" w:type="dxa"/>
              <w:left w:w="85" w:type="dxa"/>
              <w:bottom w:w="113" w:type="dxa"/>
              <w:right w:w="85" w:type="dxa"/>
            </w:tcMar>
            <w:vAlign w:val="center"/>
          </w:tcPr>
          <w:p w14:paraId="31295B63">
            <w:pPr>
              <w:pStyle w:val="101"/>
            </w:pPr>
            <w:r>
              <w:rPr>
                <w:rFonts w:hint="eastAsia"/>
              </w:rPr>
              <w:t>500元/次</w:t>
            </w:r>
          </w:p>
        </w:tc>
      </w:tr>
      <w:tr w14:paraId="5E4E6F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23BC0F0">
            <w:pPr>
              <w:pStyle w:val="101"/>
            </w:pPr>
          </w:p>
        </w:tc>
        <w:tc>
          <w:tcPr>
            <w:tcW w:w="599" w:type="dxa"/>
            <w:vMerge w:val="continue"/>
            <w:tcMar>
              <w:top w:w="113" w:type="dxa"/>
              <w:left w:w="85" w:type="dxa"/>
              <w:bottom w:w="113" w:type="dxa"/>
              <w:right w:w="85" w:type="dxa"/>
            </w:tcMar>
            <w:vAlign w:val="center"/>
          </w:tcPr>
          <w:p w14:paraId="1B88B327">
            <w:pPr>
              <w:pStyle w:val="101"/>
            </w:pPr>
          </w:p>
        </w:tc>
        <w:tc>
          <w:tcPr>
            <w:tcW w:w="6815" w:type="dxa"/>
            <w:tcMar>
              <w:top w:w="113" w:type="dxa"/>
              <w:left w:w="85" w:type="dxa"/>
              <w:bottom w:w="113" w:type="dxa"/>
              <w:right w:w="85" w:type="dxa"/>
            </w:tcMar>
            <w:vAlign w:val="center"/>
          </w:tcPr>
          <w:p w14:paraId="4B2749A0">
            <w:pPr>
              <w:pStyle w:val="105"/>
            </w:pPr>
            <w:r>
              <w:t>3</w:t>
            </w:r>
            <w:r>
              <w:rPr>
                <w:rFonts w:hint="eastAsia"/>
              </w:rPr>
              <w:t>、无论监理批准与否，因施工承包人减少主要机械设备而使工程受影响</w:t>
            </w:r>
          </w:p>
        </w:tc>
        <w:tc>
          <w:tcPr>
            <w:tcW w:w="1539" w:type="dxa"/>
            <w:tcMar>
              <w:top w:w="113" w:type="dxa"/>
              <w:left w:w="85" w:type="dxa"/>
              <w:bottom w:w="113" w:type="dxa"/>
              <w:right w:w="85" w:type="dxa"/>
            </w:tcMar>
            <w:vAlign w:val="center"/>
          </w:tcPr>
          <w:p w14:paraId="33F94D00">
            <w:pPr>
              <w:pStyle w:val="101"/>
            </w:pPr>
            <w:r>
              <w:rPr>
                <w:rFonts w:hint="eastAsia"/>
              </w:rPr>
              <w:t>500元</w:t>
            </w:r>
          </w:p>
        </w:tc>
      </w:tr>
      <w:tr w14:paraId="7ABACE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E6FAFA1">
            <w:pPr>
              <w:pStyle w:val="101"/>
            </w:pPr>
          </w:p>
        </w:tc>
        <w:tc>
          <w:tcPr>
            <w:tcW w:w="599" w:type="dxa"/>
            <w:vMerge w:val="continue"/>
            <w:tcMar>
              <w:top w:w="113" w:type="dxa"/>
              <w:left w:w="85" w:type="dxa"/>
              <w:bottom w:w="113" w:type="dxa"/>
              <w:right w:w="85" w:type="dxa"/>
            </w:tcMar>
            <w:vAlign w:val="center"/>
          </w:tcPr>
          <w:p w14:paraId="32920CD8">
            <w:pPr>
              <w:pStyle w:val="101"/>
            </w:pPr>
          </w:p>
        </w:tc>
        <w:tc>
          <w:tcPr>
            <w:tcW w:w="6815" w:type="dxa"/>
            <w:tcMar>
              <w:top w:w="113" w:type="dxa"/>
              <w:left w:w="85" w:type="dxa"/>
              <w:bottom w:w="113" w:type="dxa"/>
              <w:right w:w="85" w:type="dxa"/>
            </w:tcMar>
            <w:vAlign w:val="center"/>
          </w:tcPr>
          <w:p w14:paraId="0B1B2D29">
            <w:pPr>
              <w:pStyle w:val="105"/>
            </w:pPr>
            <w:r>
              <w:t>4</w:t>
            </w:r>
            <w:r>
              <w:rPr>
                <w:rFonts w:hint="eastAsia"/>
              </w:rPr>
              <w:t>、施工承包人把用于本工程的资金挪用别处而监理未发现或未加以制止</w:t>
            </w:r>
          </w:p>
        </w:tc>
        <w:tc>
          <w:tcPr>
            <w:tcW w:w="1539" w:type="dxa"/>
            <w:tcMar>
              <w:top w:w="113" w:type="dxa"/>
              <w:left w:w="85" w:type="dxa"/>
              <w:bottom w:w="113" w:type="dxa"/>
              <w:right w:w="85" w:type="dxa"/>
            </w:tcMar>
            <w:vAlign w:val="center"/>
          </w:tcPr>
          <w:p w14:paraId="36B0846F">
            <w:pPr>
              <w:pStyle w:val="101"/>
            </w:pPr>
            <w:r>
              <w:rPr>
                <w:rFonts w:hint="eastAsia"/>
              </w:rPr>
              <w:t>1000元/次</w:t>
            </w:r>
          </w:p>
        </w:tc>
      </w:tr>
      <w:tr w14:paraId="097CD2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1C6C27C">
            <w:pPr>
              <w:pStyle w:val="101"/>
            </w:pPr>
          </w:p>
        </w:tc>
        <w:tc>
          <w:tcPr>
            <w:tcW w:w="599" w:type="dxa"/>
            <w:vMerge w:val="continue"/>
            <w:tcMar>
              <w:top w:w="113" w:type="dxa"/>
              <w:left w:w="85" w:type="dxa"/>
              <w:bottom w:w="113" w:type="dxa"/>
              <w:right w:w="85" w:type="dxa"/>
            </w:tcMar>
            <w:vAlign w:val="center"/>
          </w:tcPr>
          <w:p w14:paraId="0E7DC21E">
            <w:pPr>
              <w:pStyle w:val="101"/>
            </w:pPr>
          </w:p>
        </w:tc>
        <w:tc>
          <w:tcPr>
            <w:tcW w:w="6815" w:type="dxa"/>
            <w:tcMar>
              <w:top w:w="113" w:type="dxa"/>
              <w:left w:w="85" w:type="dxa"/>
              <w:bottom w:w="113" w:type="dxa"/>
              <w:right w:w="85" w:type="dxa"/>
            </w:tcMar>
            <w:vAlign w:val="center"/>
          </w:tcPr>
          <w:p w14:paraId="1967B701">
            <w:pPr>
              <w:pStyle w:val="105"/>
            </w:pPr>
            <w:r>
              <w:t>5</w:t>
            </w:r>
            <w:r>
              <w:rPr>
                <w:rFonts w:hint="eastAsia"/>
              </w:rPr>
              <w:t>、对施工承包人的其它违约事项未进行有效控制</w:t>
            </w:r>
          </w:p>
        </w:tc>
        <w:tc>
          <w:tcPr>
            <w:tcW w:w="1539" w:type="dxa"/>
            <w:tcMar>
              <w:top w:w="113" w:type="dxa"/>
              <w:left w:w="85" w:type="dxa"/>
              <w:bottom w:w="113" w:type="dxa"/>
              <w:right w:w="85" w:type="dxa"/>
            </w:tcMar>
            <w:vAlign w:val="center"/>
          </w:tcPr>
          <w:p w14:paraId="54AD17D1">
            <w:pPr>
              <w:pStyle w:val="101"/>
            </w:pPr>
            <w:r>
              <w:rPr>
                <w:rFonts w:hint="eastAsia"/>
              </w:rPr>
              <w:t>500元</w:t>
            </w:r>
          </w:p>
        </w:tc>
      </w:tr>
      <w:tr w14:paraId="7D8806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3922D19">
            <w:pPr>
              <w:pStyle w:val="101"/>
            </w:pPr>
          </w:p>
        </w:tc>
        <w:tc>
          <w:tcPr>
            <w:tcW w:w="599" w:type="dxa"/>
            <w:vMerge w:val="restart"/>
            <w:tcMar>
              <w:top w:w="113" w:type="dxa"/>
              <w:left w:w="85" w:type="dxa"/>
              <w:bottom w:w="113" w:type="dxa"/>
              <w:right w:w="85" w:type="dxa"/>
            </w:tcMar>
            <w:vAlign w:val="center"/>
          </w:tcPr>
          <w:p w14:paraId="695D59BD">
            <w:pPr>
              <w:pStyle w:val="101"/>
            </w:pPr>
            <w:r>
              <w:rPr>
                <w:rFonts w:hint="eastAsia"/>
              </w:rPr>
              <w:t>工程变更控制工作</w:t>
            </w:r>
          </w:p>
        </w:tc>
        <w:tc>
          <w:tcPr>
            <w:tcW w:w="6815" w:type="dxa"/>
            <w:tcMar>
              <w:top w:w="113" w:type="dxa"/>
              <w:left w:w="85" w:type="dxa"/>
              <w:bottom w:w="113" w:type="dxa"/>
              <w:right w:w="85" w:type="dxa"/>
            </w:tcMar>
            <w:vAlign w:val="center"/>
          </w:tcPr>
          <w:p w14:paraId="280718D8">
            <w:pPr>
              <w:pStyle w:val="105"/>
            </w:pPr>
            <w:r>
              <w:t>1</w:t>
            </w:r>
            <w:r>
              <w:rPr>
                <w:rFonts w:hint="eastAsia"/>
              </w:rPr>
              <w:t>、经监理审批的变更项目的工程数量及费用测算明显有误</w:t>
            </w:r>
          </w:p>
        </w:tc>
        <w:tc>
          <w:tcPr>
            <w:tcW w:w="1539" w:type="dxa"/>
            <w:tcMar>
              <w:top w:w="113" w:type="dxa"/>
              <w:left w:w="85" w:type="dxa"/>
              <w:bottom w:w="113" w:type="dxa"/>
              <w:right w:w="85" w:type="dxa"/>
            </w:tcMar>
            <w:vAlign w:val="center"/>
          </w:tcPr>
          <w:p w14:paraId="7903E6DA">
            <w:pPr>
              <w:pStyle w:val="101"/>
            </w:pPr>
            <w:r>
              <w:rPr>
                <w:rFonts w:hint="eastAsia"/>
              </w:rPr>
              <w:t>1000元/次</w:t>
            </w:r>
          </w:p>
        </w:tc>
      </w:tr>
      <w:tr w14:paraId="58DD2E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11AEF545">
            <w:pPr>
              <w:pStyle w:val="101"/>
            </w:pPr>
          </w:p>
        </w:tc>
        <w:tc>
          <w:tcPr>
            <w:tcW w:w="599" w:type="dxa"/>
            <w:vMerge w:val="continue"/>
            <w:tcMar>
              <w:top w:w="113" w:type="dxa"/>
              <w:left w:w="85" w:type="dxa"/>
              <w:bottom w:w="113" w:type="dxa"/>
              <w:right w:w="85" w:type="dxa"/>
            </w:tcMar>
            <w:vAlign w:val="center"/>
          </w:tcPr>
          <w:p w14:paraId="059E5D52">
            <w:pPr>
              <w:pStyle w:val="101"/>
            </w:pPr>
          </w:p>
        </w:tc>
        <w:tc>
          <w:tcPr>
            <w:tcW w:w="6815" w:type="dxa"/>
            <w:tcMar>
              <w:top w:w="113" w:type="dxa"/>
              <w:left w:w="85" w:type="dxa"/>
              <w:bottom w:w="113" w:type="dxa"/>
              <w:right w:w="85" w:type="dxa"/>
            </w:tcMar>
            <w:vAlign w:val="center"/>
          </w:tcPr>
          <w:p w14:paraId="107F7683">
            <w:pPr>
              <w:pStyle w:val="105"/>
            </w:pPr>
            <w:r>
              <w:rPr>
                <w:rFonts w:hint="eastAsia"/>
              </w:rPr>
              <w:t>2、施工承包人擅自对工程项目进行变更而监理未加制止</w:t>
            </w:r>
            <w:r>
              <w:t>）</w:t>
            </w:r>
          </w:p>
        </w:tc>
        <w:tc>
          <w:tcPr>
            <w:tcW w:w="1539" w:type="dxa"/>
            <w:tcMar>
              <w:top w:w="113" w:type="dxa"/>
              <w:left w:w="85" w:type="dxa"/>
              <w:bottom w:w="113" w:type="dxa"/>
              <w:right w:w="85" w:type="dxa"/>
            </w:tcMar>
            <w:vAlign w:val="center"/>
          </w:tcPr>
          <w:p w14:paraId="31C1EE59">
            <w:pPr>
              <w:pStyle w:val="101"/>
            </w:pPr>
            <w:r>
              <w:rPr>
                <w:rFonts w:hint="eastAsia"/>
              </w:rPr>
              <w:t>2000元/次</w:t>
            </w:r>
          </w:p>
        </w:tc>
      </w:tr>
      <w:tr w14:paraId="6C4DF6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5FD7A2F">
            <w:pPr>
              <w:pStyle w:val="101"/>
            </w:pPr>
          </w:p>
        </w:tc>
        <w:tc>
          <w:tcPr>
            <w:tcW w:w="599" w:type="dxa"/>
            <w:vMerge w:val="continue"/>
            <w:tcMar>
              <w:top w:w="113" w:type="dxa"/>
              <w:left w:w="85" w:type="dxa"/>
              <w:bottom w:w="113" w:type="dxa"/>
              <w:right w:w="85" w:type="dxa"/>
            </w:tcMar>
            <w:vAlign w:val="center"/>
          </w:tcPr>
          <w:p w14:paraId="2DD59A0B">
            <w:pPr>
              <w:pStyle w:val="101"/>
            </w:pPr>
          </w:p>
        </w:tc>
        <w:tc>
          <w:tcPr>
            <w:tcW w:w="6815" w:type="dxa"/>
            <w:tcMar>
              <w:top w:w="113" w:type="dxa"/>
              <w:left w:w="85" w:type="dxa"/>
              <w:bottom w:w="113" w:type="dxa"/>
              <w:right w:w="85" w:type="dxa"/>
            </w:tcMar>
            <w:vAlign w:val="center"/>
          </w:tcPr>
          <w:p w14:paraId="2D12982F">
            <w:pPr>
              <w:pStyle w:val="105"/>
            </w:pPr>
            <w:r>
              <w:t>3</w:t>
            </w:r>
            <w:r>
              <w:rPr>
                <w:rFonts w:hint="eastAsia"/>
              </w:rPr>
              <w:t>、对工程变更意向监理不能及时提供确切情况</w:t>
            </w:r>
          </w:p>
        </w:tc>
        <w:tc>
          <w:tcPr>
            <w:tcW w:w="1539" w:type="dxa"/>
            <w:tcMar>
              <w:top w:w="113" w:type="dxa"/>
              <w:left w:w="85" w:type="dxa"/>
              <w:bottom w:w="113" w:type="dxa"/>
              <w:right w:w="85" w:type="dxa"/>
            </w:tcMar>
            <w:vAlign w:val="center"/>
          </w:tcPr>
          <w:p w14:paraId="116776BB">
            <w:pPr>
              <w:pStyle w:val="101"/>
            </w:pPr>
            <w:r>
              <w:rPr>
                <w:rFonts w:hint="eastAsia"/>
              </w:rPr>
              <w:t>1000元/次</w:t>
            </w:r>
          </w:p>
        </w:tc>
      </w:tr>
      <w:tr w14:paraId="200D47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5356174D">
            <w:pPr>
              <w:pStyle w:val="101"/>
            </w:pPr>
          </w:p>
        </w:tc>
        <w:tc>
          <w:tcPr>
            <w:tcW w:w="599" w:type="dxa"/>
            <w:vMerge w:val="continue"/>
            <w:tcMar>
              <w:top w:w="113" w:type="dxa"/>
              <w:left w:w="85" w:type="dxa"/>
              <w:bottom w:w="113" w:type="dxa"/>
              <w:right w:w="85" w:type="dxa"/>
            </w:tcMar>
            <w:vAlign w:val="center"/>
          </w:tcPr>
          <w:p w14:paraId="0E827EBB">
            <w:pPr>
              <w:pStyle w:val="101"/>
            </w:pPr>
          </w:p>
        </w:tc>
        <w:tc>
          <w:tcPr>
            <w:tcW w:w="6815" w:type="dxa"/>
            <w:tcMar>
              <w:top w:w="113" w:type="dxa"/>
              <w:left w:w="85" w:type="dxa"/>
              <w:bottom w:w="113" w:type="dxa"/>
              <w:right w:w="85" w:type="dxa"/>
            </w:tcMar>
            <w:vAlign w:val="center"/>
          </w:tcPr>
          <w:p w14:paraId="24FDE55D">
            <w:pPr>
              <w:pStyle w:val="105"/>
            </w:pPr>
            <w:r>
              <w:t>4</w:t>
            </w:r>
            <w:r>
              <w:rPr>
                <w:rFonts w:hint="eastAsia"/>
              </w:rPr>
              <w:t>、监理审批的变更手续不全</w:t>
            </w:r>
          </w:p>
        </w:tc>
        <w:tc>
          <w:tcPr>
            <w:tcW w:w="1539" w:type="dxa"/>
            <w:tcMar>
              <w:top w:w="113" w:type="dxa"/>
              <w:left w:w="85" w:type="dxa"/>
              <w:bottom w:w="113" w:type="dxa"/>
              <w:right w:w="85" w:type="dxa"/>
            </w:tcMar>
            <w:vAlign w:val="center"/>
          </w:tcPr>
          <w:p w14:paraId="1C26E2B7">
            <w:pPr>
              <w:pStyle w:val="101"/>
            </w:pPr>
            <w:r>
              <w:rPr>
                <w:rFonts w:hint="eastAsia"/>
              </w:rPr>
              <w:t>1000元/次</w:t>
            </w:r>
          </w:p>
        </w:tc>
      </w:tr>
      <w:tr w14:paraId="226ABC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16FC7FA6">
            <w:pPr>
              <w:pStyle w:val="101"/>
            </w:pPr>
          </w:p>
        </w:tc>
        <w:tc>
          <w:tcPr>
            <w:tcW w:w="599" w:type="dxa"/>
            <w:vMerge w:val="restart"/>
            <w:tcMar>
              <w:top w:w="113" w:type="dxa"/>
              <w:left w:w="85" w:type="dxa"/>
              <w:bottom w:w="113" w:type="dxa"/>
              <w:right w:w="85" w:type="dxa"/>
            </w:tcMar>
            <w:vAlign w:val="center"/>
          </w:tcPr>
          <w:p w14:paraId="62EE24CB">
            <w:pPr>
              <w:pStyle w:val="101"/>
            </w:pPr>
            <w:r>
              <w:rPr>
                <w:rFonts w:hint="eastAsia"/>
              </w:rPr>
              <w:t>工程分包控制工作</w:t>
            </w:r>
          </w:p>
        </w:tc>
        <w:tc>
          <w:tcPr>
            <w:tcW w:w="6815" w:type="dxa"/>
            <w:tcMar>
              <w:top w:w="113" w:type="dxa"/>
              <w:left w:w="85" w:type="dxa"/>
              <w:bottom w:w="113" w:type="dxa"/>
              <w:right w:w="85" w:type="dxa"/>
            </w:tcMar>
            <w:vAlign w:val="center"/>
          </w:tcPr>
          <w:p w14:paraId="6A3BE473">
            <w:pPr>
              <w:pStyle w:val="105"/>
            </w:pPr>
            <w:r>
              <w:rPr>
                <w:rFonts w:hint="eastAsia"/>
              </w:rPr>
              <w:t>1、施工承包人未经批准进行工程分包而监理未采取有效措施予以纠正</w:t>
            </w:r>
          </w:p>
        </w:tc>
        <w:tc>
          <w:tcPr>
            <w:tcW w:w="1539" w:type="dxa"/>
            <w:tcMar>
              <w:top w:w="113" w:type="dxa"/>
              <w:left w:w="85" w:type="dxa"/>
              <w:bottom w:w="113" w:type="dxa"/>
              <w:right w:w="85" w:type="dxa"/>
            </w:tcMar>
            <w:vAlign w:val="center"/>
          </w:tcPr>
          <w:p w14:paraId="5952D682">
            <w:pPr>
              <w:pStyle w:val="101"/>
            </w:pPr>
            <w:r>
              <w:rPr>
                <w:rFonts w:hint="eastAsia"/>
              </w:rPr>
              <w:t>1000元/次</w:t>
            </w:r>
          </w:p>
        </w:tc>
      </w:tr>
      <w:tr w14:paraId="7DE4DA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6C3E96D">
            <w:pPr>
              <w:pStyle w:val="101"/>
            </w:pPr>
          </w:p>
        </w:tc>
        <w:tc>
          <w:tcPr>
            <w:tcW w:w="599" w:type="dxa"/>
            <w:vMerge w:val="continue"/>
            <w:tcMar>
              <w:top w:w="113" w:type="dxa"/>
              <w:left w:w="85" w:type="dxa"/>
              <w:bottom w:w="113" w:type="dxa"/>
              <w:right w:w="85" w:type="dxa"/>
            </w:tcMar>
            <w:vAlign w:val="center"/>
          </w:tcPr>
          <w:p w14:paraId="7A2EA09B">
            <w:pPr>
              <w:pStyle w:val="101"/>
            </w:pPr>
          </w:p>
        </w:tc>
        <w:tc>
          <w:tcPr>
            <w:tcW w:w="6815" w:type="dxa"/>
            <w:tcMar>
              <w:top w:w="113" w:type="dxa"/>
              <w:left w:w="85" w:type="dxa"/>
              <w:bottom w:w="113" w:type="dxa"/>
              <w:right w:w="85" w:type="dxa"/>
            </w:tcMar>
            <w:vAlign w:val="center"/>
          </w:tcPr>
          <w:p w14:paraId="04B55CEF">
            <w:pPr>
              <w:pStyle w:val="105"/>
            </w:pPr>
            <w:r>
              <w:t>2</w:t>
            </w:r>
            <w:r>
              <w:rPr>
                <w:rFonts w:hint="eastAsia"/>
              </w:rPr>
              <w:t>、监理人员未能有效地对分包项目进行质量监督管理</w:t>
            </w:r>
          </w:p>
        </w:tc>
        <w:tc>
          <w:tcPr>
            <w:tcW w:w="1539" w:type="dxa"/>
            <w:tcMar>
              <w:top w:w="113" w:type="dxa"/>
              <w:left w:w="85" w:type="dxa"/>
              <w:bottom w:w="113" w:type="dxa"/>
              <w:right w:w="85" w:type="dxa"/>
            </w:tcMar>
            <w:vAlign w:val="center"/>
          </w:tcPr>
          <w:p w14:paraId="241A2D5C">
            <w:pPr>
              <w:pStyle w:val="101"/>
            </w:pPr>
            <w:r>
              <w:rPr>
                <w:rFonts w:hint="eastAsia"/>
              </w:rPr>
              <w:t>1000元/次</w:t>
            </w:r>
          </w:p>
        </w:tc>
      </w:tr>
      <w:tr w14:paraId="525FDA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19B9CA59">
            <w:pPr>
              <w:pStyle w:val="101"/>
            </w:pPr>
          </w:p>
        </w:tc>
        <w:tc>
          <w:tcPr>
            <w:tcW w:w="599" w:type="dxa"/>
            <w:vMerge w:val="continue"/>
            <w:tcMar>
              <w:top w:w="113" w:type="dxa"/>
              <w:left w:w="85" w:type="dxa"/>
              <w:bottom w:w="113" w:type="dxa"/>
              <w:right w:w="85" w:type="dxa"/>
            </w:tcMar>
            <w:vAlign w:val="center"/>
          </w:tcPr>
          <w:p w14:paraId="4950FC19">
            <w:pPr>
              <w:pStyle w:val="101"/>
            </w:pPr>
          </w:p>
        </w:tc>
        <w:tc>
          <w:tcPr>
            <w:tcW w:w="6815" w:type="dxa"/>
            <w:tcMar>
              <w:top w:w="113" w:type="dxa"/>
              <w:left w:w="85" w:type="dxa"/>
              <w:bottom w:w="113" w:type="dxa"/>
              <w:right w:w="85" w:type="dxa"/>
            </w:tcMar>
            <w:vAlign w:val="center"/>
          </w:tcPr>
          <w:p w14:paraId="5670238A">
            <w:pPr>
              <w:pStyle w:val="105"/>
            </w:pPr>
            <w:r>
              <w:t>3</w:t>
            </w:r>
            <w:r>
              <w:rPr>
                <w:rFonts w:hint="eastAsia"/>
              </w:rPr>
              <w:t>、未能有效地监督施工承包人对分包商的控制或施工承包人对分包工作控制不力而监理未及时指令</w:t>
            </w:r>
          </w:p>
        </w:tc>
        <w:tc>
          <w:tcPr>
            <w:tcW w:w="1539" w:type="dxa"/>
            <w:tcMar>
              <w:top w:w="113" w:type="dxa"/>
              <w:left w:w="85" w:type="dxa"/>
              <w:bottom w:w="113" w:type="dxa"/>
              <w:right w:w="85" w:type="dxa"/>
            </w:tcMar>
            <w:vAlign w:val="center"/>
          </w:tcPr>
          <w:p w14:paraId="1DA3BDD3">
            <w:pPr>
              <w:pStyle w:val="101"/>
            </w:pPr>
            <w:r>
              <w:rPr>
                <w:rFonts w:hint="eastAsia"/>
              </w:rPr>
              <w:t>1000元/次</w:t>
            </w:r>
          </w:p>
        </w:tc>
      </w:tr>
      <w:tr w14:paraId="47FF39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30EC0C2">
            <w:pPr>
              <w:pStyle w:val="101"/>
            </w:pPr>
          </w:p>
        </w:tc>
        <w:tc>
          <w:tcPr>
            <w:tcW w:w="599" w:type="dxa"/>
            <w:vMerge w:val="restart"/>
            <w:tcMar>
              <w:top w:w="113" w:type="dxa"/>
              <w:left w:w="85" w:type="dxa"/>
              <w:bottom w:w="113" w:type="dxa"/>
              <w:right w:w="85" w:type="dxa"/>
            </w:tcMar>
            <w:vAlign w:val="center"/>
          </w:tcPr>
          <w:p w14:paraId="30B91776">
            <w:pPr>
              <w:pStyle w:val="101"/>
            </w:pPr>
            <w:r>
              <w:rPr>
                <w:rFonts w:hint="eastAsia"/>
              </w:rPr>
              <w:t>工程延期、索赔控制工作</w:t>
            </w:r>
          </w:p>
        </w:tc>
        <w:tc>
          <w:tcPr>
            <w:tcW w:w="6815" w:type="dxa"/>
            <w:tcMar>
              <w:top w:w="113" w:type="dxa"/>
              <w:left w:w="85" w:type="dxa"/>
              <w:bottom w:w="113" w:type="dxa"/>
              <w:right w:w="85" w:type="dxa"/>
            </w:tcMar>
            <w:vAlign w:val="center"/>
          </w:tcPr>
          <w:p w14:paraId="4AB0CC88">
            <w:pPr>
              <w:pStyle w:val="105"/>
            </w:pPr>
            <w:r>
              <w:rPr>
                <w:rFonts w:hint="eastAsia"/>
              </w:rPr>
              <w:t>1、未及时受理施工承包人的索赔意向</w:t>
            </w:r>
          </w:p>
        </w:tc>
        <w:tc>
          <w:tcPr>
            <w:tcW w:w="1539" w:type="dxa"/>
            <w:tcMar>
              <w:top w:w="113" w:type="dxa"/>
              <w:left w:w="85" w:type="dxa"/>
              <w:bottom w:w="113" w:type="dxa"/>
              <w:right w:w="85" w:type="dxa"/>
            </w:tcMar>
            <w:vAlign w:val="center"/>
          </w:tcPr>
          <w:p w14:paraId="577FE022">
            <w:pPr>
              <w:pStyle w:val="101"/>
            </w:pPr>
            <w:r>
              <w:rPr>
                <w:rFonts w:hint="eastAsia"/>
              </w:rPr>
              <w:t>500元</w:t>
            </w:r>
          </w:p>
        </w:tc>
      </w:tr>
      <w:tr w14:paraId="7952B5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3F8AB7E">
            <w:pPr>
              <w:pStyle w:val="101"/>
            </w:pPr>
          </w:p>
        </w:tc>
        <w:tc>
          <w:tcPr>
            <w:tcW w:w="599" w:type="dxa"/>
            <w:vMerge w:val="continue"/>
            <w:tcMar>
              <w:top w:w="113" w:type="dxa"/>
              <w:left w:w="85" w:type="dxa"/>
              <w:bottom w:w="113" w:type="dxa"/>
              <w:right w:w="85" w:type="dxa"/>
            </w:tcMar>
            <w:vAlign w:val="center"/>
          </w:tcPr>
          <w:p w14:paraId="32ED3225">
            <w:pPr>
              <w:pStyle w:val="101"/>
            </w:pPr>
          </w:p>
        </w:tc>
        <w:tc>
          <w:tcPr>
            <w:tcW w:w="6815" w:type="dxa"/>
            <w:tcMar>
              <w:top w:w="113" w:type="dxa"/>
              <w:left w:w="85" w:type="dxa"/>
              <w:bottom w:w="113" w:type="dxa"/>
              <w:right w:w="85" w:type="dxa"/>
            </w:tcMar>
            <w:vAlign w:val="center"/>
          </w:tcPr>
          <w:p w14:paraId="5AE004BC">
            <w:pPr>
              <w:pStyle w:val="105"/>
            </w:pPr>
            <w:r>
              <w:t>2</w:t>
            </w:r>
            <w:r>
              <w:rPr>
                <w:rFonts w:hint="eastAsia"/>
              </w:rPr>
              <w:t>、索赔发生时监理人员未及时进行全面记录</w:t>
            </w:r>
          </w:p>
        </w:tc>
        <w:tc>
          <w:tcPr>
            <w:tcW w:w="1539" w:type="dxa"/>
            <w:tcMar>
              <w:top w:w="113" w:type="dxa"/>
              <w:left w:w="85" w:type="dxa"/>
              <w:bottom w:w="113" w:type="dxa"/>
              <w:right w:w="85" w:type="dxa"/>
            </w:tcMar>
            <w:vAlign w:val="center"/>
          </w:tcPr>
          <w:p w14:paraId="3AA79265">
            <w:pPr>
              <w:pStyle w:val="101"/>
            </w:pPr>
            <w:r>
              <w:rPr>
                <w:rFonts w:hint="eastAsia"/>
              </w:rPr>
              <w:t>500元</w:t>
            </w:r>
          </w:p>
        </w:tc>
      </w:tr>
      <w:tr w14:paraId="744F3D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33C2771">
            <w:pPr>
              <w:pStyle w:val="101"/>
            </w:pPr>
          </w:p>
        </w:tc>
        <w:tc>
          <w:tcPr>
            <w:tcW w:w="599" w:type="dxa"/>
            <w:vMerge w:val="continue"/>
            <w:tcMar>
              <w:top w:w="113" w:type="dxa"/>
              <w:left w:w="85" w:type="dxa"/>
              <w:bottom w:w="113" w:type="dxa"/>
              <w:right w:w="85" w:type="dxa"/>
            </w:tcMar>
            <w:vAlign w:val="center"/>
          </w:tcPr>
          <w:p w14:paraId="39E175C3">
            <w:pPr>
              <w:pStyle w:val="101"/>
            </w:pPr>
          </w:p>
        </w:tc>
        <w:tc>
          <w:tcPr>
            <w:tcW w:w="6815" w:type="dxa"/>
            <w:tcMar>
              <w:top w:w="113" w:type="dxa"/>
              <w:left w:w="85" w:type="dxa"/>
              <w:bottom w:w="113" w:type="dxa"/>
              <w:right w:w="85" w:type="dxa"/>
            </w:tcMar>
            <w:vAlign w:val="center"/>
          </w:tcPr>
          <w:p w14:paraId="7DB9D2E0">
            <w:pPr>
              <w:pStyle w:val="105"/>
            </w:pPr>
            <w:r>
              <w:t>3</w:t>
            </w:r>
            <w:r>
              <w:rPr>
                <w:rFonts w:hint="eastAsia"/>
              </w:rPr>
              <w:t>、监理对索赔费用评估与实际偏差较大</w:t>
            </w:r>
          </w:p>
        </w:tc>
        <w:tc>
          <w:tcPr>
            <w:tcW w:w="1539" w:type="dxa"/>
            <w:tcMar>
              <w:top w:w="113" w:type="dxa"/>
              <w:left w:w="85" w:type="dxa"/>
              <w:bottom w:w="113" w:type="dxa"/>
              <w:right w:w="85" w:type="dxa"/>
            </w:tcMar>
            <w:vAlign w:val="center"/>
          </w:tcPr>
          <w:p w14:paraId="10382661">
            <w:pPr>
              <w:pStyle w:val="101"/>
            </w:pPr>
            <w:r>
              <w:rPr>
                <w:rFonts w:hint="eastAsia"/>
              </w:rPr>
              <w:t>1000元</w:t>
            </w:r>
          </w:p>
        </w:tc>
      </w:tr>
      <w:tr w14:paraId="5ABB9D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D5F5C0E">
            <w:pPr>
              <w:pStyle w:val="101"/>
            </w:pPr>
          </w:p>
        </w:tc>
        <w:tc>
          <w:tcPr>
            <w:tcW w:w="599" w:type="dxa"/>
            <w:vMerge w:val="continue"/>
            <w:tcMar>
              <w:top w:w="113" w:type="dxa"/>
              <w:left w:w="85" w:type="dxa"/>
              <w:bottom w:w="113" w:type="dxa"/>
              <w:right w:w="85" w:type="dxa"/>
            </w:tcMar>
            <w:vAlign w:val="center"/>
          </w:tcPr>
          <w:p w14:paraId="189F82E9">
            <w:pPr>
              <w:pStyle w:val="101"/>
            </w:pPr>
          </w:p>
        </w:tc>
        <w:tc>
          <w:tcPr>
            <w:tcW w:w="6815" w:type="dxa"/>
            <w:tcMar>
              <w:top w:w="113" w:type="dxa"/>
              <w:left w:w="85" w:type="dxa"/>
              <w:bottom w:w="113" w:type="dxa"/>
              <w:right w:w="85" w:type="dxa"/>
            </w:tcMar>
            <w:vAlign w:val="center"/>
          </w:tcPr>
          <w:p w14:paraId="210C321D">
            <w:pPr>
              <w:pStyle w:val="105"/>
            </w:pPr>
            <w:r>
              <w:t>4</w:t>
            </w:r>
            <w:r>
              <w:rPr>
                <w:rFonts w:hint="eastAsia"/>
              </w:rPr>
              <w:t>、索赔审核依据有误</w:t>
            </w:r>
          </w:p>
        </w:tc>
        <w:tc>
          <w:tcPr>
            <w:tcW w:w="1539" w:type="dxa"/>
            <w:tcMar>
              <w:top w:w="113" w:type="dxa"/>
              <w:left w:w="85" w:type="dxa"/>
              <w:bottom w:w="113" w:type="dxa"/>
              <w:right w:w="85" w:type="dxa"/>
            </w:tcMar>
            <w:vAlign w:val="center"/>
          </w:tcPr>
          <w:p w14:paraId="0204B051">
            <w:pPr>
              <w:pStyle w:val="101"/>
            </w:pPr>
            <w:r>
              <w:rPr>
                <w:rFonts w:hint="eastAsia"/>
              </w:rPr>
              <w:t>500元</w:t>
            </w:r>
          </w:p>
        </w:tc>
      </w:tr>
      <w:tr w14:paraId="0EE842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E1E6EC2">
            <w:pPr>
              <w:pStyle w:val="101"/>
            </w:pPr>
          </w:p>
        </w:tc>
        <w:tc>
          <w:tcPr>
            <w:tcW w:w="599" w:type="dxa"/>
            <w:vMerge w:val="continue"/>
            <w:tcMar>
              <w:top w:w="113" w:type="dxa"/>
              <w:left w:w="85" w:type="dxa"/>
              <w:bottom w:w="113" w:type="dxa"/>
              <w:right w:w="85" w:type="dxa"/>
            </w:tcMar>
            <w:vAlign w:val="center"/>
          </w:tcPr>
          <w:p w14:paraId="3036F5C3">
            <w:pPr>
              <w:pStyle w:val="101"/>
            </w:pPr>
          </w:p>
        </w:tc>
        <w:tc>
          <w:tcPr>
            <w:tcW w:w="6815" w:type="dxa"/>
            <w:tcMar>
              <w:top w:w="113" w:type="dxa"/>
              <w:left w:w="85" w:type="dxa"/>
              <w:bottom w:w="113" w:type="dxa"/>
              <w:right w:w="85" w:type="dxa"/>
            </w:tcMar>
            <w:vAlign w:val="center"/>
          </w:tcPr>
          <w:p w14:paraId="5C53EA75">
            <w:pPr>
              <w:pStyle w:val="105"/>
            </w:pPr>
            <w:r>
              <w:t>5</w:t>
            </w:r>
            <w:r>
              <w:rPr>
                <w:rFonts w:hint="eastAsia"/>
              </w:rPr>
              <w:t>、工程出现停工状态，监理未及时指令施工承包人采取减少损失的措施</w:t>
            </w:r>
          </w:p>
        </w:tc>
        <w:tc>
          <w:tcPr>
            <w:tcW w:w="1539" w:type="dxa"/>
            <w:tcMar>
              <w:top w:w="113" w:type="dxa"/>
              <w:left w:w="85" w:type="dxa"/>
              <w:bottom w:w="113" w:type="dxa"/>
              <w:right w:w="85" w:type="dxa"/>
            </w:tcMar>
            <w:vAlign w:val="center"/>
          </w:tcPr>
          <w:p w14:paraId="016EC0BA">
            <w:pPr>
              <w:pStyle w:val="101"/>
            </w:pPr>
            <w:r>
              <w:rPr>
                <w:rFonts w:hint="eastAsia"/>
              </w:rPr>
              <w:t>1000元</w:t>
            </w:r>
          </w:p>
        </w:tc>
      </w:tr>
      <w:tr w14:paraId="65872A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7" w:hRule="atLeast"/>
          <w:jc w:val="center"/>
        </w:trPr>
        <w:tc>
          <w:tcPr>
            <w:tcW w:w="642" w:type="dxa"/>
            <w:vMerge w:val="continue"/>
            <w:tcMar>
              <w:top w:w="113" w:type="dxa"/>
              <w:left w:w="85" w:type="dxa"/>
              <w:bottom w:w="113" w:type="dxa"/>
              <w:right w:w="85" w:type="dxa"/>
            </w:tcMar>
            <w:vAlign w:val="center"/>
          </w:tcPr>
          <w:p w14:paraId="5A353478">
            <w:pPr>
              <w:pStyle w:val="101"/>
            </w:pPr>
          </w:p>
        </w:tc>
        <w:tc>
          <w:tcPr>
            <w:tcW w:w="599" w:type="dxa"/>
            <w:vMerge w:val="continue"/>
            <w:tcMar>
              <w:top w:w="113" w:type="dxa"/>
              <w:left w:w="85" w:type="dxa"/>
              <w:bottom w:w="113" w:type="dxa"/>
              <w:right w:w="85" w:type="dxa"/>
            </w:tcMar>
            <w:vAlign w:val="center"/>
          </w:tcPr>
          <w:p w14:paraId="6C3923B6">
            <w:pPr>
              <w:pStyle w:val="101"/>
            </w:pPr>
          </w:p>
        </w:tc>
        <w:tc>
          <w:tcPr>
            <w:tcW w:w="6815" w:type="dxa"/>
            <w:tcMar>
              <w:top w:w="113" w:type="dxa"/>
              <w:left w:w="85" w:type="dxa"/>
              <w:bottom w:w="113" w:type="dxa"/>
              <w:right w:w="85" w:type="dxa"/>
            </w:tcMar>
            <w:vAlign w:val="center"/>
          </w:tcPr>
          <w:p w14:paraId="0F1951F2">
            <w:pPr>
              <w:pStyle w:val="105"/>
            </w:pPr>
            <w:r>
              <w:t>6</w:t>
            </w:r>
            <w:r>
              <w:rPr>
                <w:rFonts w:hint="eastAsia"/>
              </w:rPr>
              <w:t>、监理提交的关于索赔费用手续不全</w:t>
            </w:r>
          </w:p>
        </w:tc>
        <w:tc>
          <w:tcPr>
            <w:tcW w:w="1539" w:type="dxa"/>
            <w:tcMar>
              <w:top w:w="113" w:type="dxa"/>
              <w:left w:w="85" w:type="dxa"/>
              <w:bottom w:w="113" w:type="dxa"/>
              <w:right w:w="85" w:type="dxa"/>
            </w:tcMar>
            <w:vAlign w:val="center"/>
          </w:tcPr>
          <w:p w14:paraId="29CA09FE">
            <w:pPr>
              <w:pStyle w:val="101"/>
            </w:pPr>
            <w:r>
              <w:rPr>
                <w:rFonts w:hint="eastAsia"/>
              </w:rPr>
              <w:t>500元</w:t>
            </w:r>
          </w:p>
        </w:tc>
      </w:tr>
      <w:tr w14:paraId="358792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restart"/>
            <w:tcMar>
              <w:top w:w="113" w:type="dxa"/>
              <w:left w:w="85" w:type="dxa"/>
              <w:bottom w:w="113" w:type="dxa"/>
              <w:right w:w="85" w:type="dxa"/>
            </w:tcMar>
            <w:vAlign w:val="center"/>
          </w:tcPr>
          <w:p w14:paraId="4472C007">
            <w:pPr>
              <w:pStyle w:val="101"/>
            </w:pPr>
          </w:p>
          <w:p w14:paraId="45B8D81F">
            <w:pPr>
              <w:pStyle w:val="101"/>
            </w:pPr>
            <w:r>
              <w:rPr>
                <w:rFonts w:hint="eastAsia"/>
              </w:rPr>
              <w:t>八、监</w:t>
            </w:r>
            <w:r>
              <w:rPr>
                <w:rFonts w:hint="eastAsia"/>
                <w:snapToGrid/>
              </w:rPr>
              <w:drawing>
                <wp:anchor distT="0" distB="0" distL="114300" distR="114300" simplePos="0" relativeHeight="251666432" behindDoc="1" locked="1" layoutInCell="1" allowOverlap="1">
                  <wp:simplePos x="0" y="0"/>
                  <wp:positionH relativeFrom="column">
                    <wp:posOffset>4445000</wp:posOffset>
                  </wp:positionH>
                  <wp:positionV relativeFrom="paragraph">
                    <wp:posOffset>10033000</wp:posOffset>
                  </wp:positionV>
                  <wp:extent cx="1460500" cy="215900"/>
                  <wp:effectExtent l="0" t="0" r="6350" b="0"/>
                  <wp:wrapNone/>
                  <wp:docPr id="11" name="图片 11"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60500" cy="215900"/>
                          </a:xfrm>
                          <a:prstGeom prst="rect">
                            <a:avLst/>
                          </a:prstGeom>
                          <a:noFill/>
                          <a:ln>
                            <a:noFill/>
                          </a:ln>
                        </pic:spPr>
                      </pic:pic>
                    </a:graphicData>
                  </a:graphic>
                </wp:anchor>
              </w:drawing>
            </w:r>
            <w:r>
              <w:rPr>
                <w:rFonts w:hint="eastAsia"/>
              </w:rPr>
              <w:t>理资料</w:t>
            </w:r>
          </w:p>
        </w:tc>
        <w:tc>
          <w:tcPr>
            <w:tcW w:w="599" w:type="dxa"/>
            <w:vMerge w:val="restart"/>
            <w:tcMar>
              <w:top w:w="113" w:type="dxa"/>
              <w:left w:w="85" w:type="dxa"/>
              <w:bottom w:w="113" w:type="dxa"/>
              <w:right w:w="85" w:type="dxa"/>
            </w:tcMar>
            <w:vAlign w:val="center"/>
          </w:tcPr>
          <w:p w14:paraId="5A64479F">
            <w:pPr>
              <w:pStyle w:val="101"/>
            </w:pPr>
          </w:p>
          <w:p w14:paraId="79BBBEAE">
            <w:pPr>
              <w:pStyle w:val="101"/>
            </w:pPr>
          </w:p>
          <w:p w14:paraId="2CA1D0CB">
            <w:pPr>
              <w:pStyle w:val="101"/>
            </w:pPr>
          </w:p>
          <w:p w14:paraId="2C70930B">
            <w:pPr>
              <w:pStyle w:val="101"/>
            </w:pPr>
            <w:r>
              <w:rPr>
                <w:rFonts w:hint="eastAsia"/>
              </w:rPr>
              <w:t>监理周报月报管理</w:t>
            </w:r>
          </w:p>
        </w:tc>
        <w:tc>
          <w:tcPr>
            <w:tcW w:w="6815" w:type="dxa"/>
            <w:tcMar>
              <w:top w:w="113" w:type="dxa"/>
              <w:left w:w="85" w:type="dxa"/>
              <w:bottom w:w="113" w:type="dxa"/>
              <w:right w:w="85" w:type="dxa"/>
            </w:tcMar>
            <w:vAlign w:val="center"/>
          </w:tcPr>
          <w:p w14:paraId="220867AB">
            <w:pPr>
              <w:pStyle w:val="105"/>
            </w:pPr>
            <w:r>
              <w:rPr>
                <w:rFonts w:hint="eastAsia"/>
              </w:rPr>
              <w:t>1、未在规定的时间内提交周报、月报</w:t>
            </w:r>
          </w:p>
        </w:tc>
        <w:tc>
          <w:tcPr>
            <w:tcW w:w="1539" w:type="dxa"/>
            <w:tcMar>
              <w:top w:w="113" w:type="dxa"/>
              <w:left w:w="85" w:type="dxa"/>
              <w:bottom w:w="113" w:type="dxa"/>
              <w:right w:w="85" w:type="dxa"/>
            </w:tcMar>
            <w:vAlign w:val="center"/>
          </w:tcPr>
          <w:p w14:paraId="0E7F7C1B">
            <w:pPr>
              <w:pStyle w:val="101"/>
            </w:pPr>
            <w:r>
              <w:rPr>
                <w:rFonts w:hint="eastAsia"/>
              </w:rPr>
              <w:t>300元/次</w:t>
            </w:r>
          </w:p>
        </w:tc>
      </w:tr>
      <w:tr w14:paraId="07901C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9688131">
            <w:pPr>
              <w:pStyle w:val="101"/>
            </w:pPr>
          </w:p>
        </w:tc>
        <w:tc>
          <w:tcPr>
            <w:tcW w:w="599" w:type="dxa"/>
            <w:vMerge w:val="continue"/>
            <w:tcMar>
              <w:top w:w="113" w:type="dxa"/>
              <w:left w:w="85" w:type="dxa"/>
              <w:bottom w:w="113" w:type="dxa"/>
              <w:right w:w="85" w:type="dxa"/>
            </w:tcMar>
            <w:vAlign w:val="center"/>
          </w:tcPr>
          <w:p w14:paraId="77FA59F5">
            <w:pPr>
              <w:pStyle w:val="101"/>
            </w:pPr>
          </w:p>
        </w:tc>
        <w:tc>
          <w:tcPr>
            <w:tcW w:w="6815" w:type="dxa"/>
            <w:tcMar>
              <w:top w:w="113" w:type="dxa"/>
              <w:left w:w="85" w:type="dxa"/>
              <w:bottom w:w="113" w:type="dxa"/>
              <w:right w:w="85" w:type="dxa"/>
            </w:tcMar>
            <w:vAlign w:val="center"/>
          </w:tcPr>
          <w:p w14:paraId="1F2C2CDA">
            <w:pPr>
              <w:pStyle w:val="105"/>
            </w:pPr>
            <w:r>
              <w:t>2</w:t>
            </w:r>
            <w:r>
              <w:rPr>
                <w:rFonts w:hint="eastAsia"/>
              </w:rPr>
              <w:t>、未按规定的格式编写监理周报、月报</w:t>
            </w:r>
          </w:p>
        </w:tc>
        <w:tc>
          <w:tcPr>
            <w:tcW w:w="1539" w:type="dxa"/>
            <w:tcMar>
              <w:top w:w="113" w:type="dxa"/>
              <w:left w:w="85" w:type="dxa"/>
              <w:bottom w:w="113" w:type="dxa"/>
              <w:right w:w="85" w:type="dxa"/>
            </w:tcMar>
            <w:vAlign w:val="center"/>
          </w:tcPr>
          <w:p w14:paraId="59CE4F2C">
            <w:pPr>
              <w:pStyle w:val="101"/>
            </w:pPr>
            <w:r>
              <w:rPr>
                <w:rFonts w:hint="eastAsia"/>
              </w:rPr>
              <w:t>300元/次</w:t>
            </w:r>
          </w:p>
        </w:tc>
      </w:tr>
      <w:tr w14:paraId="49FCA6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1C6536A">
            <w:pPr>
              <w:pStyle w:val="101"/>
            </w:pPr>
          </w:p>
        </w:tc>
        <w:tc>
          <w:tcPr>
            <w:tcW w:w="599" w:type="dxa"/>
            <w:vMerge w:val="continue"/>
            <w:tcMar>
              <w:top w:w="113" w:type="dxa"/>
              <w:left w:w="85" w:type="dxa"/>
              <w:bottom w:w="113" w:type="dxa"/>
              <w:right w:w="85" w:type="dxa"/>
            </w:tcMar>
            <w:vAlign w:val="center"/>
          </w:tcPr>
          <w:p w14:paraId="4ABFED4F">
            <w:pPr>
              <w:pStyle w:val="101"/>
            </w:pPr>
          </w:p>
        </w:tc>
        <w:tc>
          <w:tcPr>
            <w:tcW w:w="6815" w:type="dxa"/>
            <w:tcMar>
              <w:top w:w="113" w:type="dxa"/>
              <w:left w:w="85" w:type="dxa"/>
              <w:bottom w:w="113" w:type="dxa"/>
              <w:right w:w="85" w:type="dxa"/>
            </w:tcMar>
            <w:vAlign w:val="center"/>
          </w:tcPr>
          <w:p w14:paraId="33A6A135">
            <w:pPr>
              <w:pStyle w:val="105"/>
            </w:pPr>
            <w:r>
              <w:t>3</w:t>
            </w:r>
            <w:r>
              <w:rPr>
                <w:rFonts w:hint="eastAsia"/>
              </w:rPr>
              <w:t>、监理周报、月报内容不全</w:t>
            </w:r>
          </w:p>
        </w:tc>
        <w:tc>
          <w:tcPr>
            <w:tcW w:w="1539" w:type="dxa"/>
            <w:tcMar>
              <w:top w:w="113" w:type="dxa"/>
              <w:left w:w="85" w:type="dxa"/>
              <w:bottom w:w="113" w:type="dxa"/>
              <w:right w:w="85" w:type="dxa"/>
            </w:tcMar>
            <w:vAlign w:val="center"/>
          </w:tcPr>
          <w:p w14:paraId="62B8C9F7">
            <w:pPr>
              <w:pStyle w:val="101"/>
            </w:pPr>
            <w:r>
              <w:rPr>
                <w:rFonts w:hint="eastAsia"/>
              </w:rPr>
              <w:t>300元/次</w:t>
            </w:r>
          </w:p>
        </w:tc>
      </w:tr>
      <w:tr w14:paraId="6DD16E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6D1633BD">
            <w:pPr>
              <w:pStyle w:val="101"/>
            </w:pPr>
          </w:p>
        </w:tc>
        <w:tc>
          <w:tcPr>
            <w:tcW w:w="599" w:type="dxa"/>
            <w:vMerge w:val="continue"/>
            <w:tcMar>
              <w:top w:w="113" w:type="dxa"/>
              <w:left w:w="85" w:type="dxa"/>
              <w:bottom w:w="113" w:type="dxa"/>
              <w:right w:w="85" w:type="dxa"/>
            </w:tcMar>
            <w:vAlign w:val="center"/>
          </w:tcPr>
          <w:p w14:paraId="7E5AC50D">
            <w:pPr>
              <w:pStyle w:val="101"/>
            </w:pPr>
          </w:p>
        </w:tc>
        <w:tc>
          <w:tcPr>
            <w:tcW w:w="6815" w:type="dxa"/>
            <w:tcMar>
              <w:top w:w="113" w:type="dxa"/>
              <w:left w:w="85" w:type="dxa"/>
              <w:bottom w:w="113" w:type="dxa"/>
              <w:right w:w="85" w:type="dxa"/>
            </w:tcMar>
            <w:vAlign w:val="center"/>
          </w:tcPr>
          <w:p w14:paraId="7C4147F7">
            <w:pPr>
              <w:pStyle w:val="105"/>
            </w:pPr>
            <w:r>
              <w:t>4</w:t>
            </w:r>
            <w:r>
              <w:rPr>
                <w:rFonts w:hint="eastAsia"/>
              </w:rPr>
              <w:t>、监理周报、月报中对质量、进度、金额等内容描述不准确</w:t>
            </w:r>
          </w:p>
        </w:tc>
        <w:tc>
          <w:tcPr>
            <w:tcW w:w="1539" w:type="dxa"/>
            <w:tcMar>
              <w:top w:w="113" w:type="dxa"/>
              <w:left w:w="85" w:type="dxa"/>
              <w:bottom w:w="113" w:type="dxa"/>
              <w:right w:w="85" w:type="dxa"/>
            </w:tcMar>
            <w:vAlign w:val="center"/>
          </w:tcPr>
          <w:p w14:paraId="1D1D1264">
            <w:pPr>
              <w:pStyle w:val="101"/>
            </w:pPr>
            <w:r>
              <w:rPr>
                <w:rFonts w:hint="eastAsia"/>
              </w:rPr>
              <w:t>300元/次</w:t>
            </w:r>
          </w:p>
        </w:tc>
      </w:tr>
      <w:tr w14:paraId="4A1FCF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14E8AF22">
            <w:pPr>
              <w:pStyle w:val="101"/>
            </w:pPr>
          </w:p>
        </w:tc>
        <w:tc>
          <w:tcPr>
            <w:tcW w:w="599" w:type="dxa"/>
            <w:vMerge w:val="continue"/>
            <w:tcMar>
              <w:top w:w="113" w:type="dxa"/>
              <w:left w:w="85" w:type="dxa"/>
              <w:bottom w:w="113" w:type="dxa"/>
              <w:right w:w="85" w:type="dxa"/>
            </w:tcMar>
            <w:vAlign w:val="center"/>
          </w:tcPr>
          <w:p w14:paraId="6CCBE42F">
            <w:pPr>
              <w:pStyle w:val="101"/>
            </w:pPr>
          </w:p>
        </w:tc>
        <w:tc>
          <w:tcPr>
            <w:tcW w:w="6815" w:type="dxa"/>
            <w:tcMar>
              <w:top w:w="113" w:type="dxa"/>
              <w:left w:w="85" w:type="dxa"/>
              <w:bottom w:w="113" w:type="dxa"/>
              <w:right w:w="85" w:type="dxa"/>
            </w:tcMar>
            <w:vAlign w:val="center"/>
          </w:tcPr>
          <w:p w14:paraId="4BD52E70">
            <w:pPr>
              <w:pStyle w:val="105"/>
            </w:pPr>
            <w:r>
              <w:t>5</w:t>
            </w:r>
            <w:r>
              <w:rPr>
                <w:rFonts w:hint="eastAsia"/>
              </w:rPr>
              <w:t>、评价工程项目无具体数据或编造虚假数据</w:t>
            </w:r>
          </w:p>
        </w:tc>
        <w:tc>
          <w:tcPr>
            <w:tcW w:w="1539" w:type="dxa"/>
            <w:tcMar>
              <w:top w:w="113" w:type="dxa"/>
              <w:left w:w="85" w:type="dxa"/>
              <w:bottom w:w="113" w:type="dxa"/>
              <w:right w:w="85" w:type="dxa"/>
            </w:tcMar>
            <w:vAlign w:val="center"/>
          </w:tcPr>
          <w:p w14:paraId="0AA905F8">
            <w:pPr>
              <w:pStyle w:val="101"/>
            </w:pPr>
            <w:r>
              <w:rPr>
                <w:rFonts w:hint="eastAsia"/>
              </w:rPr>
              <w:t>500元/次</w:t>
            </w:r>
          </w:p>
        </w:tc>
      </w:tr>
      <w:tr w14:paraId="0DA8F6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6" w:hRule="atLeast"/>
          <w:jc w:val="center"/>
        </w:trPr>
        <w:tc>
          <w:tcPr>
            <w:tcW w:w="642" w:type="dxa"/>
            <w:vMerge w:val="continue"/>
            <w:tcMar>
              <w:top w:w="113" w:type="dxa"/>
              <w:left w:w="85" w:type="dxa"/>
              <w:bottom w:w="113" w:type="dxa"/>
              <w:right w:w="85" w:type="dxa"/>
            </w:tcMar>
            <w:vAlign w:val="center"/>
          </w:tcPr>
          <w:p w14:paraId="2D61671A">
            <w:pPr>
              <w:pStyle w:val="101"/>
            </w:pPr>
          </w:p>
        </w:tc>
        <w:tc>
          <w:tcPr>
            <w:tcW w:w="599" w:type="dxa"/>
            <w:vMerge w:val="restart"/>
            <w:tcMar>
              <w:top w:w="113" w:type="dxa"/>
              <w:left w:w="85" w:type="dxa"/>
              <w:bottom w:w="113" w:type="dxa"/>
              <w:right w:w="85" w:type="dxa"/>
            </w:tcMar>
            <w:vAlign w:val="center"/>
          </w:tcPr>
          <w:p w14:paraId="1B95A540">
            <w:pPr>
              <w:pStyle w:val="101"/>
            </w:pPr>
            <w:r>
              <w:rPr>
                <w:rFonts w:hint="eastAsia"/>
              </w:rPr>
              <w:t>监理记录</w:t>
            </w:r>
          </w:p>
        </w:tc>
        <w:tc>
          <w:tcPr>
            <w:tcW w:w="6815" w:type="dxa"/>
            <w:tcMar>
              <w:top w:w="113" w:type="dxa"/>
              <w:left w:w="85" w:type="dxa"/>
              <w:bottom w:w="113" w:type="dxa"/>
              <w:right w:w="85" w:type="dxa"/>
            </w:tcMar>
            <w:vAlign w:val="center"/>
          </w:tcPr>
          <w:p w14:paraId="0F7F6C97">
            <w:pPr>
              <w:pStyle w:val="105"/>
            </w:pPr>
            <w:r>
              <w:t>l</w:t>
            </w:r>
            <w:r>
              <w:rPr>
                <w:rFonts w:hint="eastAsia"/>
              </w:rPr>
              <w:t>、监理站（分站、组）未建立工作台帐或台帐建立不全、记录不及时</w:t>
            </w:r>
          </w:p>
        </w:tc>
        <w:tc>
          <w:tcPr>
            <w:tcW w:w="1539" w:type="dxa"/>
            <w:tcMar>
              <w:top w:w="113" w:type="dxa"/>
              <w:left w:w="85" w:type="dxa"/>
              <w:bottom w:w="113" w:type="dxa"/>
              <w:right w:w="85" w:type="dxa"/>
            </w:tcMar>
            <w:vAlign w:val="center"/>
          </w:tcPr>
          <w:p w14:paraId="755DFC08">
            <w:pPr>
              <w:pStyle w:val="101"/>
            </w:pPr>
            <w:r>
              <w:rPr>
                <w:rFonts w:hint="eastAsia"/>
              </w:rPr>
              <w:t>300元</w:t>
            </w:r>
          </w:p>
        </w:tc>
      </w:tr>
      <w:tr w14:paraId="09006E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1061BA7">
            <w:pPr>
              <w:pStyle w:val="101"/>
            </w:pPr>
          </w:p>
        </w:tc>
        <w:tc>
          <w:tcPr>
            <w:tcW w:w="599" w:type="dxa"/>
            <w:vMerge w:val="continue"/>
            <w:tcMar>
              <w:top w:w="113" w:type="dxa"/>
              <w:left w:w="85" w:type="dxa"/>
              <w:bottom w:w="113" w:type="dxa"/>
              <w:right w:w="85" w:type="dxa"/>
            </w:tcMar>
            <w:vAlign w:val="center"/>
          </w:tcPr>
          <w:p w14:paraId="1EFE0B00">
            <w:pPr>
              <w:pStyle w:val="101"/>
            </w:pPr>
          </w:p>
        </w:tc>
        <w:tc>
          <w:tcPr>
            <w:tcW w:w="6815" w:type="dxa"/>
            <w:tcMar>
              <w:top w:w="113" w:type="dxa"/>
              <w:left w:w="85" w:type="dxa"/>
              <w:bottom w:w="113" w:type="dxa"/>
              <w:right w:w="85" w:type="dxa"/>
            </w:tcMar>
            <w:vAlign w:val="center"/>
          </w:tcPr>
          <w:p w14:paraId="7E6A97CD">
            <w:pPr>
              <w:pStyle w:val="105"/>
            </w:pPr>
            <w:r>
              <w:t>2</w:t>
            </w:r>
            <w:r>
              <w:rPr>
                <w:rFonts w:hint="eastAsia"/>
              </w:rPr>
              <w:t>、无旁站记录或记录不全、不真实</w:t>
            </w:r>
          </w:p>
        </w:tc>
        <w:tc>
          <w:tcPr>
            <w:tcW w:w="1539" w:type="dxa"/>
            <w:tcMar>
              <w:top w:w="113" w:type="dxa"/>
              <w:left w:w="85" w:type="dxa"/>
              <w:bottom w:w="113" w:type="dxa"/>
              <w:right w:w="85" w:type="dxa"/>
            </w:tcMar>
            <w:vAlign w:val="center"/>
          </w:tcPr>
          <w:p w14:paraId="4B3311F4">
            <w:pPr>
              <w:pStyle w:val="101"/>
            </w:pPr>
            <w:r>
              <w:rPr>
                <w:rFonts w:hint="eastAsia"/>
              </w:rPr>
              <w:t>300元/次</w:t>
            </w:r>
          </w:p>
        </w:tc>
      </w:tr>
      <w:tr w14:paraId="5E183A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FEDD7FF">
            <w:pPr>
              <w:pStyle w:val="101"/>
            </w:pPr>
          </w:p>
        </w:tc>
        <w:tc>
          <w:tcPr>
            <w:tcW w:w="599" w:type="dxa"/>
            <w:vMerge w:val="continue"/>
            <w:tcMar>
              <w:top w:w="113" w:type="dxa"/>
              <w:left w:w="85" w:type="dxa"/>
              <w:bottom w:w="113" w:type="dxa"/>
              <w:right w:w="85" w:type="dxa"/>
            </w:tcMar>
            <w:vAlign w:val="center"/>
          </w:tcPr>
          <w:p w14:paraId="14DAAA6F">
            <w:pPr>
              <w:pStyle w:val="101"/>
            </w:pPr>
          </w:p>
        </w:tc>
        <w:tc>
          <w:tcPr>
            <w:tcW w:w="6815" w:type="dxa"/>
            <w:tcMar>
              <w:top w:w="113" w:type="dxa"/>
              <w:left w:w="85" w:type="dxa"/>
              <w:bottom w:w="113" w:type="dxa"/>
              <w:right w:w="85" w:type="dxa"/>
            </w:tcMar>
            <w:vAlign w:val="center"/>
          </w:tcPr>
          <w:p w14:paraId="1B85AC8F">
            <w:pPr>
              <w:pStyle w:val="105"/>
            </w:pPr>
            <w:r>
              <w:t>3</w:t>
            </w:r>
            <w:r>
              <w:rPr>
                <w:rFonts w:hint="eastAsia"/>
              </w:rPr>
              <w:t>、无巡视记录或记录不全</w:t>
            </w:r>
          </w:p>
        </w:tc>
        <w:tc>
          <w:tcPr>
            <w:tcW w:w="1539" w:type="dxa"/>
            <w:tcMar>
              <w:top w:w="113" w:type="dxa"/>
              <w:left w:w="85" w:type="dxa"/>
              <w:bottom w:w="113" w:type="dxa"/>
              <w:right w:w="85" w:type="dxa"/>
            </w:tcMar>
            <w:vAlign w:val="center"/>
          </w:tcPr>
          <w:p w14:paraId="17AAE82C">
            <w:pPr>
              <w:pStyle w:val="101"/>
            </w:pPr>
            <w:r>
              <w:rPr>
                <w:rFonts w:hint="eastAsia"/>
              </w:rPr>
              <w:t>300元/次</w:t>
            </w:r>
          </w:p>
        </w:tc>
      </w:tr>
      <w:tr w14:paraId="7F72CC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E9989C9">
            <w:pPr>
              <w:pStyle w:val="101"/>
            </w:pPr>
          </w:p>
        </w:tc>
        <w:tc>
          <w:tcPr>
            <w:tcW w:w="599" w:type="dxa"/>
            <w:vMerge w:val="continue"/>
            <w:tcMar>
              <w:top w:w="113" w:type="dxa"/>
              <w:left w:w="85" w:type="dxa"/>
              <w:bottom w:w="113" w:type="dxa"/>
              <w:right w:w="85" w:type="dxa"/>
            </w:tcMar>
            <w:vAlign w:val="center"/>
          </w:tcPr>
          <w:p w14:paraId="08FEBB4D">
            <w:pPr>
              <w:pStyle w:val="101"/>
            </w:pPr>
          </w:p>
        </w:tc>
        <w:tc>
          <w:tcPr>
            <w:tcW w:w="6815" w:type="dxa"/>
            <w:tcMar>
              <w:top w:w="113" w:type="dxa"/>
              <w:left w:w="85" w:type="dxa"/>
              <w:bottom w:w="113" w:type="dxa"/>
              <w:right w:w="85" w:type="dxa"/>
            </w:tcMar>
            <w:vAlign w:val="center"/>
          </w:tcPr>
          <w:p w14:paraId="60607EC5">
            <w:pPr>
              <w:pStyle w:val="105"/>
            </w:pPr>
            <w:r>
              <w:t>4</w:t>
            </w:r>
            <w:r>
              <w:rPr>
                <w:rFonts w:hint="eastAsia"/>
              </w:rPr>
              <w:t>、监理日志填写内容不全面，字迹无法辨认</w:t>
            </w:r>
          </w:p>
        </w:tc>
        <w:tc>
          <w:tcPr>
            <w:tcW w:w="1539" w:type="dxa"/>
            <w:tcMar>
              <w:top w:w="113" w:type="dxa"/>
              <w:left w:w="85" w:type="dxa"/>
              <w:bottom w:w="113" w:type="dxa"/>
              <w:right w:w="85" w:type="dxa"/>
            </w:tcMar>
            <w:vAlign w:val="center"/>
          </w:tcPr>
          <w:p w14:paraId="7DA430C3">
            <w:pPr>
              <w:pStyle w:val="101"/>
            </w:pPr>
            <w:r>
              <w:rPr>
                <w:rFonts w:hint="eastAsia"/>
              </w:rPr>
              <w:t>300元/次</w:t>
            </w:r>
          </w:p>
        </w:tc>
      </w:tr>
      <w:tr w14:paraId="44657D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27D43A0">
            <w:pPr>
              <w:pStyle w:val="101"/>
            </w:pPr>
          </w:p>
        </w:tc>
        <w:tc>
          <w:tcPr>
            <w:tcW w:w="599" w:type="dxa"/>
            <w:vMerge w:val="continue"/>
            <w:tcMar>
              <w:top w:w="113" w:type="dxa"/>
              <w:left w:w="85" w:type="dxa"/>
              <w:bottom w:w="113" w:type="dxa"/>
              <w:right w:w="85" w:type="dxa"/>
            </w:tcMar>
            <w:vAlign w:val="center"/>
          </w:tcPr>
          <w:p w14:paraId="11F8818E">
            <w:pPr>
              <w:pStyle w:val="101"/>
            </w:pPr>
          </w:p>
        </w:tc>
        <w:tc>
          <w:tcPr>
            <w:tcW w:w="6815" w:type="dxa"/>
            <w:tcMar>
              <w:top w:w="113" w:type="dxa"/>
              <w:left w:w="85" w:type="dxa"/>
              <w:bottom w:w="113" w:type="dxa"/>
              <w:right w:w="85" w:type="dxa"/>
            </w:tcMar>
            <w:vAlign w:val="center"/>
          </w:tcPr>
          <w:p w14:paraId="50706FAB">
            <w:pPr>
              <w:pStyle w:val="105"/>
            </w:pPr>
            <w:r>
              <w:t>5</w:t>
            </w:r>
            <w:r>
              <w:rPr>
                <w:rFonts w:hint="eastAsia"/>
              </w:rPr>
              <w:t>、监理人员不填写监理日志</w:t>
            </w:r>
          </w:p>
        </w:tc>
        <w:tc>
          <w:tcPr>
            <w:tcW w:w="1539" w:type="dxa"/>
            <w:tcMar>
              <w:top w:w="113" w:type="dxa"/>
              <w:left w:w="85" w:type="dxa"/>
              <w:bottom w:w="113" w:type="dxa"/>
              <w:right w:w="85" w:type="dxa"/>
            </w:tcMar>
            <w:vAlign w:val="center"/>
          </w:tcPr>
          <w:p w14:paraId="59CACFAA">
            <w:pPr>
              <w:pStyle w:val="101"/>
            </w:pPr>
            <w:r>
              <w:rPr>
                <w:rFonts w:hint="eastAsia"/>
              </w:rPr>
              <w:t>500元/次</w:t>
            </w:r>
          </w:p>
        </w:tc>
      </w:tr>
      <w:tr w14:paraId="1361A1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1462EA69">
            <w:pPr>
              <w:pStyle w:val="101"/>
            </w:pPr>
          </w:p>
        </w:tc>
        <w:tc>
          <w:tcPr>
            <w:tcW w:w="599" w:type="dxa"/>
            <w:vMerge w:val="restart"/>
            <w:tcMar>
              <w:top w:w="113" w:type="dxa"/>
              <w:left w:w="85" w:type="dxa"/>
              <w:bottom w:w="113" w:type="dxa"/>
              <w:right w:w="85" w:type="dxa"/>
            </w:tcMar>
            <w:vAlign w:val="center"/>
          </w:tcPr>
          <w:p w14:paraId="22F46DCC">
            <w:pPr>
              <w:pStyle w:val="101"/>
            </w:pPr>
            <w:r>
              <w:rPr>
                <w:rFonts w:hint="eastAsia"/>
              </w:rPr>
              <w:t>监理文件</w:t>
            </w:r>
          </w:p>
        </w:tc>
        <w:tc>
          <w:tcPr>
            <w:tcW w:w="6815" w:type="dxa"/>
            <w:tcMar>
              <w:top w:w="113" w:type="dxa"/>
              <w:left w:w="85" w:type="dxa"/>
              <w:bottom w:w="113" w:type="dxa"/>
              <w:right w:w="85" w:type="dxa"/>
            </w:tcMar>
            <w:vAlign w:val="center"/>
          </w:tcPr>
          <w:p w14:paraId="4FCAABD6">
            <w:pPr>
              <w:pStyle w:val="105"/>
            </w:pPr>
            <w:r>
              <w:t>1</w:t>
            </w:r>
            <w:r>
              <w:rPr>
                <w:rFonts w:hint="eastAsia"/>
              </w:rPr>
              <w:t>、未及时整理、编写会议纪要</w:t>
            </w:r>
          </w:p>
        </w:tc>
        <w:tc>
          <w:tcPr>
            <w:tcW w:w="1539" w:type="dxa"/>
            <w:tcMar>
              <w:top w:w="113" w:type="dxa"/>
              <w:left w:w="85" w:type="dxa"/>
              <w:bottom w:w="113" w:type="dxa"/>
              <w:right w:w="85" w:type="dxa"/>
            </w:tcMar>
            <w:vAlign w:val="center"/>
          </w:tcPr>
          <w:p w14:paraId="2F9AAEB9">
            <w:pPr>
              <w:pStyle w:val="101"/>
            </w:pPr>
            <w:r>
              <w:rPr>
                <w:rFonts w:hint="eastAsia"/>
              </w:rPr>
              <w:t>300元/次</w:t>
            </w:r>
          </w:p>
        </w:tc>
      </w:tr>
      <w:tr w14:paraId="56B554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93CD298">
            <w:pPr>
              <w:pStyle w:val="101"/>
            </w:pPr>
          </w:p>
        </w:tc>
        <w:tc>
          <w:tcPr>
            <w:tcW w:w="599" w:type="dxa"/>
            <w:vMerge w:val="continue"/>
            <w:tcMar>
              <w:top w:w="113" w:type="dxa"/>
              <w:left w:w="85" w:type="dxa"/>
              <w:bottom w:w="113" w:type="dxa"/>
              <w:right w:w="85" w:type="dxa"/>
            </w:tcMar>
            <w:vAlign w:val="center"/>
          </w:tcPr>
          <w:p w14:paraId="7058EEF9">
            <w:pPr>
              <w:pStyle w:val="101"/>
            </w:pPr>
          </w:p>
        </w:tc>
        <w:tc>
          <w:tcPr>
            <w:tcW w:w="6815" w:type="dxa"/>
            <w:tcMar>
              <w:top w:w="113" w:type="dxa"/>
              <w:left w:w="85" w:type="dxa"/>
              <w:bottom w:w="113" w:type="dxa"/>
              <w:right w:w="85" w:type="dxa"/>
            </w:tcMar>
            <w:vAlign w:val="center"/>
          </w:tcPr>
          <w:p w14:paraId="78456AFF">
            <w:pPr>
              <w:pStyle w:val="105"/>
            </w:pPr>
            <w:r>
              <w:t>2</w:t>
            </w:r>
            <w:r>
              <w:rPr>
                <w:rFonts w:hint="eastAsia"/>
              </w:rPr>
              <w:t>、监理文件内容有误</w:t>
            </w:r>
          </w:p>
        </w:tc>
        <w:tc>
          <w:tcPr>
            <w:tcW w:w="1539" w:type="dxa"/>
            <w:tcMar>
              <w:top w:w="113" w:type="dxa"/>
              <w:left w:w="85" w:type="dxa"/>
              <w:bottom w:w="113" w:type="dxa"/>
              <w:right w:w="85" w:type="dxa"/>
            </w:tcMar>
            <w:vAlign w:val="center"/>
          </w:tcPr>
          <w:p w14:paraId="4E45AE34">
            <w:pPr>
              <w:pStyle w:val="101"/>
            </w:pPr>
            <w:r>
              <w:rPr>
                <w:rFonts w:hint="eastAsia"/>
              </w:rPr>
              <w:t>300元/次</w:t>
            </w:r>
          </w:p>
        </w:tc>
      </w:tr>
      <w:tr w14:paraId="642FC5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9224849">
            <w:pPr>
              <w:pStyle w:val="101"/>
            </w:pPr>
          </w:p>
        </w:tc>
        <w:tc>
          <w:tcPr>
            <w:tcW w:w="599" w:type="dxa"/>
            <w:vMerge w:val="continue"/>
            <w:tcMar>
              <w:top w:w="113" w:type="dxa"/>
              <w:left w:w="85" w:type="dxa"/>
              <w:bottom w:w="113" w:type="dxa"/>
              <w:right w:w="85" w:type="dxa"/>
            </w:tcMar>
            <w:vAlign w:val="center"/>
          </w:tcPr>
          <w:p w14:paraId="5931973B">
            <w:pPr>
              <w:pStyle w:val="101"/>
            </w:pPr>
          </w:p>
        </w:tc>
        <w:tc>
          <w:tcPr>
            <w:tcW w:w="6815" w:type="dxa"/>
            <w:tcMar>
              <w:top w:w="113" w:type="dxa"/>
              <w:left w:w="85" w:type="dxa"/>
              <w:bottom w:w="113" w:type="dxa"/>
              <w:right w:w="85" w:type="dxa"/>
            </w:tcMar>
            <w:vAlign w:val="center"/>
          </w:tcPr>
          <w:p w14:paraId="07B163A3">
            <w:pPr>
              <w:pStyle w:val="105"/>
            </w:pPr>
            <w:r>
              <w:t>3</w:t>
            </w:r>
            <w:r>
              <w:rPr>
                <w:rFonts w:hint="eastAsia"/>
              </w:rPr>
              <w:t>、监理文件丢失</w:t>
            </w:r>
          </w:p>
        </w:tc>
        <w:tc>
          <w:tcPr>
            <w:tcW w:w="1539" w:type="dxa"/>
            <w:tcMar>
              <w:top w:w="113" w:type="dxa"/>
              <w:left w:w="85" w:type="dxa"/>
              <w:bottom w:w="113" w:type="dxa"/>
              <w:right w:w="85" w:type="dxa"/>
            </w:tcMar>
            <w:vAlign w:val="center"/>
          </w:tcPr>
          <w:p w14:paraId="13E00392">
            <w:pPr>
              <w:pStyle w:val="101"/>
            </w:pPr>
            <w:r>
              <w:rPr>
                <w:rFonts w:hint="eastAsia"/>
              </w:rPr>
              <w:t>500元/次</w:t>
            </w:r>
          </w:p>
        </w:tc>
      </w:tr>
      <w:tr w14:paraId="7164FA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3220AE0">
            <w:pPr>
              <w:pStyle w:val="101"/>
            </w:pPr>
          </w:p>
        </w:tc>
        <w:tc>
          <w:tcPr>
            <w:tcW w:w="599" w:type="dxa"/>
            <w:vMerge w:val="continue"/>
            <w:tcMar>
              <w:top w:w="113" w:type="dxa"/>
              <w:left w:w="85" w:type="dxa"/>
              <w:bottom w:w="113" w:type="dxa"/>
              <w:right w:w="85" w:type="dxa"/>
            </w:tcMar>
            <w:vAlign w:val="center"/>
          </w:tcPr>
          <w:p w14:paraId="09353C84">
            <w:pPr>
              <w:pStyle w:val="101"/>
            </w:pPr>
          </w:p>
        </w:tc>
        <w:tc>
          <w:tcPr>
            <w:tcW w:w="6815" w:type="dxa"/>
            <w:tcMar>
              <w:top w:w="113" w:type="dxa"/>
              <w:left w:w="85" w:type="dxa"/>
              <w:bottom w:w="113" w:type="dxa"/>
              <w:right w:w="85" w:type="dxa"/>
            </w:tcMar>
            <w:vAlign w:val="center"/>
          </w:tcPr>
          <w:p w14:paraId="2D3A0CB5">
            <w:pPr>
              <w:pStyle w:val="105"/>
            </w:pPr>
            <w:r>
              <w:t>4</w:t>
            </w:r>
            <w:r>
              <w:rPr>
                <w:rFonts w:hint="eastAsia"/>
              </w:rPr>
              <w:t>、监理文件在发放、存储、传递、更改、借阅过程中出现失误</w:t>
            </w:r>
          </w:p>
        </w:tc>
        <w:tc>
          <w:tcPr>
            <w:tcW w:w="1539" w:type="dxa"/>
            <w:tcMar>
              <w:top w:w="113" w:type="dxa"/>
              <w:left w:w="85" w:type="dxa"/>
              <w:bottom w:w="113" w:type="dxa"/>
              <w:right w:w="85" w:type="dxa"/>
            </w:tcMar>
            <w:vAlign w:val="center"/>
          </w:tcPr>
          <w:p w14:paraId="4529B6FC">
            <w:pPr>
              <w:pStyle w:val="101"/>
            </w:pPr>
            <w:r>
              <w:rPr>
                <w:rFonts w:hint="eastAsia"/>
              </w:rPr>
              <w:t>300元/次</w:t>
            </w:r>
          </w:p>
        </w:tc>
      </w:tr>
      <w:tr w14:paraId="0C8D75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9562EBC">
            <w:pPr>
              <w:pStyle w:val="101"/>
            </w:pPr>
          </w:p>
        </w:tc>
        <w:tc>
          <w:tcPr>
            <w:tcW w:w="599" w:type="dxa"/>
            <w:vMerge w:val="restart"/>
            <w:tcMar>
              <w:top w:w="113" w:type="dxa"/>
              <w:left w:w="85" w:type="dxa"/>
              <w:bottom w:w="113" w:type="dxa"/>
              <w:right w:w="85" w:type="dxa"/>
            </w:tcMar>
            <w:vAlign w:val="center"/>
          </w:tcPr>
          <w:p w14:paraId="4894898C">
            <w:pPr>
              <w:pStyle w:val="101"/>
            </w:pPr>
          </w:p>
          <w:p w14:paraId="02D7C81A">
            <w:pPr>
              <w:pStyle w:val="101"/>
            </w:pPr>
            <w:r>
              <w:rPr>
                <w:rFonts w:hint="eastAsia"/>
              </w:rPr>
              <w:t>监理资料</w:t>
            </w:r>
          </w:p>
        </w:tc>
        <w:tc>
          <w:tcPr>
            <w:tcW w:w="6815" w:type="dxa"/>
            <w:tcMar>
              <w:top w:w="113" w:type="dxa"/>
              <w:left w:w="85" w:type="dxa"/>
              <w:bottom w:w="113" w:type="dxa"/>
              <w:right w:w="85" w:type="dxa"/>
            </w:tcMar>
            <w:vAlign w:val="center"/>
          </w:tcPr>
          <w:p w14:paraId="411C030E">
            <w:pPr>
              <w:pStyle w:val="105"/>
            </w:pPr>
            <w:r>
              <w:t>1</w:t>
            </w:r>
            <w:r>
              <w:rPr>
                <w:rFonts w:hint="eastAsia"/>
              </w:rPr>
              <w:t>、非建设管理单位批准的人员签认监理资料</w:t>
            </w:r>
          </w:p>
        </w:tc>
        <w:tc>
          <w:tcPr>
            <w:tcW w:w="1539" w:type="dxa"/>
            <w:tcMar>
              <w:top w:w="113" w:type="dxa"/>
              <w:left w:w="85" w:type="dxa"/>
              <w:bottom w:w="113" w:type="dxa"/>
              <w:right w:w="85" w:type="dxa"/>
            </w:tcMar>
            <w:vAlign w:val="center"/>
          </w:tcPr>
          <w:p w14:paraId="64ED5964">
            <w:pPr>
              <w:pStyle w:val="101"/>
            </w:pPr>
            <w:r>
              <w:rPr>
                <w:rFonts w:hint="eastAsia"/>
              </w:rPr>
              <w:t>300元/次</w:t>
            </w:r>
          </w:p>
        </w:tc>
      </w:tr>
      <w:tr w14:paraId="59B7D6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00555E7">
            <w:pPr>
              <w:pStyle w:val="101"/>
            </w:pPr>
          </w:p>
        </w:tc>
        <w:tc>
          <w:tcPr>
            <w:tcW w:w="599" w:type="dxa"/>
            <w:vMerge w:val="continue"/>
            <w:tcMar>
              <w:top w:w="113" w:type="dxa"/>
              <w:left w:w="85" w:type="dxa"/>
              <w:bottom w:w="113" w:type="dxa"/>
              <w:right w:w="85" w:type="dxa"/>
            </w:tcMar>
            <w:vAlign w:val="center"/>
          </w:tcPr>
          <w:p w14:paraId="2B99090A">
            <w:pPr>
              <w:pStyle w:val="101"/>
            </w:pPr>
          </w:p>
        </w:tc>
        <w:tc>
          <w:tcPr>
            <w:tcW w:w="6815" w:type="dxa"/>
            <w:tcMar>
              <w:top w:w="113" w:type="dxa"/>
              <w:left w:w="85" w:type="dxa"/>
              <w:bottom w:w="113" w:type="dxa"/>
              <w:right w:w="85" w:type="dxa"/>
            </w:tcMar>
            <w:vAlign w:val="center"/>
          </w:tcPr>
          <w:p w14:paraId="5DAA0FAB">
            <w:pPr>
              <w:pStyle w:val="105"/>
            </w:pPr>
            <w:r>
              <w:t>2</w:t>
            </w:r>
            <w:r>
              <w:rPr>
                <w:rFonts w:hint="eastAsia"/>
              </w:rPr>
              <w:t>、监理资料有虚假现象</w:t>
            </w:r>
          </w:p>
        </w:tc>
        <w:tc>
          <w:tcPr>
            <w:tcW w:w="1539" w:type="dxa"/>
            <w:tcMar>
              <w:top w:w="113" w:type="dxa"/>
              <w:left w:w="85" w:type="dxa"/>
              <w:bottom w:w="113" w:type="dxa"/>
              <w:right w:w="85" w:type="dxa"/>
            </w:tcMar>
            <w:vAlign w:val="center"/>
          </w:tcPr>
          <w:p w14:paraId="3DFA4E3D">
            <w:pPr>
              <w:pStyle w:val="101"/>
            </w:pPr>
            <w:r>
              <w:rPr>
                <w:rFonts w:hint="eastAsia"/>
              </w:rPr>
              <w:t>500元/次</w:t>
            </w:r>
          </w:p>
        </w:tc>
      </w:tr>
      <w:tr w14:paraId="239EF9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55CE63D2">
            <w:pPr>
              <w:pStyle w:val="101"/>
            </w:pPr>
          </w:p>
        </w:tc>
        <w:tc>
          <w:tcPr>
            <w:tcW w:w="599" w:type="dxa"/>
            <w:vMerge w:val="continue"/>
            <w:tcMar>
              <w:top w:w="113" w:type="dxa"/>
              <w:left w:w="85" w:type="dxa"/>
              <w:bottom w:w="113" w:type="dxa"/>
              <w:right w:w="85" w:type="dxa"/>
            </w:tcMar>
            <w:vAlign w:val="center"/>
          </w:tcPr>
          <w:p w14:paraId="7DF4EA46">
            <w:pPr>
              <w:pStyle w:val="101"/>
            </w:pPr>
          </w:p>
        </w:tc>
        <w:tc>
          <w:tcPr>
            <w:tcW w:w="6815" w:type="dxa"/>
            <w:tcMar>
              <w:top w:w="113" w:type="dxa"/>
              <w:left w:w="85" w:type="dxa"/>
              <w:bottom w:w="113" w:type="dxa"/>
              <w:right w:w="85" w:type="dxa"/>
            </w:tcMar>
            <w:vAlign w:val="center"/>
          </w:tcPr>
          <w:p w14:paraId="43E4E93F">
            <w:pPr>
              <w:pStyle w:val="105"/>
            </w:pPr>
            <w:r>
              <w:t>3</w:t>
            </w:r>
            <w:r>
              <w:rPr>
                <w:rFonts w:hint="eastAsia"/>
              </w:rPr>
              <w:t>、未按规定绘制上墙图表</w:t>
            </w:r>
          </w:p>
        </w:tc>
        <w:tc>
          <w:tcPr>
            <w:tcW w:w="1539" w:type="dxa"/>
            <w:tcMar>
              <w:top w:w="113" w:type="dxa"/>
              <w:left w:w="85" w:type="dxa"/>
              <w:bottom w:w="113" w:type="dxa"/>
              <w:right w:w="85" w:type="dxa"/>
            </w:tcMar>
            <w:vAlign w:val="center"/>
          </w:tcPr>
          <w:p w14:paraId="5AD71C08">
            <w:pPr>
              <w:pStyle w:val="101"/>
            </w:pPr>
            <w:r>
              <w:rPr>
                <w:rFonts w:hint="eastAsia"/>
              </w:rPr>
              <w:t>300元</w:t>
            </w:r>
          </w:p>
        </w:tc>
      </w:tr>
      <w:tr w14:paraId="1B771B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6BF3FD9">
            <w:pPr>
              <w:pStyle w:val="101"/>
            </w:pPr>
          </w:p>
        </w:tc>
        <w:tc>
          <w:tcPr>
            <w:tcW w:w="599" w:type="dxa"/>
            <w:vMerge w:val="continue"/>
            <w:tcMar>
              <w:top w:w="113" w:type="dxa"/>
              <w:left w:w="85" w:type="dxa"/>
              <w:bottom w:w="113" w:type="dxa"/>
              <w:right w:w="85" w:type="dxa"/>
            </w:tcMar>
            <w:vAlign w:val="center"/>
          </w:tcPr>
          <w:p w14:paraId="0FD0E830">
            <w:pPr>
              <w:pStyle w:val="101"/>
            </w:pPr>
          </w:p>
        </w:tc>
        <w:tc>
          <w:tcPr>
            <w:tcW w:w="6815" w:type="dxa"/>
            <w:tcMar>
              <w:top w:w="113" w:type="dxa"/>
              <w:left w:w="85" w:type="dxa"/>
              <w:bottom w:w="113" w:type="dxa"/>
              <w:right w:w="85" w:type="dxa"/>
            </w:tcMar>
            <w:vAlign w:val="center"/>
          </w:tcPr>
          <w:p w14:paraId="3DD16E07">
            <w:pPr>
              <w:pStyle w:val="105"/>
            </w:pPr>
            <w:r>
              <w:t>4</w:t>
            </w:r>
            <w:r>
              <w:rPr>
                <w:rFonts w:hint="eastAsia"/>
              </w:rPr>
              <w:t>、未按规定的日期及时提供有关资料、报表</w:t>
            </w:r>
          </w:p>
        </w:tc>
        <w:tc>
          <w:tcPr>
            <w:tcW w:w="1539" w:type="dxa"/>
            <w:tcMar>
              <w:top w:w="113" w:type="dxa"/>
              <w:left w:w="85" w:type="dxa"/>
              <w:bottom w:w="113" w:type="dxa"/>
              <w:right w:w="85" w:type="dxa"/>
            </w:tcMar>
            <w:vAlign w:val="center"/>
          </w:tcPr>
          <w:p w14:paraId="5DF2B449">
            <w:pPr>
              <w:pStyle w:val="101"/>
            </w:pPr>
            <w:r>
              <w:rPr>
                <w:rFonts w:hint="eastAsia"/>
              </w:rPr>
              <w:t>500元/次</w:t>
            </w:r>
          </w:p>
        </w:tc>
      </w:tr>
      <w:tr w14:paraId="242A4F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2817484">
            <w:pPr>
              <w:pStyle w:val="101"/>
            </w:pPr>
          </w:p>
        </w:tc>
        <w:tc>
          <w:tcPr>
            <w:tcW w:w="599" w:type="dxa"/>
            <w:vMerge w:val="continue"/>
            <w:tcMar>
              <w:top w:w="113" w:type="dxa"/>
              <w:left w:w="85" w:type="dxa"/>
              <w:bottom w:w="113" w:type="dxa"/>
              <w:right w:w="85" w:type="dxa"/>
            </w:tcMar>
            <w:vAlign w:val="center"/>
          </w:tcPr>
          <w:p w14:paraId="35808FDA">
            <w:pPr>
              <w:pStyle w:val="101"/>
            </w:pPr>
          </w:p>
        </w:tc>
        <w:tc>
          <w:tcPr>
            <w:tcW w:w="6815" w:type="dxa"/>
            <w:tcMar>
              <w:top w:w="113" w:type="dxa"/>
              <w:left w:w="85" w:type="dxa"/>
              <w:bottom w:w="113" w:type="dxa"/>
              <w:right w:w="85" w:type="dxa"/>
            </w:tcMar>
            <w:vAlign w:val="center"/>
          </w:tcPr>
          <w:p w14:paraId="045B5CAF">
            <w:pPr>
              <w:pStyle w:val="105"/>
            </w:pPr>
            <w:r>
              <w:t>5</w:t>
            </w:r>
            <w:r>
              <w:rPr>
                <w:rFonts w:hint="eastAsia"/>
              </w:rPr>
              <w:t>、资料、表格的填写项目签字不全，数字不准确</w:t>
            </w:r>
          </w:p>
        </w:tc>
        <w:tc>
          <w:tcPr>
            <w:tcW w:w="1539" w:type="dxa"/>
            <w:tcMar>
              <w:top w:w="113" w:type="dxa"/>
              <w:left w:w="85" w:type="dxa"/>
              <w:bottom w:w="113" w:type="dxa"/>
              <w:right w:w="85" w:type="dxa"/>
            </w:tcMar>
            <w:vAlign w:val="center"/>
          </w:tcPr>
          <w:p w14:paraId="5E91C71E">
            <w:pPr>
              <w:pStyle w:val="101"/>
            </w:pPr>
            <w:r>
              <w:rPr>
                <w:rFonts w:hint="eastAsia"/>
              </w:rPr>
              <w:t>300元/次</w:t>
            </w:r>
          </w:p>
        </w:tc>
      </w:tr>
      <w:tr w14:paraId="49FEB8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5797CB2">
            <w:pPr>
              <w:pStyle w:val="101"/>
            </w:pPr>
          </w:p>
        </w:tc>
        <w:tc>
          <w:tcPr>
            <w:tcW w:w="599" w:type="dxa"/>
            <w:vMerge w:val="continue"/>
            <w:tcMar>
              <w:top w:w="113" w:type="dxa"/>
              <w:left w:w="85" w:type="dxa"/>
              <w:bottom w:w="113" w:type="dxa"/>
              <w:right w:w="85" w:type="dxa"/>
            </w:tcMar>
            <w:vAlign w:val="center"/>
          </w:tcPr>
          <w:p w14:paraId="5367C13F">
            <w:pPr>
              <w:pStyle w:val="101"/>
            </w:pPr>
          </w:p>
        </w:tc>
        <w:tc>
          <w:tcPr>
            <w:tcW w:w="6815" w:type="dxa"/>
            <w:tcMar>
              <w:top w:w="113" w:type="dxa"/>
              <w:left w:w="85" w:type="dxa"/>
              <w:bottom w:w="113" w:type="dxa"/>
              <w:right w:w="85" w:type="dxa"/>
            </w:tcMar>
            <w:vAlign w:val="center"/>
          </w:tcPr>
          <w:p w14:paraId="135383D4">
            <w:pPr>
              <w:pStyle w:val="105"/>
            </w:pPr>
            <w:r>
              <w:t>6</w:t>
            </w:r>
            <w:r>
              <w:rPr>
                <w:rFonts w:hint="eastAsia"/>
              </w:rPr>
              <w:t>、监理人员无自身验收资料</w:t>
            </w:r>
          </w:p>
        </w:tc>
        <w:tc>
          <w:tcPr>
            <w:tcW w:w="1539" w:type="dxa"/>
            <w:tcMar>
              <w:top w:w="113" w:type="dxa"/>
              <w:left w:w="85" w:type="dxa"/>
              <w:bottom w:w="113" w:type="dxa"/>
              <w:right w:w="85" w:type="dxa"/>
            </w:tcMar>
            <w:vAlign w:val="center"/>
          </w:tcPr>
          <w:p w14:paraId="0E445830">
            <w:pPr>
              <w:pStyle w:val="101"/>
            </w:pPr>
            <w:r>
              <w:rPr>
                <w:rFonts w:hint="eastAsia"/>
              </w:rPr>
              <w:t>500元/次</w:t>
            </w:r>
          </w:p>
        </w:tc>
      </w:tr>
      <w:tr w14:paraId="5D0BC2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9458DBF">
            <w:pPr>
              <w:pStyle w:val="101"/>
            </w:pPr>
          </w:p>
        </w:tc>
        <w:tc>
          <w:tcPr>
            <w:tcW w:w="599" w:type="dxa"/>
            <w:vMerge w:val="continue"/>
            <w:tcMar>
              <w:top w:w="113" w:type="dxa"/>
              <w:left w:w="85" w:type="dxa"/>
              <w:bottom w:w="113" w:type="dxa"/>
              <w:right w:w="85" w:type="dxa"/>
            </w:tcMar>
            <w:vAlign w:val="center"/>
          </w:tcPr>
          <w:p w14:paraId="1EB1C49E">
            <w:pPr>
              <w:pStyle w:val="101"/>
            </w:pPr>
          </w:p>
        </w:tc>
        <w:tc>
          <w:tcPr>
            <w:tcW w:w="6815" w:type="dxa"/>
            <w:tcMar>
              <w:top w:w="113" w:type="dxa"/>
              <w:left w:w="85" w:type="dxa"/>
              <w:bottom w:w="113" w:type="dxa"/>
              <w:right w:w="85" w:type="dxa"/>
            </w:tcMar>
            <w:vAlign w:val="center"/>
          </w:tcPr>
          <w:p w14:paraId="552D8963">
            <w:pPr>
              <w:pStyle w:val="105"/>
            </w:pPr>
            <w:r>
              <w:t>7</w:t>
            </w:r>
            <w:r>
              <w:rPr>
                <w:rFonts w:hint="eastAsia"/>
              </w:rPr>
              <w:t>、资料未按要求进行阶段归档</w:t>
            </w:r>
          </w:p>
        </w:tc>
        <w:tc>
          <w:tcPr>
            <w:tcW w:w="1539" w:type="dxa"/>
            <w:tcMar>
              <w:top w:w="113" w:type="dxa"/>
              <w:left w:w="85" w:type="dxa"/>
              <w:bottom w:w="113" w:type="dxa"/>
              <w:right w:w="85" w:type="dxa"/>
            </w:tcMar>
            <w:vAlign w:val="center"/>
          </w:tcPr>
          <w:p w14:paraId="4BA05C2A">
            <w:pPr>
              <w:pStyle w:val="101"/>
            </w:pPr>
            <w:r>
              <w:rPr>
                <w:rFonts w:hint="eastAsia"/>
              </w:rPr>
              <w:t>300元</w:t>
            </w:r>
          </w:p>
        </w:tc>
      </w:tr>
      <w:tr w14:paraId="6B77C6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BB5F28F">
            <w:pPr>
              <w:pStyle w:val="101"/>
            </w:pPr>
          </w:p>
        </w:tc>
        <w:tc>
          <w:tcPr>
            <w:tcW w:w="599" w:type="dxa"/>
            <w:vMerge w:val="continue"/>
            <w:tcMar>
              <w:top w:w="113" w:type="dxa"/>
              <w:left w:w="85" w:type="dxa"/>
              <w:bottom w:w="113" w:type="dxa"/>
              <w:right w:w="85" w:type="dxa"/>
            </w:tcMar>
            <w:vAlign w:val="center"/>
          </w:tcPr>
          <w:p w14:paraId="230632AC">
            <w:pPr>
              <w:pStyle w:val="101"/>
            </w:pPr>
          </w:p>
        </w:tc>
        <w:tc>
          <w:tcPr>
            <w:tcW w:w="6815" w:type="dxa"/>
            <w:tcMar>
              <w:top w:w="113" w:type="dxa"/>
              <w:left w:w="85" w:type="dxa"/>
              <w:bottom w:w="113" w:type="dxa"/>
              <w:right w:w="85" w:type="dxa"/>
            </w:tcMar>
            <w:vAlign w:val="center"/>
          </w:tcPr>
          <w:p w14:paraId="521DA42B">
            <w:pPr>
              <w:pStyle w:val="105"/>
            </w:pPr>
            <w:r>
              <w:t>8</w:t>
            </w:r>
            <w:r>
              <w:rPr>
                <w:rFonts w:hint="eastAsia"/>
              </w:rPr>
              <w:t>、未在规定时间内完成监理竣工资料的编制工作</w:t>
            </w:r>
          </w:p>
        </w:tc>
        <w:tc>
          <w:tcPr>
            <w:tcW w:w="1539" w:type="dxa"/>
            <w:tcMar>
              <w:top w:w="113" w:type="dxa"/>
              <w:left w:w="85" w:type="dxa"/>
              <w:bottom w:w="113" w:type="dxa"/>
              <w:right w:w="85" w:type="dxa"/>
            </w:tcMar>
            <w:vAlign w:val="center"/>
          </w:tcPr>
          <w:p w14:paraId="065FBB36">
            <w:pPr>
              <w:pStyle w:val="101"/>
            </w:pPr>
            <w:r>
              <w:rPr>
                <w:rFonts w:hint="eastAsia"/>
              </w:rPr>
              <w:t>500元</w:t>
            </w:r>
          </w:p>
        </w:tc>
      </w:tr>
      <w:tr w14:paraId="6646FB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restart"/>
            <w:tcMar>
              <w:top w:w="113" w:type="dxa"/>
              <w:left w:w="85" w:type="dxa"/>
              <w:bottom w:w="113" w:type="dxa"/>
              <w:right w:w="85" w:type="dxa"/>
            </w:tcMar>
            <w:vAlign w:val="center"/>
          </w:tcPr>
          <w:p w14:paraId="080485FA">
            <w:pPr>
              <w:pStyle w:val="101"/>
            </w:pPr>
          </w:p>
          <w:p w14:paraId="4AB52C08">
            <w:pPr>
              <w:pStyle w:val="101"/>
            </w:pPr>
          </w:p>
          <w:p w14:paraId="67F1173B">
            <w:pPr>
              <w:pStyle w:val="101"/>
            </w:pPr>
          </w:p>
          <w:p w14:paraId="19A8E45A">
            <w:pPr>
              <w:pStyle w:val="101"/>
            </w:pPr>
          </w:p>
          <w:p w14:paraId="07CB5E63">
            <w:pPr>
              <w:pStyle w:val="101"/>
            </w:pPr>
          </w:p>
          <w:p w14:paraId="1E5D2FB8">
            <w:pPr>
              <w:pStyle w:val="101"/>
            </w:pPr>
          </w:p>
          <w:p w14:paraId="294CE7C5">
            <w:pPr>
              <w:pStyle w:val="101"/>
            </w:pPr>
          </w:p>
          <w:p w14:paraId="3F91D8E4">
            <w:pPr>
              <w:pStyle w:val="101"/>
            </w:pPr>
          </w:p>
          <w:p w14:paraId="1AE4ABF0">
            <w:pPr>
              <w:pStyle w:val="101"/>
            </w:pPr>
          </w:p>
          <w:p w14:paraId="4254EEA5">
            <w:pPr>
              <w:pStyle w:val="101"/>
            </w:pPr>
          </w:p>
          <w:p w14:paraId="7BFF4F23">
            <w:pPr>
              <w:pStyle w:val="101"/>
            </w:pPr>
          </w:p>
          <w:p w14:paraId="583C6ECB">
            <w:pPr>
              <w:pStyle w:val="101"/>
            </w:pPr>
          </w:p>
          <w:p w14:paraId="0E685A7B">
            <w:pPr>
              <w:pStyle w:val="101"/>
            </w:pPr>
          </w:p>
          <w:p w14:paraId="3EDD7F75">
            <w:pPr>
              <w:pStyle w:val="101"/>
            </w:pPr>
          </w:p>
          <w:p w14:paraId="3FB76833">
            <w:pPr>
              <w:pStyle w:val="101"/>
            </w:pPr>
            <w:r>
              <w:rPr>
                <w:rFonts w:hint="eastAsia"/>
              </w:rPr>
              <w:t>九、</w:t>
            </w:r>
          </w:p>
          <w:p w14:paraId="5D950C3F">
            <w:pPr>
              <w:pStyle w:val="101"/>
            </w:pPr>
            <w:r>
              <w:rPr>
                <w:rFonts w:hint="eastAsia"/>
              </w:rPr>
              <w:t>监理</w:t>
            </w:r>
            <w:r>
              <w:rPr>
                <w:rFonts w:hint="eastAsia"/>
                <w:snapToGrid/>
              </w:rPr>
              <w:drawing>
                <wp:anchor distT="0" distB="0" distL="114300" distR="114300" simplePos="0" relativeHeight="251668480" behindDoc="1" locked="1" layoutInCell="1" allowOverlap="1">
                  <wp:simplePos x="0" y="0"/>
                  <wp:positionH relativeFrom="column">
                    <wp:posOffset>1600200</wp:posOffset>
                  </wp:positionH>
                  <wp:positionV relativeFrom="paragraph">
                    <wp:posOffset>2730500</wp:posOffset>
                  </wp:positionV>
                  <wp:extent cx="1422400" cy="203200"/>
                  <wp:effectExtent l="0" t="0" r="6350" b="6350"/>
                  <wp:wrapNone/>
                  <wp:docPr id="13" name="图片 13"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22400" cy="203200"/>
                          </a:xfrm>
                          <a:prstGeom prst="rect">
                            <a:avLst/>
                          </a:prstGeom>
                          <a:noFill/>
                          <a:ln>
                            <a:noFill/>
                          </a:ln>
                        </pic:spPr>
                      </pic:pic>
                    </a:graphicData>
                  </a:graphic>
                </wp:anchor>
              </w:drawing>
            </w:r>
            <w:r>
              <w:rPr>
                <w:rFonts w:hint="eastAsia"/>
                <w:snapToGrid/>
              </w:rPr>
              <w:drawing>
                <wp:anchor distT="0" distB="0" distL="114300" distR="114300" simplePos="0" relativeHeight="251667456" behindDoc="1" locked="1" layoutInCell="1" allowOverlap="1">
                  <wp:simplePos x="0" y="0"/>
                  <wp:positionH relativeFrom="column">
                    <wp:posOffset>622300</wp:posOffset>
                  </wp:positionH>
                  <wp:positionV relativeFrom="paragraph">
                    <wp:posOffset>381000</wp:posOffset>
                  </wp:positionV>
                  <wp:extent cx="1206500" cy="381000"/>
                  <wp:effectExtent l="0" t="0" r="0" b="0"/>
                  <wp:wrapNone/>
                  <wp:docPr id="12" name="图片 12" descr="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6500" cy="381000"/>
                          </a:xfrm>
                          <a:prstGeom prst="rect">
                            <a:avLst/>
                          </a:prstGeom>
                          <a:noFill/>
                          <a:ln>
                            <a:noFill/>
                          </a:ln>
                        </pic:spPr>
                      </pic:pic>
                    </a:graphicData>
                  </a:graphic>
                </wp:anchor>
              </w:drawing>
            </w:r>
            <w:r>
              <w:rPr>
                <w:rFonts w:hint="eastAsia"/>
              </w:rPr>
              <w:t>守则和工作纪律</w:t>
            </w:r>
          </w:p>
        </w:tc>
        <w:tc>
          <w:tcPr>
            <w:tcW w:w="599" w:type="dxa"/>
            <w:vMerge w:val="restart"/>
            <w:tcMar>
              <w:top w:w="113" w:type="dxa"/>
              <w:left w:w="85" w:type="dxa"/>
              <w:bottom w:w="113" w:type="dxa"/>
              <w:right w:w="85" w:type="dxa"/>
            </w:tcMar>
            <w:vAlign w:val="center"/>
          </w:tcPr>
          <w:p w14:paraId="73426C3D">
            <w:pPr>
              <w:pStyle w:val="101"/>
            </w:pPr>
          </w:p>
          <w:p w14:paraId="46F5390F">
            <w:pPr>
              <w:pStyle w:val="101"/>
            </w:pPr>
          </w:p>
          <w:p w14:paraId="2839D136">
            <w:pPr>
              <w:pStyle w:val="101"/>
            </w:pPr>
          </w:p>
          <w:p w14:paraId="733AA834">
            <w:pPr>
              <w:pStyle w:val="101"/>
            </w:pPr>
            <w:r>
              <w:rPr>
                <w:rFonts w:hint="eastAsia"/>
              </w:rPr>
              <w:t>监理守则和工作纪律</w:t>
            </w:r>
          </w:p>
        </w:tc>
        <w:tc>
          <w:tcPr>
            <w:tcW w:w="6815" w:type="dxa"/>
            <w:tcMar>
              <w:top w:w="113" w:type="dxa"/>
              <w:left w:w="85" w:type="dxa"/>
              <w:bottom w:w="113" w:type="dxa"/>
              <w:right w:w="85" w:type="dxa"/>
            </w:tcMar>
            <w:vAlign w:val="center"/>
          </w:tcPr>
          <w:p w14:paraId="31B02959">
            <w:pPr>
              <w:pStyle w:val="105"/>
            </w:pPr>
            <w:r>
              <w:t>1</w:t>
            </w:r>
            <w:r>
              <w:rPr>
                <w:rFonts w:hint="eastAsia"/>
              </w:rPr>
              <w:t>、品行不端、作风不正，甚至触犯国家、地方或行业法律、法规或条例等</w:t>
            </w:r>
          </w:p>
        </w:tc>
        <w:tc>
          <w:tcPr>
            <w:tcW w:w="1539" w:type="dxa"/>
            <w:tcMar>
              <w:top w:w="113" w:type="dxa"/>
              <w:left w:w="85" w:type="dxa"/>
              <w:bottom w:w="113" w:type="dxa"/>
              <w:right w:w="85" w:type="dxa"/>
            </w:tcMar>
            <w:vAlign w:val="center"/>
          </w:tcPr>
          <w:p w14:paraId="1C9F9ABA">
            <w:pPr>
              <w:pStyle w:val="101"/>
            </w:pPr>
            <w:r>
              <w:rPr>
                <w:rFonts w:hint="eastAsia"/>
              </w:rPr>
              <w:t>清退</w:t>
            </w:r>
          </w:p>
        </w:tc>
      </w:tr>
      <w:tr w14:paraId="76975D3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21151CB">
            <w:pPr>
              <w:pStyle w:val="101"/>
            </w:pPr>
          </w:p>
        </w:tc>
        <w:tc>
          <w:tcPr>
            <w:tcW w:w="599" w:type="dxa"/>
            <w:vMerge w:val="continue"/>
            <w:tcMar>
              <w:top w:w="113" w:type="dxa"/>
              <w:left w:w="85" w:type="dxa"/>
              <w:bottom w:w="113" w:type="dxa"/>
              <w:right w:w="85" w:type="dxa"/>
            </w:tcMar>
            <w:vAlign w:val="center"/>
          </w:tcPr>
          <w:p w14:paraId="7F66D16C">
            <w:pPr>
              <w:pStyle w:val="101"/>
            </w:pPr>
          </w:p>
        </w:tc>
        <w:tc>
          <w:tcPr>
            <w:tcW w:w="6815" w:type="dxa"/>
            <w:tcMar>
              <w:top w:w="113" w:type="dxa"/>
              <w:left w:w="85" w:type="dxa"/>
              <w:bottom w:w="113" w:type="dxa"/>
              <w:right w:w="85" w:type="dxa"/>
            </w:tcMar>
            <w:vAlign w:val="center"/>
          </w:tcPr>
          <w:p w14:paraId="32BBC817">
            <w:pPr>
              <w:pStyle w:val="105"/>
            </w:pPr>
            <w:r>
              <w:t>2</w:t>
            </w:r>
            <w:r>
              <w:rPr>
                <w:rFonts w:hint="eastAsia"/>
              </w:rPr>
              <w:t>、向施工承包人推荐分包商或设备、材料供应商</w:t>
            </w:r>
            <w:r>
              <w:t>）</w:t>
            </w:r>
          </w:p>
        </w:tc>
        <w:tc>
          <w:tcPr>
            <w:tcW w:w="1539" w:type="dxa"/>
            <w:tcMar>
              <w:top w:w="113" w:type="dxa"/>
              <w:left w:w="85" w:type="dxa"/>
              <w:bottom w:w="113" w:type="dxa"/>
              <w:right w:w="85" w:type="dxa"/>
            </w:tcMar>
            <w:vAlign w:val="center"/>
          </w:tcPr>
          <w:p w14:paraId="5E1C07AF">
            <w:pPr>
              <w:pStyle w:val="101"/>
            </w:pPr>
            <w:r>
              <w:rPr>
                <w:rFonts w:hint="eastAsia"/>
              </w:rPr>
              <w:t>50000元/项</w:t>
            </w:r>
          </w:p>
        </w:tc>
      </w:tr>
      <w:tr w14:paraId="638FA5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32BF948">
            <w:pPr>
              <w:pStyle w:val="101"/>
            </w:pPr>
          </w:p>
        </w:tc>
        <w:tc>
          <w:tcPr>
            <w:tcW w:w="599" w:type="dxa"/>
            <w:vMerge w:val="continue"/>
            <w:tcMar>
              <w:top w:w="113" w:type="dxa"/>
              <w:left w:w="85" w:type="dxa"/>
              <w:bottom w:w="113" w:type="dxa"/>
              <w:right w:w="85" w:type="dxa"/>
            </w:tcMar>
            <w:vAlign w:val="center"/>
          </w:tcPr>
          <w:p w14:paraId="32776838">
            <w:pPr>
              <w:pStyle w:val="101"/>
            </w:pPr>
          </w:p>
        </w:tc>
        <w:tc>
          <w:tcPr>
            <w:tcW w:w="6815" w:type="dxa"/>
            <w:tcMar>
              <w:top w:w="113" w:type="dxa"/>
              <w:left w:w="85" w:type="dxa"/>
              <w:bottom w:w="113" w:type="dxa"/>
              <w:right w:w="85" w:type="dxa"/>
            </w:tcMar>
            <w:vAlign w:val="center"/>
          </w:tcPr>
          <w:p w14:paraId="5E05C3C4">
            <w:pPr>
              <w:pStyle w:val="105"/>
            </w:pPr>
            <w:r>
              <w:t>3</w:t>
            </w:r>
            <w:r>
              <w:rPr>
                <w:rFonts w:hint="eastAsia"/>
              </w:rPr>
              <w:t>、以权谋私，向施工承包人索要好处，收取施工承包人赠予的钱物</w:t>
            </w:r>
          </w:p>
        </w:tc>
        <w:tc>
          <w:tcPr>
            <w:tcW w:w="1539" w:type="dxa"/>
            <w:tcMar>
              <w:top w:w="113" w:type="dxa"/>
              <w:left w:w="85" w:type="dxa"/>
              <w:bottom w:w="113" w:type="dxa"/>
              <w:right w:w="85" w:type="dxa"/>
            </w:tcMar>
            <w:vAlign w:val="center"/>
          </w:tcPr>
          <w:p w14:paraId="33237813">
            <w:pPr>
              <w:pStyle w:val="101"/>
            </w:pPr>
            <w:r>
              <w:rPr>
                <w:rFonts w:hint="eastAsia"/>
              </w:rPr>
              <w:t>通报并清退</w:t>
            </w:r>
          </w:p>
        </w:tc>
      </w:tr>
      <w:tr w14:paraId="13087C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110E53A">
            <w:pPr>
              <w:pStyle w:val="101"/>
            </w:pPr>
          </w:p>
        </w:tc>
        <w:tc>
          <w:tcPr>
            <w:tcW w:w="599" w:type="dxa"/>
            <w:vMerge w:val="continue"/>
            <w:tcMar>
              <w:top w:w="113" w:type="dxa"/>
              <w:left w:w="85" w:type="dxa"/>
              <w:bottom w:w="113" w:type="dxa"/>
              <w:right w:w="85" w:type="dxa"/>
            </w:tcMar>
            <w:vAlign w:val="center"/>
          </w:tcPr>
          <w:p w14:paraId="62DABE2C">
            <w:pPr>
              <w:pStyle w:val="101"/>
            </w:pPr>
          </w:p>
        </w:tc>
        <w:tc>
          <w:tcPr>
            <w:tcW w:w="6815" w:type="dxa"/>
            <w:tcMar>
              <w:top w:w="113" w:type="dxa"/>
              <w:left w:w="85" w:type="dxa"/>
              <w:bottom w:w="113" w:type="dxa"/>
              <w:right w:w="85" w:type="dxa"/>
            </w:tcMar>
            <w:vAlign w:val="center"/>
          </w:tcPr>
          <w:p w14:paraId="6AAEC088">
            <w:pPr>
              <w:pStyle w:val="105"/>
            </w:pPr>
            <w:r>
              <w:t>4</w:t>
            </w:r>
            <w:r>
              <w:rPr>
                <w:rFonts w:hint="eastAsia"/>
              </w:rPr>
              <w:t>、工作中弄虚作假，损害建设管理单位利益</w:t>
            </w:r>
          </w:p>
        </w:tc>
        <w:tc>
          <w:tcPr>
            <w:tcW w:w="1539" w:type="dxa"/>
            <w:tcMar>
              <w:top w:w="113" w:type="dxa"/>
              <w:left w:w="85" w:type="dxa"/>
              <w:bottom w:w="113" w:type="dxa"/>
              <w:right w:w="85" w:type="dxa"/>
            </w:tcMar>
            <w:vAlign w:val="center"/>
          </w:tcPr>
          <w:p w14:paraId="5378BE66">
            <w:pPr>
              <w:pStyle w:val="101"/>
            </w:pPr>
            <w:r>
              <w:rPr>
                <w:rFonts w:hint="eastAsia"/>
              </w:rPr>
              <w:t>通报并清退</w:t>
            </w:r>
          </w:p>
        </w:tc>
      </w:tr>
      <w:tr w14:paraId="51DE31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5194722F">
            <w:pPr>
              <w:pStyle w:val="101"/>
            </w:pPr>
          </w:p>
        </w:tc>
        <w:tc>
          <w:tcPr>
            <w:tcW w:w="599" w:type="dxa"/>
            <w:vMerge w:val="continue"/>
            <w:tcMar>
              <w:top w:w="113" w:type="dxa"/>
              <w:left w:w="85" w:type="dxa"/>
              <w:bottom w:w="113" w:type="dxa"/>
              <w:right w:w="85" w:type="dxa"/>
            </w:tcMar>
            <w:vAlign w:val="center"/>
          </w:tcPr>
          <w:p w14:paraId="35E0C0AE">
            <w:pPr>
              <w:pStyle w:val="101"/>
            </w:pPr>
          </w:p>
        </w:tc>
        <w:tc>
          <w:tcPr>
            <w:tcW w:w="6815" w:type="dxa"/>
            <w:tcMar>
              <w:top w:w="113" w:type="dxa"/>
              <w:left w:w="85" w:type="dxa"/>
              <w:bottom w:w="113" w:type="dxa"/>
              <w:right w:w="85" w:type="dxa"/>
            </w:tcMar>
            <w:vAlign w:val="center"/>
          </w:tcPr>
          <w:p w14:paraId="5D0AB9D7">
            <w:pPr>
              <w:pStyle w:val="105"/>
            </w:pPr>
            <w:r>
              <w:t>5</w:t>
            </w:r>
            <w:r>
              <w:rPr>
                <w:rFonts w:hint="eastAsia"/>
              </w:rPr>
              <w:t>、监理人员同施工承包人一起去营业性娱乐场所</w:t>
            </w:r>
          </w:p>
        </w:tc>
        <w:tc>
          <w:tcPr>
            <w:tcW w:w="1539" w:type="dxa"/>
            <w:tcMar>
              <w:top w:w="113" w:type="dxa"/>
              <w:left w:w="85" w:type="dxa"/>
              <w:bottom w:w="113" w:type="dxa"/>
              <w:right w:w="85" w:type="dxa"/>
            </w:tcMar>
            <w:vAlign w:val="center"/>
          </w:tcPr>
          <w:p w14:paraId="17A30967">
            <w:pPr>
              <w:pStyle w:val="101"/>
            </w:pPr>
            <w:r>
              <w:rPr>
                <w:rFonts w:hint="eastAsia"/>
              </w:rPr>
              <w:t>500元/次</w:t>
            </w:r>
          </w:p>
        </w:tc>
      </w:tr>
      <w:tr w14:paraId="3EB9E8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BD12150">
            <w:pPr>
              <w:pStyle w:val="101"/>
            </w:pPr>
          </w:p>
        </w:tc>
        <w:tc>
          <w:tcPr>
            <w:tcW w:w="599" w:type="dxa"/>
            <w:vMerge w:val="continue"/>
            <w:tcMar>
              <w:top w:w="113" w:type="dxa"/>
              <w:left w:w="85" w:type="dxa"/>
              <w:bottom w:w="113" w:type="dxa"/>
              <w:right w:w="85" w:type="dxa"/>
            </w:tcMar>
            <w:vAlign w:val="center"/>
          </w:tcPr>
          <w:p w14:paraId="3A3B04A8">
            <w:pPr>
              <w:pStyle w:val="101"/>
            </w:pPr>
          </w:p>
        </w:tc>
        <w:tc>
          <w:tcPr>
            <w:tcW w:w="6815" w:type="dxa"/>
            <w:tcMar>
              <w:top w:w="113" w:type="dxa"/>
              <w:left w:w="85" w:type="dxa"/>
              <w:bottom w:w="113" w:type="dxa"/>
              <w:right w:w="85" w:type="dxa"/>
            </w:tcMar>
            <w:vAlign w:val="center"/>
          </w:tcPr>
          <w:p w14:paraId="18B77778">
            <w:pPr>
              <w:pStyle w:val="105"/>
            </w:pPr>
            <w:r>
              <w:t>6</w:t>
            </w:r>
            <w:r>
              <w:rPr>
                <w:rFonts w:hint="eastAsia"/>
              </w:rPr>
              <w:t>、工作不积极，无故拒绝或拖延本职工作</w:t>
            </w:r>
          </w:p>
        </w:tc>
        <w:tc>
          <w:tcPr>
            <w:tcW w:w="1539" w:type="dxa"/>
            <w:tcMar>
              <w:top w:w="113" w:type="dxa"/>
              <w:left w:w="85" w:type="dxa"/>
              <w:bottom w:w="113" w:type="dxa"/>
              <w:right w:w="85" w:type="dxa"/>
            </w:tcMar>
            <w:vAlign w:val="center"/>
          </w:tcPr>
          <w:p w14:paraId="191F0EDF">
            <w:pPr>
              <w:pStyle w:val="101"/>
              <w:ind w:firstLine="210" w:firstLineChars="100"/>
              <w:jc w:val="both"/>
            </w:pPr>
            <w:r>
              <w:rPr>
                <w:rFonts w:hint="eastAsia"/>
              </w:rPr>
              <w:t>500元/次</w:t>
            </w:r>
          </w:p>
        </w:tc>
      </w:tr>
      <w:tr w14:paraId="1B541C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4AD7B53">
            <w:pPr>
              <w:pStyle w:val="101"/>
            </w:pPr>
          </w:p>
        </w:tc>
        <w:tc>
          <w:tcPr>
            <w:tcW w:w="599" w:type="dxa"/>
            <w:vMerge w:val="continue"/>
            <w:tcMar>
              <w:top w:w="113" w:type="dxa"/>
              <w:left w:w="85" w:type="dxa"/>
              <w:bottom w:w="113" w:type="dxa"/>
              <w:right w:w="85" w:type="dxa"/>
            </w:tcMar>
            <w:vAlign w:val="center"/>
          </w:tcPr>
          <w:p w14:paraId="0C05DA77">
            <w:pPr>
              <w:pStyle w:val="101"/>
            </w:pPr>
          </w:p>
        </w:tc>
        <w:tc>
          <w:tcPr>
            <w:tcW w:w="6815" w:type="dxa"/>
            <w:tcMar>
              <w:top w:w="113" w:type="dxa"/>
              <w:left w:w="85" w:type="dxa"/>
              <w:bottom w:w="113" w:type="dxa"/>
              <w:right w:w="85" w:type="dxa"/>
            </w:tcMar>
            <w:vAlign w:val="center"/>
          </w:tcPr>
          <w:p w14:paraId="223C2BD1">
            <w:pPr>
              <w:pStyle w:val="105"/>
            </w:pPr>
            <w:r>
              <w:t>7</w:t>
            </w:r>
            <w:r>
              <w:rPr>
                <w:rFonts w:hint="eastAsia"/>
              </w:rPr>
              <w:t>、因失职或擅离职守，造成严重后果</w:t>
            </w:r>
          </w:p>
        </w:tc>
        <w:tc>
          <w:tcPr>
            <w:tcW w:w="1539" w:type="dxa"/>
            <w:tcMar>
              <w:top w:w="113" w:type="dxa"/>
              <w:left w:w="85" w:type="dxa"/>
              <w:bottom w:w="113" w:type="dxa"/>
              <w:right w:w="85" w:type="dxa"/>
            </w:tcMar>
            <w:vAlign w:val="center"/>
          </w:tcPr>
          <w:p w14:paraId="4B622168">
            <w:pPr>
              <w:pStyle w:val="101"/>
            </w:pPr>
            <w:r>
              <w:rPr>
                <w:rFonts w:hint="eastAsia"/>
              </w:rPr>
              <w:t>清退</w:t>
            </w:r>
          </w:p>
        </w:tc>
      </w:tr>
      <w:tr w14:paraId="5A424B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E56A54D">
            <w:pPr>
              <w:pStyle w:val="101"/>
            </w:pPr>
          </w:p>
        </w:tc>
        <w:tc>
          <w:tcPr>
            <w:tcW w:w="599" w:type="dxa"/>
            <w:vMerge w:val="continue"/>
            <w:tcMar>
              <w:top w:w="113" w:type="dxa"/>
              <w:left w:w="85" w:type="dxa"/>
              <w:bottom w:w="113" w:type="dxa"/>
              <w:right w:w="85" w:type="dxa"/>
            </w:tcMar>
            <w:vAlign w:val="center"/>
          </w:tcPr>
          <w:p w14:paraId="7115D621">
            <w:pPr>
              <w:pStyle w:val="101"/>
            </w:pPr>
          </w:p>
        </w:tc>
        <w:tc>
          <w:tcPr>
            <w:tcW w:w="6815" w:type="dxa"/>
            <w:tcMar>
              <w:top w:w="113" w:type="dxa"/>
              <w:left w:w="85" w:type="dxa"/>
              <w:bottom w:w="113" w:type="dxa"/>
              <w:right w:w="85" w:type="dxa"/>
            </w:tcMar>
            <w:vAlign w:val="center"/>
          </w:tcPr>
          <w:p w14:paraId="3356BD29">
            <w:pPr>
              <w:pStyle w:val="105"/>
            </w:pPr>
            <w:r>
              <w:t>8</w:t>
            </w:r>
            <w:r>
              <w:rPr>
                <w:rFonts w:hint="eastAsia"/>
              </w:rPr>
              <w:t>、工作期间饮酒，损害监理形象</w:t>
            </w:r>
          </w:p>
        </w:tc>
        <w:tc>
          <w:tcPr>
            <w:tcW w:w="1539" w:type="dxa"/>
            <w:tcMar>
              <w:top w:w="113" w:type="dxa"/>
              <w:left w:w="85" w:type="dxa"/>
              <w:bottom w:w="113" w:type="dxa"/>
              <w:right w:w="85" w:type="dxa"/>
            </w:tcMar>
            <w:vAlign w:val="center"/>
          </w:tcPr>
          <w:p w14:paraId="21942E83">
            <w:pPr>
              <w:pStyle w:val="101"/>
            </w:pPr>
            <w:r>
              <w:rPr>
                <w:rFonts w:hint="eastAsia"/>
              </w:rPr>
              <w:t>300元/次</w:t>
            </w:r>
          </w:p>
        </w:tc>
      </w:tr>
      <w:tr w14:paraId="535D406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44D5049B">
            <w:pPr>
              <w:pStyle w:val="101"/>
            </w:pPr>
          </w:p>
        </w:tc>
        <w:tc>
          <w:tcPr>
            <w:tcW w:w="599" w:type="dxa"/>
            <w:vMerge w:val="continue"/>
            <w:tcMar>
              <w:top w:w="113" w:type="dxa"/>
              <w:left w:w="85" w:type="dxa"/>
              <w:bottom w:w="113" w:type="dxa"/>
              <w:right w:w="85" w:type="dxa"/>
            </w:tcMar>
            <w:vAlign w:val="center"/>
          </w:tcPr>
          <w:p w14:paraId="51802282">
            <w:pPr>
              <w:pStyle w:val="101"/>
            </w:pPr>
          </w:p>
        </w:tc>
        <w:tc>
          <w:tcPr>
            <w:tcW w:w="6815" w:type="dxa"/>
            <w:tcMar>
              <w:top w:w="113" w:type="dxa"/>
              <w:left w:w="85" w:type="dxa"/>
              <w:bottom w:w="113" w:type="dxa"/>
              <w:right w:w="85" w:type="dxa"/>
            </w:tcMar>
            <w:vAlign w:val="center"/>
          </w:tcPr>
          <w:p w14:paraId="6BA0CE97">
            <w:pPr>
              <w:pStyle w:val="105"/>
            </w:pPr>
            <w:r>
              <w:t>9</w:t>
            </w:r>
            <w:r>
              <w:rPr>
                <w:rFonts w:hint="eastAsia"/>
              </w:rPr>
              <w:t>、不执行上级指令或欺骗上级</w:t>
            </w:r>
          </w:p>
        </w:tc>
        <w:tc>
          <w:tcPr>
            <w:tcW w:w="1539" w:type="dxa"/>
            <w:tcMar>
              <w:top w:w="113" w:type="dxa"/>
              <w:left w:w="85" w:type="dxa"/>
              <w:bottom w:w="113" w:type="dxa"/>
              <w:right w:w="85" w:type="dxa"/>
            </w:tcMar>
            <w:vAlign w:val="center"/>
          </w:tcPr>
          <w:p w14:paraId="042B80CD">
            <w:pPr>
              <w:pStyle w:val="101"/>
            </w:pPr>
            <w:r>
              <w:rPr>
                <w:rFonts w:hint="eastAsia"/>
              </w:rPr>
              <w:t>清退</w:t>
            </w:r>
          </w:p>
        </w:tc>
      </w:tr>
      <w:tr w14:paraId="748D4E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559BE157">
            <w:pPr>
              <w:pStyle w:val="101"/>
            </w:pPr>
          </w:p>
        </w:tc>
        <w:tc>
          <w:tcPr>
            <w:tcW w:w="599" w:type="dxa"/>
            <w:vMerge w:val="continue"/>
            <w:tcMar>
              <w:top w:w="113" w:type="dxa"/>
              <w:left w:w="85" w:type="dxa"/>
              <w:bottom w:w="113" w:type="dxa"/>
              <w:right w:w="85" w:type="dxa"/>
            </w:tcMar>
            <w:vAlign w:val="center"/>
          </w:tcPr>
          <w:p w14:paraId="150BDAD1">
            <w:pPr>
              <w:pStyle w:val="101"/>
            </w:pPr>
          </w:p>
        </w:tc>
        <w:tc>
          <w:tcPr>
            <w:tcW w:w="6815" w:type="dxa"/>
            <w:tcMar>
              <w:top w:w="113" w:type="dxa"/>
              <w:left w:w="85" w:type="dxa"/>
              <w:bottom w:w="113" w:type="dxa"/>
              <w:right w:w="85" w:type="dxa"/>
            </w:tcMar>
            <w:vAlign w:val="center"/>
          </w:tcPr>
          <w:p w14:paraId="5C8B80EF">
            <w:pPr>
              <w:pStyle w:val="105"/>
            </w:pPr>
            <w:r>
              <w:t>10</w:t>
            </w:r>
            <w:r>
              <w:rPr>
                <w:rFonts w:hint="eastAsia"/>
              </w:rPr>
              <w:t>、向施工承包人报销个人的各种费用</w:t>
            </w:r>
          </w:p>
        </w:tc>
        <w:tc>
          <w:tcPr>
            <w:tcW w:w="1539" w:type="dxa"/>
            <w:tcMar>
              <w:top w:w="113" w:type="dxa"/>
              <w:left w:w="85" w:type="dxa"/>
              <w:bottom w:w="113" w:type="dxa"/>
              <w:right w:w="85" w:type="dxa"/>
            </w:tcMar>
            <w:vAlign w:val="center"/>
          </w:tcPr>
          <w:p w14:paraId="5292E290">
            <w:pPr>
              <w:pStyle w:val="101"/>
              <w:rPr>
                <w:sz w:val="18"/>
                <w:szCs w:val="18"/>
              </w:rPr>
            </w:pPr>
            <w:r>
              <w:rPr>
                <w:rFonts w:hint="eastAsia"/>
                <w:sz w:val="18"/>
                <w:szCs w:val="18"/>
              </w:rPr>
              <w:t>退款并罚款1000元/次</w:t>
            </w:r>
          </w:p>
        </w:tc>
      </w:tr>
      <w:tr w14:paraId="2AB06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1B95C59D">
            <w:pPr>
              <w:pStyle w:val="101"/>
            </w:pPr>
          </w:p>
        </w:tc>
        <w:tc>
          <w:tcPr>
            <w:tcW w:w="599" w:type="dxa"/>
            <w:vMerge w:val="continue"/>
            <w:tcMar>
              <w:top w:w="113" w:type="dxa"/>
              <w:left w:w="85" w:type="dxa"/>
              <w:bottom w:w="113" w:type="dxa"/>
              <w:right w:w="85" w:type="dxa"/>
            </w:tcMar>
            <w:vAlign w:val="center"/>
          </w:tcPr>
          <w:p w14:paraId="04937B2D">
            <w:pPr>
              <w:pStyle w:val="101"/>
            </w:pPr>
          </w:p>
        </w:tc>
        <w:tc>
          <w:tcPr>
            <w:tcW w:w="6815" w:type="dxa"/>
            <w:tcMar>
              <w:top w:w="113" w:type="dxa"/>
              <w:left w:w="85" w:type="dxa"/>
              <w:bottom w:w="113" w:type="dxa"/>
              <w:right w:w="85" w:type="dxa"/>
            </w:tcMar>
            <w:vAlign w:val="center"/>
          </w:tcPr>
          <w:p w14:paraId="6FB2AFDB">
            <w:pPr>
              <w:pStyle w:val="105"/>
            </w:pPr>
            <w:r>
              <w:rPr>
                <w:rFonts w:hint="eastAsia"/>
              </w:rPr>
              <w:t>1</w:t>
            </w:r>
            <w:r>
              <w:t>l</w:t>
            </w:r>
            <w:r>
              <w:rPr>
                <w:rFonts w:hint="eastAsia"/>
              </w:rPr>
              <w:t>、独自长期占用施工承包人的交通或通讯等设备</w:t>
            </w:r>
            <w:r>
              <w:t>）</w:t>
            </w:r>
          </w:p>
        </w:tc>
        <w:tc>
          <w:tcPr>
            <w:tcW w:w="1539" w:type="dxa"/>
            <w:tcMar>
              <w:top w:w="113" w:type="dxa"/>
              <w:left w:w="85" w:type="dxa"/>
              <w:bottom w:w="113" w:type="dxa"/>
              <w:right w:w="85" w:type="dxa"/>
            </w:tcMar>
            <w:vAlign w:val="center"/>
          </w:tcPr>
          <w:p w14:paraId="402367D5">
            <w:pPr>
              <w:pStyle w:val="101"/>
            </w:pPr>
            <w:r>
              <w:rPr>
                <w:rFonts w:hint="eastAsia"/>
              </w:rPr>
              <w:t>500元/次</w:t>
            </w:r>
          </w:p>
        </w:tc>
      </w:tr>
      <w:tr w14:paraId="5D74DC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0D654590">
            <w:pPr>
              <w:pStyle w:val="101"/>
            </w:pPr>
          </w:p>
        </w:tc>
        <w:tc>
          <w:tcPr>
            <w:tcW w:w="599" w:type="dxa"/>
            <w:vMerge w:val="continue"/>
            <w:tcMar>
              <w:top w:w="113" w:type="dxa"/>
              <w:left w:w="85" w:type="dxa"/>
              <w:bottom w:w="113" w:type="dxa"/>
              <w:right w:w="85" w:type="dxa"/>
            </w:tcMar>
            <w:vAlign w:val="center"/>
          </w:tcPr>
          <w:p w14:paraId="329B65B3">
            <w:pPr>
              <w:pStyle w:val="101"/>
            </w:pPr>
          </w:p>
        </w:tc>
        <w:tc>
          <w:tcPr>
            <w:tcW w:w="6815" w:type="dxa"/>
            <w:tcMar>
              <w:top w:w="113" w:type="dxa"/>
              <w:left w:w="85" w:type="dxa"/>
              <w:bottom w:w="113" w:type="dxa"/>
              <w:right w:w="85" w:type="dxa"/>
            </w:tcMar>
            <w:vAlign w:val="center"/>
          </w:tcPr>
          <w:p w14:paraId="40E19AF6">
            <w:pPr>
              <w:pStyle w:val="105"/>
            </w:pPr>
            <w:r>
              <w:t>12</w:t>
            </w:r>
            <w:r>
              <w:rPr>
                <w:rFonts w:hint="eastAsia"/>
              </w:rPr>
              <w:t>、泄露工程、建设管理单位的秘密，损害建设管理单位利益和名誉</w:t>
            </w:r>
          </w:p>
        </w:tc>
        <w:tc>
          <w:tcPr>
            <w:tcW w:w="1539" w:type="dxa"/>
            <w:tcMar>
              <w:top w:w="113" w:type="dxa"/>
              <w:left w:w="85" w:type="dxa"/>
              <w:bottom w:w="113" w:type="dxa"/>
              <w:right w:w="85" w:type="dxa"/>
            </w:tcMar>
            <w:vAlign w:val="center"/>
          </w:tcPr>
          <w:p w14:paraId="7F107129">
            <w:pPr>
              <w:pStyle w:val="101"/>
            </w:pPr>
            <w:r>
              <w:rPr>
                <w:rFonts w:hint="eastAsia"/>
              </w:rPr>
              <w:t>清退</w:t>
            </w:r>
          </w:p>
        </w:tc>
      </w:tr>
      <w:tr w14:paraId="0F2C95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5B32734C">
            <w:pPr>
              <w:pStyle w:val="101"/>
            </w:pPr>
          </w:p>
        </w:tc>
        <w:tc>
          <w:tcPr>
            <w:tcW w:w="599" w:type="dxa"/>
            <w:vMerge w:val="continue"/>
            <w:tcMar>
              <w:top w:w="113" w:type="dxa"/>
              <w:left w:w="85" w:type="dxa"/>
              <w:bottom w:w="113" w:type="dxa"/>
              <w:right w:w="85" w:type="dxa"/>
            </w:tcMar>
            <w:vAlign w:val="center"/>
          </w:tcPr>
          <w:p w14:paraId="4035316A">
            <w:pPr>
              <w:pStyle w:val="101"/>
            </w:pPr>
          </w:p>
        </w:tc>
        <w:tc>
          <w:tcPr>
            <w:tcW w:w="6815" w:type="dxa"/>
            <w:tcMar>
              <w:top w:w="113" w:type="dxa"/>
              <w:left w:w="85" w:type="dxa"/>
              <w:bottom w:w="113" w:type="dxa"/>
              <w:right w:w="85" w:type="dxa"/>
            </w:tcMar>
            <w:vAlign w:val="center"/>
          </w:tcPr>
          <w:p w14:paraId="69B0B9B2">
            <w:pPr>
              <w:pStyle w:val="105"/>
            </w:pPr>
            <w:r>
              <w:t>13</w:t>
            </w:r>
            <w:r>
              <w:rPr>
                <w:rFonts w:hint="eastAsia"/>
              </w:rPr>
              <w:t>、参与各种赌博活动</w:t>
            </w:r>
          </w:p>
        </w:tc>
        <w:tc>
          <w:tcPr>
            <w:tcW w:w="1539" w:type="dxa"/>
            <w:tcMar>
              <w:top w:w="113" w:type="dxa"/>
              <w:left w:w="85" w:type="dxa"/>
              <w:bottom w:w="113" w:type="dxa"/>
              <w:right w:w="85" w:type="dxa"/>
            </w:tcMar>
            <w:vAlign w:val="center"/>
          </w:tcPr>
          <w:p w14:paraId="5C024761">
            <w:pPr>
              <w:pStyle w:val="101"/>
            </w:pPr>
            <w:r>
              <w:t>500</w:t>
            </w:r>
            <w:r>
              <w:rPr>
                <w:rFonts w:hint="eastAsia"/>
              </w:rPr>
              <w:t>元</w:t>
            </w:r>
            <w:r>
              <w:t>/</w:t>
            </w:r>
            <w:r>
              <w:rPr>
                <w:rFonts w:hint="eastAsia"/>
              </w:rPr>
              <w:t>次</w:t>
            </w:r>
          </w:p>
        </w:tc>
      </w:tr>
      <w:tr w14:paraId="02771FBD">
        <w:tblPrEx>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7D5C4149">
            <w:pPr>
              <w:pStyle w:val="101"/>
            </w:pPr>
          </w:p>
        </w:tc>
        <w:tc>
          <w:tcPr>
            <w:tcW w:w="599" w:type="dxa"/>
            <w:vMerge w:val="continue"/>
            <w:tcMar>
              <w:top w:w="113" w:type="dxa"/>
              <w:left w:w="85" w:type="dxa"/>
              <w:bottom w:w="113" w:type="dxa"/>
              <w:right w:w="85" w:type="dxa"/>
            </w:tcMar>
            <w:vAlign w:val="center"/>
          </w:tcPr>
          <w:p w14:paraId="226C26CD">
            <w:pPr>
              <w:pStyle w:val="101"/>
            </w:pPr>
          </w:p>
        </w:tc>
        <w:tc>
          <w:tcPr>
            <w:tcW w:w="6815" w:type="dxa"/>
            <w:tcMar>
              <w:top w:w="113" w:type="dxa"/>
              <w:left w:w="85" w:type="dxa"/>
              <w:bottom w:w="113" w:type="dxa"/>
              <w:right w:w="85" w:type="dxa"/>
            </w:tcMar>
            <w:vAlign w:val="center"/>
          </w:tcPr>
          <w:p w14:paraId="78DF3240">
            <w:pPr>
              <w:pStyle w:val="105"/>
            </w:pPr>
            <w:r>
              <w:t>14</w:t>
            </w:r>
            <w:r>
              <w:rPr>
                <w:rFonts w:hint="eastAsia"/>
              </w:rPr>
              <w:t>、不进行工作交接</w:t>
            </w:r>
          </w:p>
        </w:tc>
        <w:tc>
          <w:tcPr>
            <w:tcW w:w="1539" w:type="dxa"/>
            <w:tcMar>
              <w:top w:w="113" w:type="dxa"/>
              <w:left w:w="85" w:type="dxa"/>
              <w:bottom w:w="113" w:type="dxa"/>
              <w:right w:w="85" w:type="dxa"/>
            </w:tcMar>
            <w:vAlign w:val="center"/>
          </w:tcPr>
          <w:p w14:paraId="36A5368F">
            <w:pPr>
              <w:pStyle w:val="101"/>
            </w:pPr>
            <w:r>
              <w:t>500</w:t>
            </w:r>
            <w:r>
              <w:rPr>
                <w:rFonts w:hint="eastAsia"/>
              </w:rPr>
              <w:t>元</w:t>
            </w:r>
            <w:r>
              <w:t>/</w:t>
            </w:r>
            <w:r>
              <w:rPr>
                <w:rFonts w:hint="eastAsia"/>
              </w:rPr>
              <w:t>次</w:t>
            </w:r>
          </w:p>
        </w:tc>
      </w:tr>
      <w:tr w14:paraId="49B70E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B198B97">
            <w:pPr>
              <w:pStyle w:val="101"/>
            </w:pPr>
          </w:p>
        </w:tc>
        <w:tc>
          <w:tcPr>
            <w:tcW w:w="599" w:type="dxa"/>
            <w:vMerge w:val="continue"/>
            <w:tcMar>
              <w:top w:w="113" w:type="dxa"/>
              <w:left w:w="85" w:type="dxa"/>
              <w:bottom w:w="113" w:type="dxa"/>
              <w:right w:w="85" w:type="dxa"/>
            </w:tcMar>
            <w:vAlign w:val="center"/>
          </w:tcPr>
          <w:p w14:paraId="679FEE7A">
            <w:pPr>
              <w:pStyle w:val="101"/>
            </w:pPr>
          </w:p>
        </w:tc>
        <w:tc>
          <w:tcPr>
            <w:tcW w:w="6815" w:type="dxa"/>
            <w:tcMar>
              <w:top w:w="113" w:type="dxa"/>
              <w:left w:w="85" w:type="dxa"/>
              <w:bottom w:w="113" w:type="dxa"/>
              <w:right w:w="85" w:type="dxa"/>
            </w:tcMar>
            <w:vAlign w:val="center"/>
          </w:tcPr>
          <w:p w14:paraId="40BA06C2">
            <w:pPr>
              <w:pStyle w:val="105"/>
            </w:pPr>
            <w:r>
              <w:t>15</w:t>
            </w:r>
            <w:r>
              <w:rPr>
                <w:rFonts w:hint="eastAsia"/>
              </w:rPr>
              <w:t>、不自觉接受建设管理单位的监督检查、指导和协调</w:t>
            </w:r>
          </w:p>
        </w:tc>
        <w:tc>
          <w:tcPr>
            <w:tcW w:w="1539" w:type="dxa"/>
            <w:tcMar>
              <w:top w:w="113" w:type="dxa"/>
              <w:left w:w="85" w:type="dxa"/>
              <w:bottom w:w="113" w:type="dxa"/>
              <w:right w:w="85" w:type="dxa"/>
            </w:tcMar>
            <w:vAlign w:val="center"/>
          </w:tcPr>
          <w:p w14:paraId="0435FE5C">
            <w:pPr>
              <w:pStyle w:val="101"/>
            </w:pPr>
            <w:r>
              <w:rPr>
                <w:rFonts w:hint="eastAsia"/>
              </w:rPr>
              <w:t>清退</w:t>
            </w:r>
          </w:p>
        </w:tc>
      </w:tr>
      <w:tr w14:paraId="196D45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51FC9D6">
            <w:pPr>
              <w:pStyle w:val="101"/>
            </w:pPr>
          </w:p>
        </w:tc>
        <w:tc>
          <w:tcPr>
            <w:tcW w:w="599" w:type="dxa"/>
            <w:vMerge w:val="continue"/>
            <w:tcMar>
              <w:top w:w="113" w:type="dxa"/>
              <w:left w:w="85" w:type="dxa"/>
              <w:bottom w:w="113" w:type="dxa"/>
              <w:right w:w="85" w:type="dxa"/>
            </w:tcMar>
            <w:vAlign w:val="center"/>
          </w:tcPr>
          <w:p w14:paraId="5273CAED">
            <w:pPr>
              <w:pStyle w:val="101"/>
            </w:pPr>
          </w:p>
        </w:tc>
        <w:tc>
          <w:tcPr>
            <w:tcW w:w="6815" w:type="dxa"/>
            <w:tcMar>
              <w:top w:w="113" w:type="dxa"/>
              <w:left w:w="85" w:type="dxa"/>
              <w:bottom w:w="113" w:type="dxa"/>
              <w:right w:w="85" w:type="dxa"/>
            </w:tcMar>
            <w:vAlign w:val="center"/>
          </w:tcPr>
          <w:p w14:paraId="468F1438">
            <w:pPr>
              <w:pStyle w:val="105"/>
            </w:pPr>
            <w:r>
              <w:t>16</w:t>
            </w:r>
            <w:r>
              <w:rPr>
                <w:rFonts w:hint="eastAsia"/>
              </w:rPr>
              <w:t>、工作时间休息或迟到、早退</w:t>
            </w:r>
          </w:p>
        </w:tc>
        <w:tc>
          <w:tcPr>
            <w:tcW w:w="1539" w:type="dxa"/>
            <w:tcMar>
              <w:top w:w="113" w:type="dxa"/>
              <w:left w:w="85" w:type="dxa"/>
              <w:bottom w:w="113" w:type="dxa"/>
              <w:right w:w="85" w:type="dxa"/>
            </w:tcMar>
            <w:vAlign w:val="center"/>
          </w:tcPr>
          <w:p w14:paraId="484CBB92">
            <w:pPr>
              <w:pStyle w:val="101"/>
            </w:pPr>
            <w:r>
              <w:rPr>
                <w:rFonts w:hint="eastAsia"/>
              </w:rPr>
              <w:t>100元/次</w:t>
            </w:r>
          </w:p>
        </w:tc>
      </w:tr>
      <w:tr w14:paraId="5A0616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37EE7D3E">
            <w:pPr>
              <w:pStyle w:val="101"/>
            </w:pPr>
          </w:p>
        </w:tc>
        <w:tc>
          <w:tcPr>
            <w:tcW w:w="599" w:type="dxa"/>
            <w:vMerge w:val="continue"/>
            <w:tcMar>
              <w:top w:w="113" w:type="dxa"/>
              <w:left w:w="85" w:type="dxa"/>
              <w:bottom w:w="113" w:type="dxa"/>
              <w:right w:w="85" w:type="dxa"/>
            </w:tcMar>
            <w:vAlign w:val="center"/>
          </w:tcPr>
          <w:p w14:paraId="3F66A8AA">
            <w:pPr>
              <w:pStyle w:val="101"/>
            </w:pPr>
          </w:p>
        </w:tc>
        <w:tc>
          <w:tcPr>
            <w:tcW w:w="6815" w:type="dxa"/>
            <w:tcMar>
              <w:top w:w="113" w:type="dxa"/>
              <w:left w:w="85" w:type="dxa"/>
              <w:bottom w:w="113" w:type="dxa"/>
              <w:right w:w="85" w:type="dxa"/>
            </w:tcMar>
            <w:vAlign w:val="center"/>
          </w:tcPr>
          <w:p w14:paraId="1DCD9C95">
            <w:pPr>
              <w:pStyle w:val="105"/>
            </w:pPr>
            <w:r>
              <w:t>17</w:t>
            </w:r>
            <w:r>
              <w:rPr>
                <w:rFonts w:hint="eastAsia"/>
              </w:rPr>
              <w:t>、工作期间干与工作无关的事</w:t>
            </w:r>
          </w:p>
        </w:tc>
        <w:tc>
          <w:tcPr>
            <w:tcW w:w="1539" w:type="dxa"/>
            <w:tcMar>
              <w:top w:w="113" w:type="dxa"/>
              <w:left w:w="85" w:type="dxa"/>
              <w:bottom w:w="113" w:type="dxa"/>
              <w:right w:w="85" w:type="dxa"/>
            </w:tcMar>
            <w:vAlign w:val="center"/>
          </w:tcPr>
          <w:p w14:paraId="23233F96">
            <w:pPr>
              <w:pStyle w:val="101"/>
            </w:pPr>
            <w:r>
              <w:rPr>
                <w:rFonts w:hint="eastAsia"/>
              </w:rPr>
              <w:t>100元/次</w:t>
            </w:r>
          </w:p>
        </w:tc>
      </w:tr>
      <w:tr w14:paraId="248F25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642" w:type="dxa"/>
            <w:vMerge w:val="continue"/>
            <w:tcMar>
              <w:top w:w="113" w:type="dxa"/>
              <w:left w:w="85" w:type="dxa"/>
              <w:bottom w:w="113" w:type="dxa"/>
              <w:right w:w="85" w:type="dxa"/>
            </w:tcMar>
            <w:vAlign w:val="center"/>
          </w:tcPr>
          <w:p w14:paraId="216A42E4">
            <w:pPr>
              <w:pStyle w:val="101"/>
            </w:pPr>
          </w:p>
        </w:tc>
        <w:tc>
          <w:tcPr>
            <w:tcW w:w="599" w:type="dxa"/>
            <w:vMerge w:val="continue"/>
            <w:tcMar>
              <w:top w:w="113" w:type="dxa"/>
              <w:left w:w="85" w:type="dxa"/>
              <w:bottom w:w="113" w:type="dxa"/>
              <w:right w:w="85" w:type="dxa"/>
            </w:tcMar>
            <w:vAlign w:val="center"/>
          </w:tcPr>
          <w:p w14:paraId="00378F40">
            <w:pPr>
              <w:pStyle w:val="101"/>
            </w:pPr>
          </w:p>
        </w:tc>
        <w:tc>
          <w:tcPr>
            <w:tcW w:w="6815" w:type="dxa"/>
            <w:tcMar>
              <w:top w:w="113" w:type="dxa"/>
              <w:left w:w="85" w:type="dxa"/>
              <w:bottom w:w="113" w:type="dxa"/>
              <w:right w:w="85" w:type="dxa"/>
            </w:tcMar>
            <w:vAlign w:val="center"/>
          </w:tcPr>
          <w:p w14:paraId="65625FC2">
            <w:pPr>
              <w:pStyle w:val="105"/>
            </w:pPr>
            <w:r>
              <w:t>18</w:t>
            </w:r>
            <w:r>
              <w:rPr>
                <w:rFonts w:hint="eastAsia"/>
              </w:rPr>
              <w:t>、监理站（分站）不能正确对待对其工作考核的评价，不通过正常渠道解决评价中的问题</w:t>
            </w:r>
          </w:p>
        </w:tc>
        <w:tc>
          <w:tcPr>
            <w:tcW w:w="1539" w:type="dxa"/>
            <w:tcMar>
              <w:top w:w="113" w:type="dxa"/>
              <w:left w:w="85" w:type="dxa"/>
              <w:bottom w:w="113" w:type="dxa"/>
              <w:right w:w="85" w:type="dxa"/>
            </w:tcMar>
            <w:vAlign w:val="center"/>
          </w:tcPr>
          <w:p w14:paraId="0533CF69">
            <w:pPr>
              <w:pStyle w:val="101"/>
            </w:pPr>
            <w:r>
              <w:rPr>
                <w:rFonts w:hint="eastAsia"/>
              </w:rPr>
              <w:t>1000元/次</w:t>
            </w:r>
          </w:p>
        </w:tc>
      </w:tr>
      <w:tr w14:paraId="433B48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5" w:hRule="atLeast"/>
          <w:jc w:val="center"/>
        </w:trPr>
        <w:tc>
          <w:tcPr>
            <w:tcW w:w="642" w:type="dxa"/>
            <w:vMerge w:val="continue"/>
            <w:tcMar>
              <w:top w:w="113" w:type="dxa"/>
              <w:left w:w="85" w:type="dxa"/>
              <w:bottom w:w="113" w:type="dxa"/>
              <w:right w:w="85" w:type="dxa"/>
            </w:tcMar>
            <w:vAlign w:val="center"/>
          </w:tcPr>
          <w:p w14:paraId="1A0D6D21">
            <w:pPr>
              <w:pStyle w:val="101"/>
            </w:pPr>
          </w:p>
        </w:tc>
        <w:tc>
          <w:tcPr>
            <w:tcW w:w="599" w:type="dxa"/>
            <w:vMerge w:val="continue"/>
            <w:tcMar>
              <w:top w:w="113" w:type="dxa"/>
              <w:left w:w="85" w:type="dxa"/>
              <w:bottom w:w="113" w:type="dxa"/>
              <w:right w:w="85" w:type="dxa"/>
            </w:tcMar>
            <w:vAlign w:val="center"/>
          </w:tcPr>
          <w:p w14:paraId="00062B95">
            <w:pPr>
              <w:pStyle w:val="101"/>
            </w:pPr>
          </w:p>
        </w:tc>
        <w:tc>
          <w:tcPr>
            <w:tcW w:w="6815" w:type="dxa"/>
            <w:tcMar>
              <w:top w:w="113" w:type="dxa"/>
              <w:left w:w="85" w:type="dxa"/>
              <w:bottom w:w="113" w:type="dxa"/>
              <w:right w:w="85" w:type="dxa"/>
            </w:tcMar>
            <w:vAlign w:val="center"/>
          </w:tcPr>
          <w:p w14:paraId="5DBFB4DD">
            <w:pPr>
              <w:pStyle w:val="105"/>
            </w:pPr>
            <w:r>
              <w:t>19</w:t>
            </w:r>
            <w:r>
              <w:rPr>
                <w:rFonts w:hint="eastAsia"/>
              </w:rPr>
              <w:t>、不能正确对待建设管理单位的监督检查，出言不逊</w:t>
            </w:r>
          </w:p>
        </w:tc>
        <w:tc>
          <w:tcPr>
            <w:tcW w:w="1539" w:type="dxa"/>
            <w:tcMar>
              <w:top w:w="113" w:type="dxa"/>
              <w:left w:w="85" w:type="dxa"/>
              <w:bottom w:w="113" w:type="dxa"/>
              <w:right w:w="85" w:type="dxa"/>
            </w:tcMar>
            <w:vAlign w:val="center"/>
          </w:tcPr>
          <w:p w14:paraId="710F43AF">
            <w:pPr>
              <w:pStyle w:val="101"/>
            </w:pPr>
            <w:r>
              <w:t>500</w:t>
            </w:r>
            <w:r>
              <w:rPr>
                <w:rFonts w:hint="eastAsia"/>
              </w:rPr>
              <w:t>元</w:t>
            </w:r>
            <w:r>
              <w:t>/</w:t>
            </w:r>
            <w:r>
              <w:rPr>
                <w:rFonts w:hint="eastAsia"/>
              </w:rPr>
              <w:t>次</w:t>
            </w:r>
          </w:p>
        </w:tc>
      </w:tr>
    </w:tbl>
    <w:p w14:paraId="262923B5">
      <w:pPr>
        <w:spacing w:line="400" w:lineRule="exact"/>
        <w:rPr>
          <w:rFonts w:ascii="宋体" w:hAnsi="宋体"/>
          <w:spacing w:val="2"/>
          <w:position w:val="2"/>
          <w:sz w:val="24"/>
          <w:szCs w:val="24"/>
        </w:rPr>
      </w:pPr>
    </w:p>
    <w:p w14:paraId="25B5B27C"/>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A335">
    <w:pPr>
      <w:pStyle w:val="25"/>
      <w:jc w:val="center"/>
    </w:pPr>
    <w:r>
      <w:fldChar w:fldCharType="begin"/>
    </w:r>
    <w:r>
      <w:instrText xml:space="preserve"> PAGE   \* MERGEFORMAT </w:instrText>
    </w:r>
    <w:r>
      <w:fldChar w:fldCharType="separate"/>
    </w:r>
    <w:r>
      <w:rPr>
        <w:lang w:val="zh-CN"/>
      </w:rPr>
      <w:t>1</w:t>
    </w:r>
    <w:r>
      <w:fldChar w:fldCharType="end"/>
    </w:r>
  </w:p>
  <w:p w14:paraId="6AD09904">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C486B">
    <w:pPr>
      <w:pStyle w:val="25"/>
      <w:framePr w:wrap="around" w:vAnchor="text" w:hAnchor="margin" w:xAlign="center" w:y="1"/>
      <w:rPr>
        <w:rStyle w:val="43"/>
      </w:rPr>
    </w:pPr>
    <w:r>
      <w:fldChar w:fldCharType="begin"/>
    </w:r>
    <w:r>
      <w:rPr>
        <w:rStyle w:val="43"/>
      </w:rPr>
      <w:instrText xml:space="preserve">PAGE  </w:instrText>
    </w:r>
    <w:r>
      <w:fldChar w:fldCharType="end"/>
    </w:r>
  </w:p>
  <w:p w14:paraId="64810208">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5AD36">
    <w:pPr>
      <w:pStyle w:val="25"/>
      <w:jc w:val="center"/>
    </w:pPr>
  </w:p>
  <w:p w14:paraId="07B3E957">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8B11">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5C54">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CBFCE">
                          <w:pPr>
                            <w:pStyle w:val="25"/>
                            <w:jc w:val="center"/>
                          </w:pPr>
                          <w:r>
                            <w:fldChar w:fldCharType="begin"/>
                          </w:r>
                          <w:r>
                            <w:instrText xml:space="preserve"> PAGE   \* MERGEFORMAT </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5DCBFCE">
                    <w:pPr>
                      <w:pStyle w:val="25"/>
                      <w:jc w:val="center"/>
                    </w:pPr>
                    <w:r>
                      <w:fldChar w:fldCharType="begin"/>
                    </w:r>
                    <w:r>
                      <w:instrText xml:space="preserve"> PAGE   \* MERGEFORMAT </w:instrText>
                    </w:r>
                    <w:r>
                      <w:fldChar w:fldCharType="separate"/>
                    </w:r>
                    <w:r>
                      <w:rPr>
                        <w:lang w:val="zh-CN"/>
                      </w:rPr>
                      <w:t>17</w:t>
                    </w:r>
                    <w:r>
                      <w:fldChar w:fldCharType="end"/>
                    </w:r>
                  </w:p>
                </w:txbxContent>
              </v:textbox>
            </v:shape>
          </w:pict>
        </mc:Fallback>
      </mc:AlternateContent>
    </w:r>
  </w:p>
  <w:p w14:paraId="5F255E1B">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B59C2">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5FBFF">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BA5FBFF">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F69B">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tabs>
          <w:tab w:val="left" w:pos="720"/>
        </w:tabs>
        <w:ind w:left="720" w:hanging="720"/>
      </w:pPr>
    </w:lvl>
    <w:lvl w:ilvl="1" w:tentative="0">
      <w:start w:val="1"/>
      <w:numFmt w:val="decimal"/>
      <w:lvlText w:val="%2、"/>
      <w:lvlJc w:val="left"/>
      <w:pPr>
        <w:tabs>
          <w:tab w:val="left" w:pos="720"/>
        </w:tabs>
        <w:ind w:left="720" w:hanging="7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multilevel"/>
    <w:tmpl w:val="0000000B"/>
    <w:lvl w:ilvl="0" w:tentative="0">
      <w:start w:val="1"/>
      <w:numFmt w:val="chineseCountingThousand"/>
      <w:pStyle w:val="108"/>
      <w:lvlText w:val="%1、"/>
      <w:lvlJc w:val="left"/>
      <w:pPr>
        <w:ind w:left="0" w:firstLine="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C"/>
    <w:multiLevelType w:val="multilevel"/>
    <w:tmpl w:val="0000000C"/>
    <w:lvl w:ilvl="0" w:tentative="0">
      <w:start w:val="5"/>
      <w:numFmt w:val="decimal"/>
      <w:lvlText w:val="%1"/>
      <w:lvlJc w:val="left"/>
      <w:pPr>
        <w:tabs>
          <w:tab w:val="left" w:pos="840"/>
        </w:tabs>
        <w:ind w:left="840" w:hanging="36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0000000D"/>
    <w:multiLevelType w:val="multilevel"/>
    <w:tmpl w:val="0000000D"/>
    <w:lvl w:ilvl="0" w:tentative="0">
      <w:start w:val="1"/>
      <w:numFmt w:val="decimal"/>
      <w:lvlText w:val="%1."/>
      <w:lvlJc w:val="left"/>
      <w:pPr>
        <w:ind w:left="900" w:hanging="360"/>
      </w:pPr>
    </w:lvl>
    <w:lvl w:ilvl="1" w:tentative="0">
      <w:start w:val="1"/>
      <w:numFmt w:val="decimal"/>
      <w:lvlText w:val="%2、"/>
      <w:lvlJc w:val="left"/>
      <w:pPr>
        <w:ind w:left="-60" w:firstLine="454"/>
      </w:pPr>
    </w:lvl>
    <w:lvl w:ilvl="2" w:tentative="0">
      <w:start w:val="1"/>
      <w:numFmt w:val="decimal"/>
      <w:lvlText w:val="%3."/>
      <w:lvlJc w:val="left"/>
      <w:pPr>
        <w:tabs>
          <w:tab w:val="left" w:pos="2160"/>
        </w:tabs>
        <w:ind w:left="2160" w:hanging="360"/>
      </w:pPr>
    </w:lvl>
    <w:lvl w:ilvl="3" w:tentative="0">
      <w:start w:val="1"/>
      <w:numFmt w:val="decimal"/>
      <w:pStyle w:val="100"/>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540428E"/>
    <w:multiLevelType w:val="multilevel"/>
    <w:tmpl w:val="2540428E"/>
    <w:lvl w:ilvl="0" w:tentative="0">
      <w:start w:val="1"/>
      <w:numFmt w:val="decimal"/>
      <w:pStyle w:val="11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BDD7560"/>
    <w:multiLevelType w:val="singleLevel"/>
    <w:tmpl w:val="2BDD7560"/>
    <w:lvl w:ilvl="0" w:tentative="0">
      <w:start w:val="1"/>
      <w:numFmt w:val="decimal"/>
      <w:pStyle w:val="104"/>
      <w:lvlText w:val="%1．"/>
      <w:lvlJc w:val="left"/>
      <w:pPr>
        <w:tabs>
          <w:tab w:val="left" w:pos="851"/>
        </w:tabs>
        <w:ind w:left="0" w:firstLine="454"/>
      </w:pPr>
      <w:rPr>
        <w:rFonts w:hint="eastAsia" w:ascii="宋体" w:eastAsia="宋体"/>
      </w:rPr>
    </w:lvl>
  </w:abstractNum>
  <w:num w:numId="1">
    <w:abstractNumId w:val="3"/>
    <w:lvlOverride w:ilvl="0">
      <w:startOverride w:val="1"/>
    </w:lvlOverride>
  </w:num>
  <w:num w:numId="2">
    <w:abstractNumId w:val="5"/>
    <w:lvlOverride w:ilvl="0">
      <w:startOverride w:val="1"/>
    </w:lvlOverride>
  </w:num>
  <w:num w:numId="3">
    <w:abstractNumId w:val="1"/>
    <w:lvlOverride w:ilvl="0">
      <w:startOverride w:val="1"/>
    </w:lvlOverride>
  </w:num>
  <w:num w:numId="4">
    <w:abstractNumId w:val="4"/>
  </w:num>
  <w:num w:numId="5">
    <w:abstractNumId w:val="3"/>
  </w:num>
  <w:num w:numId="6">
    <w:abstractNumId w:val="0"/>
    <w:lvlOverride w:ilvl="0">
      <w:startOverride w:val="1"/>
    </w:lvlOverride>
  </w:num>
  <w:num w:numId="7">
    <w:abstractNumId w:val="0"/>
    <w:lvlOverride w:ilvl="1">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ZjNlZGQ2ZTFmNmZkMzhiMWM0ZmY0N2M5OTA3ZTMifQ=="/>
  </w:docVars>
  <w:rsids>
    <w:rsidRoot w:val="00172A27"/>
    <w:rsid w:val="000003EE"/>
    <w:rsid w:val="000304EE"/>
    <w:rsid w:val="0003607C"/>
    <w:rsid w:val="00043DA4"/>
    <w:rsid w:val="00044809"/>
    <w:rsid w:val="000727E4"/>
    <w:rsid w:val="00082260"/>
    <w:rsid w:val="00082FCF"/>
    <w:rsid w:val="00090CAE"/>
    <w:rsid w:val="000A2E8D"/>
    <w:rsid w:val="000A795E"/>
    <w:rsid w:val="000B1804"/>
    <w:rsid w:val="000B3A3F"/>
    <w:rsid w:val="000C2207"/>
    <w:rsid w:val="000C4D54"/>
    <w:rsid w:val="000C5B80"/>
    <w:rsid w:val="000D0B41"/>
    <w:rsid w:val="000D1076"/>
    <w:rsid w:val="000D7308"/>
    <w:rsid w:val="000D7FDE"/>
    <w:rsid w:val="000F2E9C"/>
    <w:rsid w:val="000F4C48"/>
    <w:rsid w:val="0011042B"/>
    <w:rsid w:val="00123343"/>
    <w:rsid w:val="0012389F"/>
    <w:rsid w:val="00151A86"/>
    <w:rsid w:val="00167B19"/>
    <w:rsid w:val="001708B9"/>
    <w:rsid w:val="00171DB0"/>
    <w:rsid w:val="00172A27"/>
    <w:rsid w:val="00182275"/>
    <w:rsid w:val="001910D7"/>
    <w:rsid w:val="00191F46"/>
    <w:rsid w:val="00194C57"/>
    <w:rsid w:val="001C329A"/>
    <w:rsid w:val="001D4167"/>
    <w:rsid w:val="001D61CF"/>
    <w:rsid w:val="001E0EBC"/>
    <w:rsid w:val="001E11FB"/>
    <w:rsid w:val="001E7844"/>
    <w:rsid w:val="00202252"/>
    <w:rsid w:val="00202BBA"/>
    <w:rsid w:val="00206102"/>
    <w:rsid w:val="0022018D"/>
    <w:rsid w:val="002203C5"/>
    <w:rsid w:val="0023034D"/>
    <w:rsid w:val="00230422"/>
    <w:rsid w:val="0023703F"/>
    <w:rsid w:val="00241934"/>
    <w:rsid w:val="00254656"/>
    <w:rsid w:val="00255BE2"/>
    <w:rsid w:val="00257192"/>
    <w:rsid w:val="00266823"/>
    <w:rsid w:val="00270B38"/>
    <w:rsid w:val="00276A0B"/>
    <w:rsid w:val="00295E01"/>
    <w:rsid w:val="002A552E"/>
    <w:rsid w:val="002B1A71"/>
    <w:rsid w:val="002B6CC8"/>
    <w:rsid w:val="002C5BEB"/>
    <w:rsid w:val="002C7624"/>
    <w:rsid w:val="002D19E3"/>
    <w:rsid w:val="002D59CF"/>
    <w:rsid w:val="002D5E54"/>
    <w:rsid w:val="002E70A6"/>
    <w:rsid w:val="00307E2A"/>
    <w:rsid w:val="00313816"/>
    <w:rsid w:val="00315B78"/>
    <w:rsid w:val="0032272D"/>
    <w:rsid w:val="00327559"/>
    <w:rsid w:val="0034053A"/>
    <w:rsid w:val="00341B95"/>
    <w:rsid w:val="00342A07"/>
    <w:rsid w:val="0036494C"/>
    <w:rsid w:val="00367CCC"/>
    <w:rsid w:val="003704E8"/>
    <w:rsid w:val="00373CAC"/>
    <w:rsid w:val="0038390A"/>
    <w:rsid w:val="003903E5"/>
    <w:rsid w:val="003930A7"/>
    <w:rsid w:val="00393563"/>
    <w:rsid w:val="00394F0A"/>
    <w:rsid w:val="00395D42"/>
    <w:rsid w:val="00397938"/>
    <w:rsid w:val="003A57F4"/>
    <w:rsid w:val="003B5CF6"/>
    <w:rsid w:val="003C31D2"/>
    <w:rsid w:val="003C458B"/>
    <w:rsid w:val="00404362"/>
    <w:rsid w:val="00406021"/>
    <w:rsid w:val="004114CF"/>
    <w:rsid w:val="0041395F"/>
    <w:rsid w:val="00431B8F"/>
    <w:rsid w:val="0043586F"/>
    <w:rsid w:val="00437B0D"/>
    <w:rsid w:val="00446E0C"/>
    <w:rsid w:val="00455257"/>
    <w:rsid w:val="004615C1"/>
    <w:rsid w:val="00470711"/>
    <w:rsid w:val="00472816"/>
    <w:rsid w:val="004732E8"/>
    <w:rsid w:val="00481C32"/>
    <w:rsid w:val="0048432E"/>
    <w:rsid w:val="004847EE"/>
    <w:rsid w:val="00485567"/>
    <w:rsid w:val="00493AFA"/>
    <w:rsid w:val="004963DC"/>
    <w:rsid w:val="004A68C2"/>
    <w:rsid w:val="004B6909"/>
    <w:rsid w:val="004C7B40"/>
    <w:rsid w:val="004E1FC8"/>
    <w:rsid w:val="004E274F"/>
    <w:rsid w:val="004E61DE"/>
    <w:rsid w:val="00503407"/>
    <w:rsid w:val="0051131D"/>
    <w:rsid w:val="00513280"/>
    <w:rsid w:val="00516A1D"/>
    <w:rsid w:val="00527F83"/>
    <w:rsid w:val="005340F8"/>
    <w:rsid w:val="005348DA"/>
    <w:rsid w:val="00535605"/>
    <w:rsid w:val="00556264"/>
    <w:rsid w:val="00574F79"/>
    <w:rsid w:val="00576C5A"/>
    <w:rsid w:val="0058058B"/>
    <w:rsid w:val="005A32D9"/>
    <w:rsid w:val="005A3664"/>
    <w:rsid w:val="005A7FDE"/>
    <w:rsid w:val="005B0DD9"/>
    <w:rsid w:val="005B1A89"/>
    <w:rsid w:val="005B5C87"/>
    <w:rsid w:val="005C40FA"/>
    <w:rsid w:val="005E5221"/>
    <w:rsid w:val="005E5BA8"/>
    <w:rsid w:val="005F3308"/>
    <w:rsid w:val="00602801"/>
    <w:rsid w:val="006133F2"/>
    <w:rsid w:val="00623A9E"/>
    <w:rsid w:val="00624E70"/>
    <w:rsid w:val="00640360"/>
    <w:rsid w:val="0065412A"/>
    <w:rsid w:val="006637B8"/>
    <w:rsid w:val="00664391"/>
    <w:rsid w:val="00665A64"/>
    <w:rsid w:val="00675CF9"/>
    <w:rsid w:val="00676502"/>
    <w:rsid w:val="00681AC0"/>
    <w:rsid w:val="00682905"/>
    <w:rsid w:val="006876C2"/>
    <w:rsid w:val="00687A33"/>
    <w:rsid w:val="00692DD9"/>
    <w:rsid w:val="006B7F58"/>
    <w:rsid w:val="006C0ADC"/>
    <w:rsid w:val="006C6FE9"/>
    <w:rsid w:val="006C7ED6"/>
    <w:rsid w:val="006E7408"/>
    <w:rsid w:val="006F166D"/>
    <w:rsid w:val="00712634"/>
    <w:rsid w:val="00715477"/>
    <w:rsid w:val="0071753E"/>
    <w:rsid w:val="0073161E"/>
    <w:rsid w:val="00745A78"/>
    <w:rsid w:val="00746AC3"/>
    <w:rsid w:val="00761B70"/>
    <w:rsid w:val="007624D0"/>
    <w:rsid w:val="007647DC"/>
    <w:rsid w:val="00764E61"/>
    <w:rsid w:val="0077002A"/>
    <w:rsid w:val="00780520"/>
    <w:rsid w:val="007A1BBB"/>
    <w:rsid w:val="007A2C2F"/>
    <w:rsid w:val="007A58DC"/>
    <w:rsid w:val="007B0EAC"/>
    <w:rsid w:val="007B6190"/>
    <w:rsid w:val="007D7111"/>
    <w:rsid w:val="007E1D8E"/>
    <w:rsid w:val="007E4889"/>
    <w:rsid w:val="007E4A68"/>
    <w:rsid w:val="007F0902"/>
    <w:rsid w:val="007F2E16"/>
    <w:rsid w:val="00800AC7"/>
    <w:rsid w:val="00806807"/>
    <w:rsid w:val="00807FA4"/>
    <w:rsid w:val="008110A8"/>
    <w:rsid w:val="00815F59"/>
    <w:rsid w:val="008260B0"/>
    <w:rsid w:val="00833819"/>
    <w:rsid w:val="00841D7D"/>
    <w:rsid w:val="008510D7"/>
    <w:rsid w:val="008529D9"/>
    <w:rsid w:val="00857819"/>
    <w:rsid w:val="00863BB2"/>
    <w:rsid w:val="00867475"/>
    <w:rsid w:val="008677D6"/>
    <w:rsid w:val="00881597"/>
    <w:rsid w:val="00883581"/>
    <w:rsid w:val="0089013E"/>
    <w:rsid w:val="008A5EB9"/>
    <w:rsid w:val="008A684E"/>
    <w:rsid w:val="008A6F2A"/>
    <w:rsid w:val="008C0307"/>
    <w:rsid w:val="008C1D13"/>
    <w:rsid w:val="008C1E68"/>
    <w:rsid w:val="008C2EEB"/>
    <w:rsid w:val="008E5C31"/>
    <w:rsid w:val="008F3E1E"/>
    <w:rsid w:val="008F6F25"/>
    <w:rsid w:val="008F73DF"/>
    <w:rsid w:val="00902443"/>
    <w:rsid w:val="00902DCA"/>
    <w:rsid w:val="0090360A"/>
    <w:rsid w:val="00906733"/>
    <w:rsid w:val="00906902"/>
    <w:rsid w:val="00914298"/>
    <w:rsid w:val="0092088E"/>
    <w:rsid w:val="00921566"/>
    <w:rsid w:val="0092481B"/>
    <w:rsid w:val="00925033"/>
    <w:rsid w:val="009346DD"/>
    <w:rsid w:val="00934C30"/>
    <w:rsid w:val="00941717"/>
    <w:rsid w:val="0096526E"/>
    <w:rsid w:val="00973CF8"/>
    <w:rsid w:val="00975565"/>
    <w:rsid w:val="0098338D"/>
    <w:rsid w:val="0099733C"/>
    <w:rsid w:val="009A2DAA"/>
    <w:rsid w:val="009A560A"/>
    <w:rsid w:val="009C1008"/>
    <w:rsid w:val="009D72BE"/>
    <w:rsid w:val="009D7E73"/>
    <w:rsid w:val="009E05B5"/>
    <w:rsid w:val="009E5099"/>
    <w:rsid w:val="009E7117"/>
    <w:rsid w:val="009F2DD9"/>
    <w:rsid w:val="009F7706"/>
    <w:rsid w:val="00A0303A"/>
    <w:rsid w:val="00A041B2"/>
    <w:rsid w:val="00A31D25"/>
    <w:rsid w:val="00A83B09"/>
    <w:rsid w:val="00A904CA"/>
    <w:rsid w:val="00AA0A63"/>
    <w:rsid w:val="00AA7EAB"/>
    <w:rsid w:val="00AB7DDD"/>
    <w:rsid w:val="00AC3CED"/>
    <w:rsid w:val="00AC44CB"/>
    <w:rsid w:val="00AC7C1F"/>
    <w:rsid w:val="00AF5807"/>
    <w:rsid w:val="00AF767C"/>
    <w:rsid w:val="00B06F73"/>
    <w:rsid w:val="00B10FEE"/>
    <w:rsid w:val="00B22C5B"/>
    <w:rsid w:val="00B24213"/>
    <w:rsid w:val="00B25699"/>
    <w:rsid w:val="00B31ED6"/>
    <w:rsid w:val="00B44171"/>
    <w:rsid w:val="00B45D22"/>
    <w:rsid w:val="00B57F1D"/>
    <w:rsid w:val="00B8310D"/>
    <w:rsid w:val="00B83344"/>
    <w:rsid w:val="00B863DC"/>
    <w:rsid w:val="00B910D2"/>
    <w:rsid w:val="00BB7557"/>
    <w:rsid w:val="00BC19FB"/>
    <w:rsid w:val="00BC38EB"/>
    <w:rsid w:val="00BD3C79"/>
    <w:rsid w:val="00BE2307"/>
    <w:rsid w:val="00BE4115"/>
    <w:rsid w:val="00BE5056"/>
    <w:rsid w:val="00BE6906"/>
    <w:rsid w:val="00BF6A7C"/>
    <w:rsid w:val="00C025B0"/>
    <w:rsid w:val="00C0369E"/>
    <w:rsid w:val="00C13768"/>
    <w:rsid w:val="00C15352"/>
    <w:rsid w:val="00C215E9"/>
    <w:rsid w:val="00C27552"/>
    <w:rsid w:val="00C30288"/>
    <w:rsid w:val="00C34B43"/>
    <w:rsid w:val="00C35E29"/>
    <w:rsid w:val="00C405B3"/>
    <w:rsid w:val="00C40D78"/>
    <w:rsid w:val="00C43FF4"/>
    <w:rsid w:val="00C446F2"/>
    <w:rsid w:val="00C53DA8"/>
    <w:rsid w:val="00C747CA"/>
    <w:rsid w:val="00C80185"/>
    <w:rsid w:val="00C80DCF"/>
    <w:rsid w:val="00C85A8A"/>
    <w:rsid w:val="00C863B2"/>
    <w:rsid w:val="00C9069F"/>
    <w:rsid w:val="00CA0202"/>
    <w:rsid w:val="00CA32E2"/>
    <w:rsid w:val="00CC476E"/>
    <w:rsid w:val="00CD02E3"/>
    <w:rsid w:val="00CE4A49"/>
    <w:rsid w:val="00D05A5F"/>
    <w:rsid w:val="00D06586"/>
    <w:rsid w:val="00D145ED"/>
    <w:rsid w:val="00D21AE0"/>
    <w:rsid w:val="00D31F54"/>
    <w:rsid w:val="00D34236"/>
    <w:rsid w:val="00D4296F"/>
    <w:rsid w:val="00D51111"/>
    <w:rsid w:val="00D550A5"/>
    <w:rsid w:val="00D552F5"/>
    <w:rsid w:val="00D63DE8"/>
    <w:rsid w:val="00D65B97"/>
    <w:rsid w:val="00D742E1"/>
    <w:rsid w:val="00D7497D"/>
    <w:rsid w:val="00D860E8"/>
    <w:rsid w:val="00D86BE6"/>
    <w:rsid w:val="00D90243"/>
    <w:rsid w:val="00D95727"/>
    <w:rsid w:val="00DA4021"/>
    <w:rsid w:val="00DB645F"/>
    <w:rsid w:val="00DB7619"/>
    <w:rsid w:val="00DB7804"/>
    <w:rsid w:val="00DB78E9"/>
    <w:rsid w:val="00DD3921"/>
    <w:rsid w:val="00DD4D96"/>
    <w:rsid w:val="00DD6DA3"/>
    <w:rsid w:val="00DE1C8A"/>
    <w:rsid w:val="00DE5438"/>
    <w:rsid w:val="00DF5A92"/>
    <w:rsid w:val="00DF61D1"/>
    <w:rsid w:val="00DF6FA9"/>
    <w:rsid w:val="00E008A0"/>
    <w:rsid w:val="00E031AD"/>
    <w:rsid w:val="00E05668"/>
    <w:rsid w:val="00E109D2"/>
    <w:rsid w:val="00E11AC9"/>
    <w:rsid w:val="00E138F3"/>
    <w:rsid w:val="00E162BE"/>
    <w:rsid w:val="00E22E4E"/>
    <w:rsid w:val="00E26C97"/>
    <w:rsid w:val="00E30317"/>
    <w:rsid w:val="00E30DE5"/>
    <w:rsid w:val="00E375F9"/>
    <w:rsid w:val="00E41024"/>
    <w:rsid w:val="00E47CC1"/>
    <w:rsid w:val="00E61FC0"/>
    <w:rsid w:val="00E70B59"/>
    <w:rsid w:val="00E728EB"/>
    <w:rsid w:val="00E81D0E"/>
    <w:rsid w:val="00E865D5"/>
    <w:rsid w:val="00E92C0C"/>
    <w:rsid w:val="00EA757D"/>
    <w:rsid w:val="00EB4CCA"/>
    <w:rsid w:val="00EB5D6B"/>
    <w:rsid w:val="00EC0248"/>
    <w:rsid w:val="00EC21CA"/>
    <w:rsid w:val="00EC5FB4"/>
    <w:rsid w:val="00EC796E"/>
    <w:rsid w:val="00ED21BD"/>
    <w:rsid w:val="00EF21E1"/>
    <w:rsid w:val="00EF26E1"/>
    <w:rsid w:val="00EF5CE9"/>
    <w:rsid w:val="00F01FE5"/>
    <w:rsid w:val="00F10716"/>
    <w:rsid w:val="00F27952"/>
    <w:rsid w:val="00F27E88"/>
    <w:rsid w:val="00F34E36"/>
    <w:rsid w:val="00F524D3"/>
    <w:rsid w:val="00F55981"/>
    <w:rsid w:val="00F62D59"/>
    <w:rsid w:val="00F65AE7"/>
    <w:rsid w:val="00F65E0E"/>
    <w:rsid w:val="00F72BCE"/>
    <w:rsid w:val="00F7687C"/>
    <w:rsid w:val="00F76C4C"/>
    <w:rsid w:val="00F80EC3"/>
    <w:rsid w:val="00F90AC6"/>
    <w:rsid w:val="00F91330"/>
    <w:rsid w:val="00F91905"/>
    <w:rsid w:val="00F95869"/>
    <w:rsid w:val="00FA0725"/>
    <w:rsid w:val="00FA122F"/>
    <w:rsid w:val="00FA1F7B"/>
    <w:rsid w:val="00FB31AD"/>
    <w:rsid w:val="00FB7A6E"/>
    <w:rsid w:val="00FC133C"/>
    <w:rsid w:val="00FC3570"/>
    <w:rsid w:val="00FC5DAF"/>
    <w:rsid w:val="00FC63AF"/>
    <w:rsid w:val="00FD0367"/>
    <w:rsid w:val="00FD0D08"/>
    <w:rsid w:val="00FD4969"/>
    <w:rsid w:val="00FD59C2"/>
    <w:rsid w:val="00FE27AE"/>
    <w:rsid w:val="00FE31A0"/>
    <w:rsid w:val="00FE7546"/>
    <w:rsid w:val="00FF5CDA"/>
    <w:rsid w:val="021144A0"/>
    <w:rsid w:val="032749B2"/>
    <w:rsid w:val="047B14FB"/>
    <w:rsid w:val="05172E92"/>
    <w:rsid w:val="06CE4411"/>
    <w:rsid w:val="06EA3890"/>
    <w:rsid w:val="08274310"/>
    <w:rsid w:val="0BA53A2D"/>
    <w:rsid w:val="0CE00E32"/>
    <w:rsid w:val="17EC2457"/>
    <w:rsid w:val="19A6006A"/>
    <w:rsid w:val="1EB35E2C"/>
    <w:rsid w:val="20BC16A8"/>
    <w:rsid w:val="244D71B6"/>
    <w:rsid w:val="260E5A46"/>
    <w:rsid w:val="26472BE7"/>
    <w:rsid w:val="29051862"/>
    <w:rsid w:val="2ADD298F"/>
    <w:rsid w:val="2E386A53"/>
    <w:rsid w:val="2E6C07D5"/>
    <w:rsid w:val="2FEE163A"/>
    <w:rsid w:val="300700FC"/>
    <w:rsid w:val="303F265D"/>
    <w:rsid w:val="33457D68"/>
    <w:rsid w:val="3A9D5810"/>
    <w:rsid w:val="3D80269A"/>
    <w:rsid w:val="3FDE46B5"/>
    <w:rsid w:val="451211BA"/>
    <w:rsid w:val="46263CB5"/>
    <w:rsid w:val="478A1EAF"/>
    <w:rsid w:val="4D002628"/>
    <w:rsid w:val="4E444DB3"/>
    <w:rsid w:val="5680218C"/>
    <w:rsid w:val="576A0C54"/>
    <w:rsid w:val="57E83E37"/>
    <w:rsid w:val="5BC07D94"/>
    <w:rsid w:val="5DCA5DA0"/>
    <w:rsid w:val="60AA2A76"/>
    <w:rsid w:val="6292105F"/>
    <w:rsid w:val="641A0663"/>
    <w:rsid w:val="65766AB1"/>
    <w:rsid w:val="67D839B8"/>
    <w:rsid w:val="68EA5751"/>
    <w:rsid w:val="693B46ED"/>
    <w:rsid w:val="6CF07DA2"/>
    <w:rsid w:val="6E0127B0"/>
    <w:rsid w:val="76DA318B"/>
    <w:rsid w:val="AFFD4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2">
    <w:name w:val="heading 1"/>
    <w:basedOn w:val="1"/>
    <w:next w:val="1"/>
    <w:link w:val="72"/>
    <w:qFormat/>
    <w:uiPriority w:val="0"/>
    <w:pPr>
      <w:keepNext/>
      <w:keepLines/>
      <w:adjustRightInd/>
      <w:spacing w:before="340" w:after="330" w:line="578" w:lineRule="auto"/>
      <w:jc w:val="center"/>
      <w:outlineLvl w:val="0"/>
    </w:pPr>
    <w:rPr>
      <w:b/>
      <w:bCs/>
      <w:kern w:val="44"/>
      <w:sz w:val="30"/>
      <w:szCs w:val="44"/>
    </w:rPr>
  </w:style>
  <w:style w:type="paragraph" w:styleId="3">
    <w:name w:val="heading 2"/>
    <w:basedOn w:val="1"/>
    <w:next w:val="4"/>
    <w:link w:val="74"/>
    <w:qFormat/>
    <w:uiPriority w:val="0"/>
    <w:pPr>
      <w:keepNext/>
      <w:adjustRightInd/>
      <w:spacing w:before="120" w:after="120" w:line="460" w:lineRule="exact"/>
      <w:jc w:val="center"/>
      <w:outlineLvl w:val="1"/>
    </w:pPr>
    <w:rPr>
      <w:rFonts w:ascii="黑体" w:eastAsia="黑体"/>
      <w:snapToGrid w:val="0"/>
      <w:color w:val="000000"/>
      <w:sz w:val="28"/>
    </w:rPr>
  </w:style>
  <w:style w:type="paragraph" w:styleId="5">
    <w:name w:val="heading 3"/>
    <w:basedOn w:val="1"/>
    <w:next w:val="1"/>
    <w:link w:val="53"/>
    <w:qFormat/>
    <w:uiPriority w:val="0"/>
    <w:pPr>
      <w:keepNext/>
      <w:keepLines/>
      <w:adjustRightInd/>
      <w:spacing w:before="260" w:after="260" w:line="416" w:lineRule="auto"/>
      <w:outlineLvl w:val="2"/>
    </w:pPr>
    <w:rPr>
      <w:b/>
      <w:bCs/>
      <w:kern w:val="2"/>
      <w:sz w:val="32"/>
      <w:szCs w:val="32"/>
    </w:rPr>
  </w:style>
  <w:style w:type="paragraph" w:styleId="6">
    <w:name w:val="heading 4"/>
    <w:basedOn w:val="1"/>
    <w:next w:val="1"/>
    <w:link w:val="76"/>
    <w:qFormat/>
    <w:uiPriority w:val="0"/>
    <w:pPr>
      <w:keepNext/>
      <w:keepLines/>
      <w:adjustRightInd/>
      <w:spacing w:before="280" w:after="290" w:line="376" w:lineRule="auto"/>
      <w:outlineLvl w:val="3"/>
    </w:pPr>
    <w:rPr>
      <w:rFonts w:ascii="Arial" w:hAnsi="Arial" w:eastAsia="黑体"/>
      <w:b/>
      <w:bCs/>
      <w:kern w:val="2"/>
      <w:sz w:val="28"/>
      <w:szCs w:val="28"/>
    </w:rPr>
  </w:style>
  <w:style w:type="paragraph" w:styleId="7">
    <w:name w:val="heading 5"/>
    <w:basedOn w:val="1"/>
    <w:next w:val="1"/>
    <w:link w:val="47"/>
    <w:qFormat/>
    <w:uiPriority w:val="0"/>
    <w:pPr>
      <w:keepNext/>
      <w:keepLines/>
      <w:adjustRightInd/>
      <w:spacing w:before="280" w:after="290" w:line="376" w:lineRule="auto"/>
      <w:outlineLvl w:val="4"/>
    </w:pPr>
    <w:rPr>
      <w:b/>
      <w:bCs/>
      <w:kern w:val="2"/>
      <w:sz w:val="28"/>
      <w:szCs w:val="28"/>
    </w:rPr>
  </w:style>
  <w:style w:type="paragraph" w:styleId="8">
    <w:name w:val="heading 6"/>
    <w:basedOn w:val="1"/>
    <w:next w:val="1"/>
    <w:link w:val="77"/>
    <w:qFormat/>
    <w:uiPriority w:val="0"/>
    <w:pPr>
      <w:keepNext/>
      <w:keepLines/>
      <w:adjustRightInd/>
      <w:spacing w:before="240" w:after="64" w:line="320" w:lineRule="auto"/>
      <w:ind w:firstLine="510"/>
      <w:outlineLvl w:val="5"/>
    </w:pPr>
    <w:rPr>
      <w:rFonts w:ascii="Arial" w:hAnsi="Arial" w:eastAsia="黑体"/>
      <w:b/>
      <w:bCs/>
      <w:kern w:val="2"/>
      <w:sz w:val="24"/>
      <w:szCs w:val="24"/>
    </w:rPr>
  </w:style>
  <w:style w:type="paragraph" w:styleId="9">
    <w:name w:val="heading 7"/>
    <w:basedOn w:val="1"/>
    <w:next w:val="1"/>
    <w:link w:val="78"/>
    <w:qFormat/>
    <w:uiPriority w:val="0"/>
    <w:pPr>
      <w:keepNext/>
      <w:keepLines/>
      <w:adjustRightInd/>
      <w:spacing w:before="240" w:after="64" w:line="320" w:lineRule="auto"/>
      <w:ind w:firstLine="510"/>
      <w:outlineLvl w:val="6"/>
    </w:pPr>
    <w:rPr>
      <w:b/>
      <w:bCs/>
      <w:kern w:val="2"/>
      <w:sz w:val="24"/>
      <w:szCs w:val="24"/>
    </w:rPr>
  </w:style>
  <w:style w:type="paragraph" w:styleId="10">
    <w:name w:val="heading 8"/>
    <w:basedOn w:val="1"/>
    <w:next w:val="1"/>
    <w:link w:val="56"/>
    <w:qFormat/>
    <w:uiPriority w:val="0"/>
    <w:pPr>
      <w:keepNext/>
      <w:keepLines/>
      <w:adjustRightInd/>
      <w:spacing w:before="240" w:after="64" w:line="320" w:lineRule="auto"/>
      <w:ind w:firstLine="510"/>
      <w:outlineLvl w:val="7"/>
    </w:pPr>
    <w:rPr>
      <w:rFonts w:ascii="Arial" w:hAnsi="Arial" w:eastAsia="黑体"/>
      <w:kern w:val="2"/>
      <w:sz w:val="24"/>
      <w:szCs w:val="24"/>
    </w:rPr>
  </w:style>
  <w:style w:type="paragraph" w:styleId="11">
    <w:name w:val="heading 9"/>
    <w:basedOn w:val="1"/>
    <w:next w:val="1"/>
    <w:link w:val="50"/>
    <w:qFormat/>
    <w:uiPriority w:val="0"/>
    <w:pPr>
      <w:keepNext/>
      <w:keepLines/>
      <w:adjustRightInd/>
      <w:spacing w:before="240" w:after="64" w:line="320" w:lineRule="auto"/>
      <w:ind w:firstLine="510"/>
      <w:outlineLvl w:val="8"/>
    </w:pPr>
    <w:rPr>
      <w:rFonts w:ascii="Arial" w:hAnsi="Arial" w:eastAsia="黑体"/>
      <w:kern w:val="2"/>
      <w:szCs w:val="21"/>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spacing w:line="240" w:lineRule="auto"/>
      <w:ind w:firstLine="420" w:firstLineChars="200"/>
    </w:pPr>
    <w:rPr>
      <w:kern w:val="2"/>
      <w:szCs w:val="24"/>
    </w:rPr>
  </w:style>
  <w:style w:type="paragraph" w:styleId="12">
    <w:name w:val="toc 7"/>
    <w:basedOn w:val="1"/>
    <w:next w:val="1"/>
    <w:qFormat/>
    <w:uiPriority w:val="0"/>
    <w:pPr>
      <w:adjustRightInd/>
      <w:spacing w:line="240" w:lineRule="auto"/>
      <w:ind w:left="2520" w:leftChars="1200"/>
    </w:pPr>
    <w:rPr>
      <w:kern w:val="2"/>
      <w:szCs w:val="24"/>
    </w:rPr>
  </w:style>
  <w:style w:type="paragraph" w:styleId="13">
    <w:name w:val="Document Map"/>
    <w:basedOn w:val="1"/>
    <w:qFormat/>
    <w:uiPriority w:val="0"/>
    <w:pPr>
      <w:shd w:val="clear" w:color="auto" w:fill="000080"/>
      <w:adjustRightInd/>
      <w:spacing w:line="240" w:lineRule="auto"/>
    </w:pPr>
    <w:rPr>
      <w:kern w:val="2"/>
      <w:szCs w:val="24"/>
    </w:rPr>
  </w:style>
  <w:style w:type="paragraph" w:styleId="14">
    <w:name w:val="annotation text"/>
    <w:basedOn w:val="1"/>
    <w:link w:val="61"/>
    <w:unhideWhenUsed/>
    <w:qFormat/>
    <w:uiPriority w:val="99"/>
    <w:pPr>
      <w:jc w:val="left"/>
    </w:pPr>
  </w:style>
  <w:style w:type="paragraph" w:styleId="15">
    <w:name w:val="Body Text 3"/>
    <w:basedOn w:val="1"/>
    <w:qFormat/>
    <w:uiPriority w:val="0"/>
    <w:pPr>
      <w:adjustRightInd/>
      <w:spacing w:after="120" w:line="240" w:lineRule="auto"/>
    </w:pPr>
    <w:rPr>
      <w:kern w:val="2"/>
      <w:sz w:val="16"/>
      <w:szCs w:val="16"/>
    </w:rPr>
  </w:style>
  <w:style w:type="paragraph" w:styleId="16">
    <w:name w:val="Body Text"/>
    <w:basedOn w:val="1"/>
    <w:link w:val="64"/>
    <w:qFormat/>
    <w:uiPriority w:val="0"/>
    <w:pPr>
      <w:adjustRightInd/>
      <w:spacing w:after="120" w:line="240" w:lineRule="auto"/>
    </w:pPr>
    <w:rPr>
      <w:kern w:val="2"/>
      <w:szCs w:val="24"/>
    </w:rPr>
  </w:style>
  <w:style w:type="paragraph" w:styleId="17">
    <w:name w:val="Body Text Indent"/>
    <w:basedOn w:val="1"/>
    <w:link w:val="52"/>
    <w:qFormat/>
    <w:uiPriority w:val="0"/>
    <w:pPr>
      <w:adjustRightInd/>
      <w:spacing w:line="360" w:lineRule="auto"/>
    </w:pPr>
    <w:rPr>
      <w:rFonts w:ascii="仿宋_GB2312" w:eastAsia="仿宋_GB2312"/>
      <w:kern w:val="2"/>
      <w:szCs w:val="21"/>
    </w:rPr>
  </w:style>
  <w:style w:type="paragraph" w:styleId="18">
    <w:name w:val="toc 5"/>
    <w:basedOn w:val="1"/>
    <w:next w:val="1"/>
    <w:qFormat/>
    <w:uiPriority w:val="0"/>
    <w:pPr>
      <w:adjustRightInd/>
      <w:spacing w:line="240" w:lineRule="auto"/>
      <w:ind w:left="1680" w:leftChars="800"/>
    </w:pPr>
    <w:rPr>
      <w:kern w:val="2"/>
      <w:szCs w:val="24"/>
    </w:rPr>
  </w:style>
  <w:style w:type="paragraph" w:styleId="19">
    <w:name w:val="toc 3"/>
    <w:basedOn w:val="1"/>
    <w:next w:val="1"/>
    <w:qFormat/>
    <w:uiPriority w:val="39"/>
    <w:pPr>
      <w:adjustRightInd/>
      <w:spacing w:line="240" w:lineRule="auto"/>
      <w:ind w:left="840" w:leftChars="400"/>
    </w:pPr>
    <w:rPr>
      <w:kern w:val="2"/>
      <w:szCs w:val="24"/>
    </w:rPr>
  </w:style>
  <w:style w:type="paragraph" w:styleId="20">
    <w:name w:val="Plain Text"/>
    <w:basedOn w:val="1"/>
    <w:link w:val="65"/>
    <w:qFormat/>
    <w:uiPriority w:val="0"/>
    <w:pPr>
      <w:adjustRightInd/>
      <w:spacing w:line="240" w:lineRule="auto"/>
    </w:pPr>
    <w:rPr>
      <w:rFonts w:ascii="宋体" w:hAnsi="Courier New"/>
      <w:kern w:val="2"/>
      <w:sz w:val="24"/>
    </w:rPr>
  </w:style>
  <w:style w:type="paragraph" w:styleId="21">
    <w:name w:val="toc 8"/>
    <w:basedOn w:val="1"/>
    <w:next w:val="1"/>
    <w:qFormat/>
    <w:uiPriority w:val="0"/>
    <w:pPr>
      <w:adjustRightInd/>
      <w:spacing w:line="240" w:lineRule="auto"/>
      <w:ind w:left="2940" w:leftChars="1400"/>
    </w:pPr>
    <w:rPr>
      <w:kern w:val="2"/>
      <w:szCs w:val="24"/>
    </w:rPr>
  </w:style>
  <w:style w:type="paragraph" w:styleId="22">
    <w:name w:val="Date"/>
    <w:basedOn w:val="1"/>
    <w:next w:val="1"/>
    <w:link w:val="90"/>
    <w:qFormat/>
    <w:uiPriority w:val="0"/>
    <w:pPr>
      <w:adjustRightInd/>
      <w:spacing w:line="240" w:lineRule="auto"/>
      <w:ind w:left="100" w:leftChars="2500"/>
    </w:pPr>
    <w:rPr>
      <w:kern w:val="2"/>
      <w:szCs w:val="24"/>
    </w:rPr>
  </w:style>
  <w:style w:type="paragraph" w:styleId="23">
    <w:name w:val="Body Text Indent 2"/>
    <w:basedOn w:val="1"/>
    <w:link w:val="82"/>
    <w:qFormat/>
    <w:uiPriority w:val="0"/>
    <w:pPr>
      <w:adjustRightInd/>
      <w:spacing w:after="120" w:line="480" w:lineRule="auto"/>
      <w:ind w:left="420" w:leftChars="200"/>
    </w:pPr>
    <w:rPr>
      <w:kern w:val="2"/>
    </w:rPr>
  </w:style>
  <w:style w:type="paragraph" w:styleId="24">
    <w:name w:val="Balloon Text"/>
    <w:basedOn w:val="1"/>
    <w:link w:val="81"/>
    <w:qFormat/>
    <w:uiPriority w:val="0"/>
    <w:pPr>
      <w:spacing w:line="240" w:lineRule="auto"/>
    </w:pPr>
    <w:rPr>
      <w:sz w:val="18"/>
      <w:szCs w:val="18"/>
    </w:rPr>
  </w:style>
  <w:style w:type="paragraph" w:styleId="25">
    <w:name w:val="footer"/>
    <w:basedOn w:val="1"/>
    <w:link w:val="71"/>
    <w:qFormat/>
    <w:uiPriority w:val="99"/>
    <w:pPr>
      <w:tabs>
        <w:tab w:val="center" w:pos="4153"/>
        <w:tab w:val="right" w:pos="8306"/>
      </w:tabs>
      <w:snapToGrid w:val="0"/>
      <w:spacing w:line="240" w:lineRule="atLeast"/>
      <w:jc w:val="left"/>
    </w:pPr>
    <w:rPr>
      <w:sz w:val="18"/>
      <w:szCs w:val="18"/>
    </w:rPr>
  </w:style>
  <w:style w:type="paragraph" w:styleId="26">
    <w:name w:val="header"/>
    <w:basedOn w:val="1"/>
    <w:link w:val="8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7">
    <w:name w:val="toc 1"/>
    <w:basedOn w:val="1"/>
    <w:next w:val="1"/>
    <w:qFormat/>
    <w:uiPriority w:val="39"/>
    <w:pPr>
      <w:tabs>
        <w:tab w:val="right" w:leader="dot" w:pos="8296"/>
      </w:tabs>
      <w:adjustRightInd/>
      <w:spacing w:line="240" w:lineRule="auto"/>
    </w:pPr>
    <w:rPr>
      <w:kern w:val="2"/>
      <w:szCs w:val="21"/>
    </w:rPr>
  </w:style>
  <w:style w:type="paragraph" w:styleId="28">
    <w:name w:val="toc 4"/>
    <w:basedOn w:val="1"/>
    <w:next w:val="1"/>
    <w:qFormat/>
    <w:uiPriority w:val="0"/>
    <w:pPr>
      <w:adjustRightInd/>
      <w:spacing w:line="240" w:lineRule="auto"/>
      <w:ind w:left="1260" w:leftChars="600"/>
    </w:pPr>
    <w:rPr>
      <w:kern w:val="2"/>
      <w:szCs w:val="24"/>
    </w:rPr>
  </w:style>
  <w:style w:type="paragraph" w:styleId="29">
    <w:name w:val="Subtitle"/>
    <w:basedOn w:val="1"/>
    <w:next w:val="1"/>
    <w:qFormat/>
    <w:uiPriority w:val="0"/>
    <w:pPr>
      <w:widowControl/>
      <w:adjustRightInd/>
      <w:spacing w:after="60" w:line="240" w:lineRule="auto"/>
      <w:jc w:val="center"/>
      <w:outlineLvl w:val="1"/>
    </w:pPr>
    <w:rPr>
      <w:rFonts w:ascii="Cambria" w:hAnsi="Cambria"/>
      <w:sz w:val="24"/>
      <w:szCs w:val="24"/>
      <w:lang w:eastAsia="en-US" w:bidi="en-US"/>
    </w:rPr>
  </w:style>
  <w:style w:type="paragraph" w:styleId="30">
    <w:name w:val="toc 6"/>
    <w:basedOn w:val="1"/>
    <w:next w:val="1"/>
    <w:qFormat/>
    <w:uiPriority w:val="0"/>
    <w:pPr>
      <w:adjustRightInd/>
      <w:spacing w:line="240" w:lineRule="auto"/>
      <w:ind w:left="2100" w:leftChars="1000"/>
    </w:pPr>
    <w:rPr>
      <w:kern w:val="2"/>
      <w:szCs w:val="24"/>
    </w:rPr>
  </w:style>
  <w:style w:type="paragraph" w:styleId="31">
    <w:name w:val="Body Text Indent 3"/>
    <w:basedOn w:val="1"/>
    <w:qFormat/>
    <w:uiPriority w:val="0"/>
    <w:pPr>
      <w:adjustRightInd/>
      <w:spacing w:after="120" w:line="240" w:lineRule="auto"/>
      <w:ind w:left="420" w:leftChars="200"/>
    </w:pPr>
    <w:rPr>
      <w:kern w:val="2"/>
      <w:sz w:val="16"/>
      <w:szCs w:val="16"/>
    </w:rPr>
  </w:style>
  <w:style w:type="paragraph" w:styleId="32">
    <w:name w:val="toc 2"/>
    <w:basedOn w:val="1"/>
    <w:next w:val="1"/>
    <w:qFormat/>
    <w:uiPriority w:val="39"/>
    <w:pPr>
      <w:tabs>
        <w:tab w:val="right" w:leader="dot" w:pos="8302"/>
      </w:tabs>
      <w:adjustRightInd/>
      <w:spacing w:line="240" w:lineRule="auto"/>
      <w:ind w:left="420" w:leftChars="200"/>
    </w:pPr>
    <w:rPr>
      <w:rFonts w:ascii="宋体" w:hAnsi="宋体"/>
      <w:kern w:val="2"/>
      <w:sz w:val="32"/>
      <w:szCs w:val="32"/>
    </w:rPr>
  </w:style>
  <w:style w:type="paragraph" w:styleId="33">
    <w:name w:val="toc 9"/>
    <w:basedOn w:val="1"/>
    <w:next w:val="1"/>
    <w:qFormat/>
    <w:uiPriority w:val="0"/>
    <w:pPr>
      <w:adjustRightInd/>
      <w:spacing w:line="240" w:lineRule="auto"/>
      <w:ind w:left="3360" w:leftChars="1600"/>
    </w:pPr>
    <w:rPr>
      <w:kern w:val="2"/>
      <w:szCs w:val="24"/>
    </w:rPr>
  </w:style>
  <w:style w:type="paragraph" w:styleId="34">
    <w:name w:val="Body Text 2"/>
    <w:basedOn w:val="1"/>
    <w:link w:val="85"/>
    <w:qFormat/>
    <w:uiPriority w:val="0"/>
    <w:pPr>
      <w:spacing w:after="120" w:line="480" w:lineRule="auto"/>
      <w:textAlignment w:val="baseline"/>
    </w:pPr>
  </w:style>
  <w:style w:type="paragraph" w:styleId="35">
    <w:name w:val="HTML Preformatted"/>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Arial Unicode MS" w:hAnsi="Arial Unicode MS" w:eastAsia="Arial Unicode MS" w:cs="Arial Unicode MS"/>
      <w:color w:val="000000"/>
      <w:sz w:val="20"/>
    </w:rPr>
  </w:style>
  <w:style w:type="paragraph" w:styleId="36">
    <w:name w:val="Normal (Web)"/>
    <w:basedOn w:val="1"/>
    <w:qFormat/>
    <w:uiPriority w:val="99"/>
    <w:pPr>
      <w:widowControl/>
      <w:adjustRightInd/>
      <w:spacing w:before="100" w:beforeAutospacing="1" w:after="100" w:afterAutospacing="1" w:line="240" w:lineRule="auto"/>
      <w:jc w:val="left"/>
    </w:pPr>
    <w:rPr>
      <w:rFonts w:ascii="宋体" w:hAnsi="宋体"/>
      <w:sz w:val="24"/>
      <w:szCs w:val="24"/>
    </w:rPr>
  </w:style>
  <w:style w:type="paragraph" w:styleId="37">
    <w:name w:val="Title"/>
    <w:basedOn w:val="1"/>
    <w:qFormat/>
    <w:uiPriority w:val="0"/>
    <w:pPr>
      <w:adjustRightInd/>
      <w:spacing w:before="240" w:after="60" w:line="240" w:lineRule="auto"/>
      <w:jc w:val="center"/>
      <w:outlineLvl w:val="0"/>
    </w:pPr>
    <w:rPr>
      <w:rFonts w:ascii="Arial" w:hAnsi="Arial" w:cs="Arial"/>
      <w:b/>
      <w:bCs/>
      <w:kern w:val="2"/>
      <w:sz w:val="32"/>
      <w:szCs w:val="32"/>
    </w:rPr>
  </w:style>
  <w:style w:type="paragraph" w:styleId="38">
    <w:name w:val="annotation subject"/>
    <w:basedOn w:val="14"/>
    <w:next w:val="14"/>
    <w:link w:val="49"/>
    <w:unhideWhenUsed/>
    <w:qFormat/>
    <w:uiPriority w:val="99"/>
    <w:rPr>
      <w:b/>
      <w:bCs/>
    </w:rPr>
  </w:style>
  <w:style w:type="paragraph" w:styleId="39">
    <w:name w:val="Body Text First Indent"/>
    <w:basedOn w:val="16"/>
    <w:qFormat/>
    <w:uiPriority w:val="0"/>
    <w:pPr>
      <w:ind w:firstLine="420" w:firstLineChars="100"/>
    </w:pPr>
  </w:style>
  <w:style w:type="character" w:styleId="42">
    <w:name w:val="Strong"/>
    <w:qFormat/>
    <w:uiPriority w:val="0"/>
    <w:rPr>
      <w:b/>
      <w:bCs/>
    </w:rPr>
  </w:style>
  <w:style w:type="character" w:styleId="43">
    <w:name w:val="page number"/>
    <w:basedOn w:val="41"/>
    <w:qFormat/>
    <w:uiPriority w:val="0"/>
  </w:style>
  <w:style w:type="character" w:styleId="44">
    <w:name w:val="Hyperlink"/>
    <w:qFormat/>
    <w:uiPriority w:val="99"/>
    <w:rPr>
      <w:color w:val="0000FF"/>
      <w:u w:val="single"/>
    </w:rPr>
  </w:style>
  <w:style w:type="character" w:styleId="45">
    <w:name w:val="annotation reference"/>
    <w:unhideWhenUsed/>
    <w:qFormat/>
    <w:uiPriority w:val="99"/>
    <w:rPr>
      <w:sz w:val="21"/>
      <w:szCs w:val="21"/>
    </w:rPr>
  </w:style>
  <w:style w:type="paragraph" w:customStyle="1" w:styleId="4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47">
    <w:name w:val="标题 5 字符"/>
    <w:link w:val="7"/>
    <w:qFormat/>
    <w:locked/>
    <w:uiPriority w:val="0"/>
    <w:rPr>
      <w:rFonts w:eastAsia="宋体"/>
      <w:b/>
      <w:bCs/>
      <w:kern w:val="2"/>
      <w:sz w:val="28"/>
      <w:szCs w:val="28"/>
      <w:lang w:val="en-US" w:eastAsia="zh-CN" w:bidi="ar-SA"/>
    </w:rPr>
  </w:style>
  <w:style w:type="character" w:customStyle="1" w:styleId="48">
    <w:name w:val="表格文字 Char"/>
    <w:qFormat/>
    <w:uiPriority w:val="0"/>
    <w:rPr>
      <w:rFonts w:ascii="宋体" w:hAnsi="Courier New" w:eastAsia="宋体"/>
      <w:kern w:val="2"/>
      <w:sz w:val="21"/>
      <w:lang w:val="en-US" w:eastAsia="zh-CN" w:bidi="ar-SA"/>
    </w:rPr>
  </w:style>
  <w:style w:type="character" w:customStyle="1" w:styleId="49">
    <w:name w:val="批注主题 字符"/>
    <w:link w:val="38"/>
    <w:semiHidden/>
    <w:qFormat/>
    <w:uiPriority w:val="99"/>
    <w:rPr>
      <w:b/>
      <w:bCs/>
      <w:sz w:val="21"/>
    </w:rPr>
  </w:style>
  <w:style w:type="character" w:customStyle="1" w:styleId="50">
    <w:name w:val="标题 9 字符"/>
    <w:link w:val="11"/>
    <w:qFormat/>
    <w:locked/>
    <w:uiPriority w:val="0"/>
    <w:rPr>
      <w:rFonts w:ascii="Arial" w:hAnsi="Arial" w:eastAsia="黑体"/>
      <w:kern w:val="2"/>
      <w:sz w:val="21"/>
      <w:szCs w:val="21"/>
      <w:lang w:val="en-US" w:eastAsia="zh-CN" w:bidi="ar-SA"/>
    </w:rPr>
  </w:style>
  <w:style w:type="character" w:customStyle="1" w:styleId="51">
    <w:name w:val="big1"/>
    <w:qFormat/>
    <w:uiPriority w:val="0"/>
    <w:rPr>
      <w:spacing w:val="360"/>
      <w:sz w:val="22"/>
      <w:szCs w:val="22"/>
    </w:rPr>
  </w:style>
  <w:style w:type="character" w:customStyle="1" w:styleId="52">
    <w:name w:val="正文文本缩进 字符"/>
    <w:link w:val="17"/>
    <w:qFormat/>
    <w:locked/>
    <w:uiPriority w:val="0"/>
    <w:rPr>
      <w:rFonts w:ascii="仿宋_GB2312" w:eastAsia="仿宋_GB2312"/>
      <w:kern w:val="2"/>
      <w:sz w:val="21"/>
      <w:szCs w:val="21"/>
      <w:lang w:val="en-US" w:eastAsia="zh-CN" w:bidi="ar-SA"/>
    </w:rPr>
  </w:style>
  <w:style w:type="character" w:customStyle="1" w:styleId="53">
    <w:name w:val="标题 3 字符"/>
    <w:link w:val="5"/>
    <w:qFormat/>
    <w:uiPriority w:val="0"/>
    <w:rPr>
      <w:rFonts w:eastAsia="宋体"/>
      <w:b/>
      <w:bCs/>
      <w:kern w:val="2"/>
      <w:sz w:val="32"/>
      <w:szCs w:val="32"/>
      <w:lang w:val="en-US" w:eastAsia="zh-CN" w:bidi="ar-SA"/>
    </w:rPr>
  </w:style>
  <w:style w:type="character" w:customStyle="1" w:styleId="54">
    <w:name w:val="文一 Char Char"/>
    <w:link w:val="55"/>
    <w:qFormat/>
    <w:uiPriority w:val="0"/>
    <w:rPr>
      <w:rFonts w:ascii="宋体" w:hAnsi="宋体" w:eastAsia="宋体"/>
      <w:snapToGrid w:val="0"/>
      <w:spacing w:val="4"/>
      <w:sz w:val="24"/>
      <w:szCs w:val="24"/>
      <w:lang w:val="en-US" w:eastAsia="zh-CN" w:bidi="ar-SA"/>
    </w:rPr>
  </w:style>
  <w:style w:type="paragraph" w:customStyle="1" w:styleId="55">
    <w:name w:val="文一"/>
    <w:basedOn w:val="1"/>
    <w:link w:val="54"/>
    <w:qFormat/>
    <w:uiPriority w:val="0"/>
    <w:pPr>
      <w:topLinePunct/>
      <w:snapToGrid w:val="0"/>
      <w:spacing w:line="360" w:lineRule="auto"/>
      <w:ind w:firstLine="200" w:firstLineChars="200"/>
    </w:pPr>
    <w:rPr>
      <w:rFonts w:ascii="宋体" w:hAnsi="宋体"/>
      <w:snapToGrid w:val="0"/>
      <w:spacing w:val="4"/>
      <w:sz w:val="24"/>
      <w:szCs w:val="24"/>
    </w:rPr>
  </w:style>
  <w:style w:type="character" w:customStyle="1" w:styleId="56">
    <w:name w:val="标题 8 字符"/>
    <w:link w:val="10"/>
    <w:qFormat/>
    <w:locked/>
    <w:uiPriority w:val="0"/>
    <w:rPr>
      <w:rFonts w:ascii="Arial" w:hAnsi="Arial" w:eastAsia="黑体"/>
      <w:kern w:val="2"/>
      <w:sz w:val="24"/>
      <w:szCs w:val="24"/>
      <w:lang w:val="en-US" w:eastAsia="zh-CN" w:bidi="ar-SA"/>
    </w:rPr>
  </w:style>
  <w:style w:type="character" w:customStyle="1" w:styleId="57">
    <w:name w:val="引用 字符"/>
    <w:link w:val="58"/>
    <w:qFormat/>
    <w:uiPriority w:val="0"/>
    <w:rPr>
      <w:rFonts w:ascii="Calibri" w:hAnsi="Calibri" w:eastAsia="宋体"/>
      <w:i/>
      <w:sz w:val="24"/>
      <w:szCs w:val="24"/>
      <w:lang w:val="en-US" w:eastAsia="en-US" w:bidi="en-US"/>
    </w:rPr>
  </w:style>
  <w:style w:type="paragraph" w:styleId="58">
    <w:name w:val="Quote"/>
    <w:basedOn w:val="1"/>
    <w:next w:val="1"/>
    <w:link w:val="57"/>
    <w:qFormat/>
    <w:uiPriority w:val="0"/>
    <w:pPr>
      <w:widowControl/>
      <w:adjustRightInd/>
      <w:spacing w:line="240" w:lineRule="auto"/>
      <w:jc w:val="left"/>
    </w:pPr>
    <w:rPr>
      <w:rFonts w:ascii="Calibri" w:hAnsi="Calibri"/>
      <w:i/>
      <w:sz w:val="24"/>
      <w:szCs w:val="24"/>
      <w:lang w:eastAsia="en-US" w:bidi="en-US"/>
    </w:rPr>
  </w:style>
  <w:style w:type="character" w:customStyle="1" w:styleId="59">
    <w:name w:val="div_class_6_rtcscls1_r_8"/>
    <w:basedOn w:val="41"/>
    <w:qFormat/>
    <w:uiPriority w:val="0"/>
  </w:style>
  <w:style w:type="character" w:customStyle="1" w:styleId="60">
    <w:name w:val="Char Char10"/>
    <w:qFormat/>
    <w:locked/>
    <w:uiPriority w:val="0"/>
    <w:rPr>
      <w:kern w:val="2"/>
      <w:sz w:val="21"/>
      <w:szCs w:val="24"/>
    </w:rPr>
  </w:style>
  <w:style w:type="character" w:customStyle="1" w:styleId="61">
    <w:name w:val="批注文字 字符"/>
    <w:link w:val="14"/>
    <w:semiHidden/>
    <w:qFormat/>
    <w:uiPriority w:val="99"/>
    <w:rPr>
      <w:sz w:val="21"/>
    </w:rPr>
  </w:style>
  <w:style w:type="character" w:customStyle="1" w:styleId="62">
    <w:name w:val="div_class_6_rtcscls1_r_6"/>
    <w:basedOn w:val="41"/>
    <w:qFormat/>
    <w:uiPriority w:val="0"/>
  </w:style>
  <w:style w:type="character" w:customStyle="1" w:styleId="63">
    <w:name w:val="div_class_6_rtcscls1_r_13"/>
    <w:basedOn w:val="41"/>
    <w:qFormat/>
    <w:uiPriority w:val="0"/>
  </w:style>
  <w:style w:type="character" w:customStyle="1" w:styleId="64">
    <w:name w:val="正文文本 字符"/>
    <w:link w:val="16"/>
    <w:qFormat/>
    <w:locked/>
    <w:uiPriority w:val="0"/>
    <w:rPr>
      <w:rFonts w:eastAsia="宋体"/>
      <w:kern w:val="2"/>
      <w:sz w:val="21"/>
      <w:szCs w:val="24"/>
      <w:lang w:val="en-US" w:eastAsia="zh-CN" w:bidi="ar-SA"/>
    </w:rPr>
  </w:style>
  <w:style w:type="character" w:customStyle="1" w:styleId="65">
    <w:name w:val="纯文本 字符"/>
    <w:link w:val="20"/>
    <w:qFormat/>
    <w:uiPriority w:val="0"/>
    <w:rPr>
      <w:rFonts w:ascii="宋体" w:hAnsi="Courier New" w:eastAsia="宋体"/>
      <w:kern w:val="2"/>
      <w:sz w:val="24"/>
      <w:lang w:val="en-US" w:eastAsia="zh-CN" w:bidi="ar-SA"/>
    </w:rPr>
  </w:style>
  <w:style w:type="character" w:customStyle="1" w:styleId="66">
    <w:name w:val="Plain Text Char"/>
    <w:qFormat/>
    <w:locked/>
    <w:uiPriority w:val="0"/>
    <w:rPr>
      <w:rFonts w:ascii="宋体" w:hAnsi="Courier New" w:cs="Courier New"/>
      <w:kern w:val="2"/>
      <w:sz w:val="21"/>
      <w:szCs w:val="21"/>
    </w:rPr>
  </w:style>
  <w:style w:type="character" w:customStyle="1" w:styleId="67">
    <w:name w:val="div_class_6_rtcscls1_r_16"/>
    <w:basedOn w:val="41"/>
    <w:qFormat/>
    <w:uiPriority w:val="0"/>
  </w:style>
  <w:style w:type="character" w:customStyle="1" w:styleId="68">
    <w:name w:val="div_class_6_rtcscls1_r_10"/>
    <w:basedOn w:val="41"/>
    <w:qFormat/>
    <w:uiPriority w:val="0"/>
  </w:style>
  <w:style w:type="character" w:customStyle="1" w:styleId="69">
    <w:name w:val="div_class_7_rtcscls2_r_5"/>
    <w:qFormat/>
    <w:uiPriority w:val="0"/>
    <w:rPr>
      <w:b/>
      <w:bCs/>
    </w:rPr>
  </w:style>
  <w:style w:type="character" w:customStyle="1" w:styleId="70">
    <w:name w:val="div_class_6_rtcscls1_r_0"/>
    <w:basedOn w:val="41"/>
    <w:qFormat/>
    <w:uiPriority w:val="0"/>
  </w:style>
  <w:style w:type="character" w:customStyle="1" w:styleId="71">
    <w:name w:val="页脚 字符"/>
    <w:link w:val="25"/>
    <w:qFormat/>
    <w:uiPriority w:val="99"/>
    <w:rPr>
      <w:sz w:val="18"/>
      <w:szCs w:val="18"/>
    </w:rPr>
  </w:style>
  <w:style w:type="character" w:customStyle="1" w:styleId="72">
    <w:name w:val="标题 1 字符"/>
    <w:link w:val="2"/>
    <w:qFormat/>
    <w:uiPriority w:val="0"/>
    <w:rPr>
      <w:b/>
      <w:bCs/>
      <w:kern w:val="44"/>
      <w:sz w:val="30"/>
      <w:szCs w:val="44"/>
    </w:rPr>
  </w:style>
  <w:style w:type="character" w:customStyle="1" w:styleId="73">
    <w:name w:val="HTML 预设格式 字符"/>
    <w:link w:val="35"/>
    <w:qFormat/>
    <w:locked/>
    <w:uiPriority w:val="0"/>
    <w:rPr>
      <w:rFonts w:ascii="Arial Unicode MS" w:hAnsi="Arial Unicode MS" w:eastAsia="Arial Unicode MS" w:cs="Arial Unicode MS"/>
      <w:color w:val="000000"/>
      <w:lang w:val="en-US" w:eastAsia="zh-CN" w:bidi="ar-SA"/>
    </w:rPr>
  </w:style>
  <w:style w:type="character" w:customStyle="1" w:styleId="74">
    <w:name w:val="标题 2 字符"/>
    <w:link w:val="3"/>
    <w:qFormat/>
    <w:uiPriority w:val="0"/>
    <w:rPr>
      <w:rFonts w:ascii="黑体" w:eastAsia="黑体"/>
      <w:snapToGrid w:val="0"/>
      <w:color w:val="000000"/>
      <w:sz w:val="28"/>
      <w:lang w:val="en-US" w:eastAsia="zh-CN" w:bidi="ar-SA"/>
    </w:rPr>
  </w:style>
  <w:style w:type="character" w:customStyle="1" w:styleId="75">
    <w:name w:val="Char Char11"/>
    <w:qFormat/>
    <w:locked/>
    <w:uiPriority w:val="0"/>
    <w:rPr>
      <w:kern w:val="2"/>
      <w:sz w:val="21"/>
      <w:szCs w:val="24"/>
    </w:rPr>
  </w:style>
  <w:style w:type="character" w:customStyle="1" w:styleId="76">
    <w:name w:val="标题 4 字符"/>
    <w:link w:val="6"/>
    <w:qFormat/>
    <w:locked/>
    <w:uiPriority w:val="0"/>
    <w:rPr>
      <w:rFonts w:ascii="Arial" w:hAnsi="Arial" w:eastAsia="黑体"/>
      <w:b/>
      <w:bCs/>
      <w:kern w:val="2"/>
      <w:sz w:val="28"/>
      <w:szCs w:val="28"/>
      <w:lang w:val="en-US" w:eastAsia="zh-CN" w:bidi="ar-SA"/>
    </w:rPr>
  </w:style>
  <w:style w:type="character" w:customStyle="1" w:styleId="77">
    <w:name w:val="标题 6 字符"/>
    <w:link w:val="8"/>
    <w:qFormat/>
    <w:locked/>
    <w:uiPriority w:val="0"/>
    <w:rPr>
      <w:rFonts w:ascii="Arial" w:hAnsi="Arial" w:eastAsia="黑体"/>
      <w:b/>
      <w:bCs/>
      <w:kern w:val="2"/>
      <w:sz w:val="24"/>
      <w:szCs w:val="24"/>
      <w:lang w:val="en-US" w:eastAsia="zh-CN" w:bidi="ar-SA"/>
    </w:rPr>
  </w:style>
  <w:style w:type="character" w:customStyle="1" w:styleId="78">
    <w:name w:val="标题 7 字符"/>
    <w:link w:val="9"/>
    <w:qFormat/>
    <w:locked/>
    <w:uiPriority w:val="0"/>
    <w:rPr>
      <w:rFonts w:eastAsia="宋体"/>
      <w:b/>
      <w:bCs/>
      <w:kern w:val="2"/>
      <w:sz w:val="24"/>
      <w:szCs w:val="24"/>
      <w:lang w:val="en-US" w:eastAsia="zh-CN" w:bidi="ar-SA"/>
    </w:rPr>
  </w:style>
  <w:style w:type="character" w:customStyle="1" w:styleId="79">
    <w:name w:val="smal1"/>
    <w:qFormat/>
    <w:uiPriority w:val="0"/>
    <w:rPr>
      <w:rFonts w:hint="eastAsia" w:ascii="宋体" w:hAnsi="宋体" w:eastAsia="宋体"/>
      <w:sz w:val="18"/>
      <w:szCs w:val="18"/>
    </w:rPr>
  </w:style>
  <w:style w:type="character" w:customStyle="1" w:styleId="80">
    <w:name w:val="css12"/>
    <w:basedOn w:val="41"/>
    <w:qFormat/>
    <w:uiPriority w:val="0"/>
  </w:style>
  <w:style w:type="character" w:customStyle="1" w:styleId="81">
    <w:name w:val="批注框文本 字符"/>
    <w:link w:val="24"/>
    <w:qFormat/>
    <w:uiPriority w:val="0"/>
    <w:rPr>
      <w:sz w:val="18"/>
      <w:szCs w:val="18"/>
    </w:rPr>
  </w:style>
  <w:style w:type="character" w:customStyle="1" w:styleId="82">
    <w:name w:val="正文文本缩进 2 字符"/>
    <w:link w:val="23"/>
    <w:qFormat/>
    <w:uiPriority w:val="0"/>
    <w:rPr>
      <w:kern w:val="2"/>
      <w:sz w:val="21"/>
    </w:rPr>
  </w:style>
  <w:style w:type="character" w:customStyle="1" w:styleId="83">
    <w:name w:val="页眉 字符"/>
    <w:link w:val="26"/>
    <w:qFormat/>
    <w:uiPriority w:val="0"/>
    <w:rPr>
      <w:sz w:val="18"/>
      <w:szCs w:val="18"/>
    </w:rPr>
  </w:style>
  <w:style w:type="character" w:customStyle="1" w:styleId="84">
    <w:name w:val="消息标题号"/>
    <w:qFormat/>
    <w:uiPriority w:val="0"/>
    <w:rPr>
      <w:rFonts w:ascii="Arial" w:hAnsi="Arial" w:eastAsia="楷体_GB2312"/>
      <w:b/>
      <w:spacing w:val="-4"/>
      <w:sz w:val="18"/>
      <w:lang w:eastAsia="zh-CN"/>
    </w:rPr>
  </w:style>
  <w:style w:type="character" w:customStyle="1" w:styleId="85">
    <w:name w:val="正文文本 2 字符"/>
    <w:link w:val="34"/>
    <w:qFormat/>
    <w:uiPriority w:val="0"/>
    <w:rPr>
      <w:sz w:val="21"/>
    </w:rPr>
  </w:style>
  <w:style w:type="character" w:customStyle="1" w:styleId="86">
    <w:name w:val="Char Char15"/>
    <w:qFormat/>
    <w:locked/>
    <w:uiPriority w:val="0"/>
    <w:rPr>
      <w:kern w:val="2"/>
      <w:sz w:val="18"/>
      <w:szCs w:val="18"/>
    </w:rPr>
  </w:style>
  <w:style w:type="character" w:customStyle="1" w:styleId="87">
    <w:name w:val="Char Char14"/>
    <w:qFormat/>
    <w:locked/>
    <w:uiPriority w:val="0"/>
    <w:rPr>
      <w:kern w:val="2"/>
      <w:sz w:val="18"/>
      <w:szCs w:val="18"/>
    </w:rPr>
  </w:style>
  <w:style w:type="character" w:customStyle="1" w:styleId="88">
    <w:name w:val="Char Char9"/>
    <w:qFormat/>
    <w:uiPriority w:val="0"/>
    <w:rPr>
      <w:rFonts w:ascii="宋体" w:hAnsi="Courier New" w:cs="Courier New"/>
      <w:kern w:val="2"/>
      <w:sz w:val="21"/>
      <w:szCs w:val="21"/>
    </w:rPr>
  </w:style>
  <w:style w:type="character" w:customStyle="1" w:styleId="89">
    <w:name w:val="div_class_6_rtcscls1_r_12"/>
    <w:qFormat/>
    <w:uiPriority w:val="0"/>
    <w:rPr>
      <w:b/>
      <w:bCs/>
    </w:rPr>
  </w:style>
  <w:style w:type="character" w:customStyle="1" w:styleId="90">
    <w:name w:val="日期 字符"/>
    <w:link w:val="22"/>
    <w:qFormat/>
    <w:locked/>
    <w:uiPriority w:val="0"/>
    <w:rPr>
      <w:rFonts w:eastAsia="宋体"/>
      <w:kern w:val="2"/>
      <w:sz w:val="21"/>
      <w:szCs w:val="24"/>
      <w:lang w:val="en-US" w:eastAsia="zh-CN" w:bidi="ar-SA"/>
    </w:rPr>
  </w:style>
  <w:style w:type="character" w:customStyle="1" w:styleId="91">
    <w:name w:val="明显引用 字符"/>
    <w:link w:val="92"/>
    <w:qFormat/>
    <w:uiPriority w:val="0"/>
    <w:rPr>
      <w:rFonts w:ascii="Calibri" w:hAnsi="Calibri" w:eastAsia="宋体"/>
      <w:b/>
      <w:i/>
      <w:sz w:val="24"/>
      <w:szCs w:val="22"/>
      <w:lang w:val="en-US" w:eastAsia="en-US" w:bidi="en-US"/>
    </w:rPr>
  </w:style>
  <w:style w:type="paragraph" w:styleId="92">
    <w:name w:val="Intense Quote"/>
    <w:basedOn w:val="1"/>
    <w:next w:val="1"/>
    <w:link w:val="91"/>
    <w:qFormat/>
    <w:uiPriority w:val="0"/>
    <w:pPr>
      <w:widowControl/>
      <w:adjustRightInd/>
      <w:spacing w:line="240" w:lineRule="auto"/>
      <w:ind w:left="720" w:right="720"/>
      <w:jc w:val="left"/>
    </w:pPr>
    <w:rPr>
      <w:rFonts w:ascii="Calibri" w:hAnsi="Calibri"/>
      <w:b/>
      <w:i/>
      <w:sz w:val="24"/>
      <w:szCs w:val="22"/>
      <w:lang w:eastAsia="en-US" w:bidi="en-US"/>
    </w:rPr>
  </w:style>
  <w:style w:type="character" w:customStyle="1" w:styleId="93">
    <w:name w:val="apple-style-span"/>
    <w:basedOn w:val="41"/>
    <w:qFormat/>
    <w:uiPriority w:val="0"/>
  </w:style>
  <w:style w:type="character" w:customStyle="1" w:styleId="94">
    <w:name w:val="div_class_6_rtcscls1_r_4"/>
    <w:basedOn w:val="41"/>
    <w:qFormat/>
    <w:uiPriority w:val="0"/>
  </w:style>
  <w:style w:type="character" w:customStyle="1" w:styleId="95">
    <w:name w:val="div_class_6_rtcscls1_r_11"/>
    <w:basedOn w:val="41"/>
    <w:qFormat/>
    <w:uiPriority w:val="0"/>
  </w:style>
  <w:style w:type="character" w:customStyle="1" w:styleId="96">
    <w:name w:val="3级标题 Char Char"/>
    <w:link w:val="97"/>
    <w:qFormat/>
    <w:locked/>
    <w:uiPriority w:val="0"/>
    <w:rPr>
      <w:rFonts w:ascii="Arial Narrow" w:hAnsi="Arial Narrow"/>
      <w:bCs/>
      <w:sz w:val="32"/>
      <w:szCs w:val="32"/>
      <w:lang w:bidi="ar-SA"/>
    </w:rPr>
  </w:style>
  <w:style w:type="paragraph" w:customStyle="1" w:styleId="97">
    <w:name w:val="3级标题"/>
    <w:basedOn w:val="5"/>
    <w:link w:val="96"/>
    <w:qFormat/>
    <w:uiPriority w:val="0"/>
    <w:pPr>
      <w:spacing w:before="20" w:after="20" w:line="415" w:lineRule="auto"/>
    </w:pPr>
    <w:rPr>
      <w:rFonts w:ascii="Arial Narrow" w:hAnsi="Arial Narrow" w:eastAsia="Times New Roman"/>
      <w:b w:val="0"/>
      <w:kern w:val="0"/>
    </w:rPr>
  </w:style>
  <w:style w:type="paragraph" w:customStyle="1" w:styleId="98">
    <w:name w:val="Char Char Char Char Char Char1 Char"/>
    <w:basedOn w:val="1"/>
    <w:qFormat/>
    <w:uiPriority w:val="0"/>
    <w:pPr>
      <w:tabs>
        <w:tab w:val="left" w:pos="425"/>
      </w:tabs>
      <w:adjustRightInd/>
      <w:spacing w:line="240" w:lineRule="auto"/>
      <w:ind w:left="425" w:hanging="425"/>
    </w:pPr>
    <w:rPr>
      <w:rFonts w:eastAsia="仿宋_GB2312"/>
      <w:kern w:val="24"/>
      <w:sz w:val="24"/>
      <w:szCs w:val="24"/>
    </w:rPr>
  </w:style>
  <w:style w:type="paragraph" w:customStyle="1" w:styleId="99">
    <w:name w:val="unnamed1"/>
    <w:basedOn w:val="1"/>
    <w:qFormat/>
    <w:uiPriority w:val="0"/>
    <w:pPr>
      <w:widowControl/>
      <w:adjustRightInd/>
      <w:spacing w:before="100" w:beforeAutospacing="1" w:after="100" w:afterAutospacing="1" w:line="600" w:lineRule="atLeast"/>
      <w:jc w:val="left"/>
    </w:pPr>
    <w:rPr>
      <w:rFonts w:hint="eastAsia" w:ascii="宋体" w:hAnsi="宋体"/>
      <w:color w:val="333333"/>
      <w:sz w:val="20"/>
    </w:rPr>
  </w:style>
  <w:style w:type="paragraph" w:customStyle="1" w:styleId="100">
    <w:name w:val="样式1"/>
    <w:basedOn w:val="6"/>
    <w:qFormat/>
    <w:uiPriority w:val="0"/>
    <w:pPr>
      <w:numPr>
        <w:ilvl w:val="3"/>
        <w:numId w:val="1"/>
      </w:numPr>
      <w:adjustRightInd w:val="0"/>
      <w:spacing w:before="200" w:after="200" w:line="377" w:lineRule="auto"/>
      <w:jc w:val="center"/>
      <w:textAlignment w:val="baseline"/>
    </w:pPr>
    <w:rPr>
      <w:rFonts w:eastAsia="宋体"/>
      <w:sz w:val="36"/>
    </w:rPr>
  </w:style>
  <w:style w:type="paragraph" w:customStyle="1" w:styleId="101">
    <w:name w:val="表格5号宋体 居中"/>
    <w:basedOn w:val="1"/>
    <w:qFormat/>
    <w:uiPriority w:val="0"/>
    <w:pPr>
      <w:widowControl/>
      <w:spacing w:line="240" w:lineRule="auto"/>
      <w:jc w:val="center"/>
    </w:pPr>
    <w:rPr>
      <w:rFonts w:ascii="宋体" w:hAnsi="宋体"/>
      <w:caps/>
      <w:snapToGrid w:val="0"/>
    </w:rPr>
  </w:style>
  <w:style w:type="paragraph" w:customStyle="1" w:styleId="102">
    <w:name w:val="rtcspage_rtcscontent &gt; p"/>
    <w:basedOn w:val="1"/>
    <w:qFormat/>
    <w:uiPriority w:val="0"/>
    <w:pPr>
      <w:widowControl/>
      <w:pBdr>
        <w:top w:val="none" w:color="auto" w:sz="0" w:space="6"/>
        <w:bottom w:val="none" w:color="auto" w:sz="0" w:space="6"/>
      </w:pBdr>
      <w:adjustRightInd/>
      <w:spacing w:line="360" w:lineRule="atLeast"/>
      <w:jc w:val="left"/>
    </w:pPr>
    <w:rPr>
      <w:sz w:val="24"/>
      <w:szCs w:val="24"/>
    </w:rPr>
  </w:style>
  <w:style w:type="paragraph" w:customStyle="1" w:styleId="103">
    <w:name w:val="标题一"/>
    <w:basedOn w:val="2"/>
    <w:next w:val="2"/>
    <w:qFormat/>
    <w:uiPriority w:val="0"/>
    <w:pPr>
      <w:keepLines w:val="0"/>
      <w:tabs>
        <w:tab w:val="left" w:pos="1440"/>
      </w:tabs>
      <w:adjustRightInd w:val="0"/>
      <w:spacing w:before="0" w:after="0" w:line="360" w:lineRule="auto"/>
      <w:textAlignment w:val="baseline"/>
    </w:pPr>
    <w:rPr>
      <w:rFonts w:ascii="仿宋_GB2312"/>
      <w:bCs w:val="0"/>
      <w:kern w:val="2"/>
      <w:szCs w:val="24"/>
    </w:rPr>
  </w:style>
  <w:style w:type="paragraph" w:customStyle="1" w:styleId="104">
    <w:name w:val="自正文3"/>
    <w:basedOn w:val="1"/>
    <w:qFormat/>
    <w:uiPriority w:val="0"/>
    <w:pPr>
      <w:numPr>
        <w:ilvl w:val="0"/>
        <w:numId w:val="2"/>
      </w:numPr>
      <w:adjustRightInd/>
      <w:spacing w:line="240" w:lineRule="auto"/>
    </w:pPr>
    <w:rPr>
      <w:kern w:val="2"/>
      <w:szCs w:val="24"/>
      <w:lang w:bidi="he-IL"/>
    </w:rPr>
  </w:style>
  <w:style w:type="paragraph" w:customStyle="1" w:styleId="105">
    <w:name w:val="表格5号宋体"/>
    <w:qFormat/>
    <w:uiPriority w:val="0"/>
    <w:pPr>
      <w:adjustRightInd w:val="0"/>
    </w:pPr>
    <w:rPr>
      <w:rFonts w:ascii="宋体" w:hAnsi="宋体" w:eastAsia="宋体" w:cs="Times New Roman"/>
      <w:snapToGrid w:val="0"/>
      <w:sz w:val="21"/>
      <w:szCs w:val="21"/>
      <w:lang w:val="en-US" w:eastAsia="zh-CN" w:bidi="ar-SA"/>
    </w:rPr>
  </w:style>
  <w:style w:type="paragraph" w:customStyle="1" w:styleId="106">
    <w:name w:val="TOC 标题1"/>
    <w:basedOn w:val="2"/>
    <w:next w:val="1"/>
    <w:qFormat/>
    <w:uiPriority w:val="39"/>
    <w:pPr>
      <w:keepLines w:val="0"/>
      <w:widowControl/>
      <w:tabs>
        <w:tab w:val="left" w:pos="1440"/>
      </w:tabs>
      <w:spacing w:before="240" w:after="60" w:line="240" w:lineRule="auto"/>
      <w:jc w:val="left"/>
      <w:outlineLvl w:val="9"/>
    </w:pPr>
    <w:rPr>
      <w:rFonts w:ascii="Cambria" w:hAnsi="Cambria"/>
      <w:kern w:val="32"/>
      <w:sz w:val="32"/>
      <w:szCs w:val="32"/>
      <w:lang w:eastAsia="en-US" w:bidi="en-US"/>
    </w:rPr>
  </w:style>
  <w:style w:type="paragraph" w:styleId="107">
    <w:name w:val="No Spacing"/>
    <w:basedOn w:val="1"/>
    <w:qFormat/>
    <w:uiPriority w:val="0"/>
    <w:pPr>
      <w:widowControl/>
      <w:adjustRightInd/>
      <w:spacing w:line="240" w:lineRule="auto"/>
      <w:jc w:val="left"/>
    </w:pPr>
    <w:rPr>
      <w:rFonts w:ascii="Calibri" w:hAnsi="Calibri"/>
      <w:sz w:val="24"/>
      <w:szCs w:val="32"/>
      <w:lang w:eastAsia="en-US" w:bidi="en-US"/>
    </w:rPr>
  </w:style>
  <w:style w:type="paragraph" w:customStyle="1" w:styleId="108">
    <w:name w:val="Char"/>
    <w:basedOn w:val="1"/>
    <w:qFormat/>
    <w:uiPriority w:val="0"/>
    <w:pPr>
      <w:numPr>
        <w:ilvl w:val="0"/>
        <w:numId w:val="3"/>
      </w:numPr>
      <w:adjustRightInd/>
      <w:spacing w:line="240" w:lineRule="auto"/>
    </w:pPr>
    <w:rPr>
      <w:kern w:val="2"/>
      <w:sz w:val="24"/>
      <w:szCs w:val="24"/>
    </w:rPr>
  </w:style>
  <w:style w:type="paragraph" w:styleId="109">
    <w:name w:val="List Paragraph"/>
    <w:basedOn w:val="1"/>
    <w:qFormat/>
    <w:uiPriority w:val="0"/>
    <w:pPr>
      <w:adjustRightInd/>
      <w:spacing w:line="240" w:lineRule="auto"/>
      <w:ind w:firstLine="420" w:firstLineChars="200"/>
    </w:pPr>
    <w:rPr>
      <w:rFonts w:ascii="Calibri" w:hAnsi="Calibri"/>
      <w:kern w:val="2"/>
      <w:szCs w:val="22"/>
    </w:rPr>
  </w:style>
  <w:style w:type="paragraph" w:customStyle="1" w:styleId="110">
    <w:name w:val="Char1"/>
    <w:basedOn w:val="1"/>
    <w:qFormat/>
    <w:uiPriority w:val="0"/>
    <w:pPr>
      <w:adjustRightInd/>
      <w:spacing w:line="360" w:lineRule="auto"/>
      <w:ind w:firstLine="200" w:firstLineChars="200"/>
    </w:pPr>
    <w:rPr>
      <w:rFonts w:ascii="宋体" w:hAnsi="宋体" w:cs="宋体"/>
      <w:kern w:val="2"/>
      <w:sz w:val="24"/>
      <w:szCs w:val="24"/>
    </w:rPr>
  </w:style>
  <w:style w:type="paragraph" w:customStyle="1" w:styleId="111">
    <w:name w:val="zhang"/>
    <w:basedOn w:val="1"/>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112">
    <w:name w:val="正文 + 宋体"/>
    <w:basedOn w:val="1"/>
    <w:qFormat/>
    <w:uiPriority w:val="0"/>
    <w:pPr>
      <w:numPr>
        <w:ilvl w:val="0"/>
        <w:numId w:val="4"/>
      </w:numPr>
      <w:tabs>
        <w:tab w:val="left" w:pos="1260"/>
      </w:tabs>
      <w:snapToGrid w:val="0"/>
      <w:spacing w:line="360" w:lineRule="auto"/>
      <w:jc w:val="left"/>
    </w:pPr>
    <w:rPr>
      <w:rFonts w:ascii="宋体" w:hAnsi="宋体"/>
      <w:kern w:val="2"/>
      <w:sz w:val="23"/>
      <w:szCs w:val="23"/>
    </w:rPr>
  </w:style>
  <w:style w:type="paragraph" w:customStyle="1" w:styleId="113">
    <w:name w:val="修订1"/>
    <w:semiHidden/>
    <w:qFormat/>
    <w:uiPriority w:val="99"/>
    <w:rPr>
      <w:rFonts w:ascii="Times New Roman" w:hAnsi="Times New Roman" w:eastAsia="宋体" w:cs="Times New Roman"/>
      <w:sz w:val="21"/>
      <w:lang w:val="en-US" w:eastAsia="zh-CN" w:bidi="ar-SA"/>
    </w:rPr>
  </w:style>
  <w:style w:type="paragraph" w:customStyle="1" w:styleId="114">
    <w:name w:val="纯文本1"/>
    <w:basedOn w:val="1"/>
    <w:qFormat/>
    <w:uiPriority w:val="0"/>
    <w:pPr>
      <w:spacing w:line="240" w:lineRule="auto"/>
      <w:jc w:val="left"/>
      <w:textAlignment w:val="baseline"/>
    </w:pPr>
    <w:rPr>
      <w:rFonts w:ascii="宋体" w:hAnsi="Courier New"/>
      <w:kern w:val="2"/>
      <w:sz w:val="24"/>
      <w:szCs w:val="24"/>
    </w:rPr>
  </w:style>
  <w:style w:type="paragraph" w:customStyle="1" w:styleId="115">
    <w:name w:val="列出段落1"/>
    <w:basedOn w:val="1"/>
    <w:qFormat/>
    <w:uiPriority w:val="0"/>
    <w:pPr>
      <w:adjustRightInd/>
      <w:spacing w:line="240" w:lineRule="auto"/>
      <w:ind w:firstLine="420" w:firstLineChars="200"/>
    </w:pPr>
    <w:rPr>
      <w:rFonts w:ascii="Calibri" w:hAnsi="Calibri"/>
      <w:kern w:val="2"/>
      <w:szCs w:val="21"/>
    </w:rPr>
  </w:style>
  <w:style w:type="paragraph" w:customStyle="1" w:styleId="116">
    <w:name w:val="列出段落11"/>
    <w:basedOn w:val="1"/>
    <w:qFormat/>
    <w:uiPriority w:val="0"/>
    <w:pPr>
      <w:adjustRightInd/>
      <w:spacing w:line="240" w:lineRule="auto"/>
      <w:ind w:firstLine="420" w:firstLineChars="200"/>
    </w:pPr>
    <w:rPr>
      <w:rFonts w:ascii="Calibri" w:hAnsi="Calibri"/>
      <w:kern w:val="2"/>
      <w:szCs w:val="21"/>
    </w:rPr>
  </w:style>
  <w:style w:type="paragraph" w:customStyle="1" w:styleId="117">
    <w:name w:val="文书"/>
    <w:basedOn w:val="1"/>
    <w:qFormat/>
    <w:uiPriority w:val="0"/>
    <w:pPr>
      <w:ind w:firstLine="560"/>
    </w:pPr>
    <w:rPr>
      <w:sz w:val="28"/>
    </w:rPr>
  </w:style>
  <w:style w:type="paragraph" w:customStyle="1" w:styleId="118">
    <w:name w:val="修订2"/>
    <w:hidden/>
    <w:semiHidden/>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15916</Words>
  <Characters>16210</Characters>
  <Lines>268</Lines>
  <Paragraphs>75</Paragraphs>
  <TotalTime>19</TotalTime>
  <ScaleCrop>false</ScaleCrop>
  <LinksUpToDate>false</LinksUpToDate>
  <CharactersWithSpaces>17156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2019-08-28T15:46:00Z</dcterms:created>
  <dc:creator>User</dc:creator>
  <cp:lastModifiedBy>D</cp:lastModifiedBy>
  <dcterms:modified xsi:type="dcterms:W3CDTF">2025-10-21T09:20:13Z</dcterms:modified>
  <dc:title>建设工程委托监理合同</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34BC6CEE995742249F7510685C904DDA_13</vt:lpwstr>
  </property>
  <property fmtid="{D5CDD505-2E9C-101B-9397-08002B2CF9AE}" pid="4" name="KSOTemplateDocerSaveRecord">
    <vt:lpwstr>eyJoZGlkIjoiZWZmOGM1OGUxYzFjMTMxNjQ2YTUxNjQ3YmZmZjA3MGEiLCJ1c2VySWQiOiIyOTM0NTIyNDYifQ==</vt:lpwstr>
  </property>
</Properties>
</file>