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pStyle w:val="2"/>
        <w:shd w:val="clear"/>
        <w:spacing w:line="360" w:lineRule="auto"/>
        <w:jc w:val="center"/>
        <w:rPr>
          <w:rFonts w:hint="eastAsia" w:cs="宋体"/>
          <w:b/>
          <w:color w:val="000000" w:themeColor="text1"/>
          <w:kern w:val="2"/>
          <w:sz w:val="56"/>
          <w:szCs w:val="48"/>
          <w:highlight w:val="none"/>
          <w14:textFill>
            <w14:solidFill>
              <w14:schemeClr w14:val="tx1"/>
            </w14:solidFill>
          </w14:textFill>
        </w:rPr>
      </w:pPr>
      <w:r>
        <w:rPr>
          <w:rFonts w:hint="eastAsia" w:cs="宋体"/>
          <w:b/>
          <w:color w:val="000000" w:themeColor="text1"/>
          <w:kern w:val="2"/>
          <w:sz w:val="56"/>
          <w:szCs w:val="48"/>
          <w:highlight w:val="none"/>
          <w14:textFill>
            <w14:solidFill>
              <w14:schemeClr w14:val="tx1"/>
            </w14:solidFill>
          </w14:textFill>
        </w:rPr>
        <w:t>广州设计之都嘉禾片区项目三期</w:t>
      </w:r>
    </w:p>
    <w:p>
      <w:pPr>
        <w:pStyle w:val="2"/>
        <w:shd w:val="clear"/>
        <w:spacing w:line="360" w:lineRule="auto"/>
        <w:jc w:val="center"/>
        <w:rPr>
          <w:color w:val="000000" w:themeColor="text1"/>
          <w:highlight w:val="none"/>
          <w:lang w:val="en-US"/>
          <w14:textFill>
            <w14:solidFill>
              <w14:schemeClr w14:val="tx1"/>
            </w14:solidFill>
          </w14:textFill>
        </w:rPr>
      </w:pPr>
      <w:r>
        <w:rPr>
          <w:rFonts w:hint="eastAsia" w:cs="宋体"/>
          <w:b/>
          <w:color w:val="000000" w:themeColor="text1"/>
          <w:kern w:val="2"/>
          <w:sz w:val="56"/>
          <w:szCs w:val="48"/>
          <w:highlight w:val="none"/>
          <w14:textFill>
            <w14:solidFill>
              <w14:schemeClr w14:val="tx1"/>
            </w14:solidFill>
          </w14:textFill>
        </w:rPr>
        <w:t>勘察设计采购施工一体化</w:t>
      </w:r>
    </w:p>
    <w:p>
      <w:pPr>
        <w:pStyle w:val="2"/>
        <w:shd w:val="clear"/>
        <w:spacing w:line="360" w:lineRule="auto"/>
        <w:rPr>
          <w:color w:val="000000" w:themeColor="text1"/>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p>
    <w:p>
      <w:pPr>
        <w:shd w:val="clear"/>
        <w:spacing w:line="360" w:lineRule="auto"/>
        <w:jc w:val="center"/>
        <w:rPr>
          <w:rFonts w:ascii="宋体" w:hAnsi="宋体" w:cs="宋体"/>
          <w:color w:val="000000" w:themeColor="text1"/>
          <w:kern w:val="1"/>
          <w:sz w:val="72"/>
          <w:szCs w:val="72"/>
          <w:highlight w:val="none"/>
          <w14:textFill>
            <w14:solidFill>
              <w14:schemeClr w14:val="tx1"/>
            </w14:solidFill>
          </w14:textFill>
        </w:rPr>
      </w:pPr>
    </w:p>
    <w:p>
      <w:pPr>
        <w:shd w:val="clear"/>
        <w:spacing w:line="360" w:lineRule="auto"/>
        <w:jc w:val="center"/>
        <w:rPr>
          <w:rFonts w:ascii="宋体" w:hAnsi="宋体" w:cs="宋体"/>
          <w:b/>
          <w:bCs/>
          <w:color w:val="000000" w:themeColor="text1"/>
          <w:kern w:val="1"/>
          <w:sz w:val="84"/>
          <w:szCs w:val="84"/>
          <w:highlight w:val="none"/>
          <w14:textFill>
            <w14:solidFill>
              <w14:schemeClr w14:val="tx1"/>
            </w14:solidFill>
          </w14:textFill>
        </w:rPr>
      </w:pPr>
      <w:r>
        <w:rPr>
          <w:rFonts w:hint="eastAsia" w:ascii="宋体" w:hAnsi="宋体" w:cs="宋体"/>
          <w:b/>
          <w:bCs/>
          <w:color w:val="000000" w:themeColor="text1"/>
          <w:kern w:val="1"/>
          <w:sz w:val="84"/>
          <w:szCs w:val="84"/>
          <w:highlight w:val="none"/>
          <w14:textFill>
            <w14:solidFill>
              <w14:schemeClr w14:val="tx1"/>
            </w14:solidFill>
          </w14:textFill>
        </w:rPr>
        <w:t>招 标 文 件</w:t>
      </w:r>
    </w:p>
    <w:p>
      <w:pPr>
        <w:shd w:val="clear"/>
        <w:spacing w:line="360" w:lineRule="auto"/>
        <w:jc w:val="center"/>
        <w:rPr>
          <w:rFonts w:ascii="宋体" w:hAnsi="宋体" w:cs="宋体"/>
          <w:color w:val="000000" w:themeColor="text1"/>
          <w:kern w:val="1"/>
          <w:sz w:val="48"/>
          <w:szCs w:val="21"/>
          <w:highlight w:val="none"/>
          <w14:textFill>
            <w14:solidFill>
              <w14:schemeClr w14:val="tx1"/>
            </w14:solidFill>
          </w14:textFill>
        </w:rPr>
      </w:pPr>
    </w:p>
    <w:p>
      <w:pPr>
        <w:shd w:val="clear"/>
        <w:spacing w:line="360" w:lineRule="auto"/>
        <w:jc w:val="center"/>
        <w:rPr>
          <w:rFonts w:ascii="宋体" w:hAnsi="宋体" w:cs="宋体"/>
          <w:color w:val="000000" w:themeColor="text1"/>
          <w:kern w:val="1"/>
          <w:sz w:val="32"/>
          <w:szCs w:val="32"/>
          <w:highlight w:val="none"/>
          <w14:textFill>
            <w14:solidFill>
              <w14:schemeClr w14:val="tx1"/>
            </w14:solidFill>
          </w14:textFill>
        </w:rPr>
      </w:pPr>
    </w:p>
    <w:p>
      <w:pPr>
        <w:shd w:val="clear"/>
        <w:spacing w:line="360" w:lineRule="auto"/>
        <w:jc w:val="center"/>
        <w:rPr>
          <w:rFonts w:ascii="宋体" w:hAnsi="宋体" w:cs="宋体"/>
          <w:color w:val="000000" w:themeColor="text1"/>
          <w:kern w:val="1"/>
          <w:sz w:val="32"/>
          <w:szCs w:val="32"/>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p>
    <w:p>
      <w:pPr>
        <w:pStyle w:val="2"/>
        <w:shd w:val="clear"/>
        <w:rPr>
          <w:color w:val="000000" w:themeColor="text1"/>
          <w:highlight w:val="none"/>
          <w:lang w:val="en-US"/>
          <w14:textFill>
            <w14:solidFill>
              <w14:schemeClr w14:val="tx1"/>
            </w14:solidFill>
          </w14:textFill>
        </w:rPr>
      </w:pPr>
    </w:p>
    <w:p>
      <w:pPr>
        <w:shd w:val="clear"/>
        <w:spacing w:line="360" w:lineRule="auto"/>
        <w:ind w:firstLine="707" w:firstLineChars="220"/>
        <w:rPr>
          <w:rFonts w:ascii="宋体" w:hAnsi="宋体" w:cs="宋体"/>
          <w:b/>
          <w:color w:val="000000" w:themeColor="text1"/>
          <w:kern w:val="1"/>
          <w:sz w:val="32"/>
          <w:szCs w:val="32"/>
          <w:highlight w:val="none"/>
          <w14:textFill>
            <w14:solidFill>
              <w14:schemeClr w14:val="tx1"/>
            </w14:solidFill>
          </w14:textFill>
        </w:rPr>
      </w:pPr>
      <w:r>
        <w:rPr>
          <w:rFonts w:hint="eastAsia" w:ascii="宋体" w:hAnsi="宋体" w:cs="宋体"/>
          <w:b/>
          <w:color w:val="000000" w:themeColor="text1"/>
          <w:kern w:val="1"/>
          <w:sz w:val="32"/>
          <w:szCs w:val="32"/>
          <w:highlight w:val="none"/>
          <w14:textFill>
            <w14:solidFill>
              <w14:schemeClr w14:val="tx1"/>
            </w14:solidFill>
          </w14:textFill>
        </w:rPr>
        <w:t>招   标   人：广州市白云城市建设投资有限公司</w:t>
      </w:r>
    </w:p>
    <w:p>
      <w:pPr>
        <w:pStyle w:val="29"/>
        <w:shd w:val="clear"/>
        <w:spacing w:line="360" w:lineRule="auto"/>
        <w:ind w:firstLine="643" w:firstLineChars="200"/>
        <w:rPr>
          <w:rFonts w:ascii="宋体" w:hAnsi="宋体" w:cs="宋体"/>
          <w:b/>
          <w:color w:val="000000" w:themeColor="text1"/>
          <w:kern w:val="1"/>
          <w:sz w:val="32"/>
          <w:szCs w:val="32"/>
          <w:highlight w:val="none"/>
          <w14:textFill>
            <w14:solidFill>
              <w14:schemeClr w14:val="tx1"/>
            </w14:solidFill>
          </w14:textFill>
        </w:rPr>
      </w:pPr>
      <w:bookmarkStart w:id="0" w:name="_Hlk69809718"/>
      <w:r>
        <w:rPr>
          <w:rFonts w:hint="eastAsia" w:ascii="宋体" w:hAnsi="宋体" w:cs="宋体"/>
          <w:b/>
          <w:color w:val="000000" w:themeColor="text1"/>
          <w:kern w:val="1"/>
          <w:sz w:val="32"/>
          <w:szCs w:val="32"/>
          <w:highlight w:val="none"/>
          <w14:textFill>
            <w14:solidFill>
              <w14:schemeClr w14:val="tx1"/>
            </w14:solidFill>
          </w14:textFill>
        </w:rPr>
        <w:t>招标代理机构：</w:t>
      </w:r>
      <w:bookmarkEnd w:id="0"/>
      <w:r>
        <w:rPr>
          <w:rFonts w:hint="eastAsia" w:ascii="宋体" w:hAnsi="宋体" w:cs="宋体"/>
          <w:b/>
          <w:color w:val="000000" w:themeColor="text1"/>
          <w:kern w:val="1"/>
          <w:sz w:val="32"/>
          <w:szCs w:val="32"/>
          <w:highlight w:val="none"/>
          <w14:textFill>
            <w14:solidFill>
              <w14:schemeClr w14:val="tx1"/>
            </w14:solidFill>
          </w14:textFill>
        </w:rPr>
        <w:t>广州市白云工程咨询管理有限公司</w:t>
      </w:r>
    </w:p>
    <w:p>
      <w:pPr>
        <w:pStyle w:val="29"/>
        <w:shd w:val="clear"/>
        <w:spacing w:line="360" w:lineRule="auto"/>
        <w:ind w:firstLine="643" w:firstLineChars="200"/>
        <w:rPr>
          <w:rFonts w:ascii="宋体" w:hAnsi="宋体" w:cs="宋体"/>
          <w:b/>
          <w:color w:val="000000" w:themeColor="text1"/>
          <w:kern w:val="1"/>
          <w:sz w:val="32"/>
          <w:szCs w:val="32"/>
          <w:highlight w:val="none"/>
          <w14:textFill>
            <w14:solidFill>
              <w14:schemeClr w14:val="tx1"/>
            </w14:solidFill>
          </w14:textFill>
        </w:rPr>
      </w:pPr>
      <w:r>
        <w:rPr>
          <w:rFonts w:hint="eastAsia" w:ascii="宋体" w:hAnsi="宋体" w:cs="宋体"/>
          <w:b/>
          <w:color w:val="000000" w:themeColor="text1"/>
          <w:kern w:val="2"/>
          <w:sz w:val="32"/>
          <w:szCs w:val="32"/>
          <w:highlight w:val="none"/>
          <w14:textFill>
            <w14:solidFill>
              <w14:schemeClr w14:val="tx1"/>
            </w14:solidFill>
          </w14:textFill>
        </w:rPr>
        <w:t xml:space="preserve">日 </w:t>
      </w:r>
      <w:r>
        <w:rPr>
          <w:rFonts w:ascii="宋体" w:hAnsi="宋体" w:cs="宋体"/>
          <w:b/>
          <w:color w:val="000000" w:themeColor="text1"/>
          <w:kern w:val="2"/>
          <w:sz w:val="32"/>
          <w:szCs w:val="32"/>
          <w:highlight w:val="none"/>
          <w14:textFill>
            <w14:solidFill>
              <w14:schemeClr w14:val="tx1"/>
            </w14:solidFill>
          </w14:textFill>
        </w:rPr>
        <w:t xml:space="preserve">       </w:t>
      </w:r>
      <w:r>
        <w:rPr>
          <w:rFonts w:hint="eastAsia" w:ascii="宋体" w:hAnsi="宋体" w:cs="宋体"/>
          <w:b/>
          <w:color w:val="000000" w:themeColor="text1"/>
          <w:kern w:val="2"/>
          <w:sz w:val="32"/>
          <w:szCs w:val="32"/>
          <w:highlight w:val="none"/>
          <w14:textFill>
            <w14:solidFill>
              <w14:schemeClr w14:val="tx1"/>
            </w14:solidFill>
          </w14:textFill>
        </w:rPr>
        <w:t>期：</w:t>
      </w:r>
      <w:r>
        <w:rPr>
          <w:rFonts w:hint="eastAsia" w:ascii="宋体" w:hAnsi="宋体" w:cs="宋体"/>
          <w:b/>
          <w:color w:val="000000" w:themeColor="text1"/>
          <w:kern w:val="1"/>
          <w:sz w:val="32"/>
          <w:szCs w:val="32"/>
          <w:highlight w:val="none"/>
          <w14:textFill>
            <w14:solidFill>
              <w14:schemeClr w14:val="tx1"/>
            </w14:solidFill>
          </w14:textFill>
        </w:rPr>
        <w:t>2025年</w:t>
      </w:r>
      <w:r>
        <w:rPr>
          <w:rFonts w:ascii="宋体" w:hAnsi="宋体" w:cs="宋体"/>
          <w:b/>
          <w:color w:val="000000" w:themeColor="text1"/>
          <w:kern w:val="1"/>
          <w:sz w:val="32"/>
          <w:szCs w:val="32"/>
          <w:highlight w:val="none"/>
          <w14:textFill>
            <w14:solidFill>
              <w14:schemeClr w14:val="tx1"/>
            </w14:solidFill>
          </w14:textFill>
        </w:rPr>
        <w:t>10</w:t>
      </w:r>
      <w:r>
        <w:rPr>
          <w:rFonts w:hint="eastAsia" w:ascii="宋体" w:hAnsi="宋体" w:cs="宋体"/>
          <w:b/>
          <w:color w:val="000000" w:themeColor="text1"/>
          <w:kern w:val="1"/>
          <w:sz w:val="32"/>
          <w:szCs w:val="32"/>
          <w:highlight w:val="none"/>
          <w14:textFill>
            <w14:solidFill>
              <w14:schemeClr w14:val="tx1"/>
            </w14:solidFill>
          </w14:textFill>
        </w:rPr>
        <w:t>月</w:t>
      </w:r>
    </w:p>
    <w:p>
      <w:pPr>
        <w:pStyle w:val="29"/>
        <w:shd w:val="clear"/>
        <w:spacing w:line="360" w:lineRule="auto"/>
        <w:ind w:firstLine="3092" w:firstLineChars="1100"/>
        <w:rPr>
          <w:rFonts w:ascii="宋体" w:hAnsi="宋体" w:cs="宋体"/>
          <w:b/>
          <w:color w:val="000000" w:themeColor="text1"/>
          <w:sz w:val="28"/>
          <w:highlight w:val="none"/>
          <w14:textFill>
            <w14:solidFill>
              <w14:schemeClr w14:val="tx1"/>
            </w14:solidFill>
          </w14:textFill>
        </w:rPr>
        <w:sectPr>
          <w:headerReference r:id="rId4" w:type="first"/>
          <w:headerReference r:id="rId3" w:type="default"/>
          <w:footerReference r:id="rId5" w:type="default"/>
          <w:pgSz w:w="11906" w:h="16838"/>
          <w:pgMar w:top="1440" w:right="1269" w:bottom="1440" w:left="1597" w:header="851" w:footer="992" w:gutter="0"/>
          <w:pgNumType w:start="0"/>
          <w:cols w:space="720" w:num="1"/>
        </w:sectPr>
      </w:pPr>
    </w:p>
    <w:p>
      <w:pPr>
        <w:pStyle w:val="29"/>
        <w:shd w:val="clear"/>
        <w:spacing w:line="360" w:lineRule="auto"/>
        <w:ind w:firstLine="3092" w:firstLineChars="1100"/>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目     录</w:t>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begin"/>
      </w:r>
      <w:r>
        <w:rPr>
          <w:rFonts w:hint="eastAsia" w:ascii="宋体" w:hAnsi="宋体" w:cs="宋体"/>
          <w:color w:val="000000" w:themeColor="text1"/>
          <w:sz w:val="22"/>
          <w:szCs w:val="22"/>
          <w:highlight w:val="none"/>
          <w14:textFill>
            <w14:solidFill>
              <w14:schemeClr w14:val="tx1"/>
            </w14:solidFill>
          </w14:textFill>
        </w:rPr>
        <w:instrText xml:space="preserve"> TOC \o </w:instrText>
      </w:r>
      <w:r>
        <w:rPr>
          <w:rFonts w:hint="eastAsia" w:ascii="宋体" w:hAnsi="宋体" w:cs="宋体"/>
          <w:color w:val="000000" w:themeColor="text1"/>
          <w:sz w:val="22"/>
          <w:szCs w:val="22"/>
          <w:highlight w:val="none"/>
          <w14:textFill>
            <w14:solidFill>
              <w14:schemeClr w14:val="tx1"/>
            </w14:solidFill>
          </w14:textFill>
        </w:rPr>
        <w:fldChar w:fldCharType="separate"/>
      </w:r>
      <w:bookmarkStart w:id="1" w:name="_Toc144974479"/>
      <w:bookmarkEnd w:id="1"/>
      <w:bookmarkStart w:id="2" w:name="_Toc247527533"/>
      <w:bookmarkEnd w:id="2"/>
      <w:bookmarkStart w:id="3" w:name="_Toc152042287"/>
      <w:bookmarkEnd w:id="3"/>
      <w:bookmarkStart w:id="4" w:name="_Toc152045511"/>
      <w:bookmarkEnd w:id="4"/>
      <w:bookmarkStart w:id="5" w:name="_Toc247513932"/>
      <w:bookmarkEnd w:id="5"/>
      <w:r>
        <w:rPr>
          <w:rFonts w:ascii="宋体" w:hAnsi="宋体" w:cs="宋体"/>
          <w:color w:val="000000" w:themeColor="text1"/>
          <w:sz w:val="22"/>
          <w:szCs w:val="22"/>
          <w:highlight w:val="none"/>
          <w14:textFill>
            <w14:solidFill>
              <w14:schemeClr w14:val="tx1"/>
            </w14:solidFill>
          </w14:textFill>
        </w:rPr>
        <w:t xml:space="preserve">第一章 </w:t>
      </w:r>
      <w:r>
        <w:rPr>
          <w:rFonts w:hint="eastAsia" w:ascii="宋体" w:hAnsi="宋体" w:cs="宋体"/>
          <w:color w:val="000000" w:themeColor="text1"/>
          <w:sz w:val="22"/>
          <w:szCs w:val="22"/>
          <w:highlight w:val="none"/>
          <w14:textFill>
            <w14:solidFill>
              <w14:schemeClr w14:val="tx1"/>
            </w14:solidFill>
          </w14:textFill>
        </w:rPr>
        <w:t>招标公告（另册）</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_Toc17070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第二章 投标人须知</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_Toc28666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3</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第三章 评标办法（综合评估法）</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_Toc16394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28</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第四章 合同条款及格式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_Toc16039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46</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第五章 招标人要求</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_Toc16641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47</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第六章 招标人提供的资料</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_Toc3467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50</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第七章 投标文件格式</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_Toc18390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51</w:t>
      </w:r>
      <w:r>
        <w:rPr>
          <w:color w:val="000000" w:themeColor="text1"/>
          <w:sz w:val="22"/>
          <w:szCs w:val="22"/>
          <w:highlight w:val="none"/>
          <w14:textFill>
            <w14:solidFill>
              <w14:schemeClr w14:val="tx1"/>
            </w14:solidFill>
          </w14:textFill>
        </w:rPr>
        <w:fldChar w:fldCharType="end"/>
      </w:r>
    </w:p>
    <w:p>
      <w:pPr>
        <w:pStyle w:val="24"/>
        <w:shd w:val="clear"/>
        <w:tabs>
          <w:tab w:val="right" w:leader="dot" w:pos="9040"/>
        </w:tabs>
        <w:spacing w:line="360" w:lineRule="auto"/>
        <w:rPr>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第八章 招标控制价细项汇总表</w:t>
      </w:r>
      <w:r>
        <w:rPr>
          <w:color w:val="000000" w:themeColor="text1"/>
          <w:sz w:val="22"/>
          <w:szCs w:val="22"/>
          <w:highlight w:val="none"/>
          <w14:textFill>
            <w14:solidFill>
              <w14:schemeClr w14:val="tx1"/>
            </w14:solidFill>
          </w14:textFill>
        </w:rPr>
        <w:tab/>
      </w:r>
      <w:r>
        <w:rPr>
          <w:color w:val="000000" w:themeColor="text1"/>
          <w:sz w:val="22"/>
          <w:szCs w:val="22"/>
          <w:highlight w:val="none"/>
          <w14:textFill>
            <w14:solidFill>
              <w14:schemeClr w14:val="tx1"/>
            </w14:solidFill>
          </w14:textFill>
        </w:rPr>
        <w:fldChar w:fldCharType="begin"/>
      </w:r>
      <w:r>
        <w:rPr>
          <w:color w:val="000000" w:themeColor="text1"/>
          <w:sz w:val="22"/>
          <w:szCs w:val="22"/>
          <w:highlight w:val="none"/>
          <w14:textFill>
            <w14:solidFill>
              <w14:schemeClr w14:val="tx1"/>
            </w14:solidFill>
          </w14:textFill>
        </w:rPr>
        <w:instrText xml:space="preserve"> PAGEREF _Toc5889 </w:instrText>
      </w:r>
      <w:r>
        <w:rPr>
          <w:color w:val="000000" w:themeColor="text1"/>
          <w:sz w:val="22"/>
          <w:szCs w:val="22"/>
          <w:highlight w:val="none"/>
          <w14:textFill>
            <w14:solidFill>
              <w14:schemeClr w14:val="tx1"/>
            </w14:solidFill>
          </w14:textFill>
        </w:rPr>
        <w:fldChar w:fldCharType="separate"/>
      </w:r>
      <w:r>
        <w:rPr>
          <w:color w:val="000000" w:themeColor="text1"/>
          <w:sz w:val="22"/>
          <w:szCs w:val="22"/>
          <w:highlight w:val="none"/>
          <w14:textFill>
            <w14:solidFill>
              <w14:schemeClr w14:val="tx1"/>
            </w14:solidFill>
          </w14:textFill>
        </w:rPr>
        <w:t>81</w:t>
      </w:r>
      <w:r>
        <w:rPr>
          <w:color w:val="000000" w:themeColor="text1"/>
          <w:sz w:val="22"/>
          <w:szCs w:val="22"/>
          <w:highlight w:val="none"/>
          <w14:textFill>
            <w14:solidFill>
              <w14:schemeClr w14:val="tx1"/>
            </w14:solidFill>
          </w14:textFill>
        </w:rPr>
        <w:fldChar w:fldCharType="end"/>
      </w:r>
    </w:p>
    <w:p>
      <w:pPr>
        <w:pStyle w:val="24"/>
        <w:shd w:val="clear"/>
        <w:tabs>
          <w:tab w:val="right" w:leader="dot" w:pos="9297"/>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fldChar w:fldCharType="end"/>
      </w:r>
      <w:bookmarkStart w:id="6" w:name="_Toc152042303"/>
      <w:bookmarkEnd w:id="6"/>
      <w:bookmarkStart w:id="7" w:name="_Toc247527550"/>
      <w:bookmarkEnd w:id="7"/>
      <w:bookmarkStart w:id="8" w:name="_Toc152045526"/>
      <w:bookmarkEnd w:id="8"/>
      <w:bookmarkStart w:id="9" w:name="_Toc144974495"/>
      <w:bookmarkEnd w:id="9"/>
      <w:bookmarkStart w:id="10" w:name="_Toc152042302"/>
      <w:bookmarkEnd w:id="10"/>
      <w:bookmarkStart w:id="11" w:name="_Toc247513950"/>
      <w:bookmarkEnd w:id="11"/>
      <w:bookmarkStart w:id="12" w:name="_Toc247513949"/>
      <w:bookmarkEnd w:id="12"/>
      <w:bookmarkStart w:id="13" w:name="_Toc152045527"/>
      <w:bookmarkEnd w:id="13"/>
      <w:bookmarkStart w:id="14" w:name="_Toc144974494"/>
      <w:bookmarkEnd w:id="14"/>
      <w:bookmarkStart w:id="15" w:name="_Toc247527551"/>
      <w:bookmarkEnd w:id="15"/>
      <w:bookmarkStart w:id="16" w:name="_Toc443505819"/>
      <w:bookmarkEnd w:id="16"/>
    </w:p>
    <w:p>
      <w:pPr>
        <w:pStyle w:val="3"/>
        <w:numPr>
          <w:ilvl w:val="0"/>
          <w:numId w:val="1"/>
        </w:numPr>
        <w:shd w:val="clear"/>
        <w:spacing w:line="360" w:lineRule="auto"/>
        <w:jc w:val="center"/>
        <w:rPr>
          <w:rFonts w:ascii="宋体" w:hAnsi="宋体" w:cs="宋体"/>
          <w:color w:val="000000" w:themeColor="text1"/>
          <w:highlight w:val="none"/>
          <w14:textFill>
            <w14:solidFill>
              <w14:schemeClr w14:val="tx1"/>
            </w14:solidFill>
          </w14:textFill>
        </w:rPr>
      </w:pPr>
      <w:bookmarkStart w:id="17" w:name="_Toc5620293"/>
      <w:r>
        <w:rPr>
          <w:rFonts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 xml:space="preserve"> </w:t>
      </w:r>
      <w:bookmarkStart w:id="18" w:name="_Toc17070"/>
      <w:r>
        <w:rPr>
          <w:rFonts w:hint="eastAsia" w:ascii="宋体" w:hAnsi="宋体" w:cs="宋体"/>
          <w:color w:val="000000" w:themeColor="text1"/>
          <w:highlight w:val="none"/>
          <w14:textFill>
            <w14:solidFill>
              <w14:schemeClr w14:val="tx1"/>
            </w14:solidFill>
          </w14:textFill>
        </w:rPr>
        <w:t>招标公告（另册）</w:t>
      </w:r>
      <w:bookmarkEnd w:id="17"/>
      <w:bookmarkEnd w:id="18"/>
    </w:p>
    <w:p>
      <w:pPr>
        <w:pStyle w:val="2"/>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3"/>
        <w:shd w:val="clear"/>
        <w:spacing w:after="100" w:line="360" w:lineRule="auto"/>
        <w:jc w:val="center"/>
        <w:rPr>
          <w:rFonts w:ascii="宋体" w:hAnsi="宋体" w:cs="宋体"/>
          <w:color w:val="000000" w:themeColor="text1"/>
          <w:kern w:val="1"/>
          <w:highlight w:val="none"/>
          <w14:textFill>
            <w14:solidFill>
              <w14:schemeClr w14:val="tx1"/>
            </w14:solidFill>
          </w14:textFill>
        </w:rPr>
      </w:pPr>
      <w:bookmarkStart w:id="19" w:name="_Toc12275"/>
      <w:bookmarkEnd w:id="19"/>
      <w:bookmarkStart w:id="20" w:name="_Toc28666"/>
      <w:bookmarkStart w:id="21" w:name="_Toc5620294"/>
      <w:r>
        <w:rPr>
          <w:rFonts w:hint="eastAsia" w:ascii="宋体" w:hAnsi="宋体" w:cs="宋体"/>
          <w:color w:val="000000" w:themeColor="text1"/>
          <w:kern w:val="1"/>
          <w:highlight w:val="none"/>
          <w14:textFill>
            <w14:solidFill>
              <w14:schemeClr w14:val="tx1"/>
            </w14:solidFill>
          </w14:textFill>
        </w:rPr>
        <w:t>第二章 投标人须知</w:t>
      </w:r>
      <w:bookmarkEnd w:id="20"/>
      <w:bookmarkEnd w:id="21"/>
    </w:p>
    <w:p>
      <w:pPr>
        <w:pStyle w:val="4"/>
        <w:shd w:val="clear"/>
        <w:spacing w:before="100" w:after="100" w:line="360" w:lineRule="auto"/>
        <w:jc w:val="center"/>
        <w:rPr>
          <w:rFonts w:ascii="宋体" w:hAnsi="宋体" w:eastAsia="宋体" w:cs="宋体"/>
          <w:color w:val="000000" w:themeColor="text1"/>
          <w:highlight w:val="none"/>
          <w:lang w:val="zh-CN"/>
          <w14:textFill>
            <w14:solidFill>
              <w14:schemeClr w14:val="tx1"/>
            </w14:solidFill>
          </w14:textFill>
        </w:rPr>
      </w:pPr>
      <w:bookmarkStart w:id="22" w:name="_Toc144974496"/>
      <w:bookmarkEnd w:id="22"/>
      <w:bookmarkStart w:id="23" w:name="_Toc30749"/>
      <w:bookmarkEnd w:id="23"/>
      <w:bookmarkStart w:id="24" w:name="_Toc152045528"/>
      <w:bookmarkEnd w:id="24"/>
      <w:bookmarkStart w:id="25" w:name="_Toc152042304"/>
      <w:bookmarkEnd w:id="25"/>
      <w:bookmarkStart w:id="26" w:name="_Toc300834948"/>
      <w:bookmarkEnd w:id="26"/>
      <w:bookmarkStart w:id="27" w:name="_Toc6703"/>
      <w:bookmarkEnd w:id="27"/>
      <w:bookmarkStart w:id="28" w:name="_Toc357089510"/>
      <w:bookmarkEnd w:id="28"/>
      <w:bookmarkStart w:id="29" w:name="_Toc362816479"/>
      <w:bookmarkEnd w:id="29"/>
      <w:bookmarkStart w:id="30" w:name="_Toc247513951"/>
      <w:bookmarkEnd w:id="30"/>
      <w:bookmarkStart w:id="31" w:name="_Toc247527552"/>
      <w:bookmarkEnd w:id="31"/>
      <w:bookmarkStart w:id="32" w:name="_Toc443505821"/>
      <w:bookmarkEnd w:id="32"/>
      <w:bookmarkStart w:id="33" w:name="_Toc5620295"/>
      <w:bookmarkStart w:id="34" w:name="_Toc18684"/>
      <w:r>
        <w:rPr>
          <w:rFonts w:hint="eastAsia" w:ascii="宋体" w:hAnsi="宋体" w:eastAsia="宋体" w:cs="宋体"/>
          <w:color w:val="000000" w:themeColor="text1"/>
          <w:highlight w:val="none"/>
          <w:lang w:val="zh-CN"/>
          <w14:textFill>
            <w14:solidFill>
              <w14:schemeClr w14:val="tx1"/>
            </w14:solidFill>
          </w14:textFill>
        </w:rPr>
        <w:t>投标人须知前附表</w:t>
      </w:r>
      <w:bookmarkEnd w:id="33"/>
      <w:bookmarkEnd w:id="34"/>
    </w:p>
    <w:tbl>
      <w:tblPr>
        <w:tblStyle w:val="34"/>
        <w:tblW w:w="9592" w:type="dxa"/>
        <w:jc w:val="center"/>
        <w:tblLayout w:type="fixed"/>
        <w:tblCellMar>
          <w:top w:w="0" w:type="dxa"/>
          <w:left w:w="108" w:type="dxa"/>
          <w:bottom w:w="0" w:type="dxa"/>
          <w:right w:w="108" w:type="dxa"/>
        </w:tblCellMar>
      </w:tblPr>
      <w:tblGrid>
        <w:gridCol w:w="884"/>
        <w:gridCol w:w="2513"/>
        <w:gridCol w:w="6195"/>
      </w:tblGrid>
      <w:tr>
        <w:tblPrEx>
          <w:tblCellMar>
            <w:top w:w="0" w:type="dxa"/>
            <w:left w:w="108" w:type="dxa"/>
            <w:bottom w:w="0" w:type="dxa"/>
            <w:right w:w="108" w:type="dxa"/>
          </w:tblCellMar>
        </w:tblPrEx>
        <w:trPr>
          <w:trHeight w:val="570" w:hRule="atLeast"/>
          <w:tblHeade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left="-134" w:right="-107"/>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  款  名  称</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  列  内  容</w:t>
            </w:r>
          </w:p>
        </w:tc>
      </w:tr>
      <w:tr>
        <w:tblPrEx>
          <w:tblCellMar>
            <w:top w:w="0" w:type="dxa"/>
            <w:left w:w="108" w:type="dxa"/>
            <w:bottom w:w="0" w:type="dxa"/>
            <w:right w:w="108" w:type="dxa"/>
          </w:tblCellMar>
        </w:tblPrEx>
        <w:trPr>
          <w:trHeight w:val="128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广州市白云城市建设投资有限公司</w:t>
            </w:r>
          </w:p>
          <w:p>
            <w:pPr>
              <w:shd w:val="clea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广州市白云区齐富路88号C座八楼</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邓工</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电话：</w:t>
            </w:r>
            <w:r>
              <w:rPr>
                <w:rFonts w:ascii="宋体" w:hAnsi="宋体" w:cs="宋体"/>
                <w:color w:val="000000" w:themeColor="text1"/>
                <w:szCs w:val="21"/>
                <w:highlight w:val="none"/>
                <w:u w:val="single"/>
                <w14:textFill>
                  <w14:solidFill>
                    <w14:schemeClr w14:val="tx1"/>
                  </w14:solidFill>
                </w14:textFill>
              </w:rPr>
              <w:t>020-86350995</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招标代理机构</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广州市白云工程咨询管理有限公司</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广州市白云区齐富路88号C座5-6楼</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u w:val="single"/>
                <w14:textFill>
                  <w14:solidFill>
                    <w14:schemeClr w14:val="tx1"/>
                  </w14:solidFill>
                </w14:textFill>
              </w:rPr>
              <w:t>张工、肖工</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电话：</w:t>
            </w:r>
            <w:r>
              <w:rPr>
                <w:rFonts w:ascii="宋体" w:hAnsi="宋体" w:cs="宋体"/>
                <w:color w:val="000000" w:themeColor="text1"/>
                <w:szCs w:val="21"/>
                <w:highlight w:val="none"/>
                <w:u w:val="single"/>
                <w14:textFill>
                  <w14:solidFill>
                    <w14:schemeClr w14:val="tx1"/>
                  </w14:solidFill>
                </w14:textFill>
              </w:rPr>
              <w:t>020-35622940</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项目名称</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广州设计之都嘉禾片区项目三期勘察设计采购施工一体化</w:t>
            </w:r>
          </w:p>
        </w:tc>
      </w:tr>
      <w:tr>
        <w:tblPrEx>
          <w:tblCellMar>
            <w:top w:w="0" w:type="dxa"/>
            <w:left w:w="108" w:type="dxa"/>
            <w:bottom w:w="0" w:type="dxa"/>
            <w:right w:w="108" w:type="dxa"/>
          </w:tblCellMar>
        </w:tblPrEx>
        <w:trPr>
          <w:trHeight w:val="36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建设地点</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资金来源及比例</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39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1.2.2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资金落实情况</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已落实</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招标范围</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17"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1.3.2</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计划工期</w:t>
            </w:r>
          </w:p>
        </w:tc>
        <w:tc>
          <w:tcPr>
            <w:tcW w:w="6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4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1.3.3</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质量标准</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见本项目招标公告及合同约定条款</w:t>
            </w:r>
          </w:p>
        </w:tc>
      </w:tr>
      <w:tr>
        <w:tblPrEx>
          <w:tblCellMar>
            <w:top w:w="0" w:type="dxa"/>
            <w:left w:w="108" w:type="dxa"/>
            <w:bottom w:w="0" w:type="dxa"/>
            <w:right w:w="108" w:type="dxa"/>
          </w:tblCellMar>
        </w:tblPrEx>
        <w:trPr>
          <w:trHeight w:val="57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投标人资质条件、能力和信誉</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见本项目招标公告</w:t>
            </w:r>
          </w:p>
        </w:tc>
      </w:tr>
      <w:tr>
        <w:tblPrEx>
          <w:tblCellMar>
            <w:top w:w="0" w:type="dxa"/>
            <w:left w:w="108" w:type="dxa"/>
            <w:bottom w:w="0" w:type="dxa"/>
            <w:right w:w="108" w:type="dxa"/>
          </w:tblCellMar>
        </w:tblPrEx>
        <w:trPr>
          <w:trHeight w:val="75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1.4.2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是否接受联合体投标</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□不接受</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14:textFill>
                  <w14:solidFill>
                    <w14:schemeClr w14:val="tx1"/>
                  </w14:solidFill>
                </w14:textFill>
              </w:rPr>
              <w:t>见本项目招标公告要求。</w:t>
            </w:r>
          </w:p>
        </w:tc>
      </w:tr>
      <w:tr>
        <w:tblPrEx>
          <w:tblCellMar>
            <w:top w:w="0" w:type="dxa"/>
            <w:left w:w="108" w:type="dxa"/>
            <w:bottom w:w="0" w:type="dxa"/>
            <w:right w:w="108" w:type="dxa"/>
          </w:tblCellMar>
        </w:tblPrEx>
        <w:trPr>
          <w:trHeight w:val="84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1.5</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费用承担和设计成果补偿</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不补偿</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□补偿，补偿标准：</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92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1.9.1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不组织：自行踏勘。</w:t>
            </w:r>
          </w:p>
          <w:p>
            <w:pPr>
              <w:shd w:val="clear"/>
              <w:tabs>
                <w:tab w:val="center" w:pos="2950"/>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□组织，踏勘时间：</w:t>
            </w:r>
            <w:r>
              <w:rPr>
                <w:rFonts w:hint="eastAsia" w:ascii="宋体" w:hAnsi="宋体" w:cs="宋体"/>
                <w:color w:val="000000" w:themeColor="text1"/>
                <w:kern w:val="1"/>
                <w:szCs w:val="21"/>
                <w:highlight w:val="none"/>
                <w14:textFill>
                  <w14:solidFill>
                    <w14:schemeClr w14:val="tx1"/>
                  </w14:solidFill>
                </w14:textFill>
              </w:rPr>
              <w:tab/>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踏勘集中地点：</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投标预备会</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■不召开</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召开，召开时间：另行通知</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召开地点：</w:t>
            </w:r>
          </w:p>
        </w:tc>
      </w:tr>
      <w:tr>
        <w:tblPrEx>
          <w:tblCellMar>
            <w:top w:w="0" w:type="dxa"/>
            <w:left w:w="108" w:type="dxa"/>
            <w:bottom w:w="0" w:type="dxa"/>
            <w:right w:w="108" w:type="dxa"/>
          </w:tblCellMar>
        </w:tblPrEx>
        <w:trPr>
          <w:trHeight w:val="1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1.10.2</w:t>
            </w:r>
          </w:p>
        </w:tc>
        <w:tc>
          <w:tcPr>
            <w:tcW w:w="2513" w:type="dxa"/>
            <w:tcBorders>
              <w:top w:val="single" w:color="000000" w:sz="4" w:space="0"/>
              <w:left w:val="single" w:color="000000" w:sz="4" w:space="0"/>
              <w:bottom w:val="single" w:color="000000" w:sz="4" w:space="0"/>
              <w:right w:val="single" w:color="000000" w:sz="4" w:space="0"/>
            </w:tcBorders>
            <w:vAlign w:val="center"/>
          </w:tcPr>
          <w:p>
            <w:pPr>
              <w:pStyle w:val="32"/>
              <w:shd w:val="clear"/>
              <w:spacing w:after="0" w:line="360" w:lineRule="auto"/>
              <w:ind w:firstLine="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招标答疑</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1.本项目采用网上答疑方式。</w:t>
            </w:r>
          </w:p>
          <w:p>
            <w:p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2.投标人疑问期限：在投标截止日期前18日，将投标疑问</w:t>
            </w:r>
            <w:r>
              <w:rPr>
                <w:rFonts w:hint="eastAsia" w:ascii="宋体" w:hAnsi="宋体"/>
                <w:color w:val="000000" w:themeColor="text1"/>
                <w:szCs w:val="21"/>
                <w:highlight w:val="none"/>
                <w14:textFill>
                  <w14:solidFill>
                    <w14:schemeClr w14:val="tx1"/>
                  </w14:solidFill>
                </w14:textFill>
              </w:rPr>
              <w:t>通过</w:t>
            </w:r>
            <w:r>
              <w:rPr>
                <w:rFonts w:hint="eastAsia" w:ascii="宋体" w:hAnsi="宋体"/>
                <w:color w:val="000000" w:themeColor="text1"/>
                <w:szCs w:val="21"/>
                <w:highlight w:val="none"/>
                <w:u w:val="single"/>
                <w14:textFill>
                  <w14:solidFill>
                    <w14:schemeClr w14:val="tx1"/>
                  </w14:solidFill>
                </w14:textFill>
              </w:rPr>
              <w:t>广州交易集团有限公司（广州公共资源交易中心）</w:t>
            </w:r>
            <w:r>
              <w:rPr>
                <w:rFonts w:hint="eastAsia" w:ascii="宋体" w:hAnsi="宋体"/>
                <w:color w:val="000000" w:themeColor="text1"/>
                <w:szCs w:val="21"/>
                <w:highlight w:val="none"/>
                <w14:textFill>
                  <w14:solidFill>
                    <w14:schemeClr w14:val="tx1"/>
                  </w14:solidFill>
                </w14:textFill>
              </w:rPr>
              <w:t>交易平台提交</w:t>
            </w:r>
            <w:r>
              <w:rPr>
                <w:rFonts w:hint="eastAsia" w:ascii="宋体" w:hAnsi="宋体" w:cs="宋体"/>
                <w:color w:val="000000" w:themeColor="text1"/>
                <w:kern w:val="1"/>
                <w:szCs w:val="21"/>
                <w:highlight w:val="none"/>
                <w14:textFill>
                  <w14:solidFill>
                    <w14:schemeClr w14:val="tx1"/>
                  </w14:solidFill>
                </w14:textFill>
              </w:rPr>
              <w:t>。</w:t>
            </w:r>
          </w:p>
          <w:p>
            <w:pPr>
              <w:shd w:val="clear"/>
              <w:spacing w:line="360" w:lineRule="auto"/>
              <w:ind w:right="24"/>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3.招标人澄清、修补或答疑期限：在递交投标文件截止日期前15日，答疑纪要在广州交易集团有限公司（广州公共资源交易中心）（http://www.gzggzy.cn/）发布。 </w:t>
            </w:r>
          </w:p>
          <w:p>
            <w:pPr>
              <w:shd w:val="clear"/>
              <w:spacing w:line="360" w:lineRule="auto"/>
              <w:ind w:right="24"/>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4.网上答疑的相关事项详见本章第2.2款。</w:t>
            </w:r>
          </w:p>
        </w:tc>
      </w:tr>
      <w:tr>
        <w:tblPrEx>
          <w:tblCellMar>
            <w:top w:w="0" w:type="dxa"/>
            <w:left w:w="108" w:type="dxa"/>
            <w:bottom w:w="0" w:type="dxa"/>
            <w:right w:w="108" w:type="dxa"/>
          </w:tblCellMar>
        </w:tblPrEx>
        <w:trPr>
          <w:trHeight w:val="7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招标人规定由分包人承担的工作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rPr>
          <w:trHeight w:val="118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投标人拟分包的工作</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w:t>
            </w:r>
            <w:r>
              <w:rPr>
                <w:rFonts w:hint="eastAsia"/>
                <w:color w:val="000000" w:themeColor="text1"/>
                <w:kern w:val="1"/>
                <w:sz w:val="21"/>
                <w:szCs w:val="21"/>
                <w:highlight w:val="none"/>
                <w14:textFill>
                  <w14:solidFill>
                    <w14:schemeClr w14:val="tx1"/>
                  </w14:solidFill>
                </w14:textFill>
              </w:rPr>
              <w:t>不允许</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允许，</w:t>
            </w:r>
            <w:r>
              <w:rPr>
                <w:rFonts w:hint="eastAsia" w:ascii="宋体" w:hAnsi="宋体" w:cs="宋体"/>
                <w:color w:val="000000" w:themeColor="text1"/>
                <w:szCs w:val="21"/>
                <w:highlight w:val="none"/>
                <w14:textFill>
                  <w14:solidFill>
                    <w14:schemeClr w14:val="tx1"/>
                  </w14:solidFill>
                </w14:textFill>
              </w:rPr>
              <w:t>允许非主体、非关键性工程进行分包，分包需经招标人审核批准后分包给具有相应资质和能力的专业单位实施。</w:t>
            </w:r>
          </w:p>
        </w:tc>
      </w:tr>
      <w:tr>
        <w:tblPrEx>
          <w:tblCellMar>
            <w:top w:w="0" w:type="dxa"/>
            <w:left w:w="108" w:type="dxa"/>
            <w:bottom w:w="0" w:type="dxa"/>
            <w:right w:w="108" w:type="dxa"/>
          </w:tblCellMar>
        </w:tblPrEx>
        <w:trPr>
          <w:trHeight w:val="100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1.12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偏离</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kern w:val="1"/>
                <w:sz w:val="21"/>
                <w:szCs w:val="21"/>
                <w:highlight w:val="none"/>
                <w14:textFill>
                  <w14:solidFill>
                    <w14:schemeClr w14:val="tx1"/>
                  </w14:solidFill>
                </w14:textFill>
              </w:rPr>
              <w:t>不允许</w:t>
            </w:r>
          </w:p>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允许，允许偏离的内容、偏离范围和幅度：满足第三章《评标办法》规定的有效性审查标准。</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构成招标文件的其他资料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答疑纪要、澄清文件等（如有）</w:t>
            </w:r>
          </w:p>
        </w:tc>
      </w:tr>
      <w:tr>
        <w:tblPrEx>
          <w:tblCellMar>
            <w:top w:w="0" w:type="dxa"/>
            <w:left w:w="108" w:type="dxa"/>
            <w:bottom w:w="0" w:type="dxa"/>
            <w:right w:w="108" w:type="dxa"/>
          </w:tblCellMar>
        </w:tblPrEx>
        <w:trPr>
          <w:trHeight w:val="74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投标人要求澄清招标文件的截止时间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2"/>
              <w:shd w:val="clear"/>
              <w:rPr>
                <w:rFonts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时间：在提交投标文件截止时间18天前提出。</w:t>
            </w:r>
          </w:p>
          <w:p>
            <w:pPr>
              <w:pStyle w:val="2"/>
              <w:shd w:val="clear"/>
              <w:rPr>
                <w:color w:val="000000" w:themeColor="text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形式：投标人疑问通过网上提交。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具体操作方法详见《建设工程全流程电子化项目操作指南》。</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投标人确认收到答疑纪要或澄清的时间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在广州交易集团有限公司（广州公共资源交易中心）网上答疑专区发布时视为投标人收到。</w:t>
            </w:r>
          </w:p>
        </w:tc>
      </w:tr>
      <w:tr>
        <w:tblPrEx>
          <w:tblCellMar>
            <w:top w:w="0" w:type="dxa"/>
            <w:left w:w="108" w:type="dxa"/>
            <w:bottom w:w="0" w:type="dxa"/>
            <w:right w:w="108" w:type="dxa"/>
          </w:tblCellMar>
        </w:tblPrEx>
        <w:trPr>
          <w:trHeight w:val="654"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2.3.2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投标人确认收到招标文件修改的时间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在广州交易集团有限公司（广州公共资源交易中心）网上答疑专区发布时视为投标人收到。</w:t>
            </w:r>
          </w:p>
        </w:tc>
      </w:tr>
      <w:tr>
        <w:tblPrEx>
          <w:tblCellMar>
            <w:top w:w="0" w:type="dxa"/>
            <w:left w:w="108" w:type="dxa"/>
            <w:bottom w:w="0" w:type="dxa"/>
            <w:right w:w="108" w:type="dxa"/>
          </w:tblCellMar>
        </w:tblPrEx>
        <w:trPr>
          <w:trHeight w:val="72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构成投标文件的其他资料</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见第七章《投标文件格式》要求</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w:t>
            </w:r>
            <w:r>
              <w:rPr>
                <w:rFonts w:ascii="宋体" w:hAnsi="宋体" w:cs="宋体"/>
                <w:color w:val="000000" w:themeColor="text1"/>
                <w:kern w:val="1"/>
                <w:szCs w:val="21"/>
                <w:highlight w:val="none"/>
                <w14:textFill>
                  <w14:solidFill>
                    <w14:schemeClr w14:val="tx1"/>
                  </w14:solidFill>
                </w14:textFill>
              </w:rPr>
              <w:t>.2.1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报价方式</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勘察费投标报价、设计费投标报价和工程费投标报价组成。本项目勘察、设计、工程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4</w:t>
            </w:r>
          </w:p>
        </w:tc>
        <w:tc>
          <w:tcPr>
            <w:tcW w:w="251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最高投标限价</w:t>
            </w:r>
          </w:p>
        </w:tc>
        <w:tc>
          <w:tcPr>
            <w:tcW w:w="61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tabs>
                <w:tab w:val="left" w:pos="105"/>
              </w:tabs>
              <w:adjustRightInd w:val="0"/>
              <w:snapToGrid w:val="0"/>
              <w:spacing w:line="360" w:lineRule="auto"/>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1、本次招标最高投标限价为</w:t>
            </w:r>
            <w:r>
              <w:rPr>
                <w:rFonts w:hint="eastAsia" w:ascii="宋体" w:hAnsi="宋体" w:cs="宋体"/>
                <w:bCs/>
                <w:color w:val="000000" w:themeColor="text1"/>
                <w:szCs w:val="21"/>
                <w:highlight w:val="none"/>
                <w:u w:val="single"/>
                <w:lang w:eastAsia="zh-CN"/>
                <w14:textFill>
                  <w14:solidFill>
                    <w14:schemeClr w14:val="tx1"/>
                  </w14:solidFill>
                </w14:textFill>
              </w:rPr>
              <w:t>36,154.77</w:t>
            </w:r>
            <w:r>
              <w:rPr>
                <w:rFonts w:hint="eastAsia" w:ascii="宋体" w:hAnsi="宋体" w:cs="宋体"/>
                <w:bCs/>
                <w:color w:val="000000" w:themeColor="text1"/>
                <w:szCs w:val="21"/>
                <w:highlight w:val="none"/>
                <w14:textFill>
                  <w14:solidFill>
                    <w14:schemeClr w14:val="tx1"/>
                  </w14:solidFill>
                </w14:textFill>
              </w:rPr>
              <w:t>万元，其中：勘察费最高投标限价为</w:t>
            </w:r>
            <w:r>
              <w:rPr>
                <w:rFonts w:hint="eastAsia" w:ascii="宋体" w:hAnsi="宋体" w:cs="宋体"/>
                <w:bCs/>
                <w:color w:val="000000" w:themeColor="text1"/>
                <w:szCs w:val="21"/>
                <w:highlight w:val="none"/>
                <w:u w:val="single"/>
                <w14:textFill>
                  <w14:solidFill>
                    <w14:schemeClr w14:val="tx1"/>
                  </w14:solidFill>
                </w14:textFill>
              </w:rPr>
              <w:t>253.30</w:t>
            </w:r>
            <w:r>
              <w:rPr>
                <w:rFonts w:hint="eastAsia" w:ascii="宋体" w:hAnsi="宋体" w:cs="宋体"/>
                <w:bCs/>
                <w:color w:val="000000" w:themeColor="text1"/>
                <w:szCs w:val="21"/>
                <w:highlight w:val="none"/>
                <w14:textFill>
                  <w14:solidFill>
                    <w14:schemeClr w14:val="tx1"/>
                  </w14:solidFill>
                </w14:textFill>
              </w:rPr>
              <w:t>万元；设计费最高投标限价为</w:t>
            </w:r>
            <w:r>
              <w:rPr>
                <w:rFonts w:hint="eastAsia" w:ascii="宋体" w:hAnsi="宋体" w:cs="宋体"/>
                <w:bCs/>
                <w:color w:val="000000" w:themeColor="text1"/>
                <w:szCs w:val="21"/>
                <w:highlight w:val="none"/>
                <w:u w:val="single"/>
                <w14:textFill>
                  <w14:solidFill>
                    <w14:schemeClr w14:val="tx1"/>
                  </w14:solidFill>
                </w14:textFill>
              </w:rPr>
              <w:t>733.02</w:t>
            </w:r>
            <w:r>
              <w:rPr>
                <w:rFonts w:hint="eastAsia" w:ascii="宋体" w:hAnsi="宋体" w:cs="宋体"/>
                <w:bCs/>
                <w:color w:val="000000" w:themeColor="text1"/>
                <w:szCs w:val="21"/>
                <w:highlight w:val="none"/>
                <w14:textFill>
                  <w14:solidFill>
                    <w14:schemeClr w14:val="tx1"/>
                  </w14:solidFill>
                </w14:textFill>
              </w:rPr>
              <w:t>万元；工程费最高投标限价为人民币</w:t>
            </w:r>
            <w:r>
              <w:rPr>
                <w:rFonts w:hint="eastAsia" w:ascii="宋体" w:hAnsi="宋体" w:cs="宋体"/>
                <w:bCs/>
                <w:color w:val="000000" w:themeColor="text1"/>
                <w:szCs w:val="21"/>
                <w:highlight w:val="none"/>
                <w:u w:val="single"/>
                <w14:textFill>
                  <w14:solidFill>
                    <w14:schemeClr w14:val="tx1"/>
                  </w14:solidFill>
                </w14:textFill>
              </w:rPr>
              <w:t>35,168.45</w:t>
            </w:r>
            <w:r>
              <w:rPr>
                <w:rFonts w:hint="eastAsia" w:ascii="宋体" w:hAnsi="宋体" w:cs="宋体"/>
                <w:bCs/>
                <w:color w:val="000000" w:themeColor="text1"/>
                <w:szCs w:val="21"/>
                <w:highlight w:val="none"/>
                <w14:textFill>
                  <w14:solidFill>
                    <w14:schemeClr w14:val="tx1"/>
                  </w14:solidFill>
                </w14:textFill>
              </w:rPr>
              <w:t>万元。</w:t>
            </w:r>
          </w:p>
          <w:p>
            <w:pPr>
              <w:widowControl/>
              <w:shd w:val="clear"/>
              <w:tabs>
                <w:tab w:val="left" w:pos="105"/>
              </w:tabs>
              <w:adjustRightInd w:val="0"/>
              <w:snapToGrid w:val="0"/>
              <w:spacing w:line="360" w:lineRule="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其中：</w:t>
            </w:r>
            <w:r>
              <w:rPr>
                <w:rFonts w:hint="eastAsia" w:ascii="宋体" w:hAnsi="宋体" w:cs="宋体"/>
                <w:color w:val="000000" w:themeColor="text1"/>
                <w:szCs w:val="21"/>
                <w:highlight w:val="none"/>
                <w:u w:val="single"/>
                <w14:textFill>
                  <w14:solidFill>
                    <w14:schemeClr w14:val="tx1"/>
                  </w14:solidFill>
                </w14:textFill>
              </w:rPr>
              <w:t>岩土工程勘察综合包干单价投标报价应不高于</w:t>
            </w:r>
            <w:r>
              <w:rPr>
                <w:rFonts w:ascii="宋体" w:hAnsi="宋体" w:cs="宋体"/>
                <w:color w:val="000000" w:themeColor="text1"/>
                <w:szCs w:val="21"/>
                <w:highlight w:val="none"/>
                <w:u w:val="single"/>
                <w14:textFill>
                  <w14:solidFill>
                    <w14:schemeClr w14:val="tx1"/>
                  </w14:solidFill>
                </w14:textFill>
              </w:rPr>
              <w:t>125</w:t>
            </w:r>
            <w:r>
              <w:rPr>
                <w:rFonts w:hint="eastAsia" w:ascii="宋体" w:hAnsi="宋体" w:cs="宋体"/>
                <w:color w:val="000000" w:themeColor="text1"/>
                <w:szCs w:val="21"/>
                <w:highlight w:val="none"/>
                <w:u w:val="single"/>
                <w14:textFill>
                  <w14:solidFill>
                    <w14:schemeClr w14:val="tx1"/>
                  </w14:solidFill>
                </w14:textFill>
              </w:rPr>
              <w:t>元/m；超前钻综合包干单价投标报价应不高于</w:t>
            </w:r>
            <w:r>
              <w:rPr>
                <w:rFonts w:ascii="宋体" w:hAnsi="宋体" w:cs="宋体"/>
                <w:color w:val="000000" w:themeColor="text1"/>
                <w:szCs w:val="21"/>
                <w:highlight w:val="none"/>
                <w:u w:val="single"/>
                <w14:textFill>
                  <w14:solidFill>
                    <w14:schemeClr w14:val="tx1"/>
                  </w14:solidFill>
                </w14:textFill>
              </w:rPr>
              <w:t>105</w:t>
            </w:r>
            <w:r>
              <w:rPr>
                <w:rFonts w:hint="eastAsia" w:ascii="宋体" w:hAnsi="宋体" w:cs="宋体"/>
                <w:color w:val="000000" w:themeColor="text1"/>
                <w:szCs w:val="21"/>
                <w:highlight w:val="none"/>
                <w:u w:val="single"/>
                <w14:textFill>
                  <w14:solidFill>
                    <w14:schemeClr w14:val="tx1"/>
                  </w14:solidFill>
                </w14:textFill>
              </w:rPr>
              <w:t>元/m；工程物探费综合包干单价投标报价应不高于</w:t>
            </w:r>
            <w:r>
              <w:rPr>
                <w:rFonts w:ascii="宋体" w:hAnsi="宋体" w:cs="宋体"/>
                <w:color w:val="000000" w:themeColor="text1"/>
                <w:szCs w:val="21"/>
                <w:highlight w:val="none"/>
                <w:u w:val="single"/>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元/㎡；抽水试验综合包干单价投标报价应不高于</w:t>
            </w:r>
            <w:r>
              <w:rPr>
                <w:rFonts w:ascii="宋体" w:hAnsi="宋体" w:cs="宋体"/>
                <w:color w:val="000000" w:themeColor="text1"/>
                <w:szCs w:val="21"/>
                <w:highlight w:val="none"/>
                <w:u w:val="single"/>
                <w14:textFill>
                  <w14:solidFill>
                    <w14:schemeClr w14:val="tx1"/>
                  </w14:solidFill>
                </w14:textFill>
              </w:rPr>
              <w:t>10000</w:t>
            </w:r>
            <w:r>
              <w:rPr>
                <w:rFonts w:hint="eastAsia" w:ascii="宋体" w:hAnsi="宋体" w:cs="宋体"/>
                <w:color w:val="000000" w:themeColor="text1"/>
                <w:szCs w:val="21"/>
                <w:highlight w:val="none"/>
                <w:u w:val="single"/>
                <w14:textFill>
                  <w14:solidFill>
                    <w14:schemeClr w14:val="tx1"/>
                  </w14:solidFill>
                </w14:textFill>
              </w:rPr>
              <w:t>元/孔；剪切波速综合包干单价投标报价应不高于</w:t>
            </w:r>
            <w:r>
              <w:rPr>
                <w:rFonts w:hint="eastAsia" w:ascii="宋体" w:hAnsi="宋体" w:cs="宋体"/>
                <w:color w:val="000000" w:themeColor="text1"/>
                <w:szCs w:val="21"/>
                <w:highlight w:val="none"/>
                <w:u w:val="single"/>
                <w:lang w:val="en-US" w:eastAsia="zh-CN"/>
                <w14:textFill>
                  <w14:solidFill>
                    <w14:schemeClr w14:val="tx1"/>
                  </w14:solidFill>
                </w14:textFill>
              </w:rPr>
              <w:t>2500</w:t>
            </w:r>
            <w:r>
              <w:rPr>
                <w:rFonts w:hint="eastAsia" w:ascii="宋体" w:hAnsi="宋体" w:cs="宋体"/>
                <w:color w:val="000000" w:themeColor="text1"/>
                <w:szCs w:val="21"/>
                <w:highlight w:val="none"/>
                <w:u w:val="single"/>
                <w14:textFill>
                  <w14:solidFill>
                    <w14:schemeClr w14:val="tx1"/>
                  </w14:solidFill>
                </w14:textFill>
              </w:rPr>
              <w:t>元/个；土壤氡浓度测试综合包干单价投标报价应不高于</w:t>
            </w:r>
            <w:r>
              <w:rPr>
                <w:rFonts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u w:val="single"/>
                <w14:textFill>
                  <w14:solidFill>
                    <w14:schemeClr w14:val="tx1"/>
                  </w14:solidFill>
                </w14:textFill>
              </w:rPr>
              <w:t>元/点；噪声测试综合包干单价投标报价应不高于</w:t>
            </w:r>
            <w:r>
              <w:rPr>
                <w:rFonts w:ascii="宋体" w:hAnsi="宋体" w:cs="宋体"/>
                <w:color w:val="000000" w:themeColor="text1"/>
                <w:szCs w:val="21"/>
                <w:highlight w:val="none"/>
                <w:u w:val="single"/>
                <w14:textFill>
                  <w14:solidFill>
                    <w14:schemeClr w14:val="tx1"/>
                  </w14:solidFill>
                </w14:textFill>
              </w:rPr>
              <w:t>3000</w:t>
            </w:r>
            <w:r>
              <w:rPr>
                <w:rFonts w:hint="eastAsia" w:ascii="宋体" w:hAnsi="宋体" w:cs="宋体"/>
                <w:color w:val="000000" w:themeColor="text1"/>
                <w:szCs w:val="21"/>
                <w:highlight w:val="none"/>
                <w:u w:val="single"/>
                <w14:textFill>
                  <w14:solidFill>
                    <w14:schemeClr w14:val="tx1"/>
                  </w14:solidFill>
                </w14:textFill>
              </w:rPr>
              <w:t>元/项</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CT剖面综合包干单价投标报价应不高于</w:t>
            </w:r>
            <w:r>
              <w:rPr>
                <w:rFonts w:hint="eastAsia" w:ascii="宋体" w:hAnsi="宋体" w:cs="宋体"/>
                <w:color w:val="000000" w:themeColor="text1"/>
                <w:szCs w:val="21"/>
                <w:highlight w:val="none"/>
                <w:u w:val="single"/>
                <w:lang w:eastAsia="zh-CN"/>
                <w14:textFill>
                  <w14:solidFill>
                    <w14:schemeClr w14:val="tx1"/>
                  </w14:solidFill>
                </w14:textFill>
              </w:rPr>
              <w:t>3</w:t>
            </w:r>
            <w:r>
              <w:rPr>
                <w:rFonts w:hint="eastAsia" w:ascii="宋体" w:hAnsi="宋体" w:cs="宋体"/>
                <w:color w:val="000000" w:themeColor="text1"/>
                <w:szCs w:val="21"/>
                <w:highlight w:val="none"/>
                <w:u w:val="single"/>
                <w:lang w:val="en-US" w:eastAsia="zh-CN"/>
                <w14:textFill>
                  <w14:solidFill>
                    <w14:schemeClr w14:val="tx1"/>
                  </w14:solidFill>
                </w14:textFill>
              </w:rPr>
              <w:t>3000</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cs="宋体"/>
                <w:color w:val="000000" w:themeColor="text1"/>
                <w:szCs w:val="21"/>
                <w:highlight w:val="none"/>
                <w:u w:val="single"/>
                <w:lang w:eastAsia="zh-CN"/>
                <w14:textFill>
                  <w14:solidFill>
                    <w14:schemeClr w14:val="tx1"/>
                  </w14:solidFill>
                </w14:textFill>
              </w:rPr>
              <w:t>个；</w:t>
            </w:r>
            <w:r>
              <w:rPr>
                <w:rFonts w:hint="eastAsia" w:ascii="宋体" w:hAnsi="宋体" w:cs="宋体"/>
                <w:color w:val="000000" w:themeColor="text1"/>
                <w:szCs w:val="21"/>
                <w:highlight w:val="none"/>
                <w:u w:val="single"/>
                <w14:textFill>
                  <w14:solidFill>
                    <w14:schemeClr w14:val="tx1"/>
                  </w14:solidFill>
                </w14:textFill>
              </w:rPr>
              <w:t>PVC下管综合包干单价投标报价应不高于35元/m</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管波探测综合包</w:t>
            </w:r>
            <w:r>
              <w:rPr>
                <w:rFonts w:hint="eastAsia" w:ascii="宋体" w:hAnsi="宋体" w:cs="宋体"/>
                <w:color w:val="000000" w:themeColor="text1"/>
                <w:szCs w:val="21"/>
                <w:highlight w:val="none"/>
                <w:u w:val="single"/>
                <w:lang w:val="en-US" w:eastAsia="zh-CN"/>
                <w14:textFill>
                  <w14:solidFill>
                    <w14:schemeClr w14:val="tx1"/>
                  </w14:solidFill>
                </w14:textFill>
              </w:rPr>
              <w:t>干</w:t>
            </w:r>
            <w:r>
              <w:rPr>
                <w:rFonts w:hint="eastAsia" w:ascii="宋体" w:hAnsi="宋体" w:cs="宋体"/>
                <w:color w:val="000000" w:themeColor="text1"/>
                <w:szCs w:val="21"/>
                <w:highlight w:val="none"/>
                <w:u w:val="single"/>
                <w14:textFill>
                  <w14:solidFill>
                    <w14:schemeClr w14:val="tx1"/>
                  </w14:solidFill>
                </w14:textFill>
              </w:rPr>
              <w:t>单价投标报价应不高于 2300元/孔。</w:t>
            </w:r>
          </w:p>
          <w:p>
            <w:pPr>
              <w:widowControl/>
              <w:shd w:val="clear"/>
              <w:tabs>
                <w:tab w:val="left" w:pos="105"/>
              </w:tabs>
              <w:adjustRightInd w:val="0"/>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时投标人除填报投标报价外，需同时填报投标下浮率，投标人未按要求报价或投标报价（含投标总报价、勘察费报价及勘察各单价报价、设计费报价、工程费报价）超过上述相应最高投标限价的为无效标。</w:t>
            </w:r>
          </w:p>
        </w:tc>
      </w:tr>
      <w:tr>
        <w:tblPrEx>
          <w:tblCellMar>
            <w:top w:w="0" w:type="dxa"/>
            <w:left w:w="108" w:type="dxa"/>
            <w:bottom w:w="0" w:type="dxa"/>
            <w:right w:w="108" w:type="dxa"/>
          </w:tblCellMar>
        </w:tblPrEx>
        <w:trPr>
          <w:trHeight w:val="32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5</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投标报价的其他要求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由勘察费投标报价、设计费投标报价和工程费投标报价组成。本项目勘察、设计、施工投标报价同时采用下浮率报价和数值报价方式，最终按实结算。报价下浮率以百分比计，精确到小数点后2位，投标人对每一分项（如勘察、设计、施工）只能报一个投标数值报价和下浮率报价，数值总报价以万元计，如下浮率报价和数值报价不一致时，以下浮率报价为准。</w:t>
            </w:r>
          </w:p>
          <w:p>
            <w:pPr>
              <w:shd w:val="clea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（1）勘察费：投标报价不得高于勘察费最高投标限价及相应的含税综合包干单价投标限价，由投标人根据招标文件要求以及企业自身情况填报投标报价和投标下浮率；</w:t>
            </w:r>
            <w:r>
              <w:rPr>
                <w:rFonts w:hint="eastAsia" w:ascii="宋体" w:hAnsi="宋体" w:cs="宋体"/>
                <w:b/>
                <w:bCs/>
                <w:color w:val="000000" w:themeColor="text1"/>
                <w:szCs w:val="21"/>
                <w:highlight w:val="none"/>
                <w14:textFill>
                  <w14:solidFill>
                    <w14:schemeClr w14:val="tx1"/>
                  </w14:solidFill>
                </w14:textFill>
              </w:rPr>
              <w:t>结算按照合同约定的方法计算。</w:t>
            </w:r>
          </w:p>
          <w:p>
            <w:pPr>
              <w:shd w:val="clea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（2）设计费：投标报价不得高于设计费最高投标限价，由投标人根据招标文件要求以及企业自身情况填报投标报价和</w:t>
            </w:r>
            <w:r>
              <w:rPr>
                <w:rFonts w:hint="default" w:ascii="宋体" w:hAnsi="宋体" w:cs="宋体"/>
                <w:color w:val="000000" w:themeColor="text1"/>
                <w:szCs w:val="21"/>
                <w:highlight w:val="none"/>
                <w:lang w:val="en-US"/>
                <w14:textFill>
                  <w14:solidFill>
                    <w14:schemeClr w14:val="tx1"/>
                  </w14:solidFill>
                </w14:textFill>
              </w:rPr>
              <w:t>投标下浮率</w:t>
            </w:r>
            <w:r>
              <w:rPr>
                <w:rFonts w:hint="eastAsia" w:ascii="宋体" w:hAnsi="宋体" w:cs="宋体"/>
                <w:b/>
                <w:bCs/>
                <w:color w:val="000000" w:themeColor="text1"/>
                <w:szCs w:val="21"/>
                <w:highlight w:val="none"/>
                <w14:textFill>
                  <w14:solidFill>
                    <w14:schemeClr w14:val="tx1"/>
                  </w14:solidFill>
                </w14:textFill>
              </w:rPr>
              <w:t>；结算按照合同约定的方法计算。</w:t>
            </w:r>
          </w:p>
          <w:p>
            <w:pPr>
              <w:shd w:val="clear"/>
              <w:spacing w:line="360" w:lineRule="auto"/>
              <w:rPr>
                <w:rFonts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（3）工程费：投标报价不得高于工程费最高投标限价，由投标人根据招标文件要求以及企业自身情况填报投标报价和投标下浮率；</w:t>
            </w:r>
            <w:r>
              <w:rPr>
                <w:rFonts w:hint="eastAsia" w:ascii="宋体" w:hAnsi="宋体" w:cs="宋体"/>
                <w:b/>
                <w:bCs/>
                <w:color w:val="000000" w:themeColor="text1"/>
                <w:szCs w:val="21"/>
                <w:highlight w:val="none"/>
                <w14:textFill>
                  <w14:solidFill>
                    <w14:schemeClr w14:val="tx1"/>
                  </w14:solidFill>
                </w14:textFill>
              </w:rPr>
              <w:t>结算按照合同约定的方法计算。</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投标有效期</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120</w:t>
            </w:r>
            <w:r>
              <w:rPr>
                <w:rFonts w:hint="eastAsia" w:ascii="宋体" w:hAnsi="宋体" w:cs="宋体"/>
                <w:color w:val="000000" w:themeColor="text1"/>
                <w:szCs w:val="21"/>
                <w:highlight w:val="none"/>
                <w14:textFill>
                  <w14:solidFill>
                    <w14:schemeClr w14:val="tx1"/>
                  </w14:solidFill>
                </w14:textFill>
              </w:rPr>
              <w:t>日历天（从投标截止之日计起）</w:t>
            </w:r>
          </w:p>
        </w:tc>
      </w:tr>
      <w:tr>
        <w:tblPrEx>
          <w:tblCellMar>
            <w:top w:w="0" w:type="dxa"/>
            <w:left w:w="108" w:type="dxa"/>
            <w:bottom w:w="0" w:type="dxa"/>
            <w:right w:w="108" w:type="dxa"/>
          </w:tblCellMar>
        </w:tblPrEx>
        <w:trPr>
          <w:trHeight w:val="613"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3.4</w:t>
            </w:r>
            <w:r>
              <w:rPr>
                <w:rFonts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投标保证金</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是否要求投标人递交投标保证金：</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□不要求递交投标保证金。</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■要求递交投标保证金。</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投标保证金的金额：</w:t>
            </w:r>
            <w:r>
              <w:rPr>
                <w:rFonts w:hint="eastAsia"/>
                <w:color w:val="000000" w:themeColor="text1"/>
                <w:highlight w:val="none"/>
                <w:u w:val="single"/>
                <w14:textFill>
                  <w14:solidFill>
                    <w14:schemeClr w14:val="tx1"/>
                  </w14:solidFill>
                </w14:textFill>
              </w:rPr>
              <w:t>50</w:t>
            </w:r>
            <w:r>
              <w:rPr>
                <w:rFonts w:hint="eastAsia" w:ascii="宋体" w:hAnsi="宋体"/>
                <w:color w:val="000000" w:themeColor="text1"/>
                <w:highlight w:val="none"/>
                <w14:textFill>
                  <w14:solidFill>
                    <w14:schemeClr w14:val="tx1"/>
                  </w14:solidFill>
                </w14:textFill>
              </w:rPr>
              <w:t>万元</w:t>
            </w:r>
            <w:r>
              <w:rPr>
                <w:rFonts w:hint="eastAsia"/>
                <w:color w:val="000000" w:themeColor="text1"/>
                <w:highlight w:val="none"/>
                <w14:textFill>
                  <w14:solidFill>
                    <w14:schemeClr w14:val="tx1"/>
                  </w14:solidFill>
                </w14:textFill>
              </w:rPr>
              <w:t xml:space="preserve"> </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投标保证金有效期：与投标有效期一致。</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具体要求：</w:t>
            </w:r>
          </w:p>
          <w:p>
            <w:pPr>
              <w:shd w:val="clea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、收取方式：</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）如采用现金、支票或者汇票形式提交的，由广州交易集团有限公司（广州公共资源交易中心）代收，投标保证金须从投标人基本账户递交；</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收款单位：广州交易集团有限公司</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银行账号：</w:t>
            </w:r>
            <w:r>
              <w:rPr>
                <w:rFonts w:hint="eastAsia"/>
                <w:color w:val="000000" w:themeColor="text1"/>
                <w:highlight w:val="none"/>
                <w14:textFill>
                  <w14:solidFill>
                    <w14:schemeClr w14:val="tx1"/>
                  </w14:solidFill>
                </w14:textFill>
              </w:rPr>
              <w:t>44001583404059333333</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开户银行：中国建设银行天润路支行</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具体操作要求详见广州交易集团有限公司（广州公共资源交易中心）有关指引，递交事宜请自行咨询交易中心；请各投标人在投标文件递交截止时间前按上述金额递交至广州交易集团有限公司（广州公共资源交易中心），款项到账后，投标人在完成投标登记后至投标截止时间前，可登陆交易中心网站，在基本户投标保证金栏目内将上述到账资金转到对应的投标项目，完成保证金缴纳。保证金到账情况以开标时广州交易集团有限公司（广州公共资源交易中心）数据库查询的信息为准。</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单位）电子印章。如投标人选择在开标前提交纸质原件的，可在投标截止时间前单独密封递交至开标室（时间及地点同递交备用投标文件电子光盘的时间及地点）。</w:t>
            </w:r>
          </w:p>
          <w:p>
            <w:pPr>
              <w:shd w:val="clear"/>
              <w:spacing w:line="360" w:lineRule="auto"/>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）采用电子形式的保函、担保或保证保险提交投标保证金的，开具及递交以广州交易集团有限公司（广州公共资源交易中心）的相关操作指引为准。</w:t>
            </w:r>
          </w:p>
          <w:p>
            <w:pPr>
              <w:shd w:val="clea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（4）投标保证金有效期应当与投标有效期一致。</w:t>
            </w:r>
          </w:p>
          <w:p>
            <w:pPr>
              <w:shd w:val="clear"/>
              <w:spacing w:line="360" w:lineRule="auto"/>
              <w:rPr>
                <w:color w:val="000000" w:themeColor="text1"/>
                <w:highlight w:val="none"/>
                <w:lang w:bidi="ar"/>
                <w14:textFill>
                  <w14:solidFill>
                    <w14:schemeClr w14:val="tx1"/>
                  </w14:solidFill>
                </w14:textFill>
              </w:rPr>
            </w:pPr>
            <w:r>
              <w:rPr>
                <w:rFonts w:hint="eastAsia" w:ascii="宋体" w:hAnsi="宋体"/>
                <w:color w:val="000000" w:themeColor="text1"/>
                <w:highlight w:val="none"/>
                <w14:textFill>
                  <w14:solidFill>
                    <w14:schemeClr w14:val="tx1"/>
                  </w14:solidFill>
                </w14:textFill>
              </w:rPr>
              <w:t>（5）如联合体投标，投标保证金由</w:t>
            </w:r>
            <w:r>
              <w:rPr>
                <w:rFonts w:hint="eastAsia" w:ascii="宋体" w:hAnsi="宋体"/>
                <w:b/>
                <w:bCs/>
                <w:color w:val="000000" w:themeColor="text1"/>
                <w:highlight w:val="none"/>
                <w14:textFill>
                  <w14:solidFill>
                    <w14:schemeClr w14:val="tx1"/>
                  </w14:solidFill>
                </w14:textFill>
              </w:rPr>
              <w:t>联合体牵头单位</w:t>
            </w:r>
            <w:r>
              <w:rPr>
                <w:rFonts w:hint="eastAsia" w:ascii="宋体" w:hAnsi="宋体"/>
                <w:color w:val="000000" w:themeColor="text1"/>
                <w:highlight w:val="none"/>
                <w14:textFill>
                  <w14:solidFill>
                    <w14:schemeClr w14:val="tx1"/>
                  </w14:solidFill>
                </w14:textFill>
              </w:rPr>
              <w:t>缴纳。</w:t>
            </w:r>
          </w:p>
        </w:tc>
      </w:tr>
      <w:tr>
        <w:tblPrEx>
          <w:tblCellMar>
            <w:top w:w="0" w:type="dxa"/>
            <w:left w:w="108" w:type="dxa"/>
            <w:bottom w:w="0" w:type="dxa"/>
            <w:right w:w="108" w:type="dxa"/>
          </w:tblCellMar>
        </w:tblPrEx>
        <w:trPr>
          <w:trHeight w:val="66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3.6</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是否允许递交备选投标方案</w:t>
            </w:r>
          </w:p>
        </w:tc>
        <w:tc>
          <w:tcPr>
            <w:tcW w:w="6195" w:type="dxa"/>
            <w:tcBorders>
              <w:top w:val="single" w:color="000000" w:sz="4" w:space="0"/>
              <w:left w:val="single" w:color="000000" w:sz="4" w:space="0"/>
              <w:bottom w:val="single" w:color="000000" w:sz="4" w:space="0"/>
              <w:right w:val="single" w:color="000000" w:sz="4" w:space="0"/>
            </w:tcBorders>
            <w:vAlign w:val="center"/>
          </w:tcPr>
          <w:p>
            <w:pPr>
              <w:pStyle w:val="12"/>
              <w:shd w:val="clear"/>
              <w:spacing w:line="360" w:lineRule="auto"/>
              <w:rPr>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■不允许</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□允许</w:t>
            </w:r>
          </w:p>
        </w:tc>
      </w:tr>
      <w:tr>
        <w:tblPrEx>
          <w:tblCellMar>
            <w:top w:w="0" w:type="dxa"/>
            <w:left w:w="108" w:type="dxa"/>
            <w:bottom w:w="0" w:type="dxa"/>
            <w:right w:w="108" w:type="dxa"/>
          </w:tblCellMar>
        </w:tblPrEx>
        <w:trPr>
          <w:trHeight w:val="12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w:t>
            </w:r>
            <w:r>
              <w:rPr>
                <w:rFonts w:ascii="宋体" w:hAnsi="宋体" w:cs="宋体"/>
                <w:color w:val="000000" w:themeColor="text1"/>
                <w:kern w:val="1"/>
                <w:szCs w:val="21"/>
                <w:highlight w:val="none"/>
                <w14:textFill>
                  <w14:solidFill>
                    <w14:schemeClr w14:val="tx1"/>
                  </w14:solidFill>
                </w14:textFill>
              </w:rPr>
              <w:t>3</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文件盖章签署</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除“暗标文件”外，所有其他投标文件的所有证书证件、证明文件及招标文件所附格式要求盖章处需加盖电子印章，在招标文件所附格式规定签名位置由法定代表人或其授权代表在线下完成后扫描上传，其余可不加盖电子印章或签名；</w:t>
            </w:r>
            <w:r>
              <w:rPr>
                <w:rFonts w:hint="eastAsia" w:ascii="宋体" w:hAnsi="宋体" w:cs="宋体"/>
                <w:bCs/>
                <w:color w:val="000000" w:themeColor="text1"/>
                <w:szCs w:val="21"/>
                <w:highlight w:val="non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tc>
      </w:tr>
      <w:tr>
        <w:tblPrEx>
          <w:tblCellMar>
            <w:top w:w="0" w:type="dxa"/>
            <w:left w:w="108" w:type="dxa"/>
            <w:bottom w:w="0" w:type="dxa"/>
            <w:right w:w="108" w:type="dxa"/>
          </w:tblCellMar>
        </w:tblPrEx>
        <w:trPr>
          <w:trHeight w:val="145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ascii="宋体" w:hAnsi="宋体" w:cs="宋体"/>
                <w:color w:val="000000" w:themeColor="text1"/>
                <w:kern w:val="1"/>
                <w:szCs w:val="21"/>
                <w:highlight w:val="none"/>
                <w14:textFill>
                  <w14:solidFill>
                    <w14:schemeClr w14:val="tx1"/>
                  </w14:solidFill>
                </w14:textFill>
              </w:rPr>
              <w:t>.1.1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投标文件加密要求</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1、网上递交的电子投标文件须进行加密。具体操作详见广州交易集团有限公司（广州公共资源交易中心）交易平台相关操作指南。</w:t>
            </w:r>
          </w:p>
          <w:p>
            <w:pPr>
              <w:shd w:val="clear"/>
              <w:spacing w:line="360" w:lineRule="auto"/>
              <w:rPr>
                <w:color w:val="000000" w:themeColor="text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2、未按要求加密的投标文件，招标人将予以拒收。</w:t>
            </w:r>
          </w:p>
        </w:tc>
      </w:tr>
      <w:tr>
        <w:tblPrEx>
          <w:tblCellMar>
            <w:top w:w="0" w:type="dxa"/>
            <w:left w:w="108" w:type="dxa"/>
            <w:bottom w:w="0" w:type="dxa"/>
            <w:right w:w="108" w:type="dxa"/>
          </w:tblCellMar>
        </w:tblPrEx>
        <w:trPr>
          <w:trHeight w:val="396"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w:t>
            </w:r>
            <w:r>
              <w:rPr>
                <w:rFonts w:ascii="宋体" w:hAnsi="宋体" w:cs="宋体"/>
                <w:color w:val="000000" w:themeColor="text1"/>
                <w:kern w:val="1"/>
                <w:szCs w:val="21"/>
                <w:highlight w:val="none"/>
                <w14:textFill>
                  <w14:solidFill>
                    <w14:schemeClr w14:val="tx1"/>
                  </w14:solidFill>
                </w14:textFill>
              </w:rPr>
              <w:t>.1.2</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封套上应载明的信息</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如有提交备用电子投标文件光盘或</w:t>
            </w:r>
            <w:r>
              <w:rPr>
                <w:rFonts w:ascii="宋体" w:hAnsi="宋体" w:cs="宋体"/>
                <w:color w:val="000000" w:themeColor="text1"/>
                <w:szCs w:val="21"/>
                <w:highlight w:val="none"/>
                <w14:textFill>
                  <w14:solidFill>
                    <w14:schemeClr w14:val="tx1"/>
                  </w14:solidFill>
                </w14:textFill>
              </w:rPr>
              <w:t>u盘，封套上应注明如下信息：</w:t>
            </w:r>
          </w:p>
          <w:p>
            <w:pPr>
              <w:shd w:val="clea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招标人名称：</w:t>
            </w:r>
            <w:r>
              <w:rPr>
                <w:rFonts w:ascii="宋体" w:hAnsi="宋体" w:cs="宋体"/>
                <w:color w:val="000000" w:themeColor="text1"/>
                <w:szCs w:val="21"/>
                <w:highlight w:val="none"/>
                <w:u w:val="single"/>
                <w14:textFill>
                  <w14:solidFill>
                    <w14:schemeClr w14:val="tx1"/>
                  </w14:solidFill>
                </w14:textFill>
              </w:rPr>
              <w:t xml:space="preserve">               </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招标人地址：</w:t>
            </w:r>
            <w:r>
              <w:rPr>
                <w:rFonts w:ascii="宋体" w:hAnsi="宋体" w:cs="宋体"/>
                <w:color w:val="000000" w:themeColor="text1"/>
                <w:szCs w:val="21"/>
                <w:highlight w:val="none"/>
                <w:u w:val="single"/>
                <w14:textFill>
                  <w14:solidFill>
                    <w14:schemeClr w14:val="tx1"/>
                  </w14:solidFill>
                </w14:textFill>
              </w:rPr>
              <w:t xml:space="preserve">               </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招标项目投标文件</w:t>
            </w:r>
          </w:p>
          <w:p>
            <w:pPr>
              <w:shd w:val="clea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招标项目编号：</w:t>
            </w:r>
            <w:r>
              <w:rPr>
                <w:rFonts w:ascii="宋体" w:hAnsi="宋体" w:cs="宋体"/>
                <w:color w:val="000000" w:themeColor="text1"/>
                <w:szCs w:val="21"/>
                <w:highlight w:val="none"/>
                <w:u w:val="single"/>
                <w14:textFill>
                  <w14:solidFill>
                    <w14:schemeClr w14:val="tx1"/>
                  </w14:solidFill>
                </w14:textFill>
              </w:rPr>
              <w:t xml:space="preserve">        </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分前不得开启（填入开标时间）</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4.2.</w:t>
            </w:r>
            <w:r>
              <w:rPr>
                <w:rFonts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投标截止时间</w:t>
            </w:r>
          </w:p>
        </w:tc>
        <w:tc>
          <w:tcPr>
            <w:tcW w:w="619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r>
              <w:rPr>
                <w:rFonts w:hint="eastAsia" w:ascii="宋体" w:hAnsi="宋体" w:cs="宋体"/>
                <w:color w:val="000000" w:themeColor="text1"/>
                <w:szCs w:val="21"/>
                <w:highlight w:val="none"/>
                <w:u w:val="single"/>
                <w14:textFill>
                  <w14:solidFill>
                    <w14:schemeClr w14:val="tx1"/>
                  </w14:solidFill>
                </w14:textFill>
              </w:rPr>
              <w:t>20</w:t>
            </w:r>
            <w:r>
              <w:rPr>
                <w:rFonts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具体时间可以到广州交易集团有限公司（广州公共资源交易中心）网站的项目查询(日程安排、答疑纪要)中输入本项目编号或项目名称进行查询。</w:t>
            </w:r>
          </w:p>
        </w:tc>
      </w:tr>
      <w:tr>
        <w:tblPrEx>
          <w:tblCellMar>
            <w:top w:w="0" w:type="dxa"/>
            <w:left w:w="108" w:type="dxa"/>
            <w:bottom w:w="0" w:type="dxa"/>
            <w:right w:w="108" w:type="dxa"/>
          </w:tblCellMar>
        </w:tblPrEx>
        <w:trPr>
          <w:trHeight w:val="447" w:hRule="atLeast"/>
          <w:jc w:val="center"/>
        </w:trPr>
        <w:tc>
          <w:tcPr>
            <w:tcW w:w="884" w:type="dxa"/>
            <w:tcBorders>
              <w:top w:val="single" w:color="auto" w:sz="4" w:space="0"/>
              <w:left w:val="single" w:color="auto" w:sz="4" w:space="0"/>
              <w:bottom w:val="single" w:color="auto"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2513" w:type="dxa"/>
            <w:tcBorders>
              <w:top w:val="single" w:color="auto" w:sz="4" w:space="0"/>
              <w:left w:val="single" w:color="000000" w:sz="4" w:space="0"/>
              <w:bottom w:val="single" w:color="auto"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开标时间和地点</w:t>
            </w:r>
          </w:p>
        </w:tc>
        <w:tc>
          <w:tcPr>
            <w:tcW w:w="6195" w:type="dxa"/>
            <w:tcBorders>
              <w:top w:val="single" w:color="auto" w:sz="4" w:space="0"/>
              <w:left w:val="single" w:color="000000" w:sz="4" w:space="0"/>
              <w:bottom w:val="single" w:color="auto" w:sz="4" w:space="0"/>
              <w:right w:val="single" w:color="auto"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招标人在本章第</w:t>
            </w:r>
            <w:r>
              <w:rPr>
                <w:rFonts w:ascii="宋体" w:hAnsi="宋体" w:cs="宋体"/>
                <w:color w:val="000000" w:themeColor="text1"/>
                <w:szCs w:val="21"/>
                <w:highlight w:val="none"/>
                <w14:textFill>
                  <w14:solidFill>
                    <w14:schemeClr w14:val="tx1"/>
                  </w14:solidFill>
                </w14:textFill>
              </w:rPr>
              <w:t xml:space="preserve"> 4.2.1</w:t>
            </w:r>
            <w:r>
              <w:rPr>
                <w:rFonts w:hint="eastAsia" w:ascii="宋体" w:hAnsi="宋体" w:cs="宋体"/>
                <w:color w:val="000000" w:themeColor="text1"/>
                <w:szCs w:val="21"/>
                <w:highlight w:val="none"/>
                <w14:textFill>
                  <w14:solidFill>
                    <w14:schemeClr w14:val="tx1"/>
                  </w14:solidFill>
                </w14:textFill>
              </w:rPr>
              <w:t>项规定的投标截止时间（开标时间）</w:t>
            </w:r>
            <w:r>
              <w:rPr>
                <w:rFonts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14:textFill>
                  <w14:solidFill>
                    <w14:schemeClr w14:val="tx1"/>
                  </w14:solidFill>
                </w14:textFill>
              </w:rPr>
              <w:t>广州交易集团有限公司（广州公共资源交易中心）</w:t>
            </w:r>
            <w:r>
              <w:rPr>
                <w:rFonts w:ascii="宋体" w:hAnsi="宋体" w:cs="宋体"/>
                <w:color w:val="000000" w:themeColor="text1"/>
                <w:szCs w:val="21"/>
                <w:highlight w:val="none"/>
                <w:u w:val="single"/>
                <w14:textFill>
                  <w14:solidFill>
                    <w14:schemeClr w14:val="tx1"/>
                  </w14:solidFill>
                </w14:textFill>
              </w:rPr>
              <w:t xml:space="preserve">第   </w:t>
            </w:r>
            <w:r>
              <w:rPr>
                <w:rFonts w:hint="eastAsia" w:ascii="宋体" w:hAnsi="宋体" w:cs="宋体"/>
                <w:color w:val="000000" w:themeColor="text1"/>
                <w:szCs w:val="21"/>
                <w:highlight w:val="none"/>
                <w:u w:val="single"/>
                <w14:textFill>
                  <w14:solidFill>
                    <w14:schemeClr w14:val="tx1"/>
                  </w14:solidFill>
                </w14:textFill>
              </w:rPr>
              <w:t>开标室</w:t>
            </w:r>
            <w:r>
              <w:rPr>
                <w:rFonts w:hint="eastAsia" w:ascii="宋体" w:hAnsi="宋体" w:cs="宋体"/>
                <w:color w:val="000000" w:themeColor="text1"/>
                <w:szCs w:val="21"/>
                <w:highlight w:val="none"/>
                <w14:textFill>
                  <w14:solidFill>
                    <w14:schemeClr w14:val="tx1"/>
                  </w14:solidFill>
                </w14:textFill>
              </w:rPr>
              <w:t>通过广州交易集团有限公司（广州公共资源交易中心）交易平台公开开标。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递交备用电子投标文件时间：</w:t>
            </w:r>
            <w:r>
              <w:rPr>
                <w:rFonts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14:textFill>
                  <w14:solidFill>
                    <w14:schemeClr w14:val="tx1"/>
                  </w14:solidFill>
                </w14:textFill>
              </w:rPr>
              <w:t>5年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日</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时</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分至</w:t>
            </w:r>
            <w:r>
              <w:rPr>
                <w:rFonts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14:textFill>
                  <w14:solidFill>
                    <w14:schemeClr w14:val="tx1"/>
                  </w14:solidFill>
                </w14:textFill>
              </w:rPr>
              <w:t>5年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日</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时</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；递交地点：同开标地点。</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具体时间、地点可以到广州交易集团有限公司（广州公共资源交易中心）网站的项目查询</w:t>
            </w:r>
            <w:r>
              <w:rPr>
                <w:rFonts w:ascii="宋体" w:hAnsi="宋体" w:cs="宋体"/>
                <w:color w:val="000000" w:themeColor="text1"/>
                <w:szCs w:val="21"/>
                <w:highlight w:val="none"/>
                <w14:textFill>
                  <w14:solidFill>
                    <w14:schemeClr w14:val="tx1"/>
                  </w14:solidFill>
                </w14:textFill>
              </w:rPr>
              <w:t>(日程安排、答疑纪要)中输入本项目编号或项目名称进行查询。</w:t>
            </w:r>
          </w:p>
        </w:tc>
      </w:tr>
      <w:tr>
        <w:tblPrEx>
          <w:tblCellMar>
            <w:top w:w="0" w:type="dxa"/>
            <w:left w:w="108" w:type="dxa"/>
            <w:bottom w:w="0" w:type="dxa"/>
            <w:right w:w="108" w:type="dxa"/>
          </w:tblCellMar>
        </w:tblPrEx>
        <w:trPr>
          <w:trHeight w:val="552" w:hRule="atLeast"/>
          <w:jc w:val="center"/>
        </w:trPr>
        <w:tc>
          <w:tcPr>
            <w:tcW w:w="884" w:type="dxa"/>
            <w:tcBorders>
              <w:top w:val="single" w:color="auto"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p>
        </w:tc>
        <w:tc>
          <w:tcPr>
            <w:tcW w:w="2513" w:type="dxa"/>
            <w:tcBorders>
              <w:top w:val="single" w:color="auto"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评标委员会的组建</w:t>
            </w:r>
          </w:p>
        </w:tc>
        <w:tc>
          <w:tcPr>
            <w:tcW w:w="6195" w:type="dxa"/>
            <w:tcBorders>
              <w:top w:val="single" w:color="auto"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评标由招标人在开标前依法组建的评标委员会负责，分勘察设计评审组、综合评审组，资格评审由综合评审组负责评审。</w:t>
            </w:r>
          </w:p>
          <w:p>
            <w:pPr>
              <w:pStyle w:val="2"/>
              <w:shd w:val="clear"/>
              <w:spacing w:line="360" w:lineRule="auto"/>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备注：招标人可以根据项目需要，先随机抽取所需数量两倍或以上的评标专家至评标场所后，再随机抽取参评专家。未被抽中的专家应服从招标人和交易服务机构的安排，不得干扰评标工作。</w:t>
            </w:r>
          </w:p>
        </w:tc>
      </w:tr>
      <w:tr>
        <w:tblPrEx>
          <w:tblCellMar>
            <w:top w:w="0" w:type="dxa"/>
            <w:left w:w="108" w:type="dxa"/>
            <w:bottom w:w="0" w:type="dxa"/>
            <w:right w:w="108" w:type="dxa"/>
          </w:tblCellMar>
        </w:tblPrEx>
        <w:trPr>
          <w:trHeight w:val="55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w:t>
            </w:r>
            <w:r>
              <w:rPr>
                <w:rFonts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是否授权评标委员会确定中标人</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■否，推荐的中标候选人数：</w:t>
            </w:r>
            <w:r>
              <w:rPr>
                <w:rFonts w:hint="eastAsia" w:ascii="宋体" w:hAnsi="宋体" w:cs="宋体"/>
                <w:color w:val="000000" w:themeColor="text1"/>
                <w:szCs w:val="21"/>
                <w:highlight w:val="none"/>
                <w:u w:val="single"/>
                <w14:textFill>
                  <w14:solidFill>
                    <w14:schemeClr w14:val="tx1"/>
                  </w14:solidFill>
                </w14:textFill>
              </w:rPr>
              <w:t>3人</w:t>
            </w:r>
          </w:p>
        </w:tc>
      </w:tr>
      <w:tr>
        <w:tblPrEx>
          <w:tblCellMar>
            <w:top w:w="0" w:type="dxa"/>
            <w:left w:w="108" w:type="dxa"/>
            <w:bottom w:w="0" w:type="dxa"/>
            <w:right w:w="108" w:type="dxa"/>
          </w:tblCellMar>
        </w:tblPrEx>
        <w:trPr>
          <w:trHeight w:val="692" w:hRule="atLeast"/>
          <w:jc w:val="center"/>
        </w:trPr>
        <w:tc>
          <w:tcPr>
            <w:tcW w:w="884" w:type="dxa"/>
            <w:tcBorders>
              <w:top w:val="single" w:color="000000" w:sz="4" w:space="0"/>
              <w:left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w:t>
            </w:r>
            <w:r>
              <w:rPr>
                <w:rFonts w:ascii="宋体" w:hAnsi="宋体" w:cs="宋体"/>
                <w:color w:val="000000" w:themeColor="text1"/>
                <w:kern w:val="1"/>
                <w:szCs w:val="21"/>
                <w:highlight w:val="none"/>
                <w14:textFill>
                  <w14:solidFill>
                    <w14:schemeClr w14:val="tx1"/>
                  </w14:solidFill>
                </w14:textFill>
              </w:rPr>
              <w:t>.1</w:t>
            </w:r>
          </w:p>
        </w:tc>
        <w:tc>
          <w:tcPr>
            <w:tcW w:w="2513" w:type="dxa"/>
            <w:tcBorders>
              <w:top w:val="single" w:color="000000" w:sz="4" w:space="0"/>
              <w:left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中标候选人公示媒介</w:t>
            </w:r>
          </w:p>
        </w:tc>
        <w:tc>
          <w:tcPr>
            <w:tcW w:w="6195" w:type="dxa"/>
            <w:tcBorders>
              <w:top w:val="single" w:color="000000" w:sz="4" w:space="0"/>
              <w:left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广州交易集团有限公司（广州公共资源交易中心）网站、中国招标投标公共服务平台、广东省招标投标监管网。</w:t>
            </w:r>
          </w:p>
          <w:p>
            <w:pPr>
              <w:widowControl/>
              <w:shd w:val="clear"/>
              <w:spacing w:line="360" w:lineRule="auto"/>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90"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7.4.1</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w:t>
            </w:r>
          </w:p>
        </w:tc>
        <w:tc>
          <w:tcPr>
            <w:tcW w:w="6195"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履约担保的形式：以合同约定为准。</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履约担保的金额：中标金额的10%，具体以合同约定为准。</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担保期限：按合同约定为准。</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9</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rPr>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建设工程质量检测单位：</w:t>
            </w:r>
          </w:p>
          <w:p>
            <w:pPr>
              <w:shd w:val="clear"/>
              <w:spacing w:line="360" w:lineRule="auto"/>
              <w:rPr>
                <w:rFonts w:ascii="Times New Roman" w:hAnsi="Times New Roman" w:cs="Times New Roman"/>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施工保修期限：不低于《建设工程质量管理条例》规定的标准，具体详见合同约定条款。</w:t>
            </w:r>
          </w:p>
        </w:tc>
      </w:tr>
      <w:tr>
        <w:tblPrEx>
          <w:tblCellMar>
            <w:top w:w="0" w:type="dxa"/>
            <w:left w:w="108" w:type="dxa"/>
            <w:bottom w:w="0" w:type="dxa"/>
            <w:right w:w="108" w:type="dxa"/>
          </w:tblCellMar>
        </w:tblPrEx>
        <w:trPr>
          <w:trHeight w:val="412"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在招标和合同实施期间，招标人要求投标人和承包人遵守最高的道德标准。</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1、对本条款的规定，特定义如下词汇：</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1）“腐败行为”是指在招标或合同执行期间，通过提供、给予、接受或索要任何有价值的东西，从而影响招标人有关人员工作的行为；</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欺诈行为”是指通过提供伪证影响招标或合同执行，从而损害招标人利益的行为；也包括投标人之间串通（在提交投标书之前或之后），人为地使招标过程失去竞争性，从而使招标人无法从公开的自由竞争中获得利益的行为。</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2、如果投标人被认定在本招标的竞争中有腐败或欺诈行为，则会被取消投标资格。</w:t>
            </w:r>
          </w:p>
        </w:tc>
      </w:tr>
      <w:tr>
        <w:tblPrEx>
          <w:tblCellMar>
            <w:top w:w="0" w:type="dxa"/>
            <w:left w:w="108" w:type="dxa"/>
            <w:bottom w:w="0" w:type="dxa"/>
            <w:right w:w="108" w:type="dxa"/>
          </w:tblCellMar>
        </w:tblPrEx>
        <w:trPr>
          <w:trHeight w:val="909"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9.4</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承包方式：包勘察、设计、包工、包料、包设备、包工期、包质量、包造价控制、包安全、包文明施工、包项目协调管理、包验收移交、包竣工资料收集整理、包保修。</w:t>
            </w:r>
          </w:p>
          <w:p>
            <w:pPr>
              <w:widowControl/>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结算方式具体按合同条款规定。</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项目在施工阶段，因工程实施环境变化等任何因素引起的设计和施工调整、设计和施工最终造价不得超过最高投标限价。</w:t>
            </w:r>
          </w:p>
          <w:p>
            <w:pPr>
              <w:widowControl/>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本工程实行全过程限额设计施工，限额投资。工程变更需经过建设单位审定后方可实施。</w:t>
            </w:r>
          </w:p>
        </w:tc>
      </w:tr>
      <w:tr>
        <w:tblPrEx>
          <w:tblCellMar>
            <w:top w:w="0" w:type="dxa"/>
            <w:left w:w="108" w:type="dxa"/>
            <w:bottom w:w="0" w:type="dxa"/>
            <w:right w:w="108" w:type="dxa"/>
          </w:tblCellMar>
        </w:tblPrEx>
        <w:trPr>
          <w:trHeight w:val="1047"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9.5</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施工图即使通过审查备案，但如未达到国家、地方的行业标准、规范等及招标人设计任务书规定标准和深度，招标人要求完善的，属于设计失误（由招标人牵头认定是否设计失误），招标人不承担任何费用。</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9.6</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1"/>
              <w:shd w:val="clear"/>
              <w:tabs>
                <w:tab w:val="left" w:pos="0"/>
              </w:tabs>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1、中标人需按照粤建管</w:t>
            </w:r>
            <w:r>
              <w:rPr>
                <w:rFonts w:ascii="宋体" w:hAnsi="宋体" w:cs="宋体"/>
                <w:color w:val="000000" w:themeColor="text1"/>
                <w:szCs w:val="21"/>
                <w:highlight w:val="none"/>
                <w14:textFill>
                  <w14:solidFill>
                    <w14:schemeClr w14:val="tx1"/>
                  </w14:solidFill>
                </w14:textFill>
              </w:rPr>
              <w:t>[2007]39</w:t>
            </w:r>
            <w:r>
              <w:rPr>
                <w:rFonts w:hint="eastAsia" w:ascii="宋体" w:hAnsi="宋体" w:cs="宋体"/>
                <w:color w:val="000000" w:themeColor="text1"/>
                <w:szCs w:val="21"/>
                <w:highlight w:val="none"/>
                <w14:textFill>
                  <w14:solidFill>
                    <w14:schemeClr w14:val="tx1"/>
                  </w14:solidFill>
                </w14:textFill>
              </w:rPr>
              <w:t>号文的规定、广州市建委穗建筑</w:t>
            </w:r>
            <w:r>
              <w:rPr>
                <w:rFonts w:ascii="宋体" w:hAnsi="宋体" w:cs="宋体"/>
                <w:color w:val="000000" w:themeColor="text1"/>
                <w:szCs w:val="21"/>
                <w:highlight w:val="none"/>
                <w14:textFill>
                  <w14:solidFill>
                    <w14:schemeClr w14:val="tx1"/>
                  </w14:solidFill>
                </w14:textFill>
              </w:rPr>
              <w:t>[1999]175</w:t>
            </w:r>
            <w:r>
              <w:rPr>
                <w:rFonts w:hint="eastAsia" w:ascii="宋体" w:hAnsi="宋体" w:cs="宋体"/>
                <w:color w:val="000000" w:themeColor="text1"/>
                <w:szCs w:val="21"/>
                <w:highlight w:val="none"/>
                <w14:textFill>
                  <w14:solidFill>
                    <w14:schemeClr w14:val="tx1"/>
                  </w14:solidFill>
                </w14:textFill>
              </w:rPr>
              <w:t>号文及《建筑施工安全检查标准》（</w:t>
            </w:r>
            <w:r>
              <w:rPr>
                <w:rFonts w:ascii="宋体" w:hAnsi="宋体" w:cs="宋体"/>
                <w:color w:val="000000" w:themeColor="text1"/>
                <w:szCs w:val="21"/>
                <w:highlight w:val="none"/>
                <w14:textFill>
                  <w14:solidFill>
                    <w14:schemeClr w14:val="tx1"/>
                  </w14:solidFill>
                </w14:textFill>
              </w:rPr>
              <w:t>JGJ59-2011</w:t>
            </w:r>
            <w:r>
              <w:rPr>
                <w:rFonts w:hint="eastAsia" w:ascii="宋体" w:hAnsi="宋体" w:cs="宋体"/>
                <w:color w:val="000000" w:themeColor="text1"/>
                <w:szCs w:val="21"/>
                <w:highlight w:val="none"/>
                <w14:textFill>
                  <w14:solidFill>
                    <w14:schemeClr w14:val="tx1"/>
                  </w14:solidFill>
                </w14:textFill>
              </w:rPr>
              <w:t>）、穗建质函</w:t>
            </w:r>
            <w:r>
              <w:rPr>
                <w:rFonts w:ascii="宋体" w:hAnsi="宋体" w:cs="宋体"/>
                <w:color w:val="000000" w:themeColor="text1"/>
                <w:szCs w:val="21"/>
                <w:highlight w:val="none"/>
                <w14:textFill>
                  <w14:solidFill>
                    <w14:schemeClr w14:val="tx1"/>
                  </w14:solidFill>
                </w14:textFill>
              </w:rPr>
              <w:t>[2014]3205</w:t>
            </w:r>
            <w:r>
              <w:rPr>
                <w:rFonts w:hint="eastAsia" w:ascii="宋体" w:hAnsi="宋体" w:cs="宋体"/>
                <w:color w:val="000000" w:themeColor="text1"/>
                <w:szCs w:val="21"/>
                <w:highlight w:val="none"/>
                <w14:textFill>
                  <w14:solidFill>
                    <w14:schemeClr w14:val="tx1"/>
                  </w14:solidFill>
                </w14:textFill>
              </w:rPr>
              <w:t>号文的有关规定做好安全文明施工各项工作，否则由招标人另行委托队伍施工，其费用由中标人自行负责。（注：前述文件有更新的，按最新的发文规定执行。）</w:t>
            </w:r>
          </w:p>
          <w:p>
            <w:pPr>
              <w:pStyle w:val="61"/>
              <w:shd w:val="clear"/>
              <w:tabs>
                <w:tab w:val="left" w:pos="0"/>
              </w:tabs>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中标人必须根据本项目合同规定的时间要求及时出具履约担保，如中标人无法及时提供履约担保的，视为自动放弃中标资格。招标人可以按照评标委员会提出的中标候选人名单排序依次确定其他中标候选人为中标人</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也可以重新招标。</w:t>
            </w:r>
          </w:p>
          <w:p>
            <w:pPr>
              <w:shd w:val="clea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3、投标人如在本项目中存在串通投标、在投标文件中提供虚假材料的、行贿情形的，中标无效，并上报行政监督部门。行政监督部门将对其违法行为进行行政处罚并通报。</w:t>
            </w:r>
          </w:p>
        </w:tc>
      </w:tr>
      <w:tr>
        <w:tblPrEx>
          <w:tblCellMar>
            <w:top w:w="0" w:type="dxa"/>
            <w:left w:w="108" w:type="dxa"/>
            <w:bottom w:w="0" w:type="dxa"/>
            <w:right w:w="108" w:type="dxa"/>
          </w:tblCellMar>
        </w:tblPrEx>
        <w:trPr>
          <w:trHeight w:val="26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7</w:t>
            </w:r>
          </w:p>
        </w:tc>
        <w:tc>
          <w:tcPr>
            <w:tcW w:w="8708" w:type="dxa"/>
            <w:gridSpan w:val="2"/>
            <w:tcBorders>
              <w:top w:val="single" w:color="000000" w:sz="4" w:space="0"/>
              <w:left w:val="single" w:color="000000" w:sz="4" w:space="0"/>
              <w:bottom w:val="single" w:color="000000" w:sz="4" w:space="0"/>
              <w:right w:val="single" w:color="000000" w:sz="4" w:space="0"/>
            </w:tcBorders>
            <w:vAlign w:val="center"/>
          </w:tcPr>
          <w:p>
            <w:pPr>
              <w:pStyle w:val="61"/>
              <w:shd w:val="clear"/>
              <w:tabs>
                <w:tab w:val="left" w:pos="0"/>
              </w:tabs>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本项目中标人中标后需接受招标人（甲方）或招标人（甲方）指定建设管理单位的管理。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10</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1"/>
              <w:shd w:val="clear"/>
              <w:tabs>
                <w:tab w:val="left" w:pos="0"/>
              </w:tabs>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电子招标投标</w:t>
            </w:r>
          </w:p>
        </w:tc>
        <w:tc>
          <w:tcPr>
            <w:tcW w:w="6195"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□否</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kern w:val="1"/>
                <w:szCs w:val="21"/>
                <w:highlight w:val="none"/>
                <w14:textFill>
                  <w14:solidFill>
                    <w14:schemeClr w14:val="tx1"/>
                  </w14:solidFill>
                </w14:textFill>
              </w:rPr>
              <w:t>是，具体要求：</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cs="宋体"/>
                <w:color w:val="000000" w:themeColor="text1"/>
                <w:kern w:val="1"/>
                <w:sz w:val="21"/>
                <w:szCs w:val="21"/>
                <w:highlight w:val="none"/>
                <w:lang w:val="en-US"/>
                <w14:textFill>
                  <w14:solidFill>
                    <w14:schemeClr w14:val="tx1"/>
                  </w14:solidFill>
                </w14:textFill>
              </w:rPr>
              <w:t>1、投标文件全部采用电子文档，投标文件应按交易平台相关操作指南编制。如不按上述要求编制引起系统无法检索、读取相关信息的，其后果由投标人承担。投标文件所附证书证件及证明文件均为原件扫描件，并应采用单位数字证书加盖电子印章。招标文件所附格式要求盖章处及招标文件要求投标文件盖章处需采用单位数字证书，</w:t>
            </w:r>
            <w:r>
              <w:rPr>
                <w:rFonts w:hint="eastAsia" w:cs="宋体"/>
                <w:color w:val="000000" w:themeColor="text1"/>
                <w:kern w:val="1"/>
                <w:sz w:val="21"/>
                <w:szCs w:val="21"/>
                <w:highlight w:val="none"/>
                <w:lang w:val="en-US"/>
                <w14:textFill>
                  <w14:solidFill>
                    <w14:schemeClr w14:val="tx1"/>
                  </w14:solidFill>
                </w14:textFill>
              </w:rPr>
              <w:t>对投标文件</w:t>
            </w:r>
            <w:r>
              <w:rPr>
                <w:rFonts w:cs="宋体"/>
                <w:color w:val="000000" w:themeColor="text1"/>
                <w:kern w:val="1"/>
                <w:sz w:val="21"/>
                <w:szCs w:val="21"/>
                <w:highlight w:val="none"/>
                <w:lang w:val="en-US"/>
                <w14:textFill>
                  <w14:solidFill>
                    <w14:schemeClr w14:val="tx1"/>
                  </w14:solidFill>
                </w14:textFill>
              </w:rPr>
              <w:t>加盖电子印章。投标文</w:t>
            </w:r>
            <w:r>
              <w:rPr>
                <w:rFonts w:hint="eastAsia" w:cs="宋体"/>
                <w:color w:val="000000" w:themeColor="text1"/>
                <w:kern w:val="1"/>
                <w:sz w:val="21"/>
                <w:szCs w:val="21"/>
                <w:highlight w:val="none"/>
                <w:lang w:val="en-US"/>
                <w14:textFill>
                  <w14:solidFill>
                    <w14:schemeClr w14:val="tx1"/>
                  </w14:solidFill>
                </w14:textFill>
              </w:rPr>
              <w:t>件中需个人签字或盖章的，应在线下完成后扫描上传。具体操作详见广州交易集团有限公司（广州公共资源交易中心）网站最新发布的《建设工程全流程电子化项目操作指南》。</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cs="宋体"/>
                <w:color w:val="000000" w:themeColor="text1"/>
                <w:kern w:val="1"/>
                <w:sz w:val="21"/>
                <w:szCs w:val="21"/>
                <w:highlight w:val="none"/>
                <w:lang w:val="en-US"/>
                <w14:textFill>
                  <w14:solidFill>
                    <w14:schemeClr w14:val="tx1"/>
                  </w14:solidFill>
                </w14:textFill>
              </w:rPr>
              <w:t>2、现场提交备用资料</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cs="宋体"/>
                <w:color w:val="000000" w:themeColor="text1"/>
                <w:kern w:val="1"/>
                <w:sz w:val="21"/>
                <w:szCs w:val="21"/>
                <w:highlight w:val="none"/>
                <w:lang w:val="en-US"/>
                <w14:textFill>
                  <w14:solidFill>
                    <w14:schemeClr w14:val="tx1"/>
                  </w14:solidFill>
                </w14:textFill>
              </w:rPr>
              <w:t>1）投标人可</w:t>
            </w:r>
            <w:r>
              <w:rPr>
                <w:rFonts w:hint="eastAsia" w:cs="宋体"/>
                <w:color w:val="000000" w:themeColor="text1"/>
                <w:kern w:val="1"/>
                <w:sz w:val="21"/>
                <w:szCs w:val="21"/>
                <w:highlight w:val="none"/>
                <w:lang w:val="en-US"/>
                <w14:textFill>
                  <w14:solidFill>
                    <w14:schemeClr w14:val="tx1"/>
                  </w14:solidFill>
                </w14:textFill>
              </w:rPr>
              <w:t>制作非加密的电子投标文件，以光盘或</w:t>
            </w:r>
            <w:r>
              <w:rPr>
                <w:rFonts w:cs="宋体"/>
                <w:color w:val="000000" w:themeColor="text1"/>
                <w:kern w:val="1"/>
                <w:sz w:val="21"/>
                <w:szCs w:val="21"/>
                <w:highlight w:val="none"/>
                <w:lang w:val="en-US"/>
                <w14:textFill>
                  <w14:solidFill>
                    <w14:schemeClr w14:val="tx1"/>
                  </w14:solidFill>
                </w14:textFill>
              </w:rPr>
              <w:t>U盘为储存介质在投标须知前附表第5.1项规定的时间、地点提交备用。</w:t>
            </w:r>
            <w:r>
              <w:rPr>
                <w:rFonts w:cs="宋体"/>
                <w:b/>
                <w:color w:val="000000" w:themeColor="text1"/>
                <w:kern w:val="1"/>
                <w:sz w:val="21"/>
                <w:szCs w:val="21"/>
                <w:highlight w:val="none"/>
                <w:lang w:val="en-US"/>
                <w14:textFill>
                  <w14:solidFill>
                    <w14:schemeClr w14:val="tx1"/>
                  </w14:solidFill>
                </w14:textFill>
              </w:rPr>
              <w:t>备用电子投标文件应密封在密封袋中，并在封口处加盖投标人单位公章</w:t>
            </w:r>
            <w:r>
              <w:rPr>
                <w:rFonts w:hint="eastAsia" w:cs="宋体"/>
                <w:b/>
                <w:color w:val="000000" w:themeColor="text1"/>
                <w:kern w:val="1"/>
                <w:sz w:val="21"/>
                <w:szCs w:val="21"/>
                <w:highlight w:val="none"/>
                <w:lang w:val="en-US"/>
                <w14:textFill>
                  <w14:solidFill>
                    <w14:schemeClr w14:val="tx1"/>
                  </w14:solidFill>
                </w14:textFill>
              </w:rPr>
              <w:t>。</w:t>
            </w:r>
            <w:r>
              <w:rPr>
                <w:rFonts w:cs="宋体"/>
                <w:color w:val="000000" w:themeColor="text1"/>
                <w:kern w:val="1"/>
                <w:sz w:val="21"/>
                <w:szCs w:val="21"/>
                <w:highlight w:val="none"/>
                <w:lang w:val="en-US"/>
                <w14:textFill>
                  <w14:solidFill>
                    <w14:schemeClr w14:val="tx1"/>
                  </w14:solidFill>
                </w14:textFill>
              </w:rPr>
              <w:t>密封袋上应写明的内容见投标人须知前附表要求4.1.2。</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cs="宋体"/>
                <w:color w:val="000000" w:themeColor="text1"/>
                <w:kern w:val="1"/>
                <w:sz w:val="21"/>
                <w:szCs w:val="21"/>
                <w:highlight w:val="none"/>
                <w:lang w:val="en-US"/>
                <w14:textFill>
                  <w14:solidFill>
                    <w14:schemeClr w14:val="tx1"/>
                  </w14:solidFill>
                </w14:textFill>
              </w:rPr>
              <w:t>2）现场递交的备用电子投标文件不得加密。电子投标文件无法读取或导入的，则视为未提交备用电子投标文件。如果投标人没有按规定通过交易平台网上递交电子投标文件的，不再接受现场提交的备用电子投标文件。</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cs="宋体"/>
                <w:color w:val="000000" w:themeColor="text1"/>
                <w:kern w:val="1"/>
                <w:sz w:val="21"/>
                <w:szCs w:val="21"/>
                <w:highlight w:val="none"/>
                <w:lang w:val="en-US"/>
                <w14:textFill>
                  <w14:solidFill>
                    <w14:schemeClr w14:val="tx1"/>
                  </w14:solidFill>
                </w14:textFill>
              </w:rPr>
              <w:t>3、补救方案</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cs="宋体"/>
                <w:color w:val="000000" w:themeColor="text1"/>
                <w:kern w:val="1"/>
                <w:sz w:val="21"/>
                <w:szCs w:val="21"/>
                <w:highlight w:val="none"/>
                <w:lang w:val="en-US"/>
                <w14:textFill>
                  <w14:solidFill>
                    <w14:schemeClr w14:val="tx1"/>
                  </w14:solidFill>
                </w14:textFill>
              </w:rPr>
              <w:t>1）投标文件解密失败的补救方案：</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在规定时间内，因投标人之外原因导致的电子投标文件解密失败，在开标现场读取备用电子投标文件内容，继续开标程序。评标委员会对其投标文件的评审以递交的备用电子投标文件内容为准。</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w:t>
            </w:r>
            <w:r>
              <w:rPr>
                <w:rFonts w:cs="宋体"/>
                <w:color w:val="000000" w:themeColor="text1"/>
                <w:kern w:val="1"/>
                <w:sz w:val="21"/>
                <w:szCs w:val="21"/>
                <w:highlight w:val="none"/>
                <w:lang w:val="en-US"/>
                <w14:textFill>
                  <w14:solidFill>
                    <w14:schemeClr w14:val="tx1"/>
                  </w14:solidFill>
                </w14:textFill>
              </w:rPr>
              <w:t>2）评标时突发情况的补救方案</w:t>
            </w:r>
          </w:p>
          <w:p>
            <w:pPr>
              <w:pStyle w:val="2"/>
              <w:shd w:val="clear"/>
              <w:spacing w:line="360" w:lineRule="auto"/>
              <w:rPr>
                <w:rFonts w:cs="宋体"/>
                <w:color w:val="000000" w:themeColor="text1"/>
                <w:kern w:val="1"/>
                <w:sz w:val="21"/>
                <w:szCs w:val="21"/>
                <w:highlight w:val="none"/>
                <w:lang w:val="en-US"/>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若遇不可抗力发生（如：网络瘫痪、服务器损坏、交易系统故障短期无法恢复等因素），由评标委员会开启现场递交的全部电子投标文件，并按递交的电子投标文件内容进行评审。</w:t>
            </w:r>
          </w:p>
          <w:p>
            <w:pPr>
              <w:pStyle w:val="61"/>
              <w:shd w:val="clear"/>
              <w:tabs>
                <w:tab w:val="left" w:pos="0"/>
              </w:tabs>
              <w:spacing w:line="360" w:lineRule="auto"/>
              <w:ind w:firstLine="0" w:firstLineChars="0"/>
              <w:jc w:val="left"/>
              <w:rPr>
                <w:rFonts w:ascii="宋体" w:hAnsi="宋体" w:cs="宋体"/>
                <w:color w:val="000000" w:themeColor="text1"/>
                <w:szCs w:val="21"/>
                <w:highlight w:val="none"/>
                <w14:textFill>
                  <w14:solidFill>
                    <w14:schemeClr w14:val="tx1"/>
                  </w14:solidFill>
                </w14:textFill>
              </w:rPr>
            </w:pPr>
            <w:r>
              <w:rPr>
                <w:rFonts w:hint="eastAsia" w:cs="宋体"/>
                <w:color w:val="000000" w:themeColor="text1"/>
                <w:kern w:val="1"/>
                <w:szCs w:val="21"/>
                <w:highlight w:val="none"/>
                <w14:textFill>
                  <w14:solidFill>
                    <w14:schemeClr w14:val="tx1"/>
                  </w14:solidFill>
                </w14:textFill>
              </w:rPr>
              <w:t>（</w:t>
            </w:r>
            <w:r>
              <w:rPr>
                <w:rFonts w:cs="宋体"/>
                <w:color w:val="000000" w:themeColor="text1"/>
                <w:kern w:val="1"/>
                <w:szCs w:val="21"/>
                <w:highlight w:val="none"/>
                <w14:textFill>
                  <w14:solidFill>
                    <w14:schemeClr w14:val="tx1"/>
                  </w14:solidFill>
                </w14:textFill>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1"/>
              <w:shd w:val="clear"/>
              <w:tabs>
                <w:tab w:val="left" w:pos="0"/>
              </w:tabs>
              <w:spacing w:line="360" w:lineRule="auto"/>
              <w:ind w:firstLine="0" w:firstLineChars="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招标人对中标人参与“百千万工程”的具体要求</w:t>
            </w:r>
          </w:p>
        </w:tc>
        <w:tc>
          <w:tcPr>
            <w:tcW w:w="6195"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1.施工中标单位应切实履行《招标公告》“投标人声明”中 “第十</w:t>
            </w:r>
            <w:r>
              <w:rPr>
                <w:rFonts w:hint="eastAsia" w:ascii="宋体" w:hAnsi="宋体" w:cs="Courier New"/>
                <w:color w:val="000000" w:themeColor="text1"/>
                <w:szCs w:val="21"/>
                <w:highlight w:val="none"/>
                <w:lang w:val="en-US" w:eastAsia="zh-CN"/>
                <w14:textFill>
                  <w14:solidFill>
                    <w14:schemeClr w14:val="tx1"/>
                  </w14:solidFill>
                </w14:textFill>
              </w:rPr>
              <w:t>一</w:t>
            </w:r>
            <w:r>
              <w:rPr>
                <w:rFonts w:hint="eastAsia" w:ascii="宋体" w:hAnsi="宋体" w:cs="Courier New"/>
                <w:color w:val="000000" w:themeColor="text1"/>
                <w:szCs w:val="21"/>
                <w:highlight w:val="none"/>
                <w14:textFill>
                  <w14:solidFill>
                    <w14:schemeClr w14:val="tx1"/>
                  </w14:solidFill>
                </w14:textFill>
              </w:rPr>
              <w:t>条”承诺，结合自身实际，在《白云区“百千万工程”建筑业企业帮扶建设项目库》中自愿认领、帮扶公益性项目。</w:t>
            </w:r>
          </w:p>
          <w:p>
            <w:pPr>
              <w:shd w:val="clear"/>
              <w:spacing w:line="360" w:lineRule="auto"/>
              <w:rPr>
                <w:rFonts w:cs="宋体"/>
                <w:color w:val="000000" w:themeColor="text1"/>
                <w:kern w:val="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施工中标单位自愿帮扶公益性项目的，可以根据企业资质及自身优势和特点，优先认领建设（管理）单位、施工中标单位（如有）已结对帮扶对象的“百千万工程”项目；其次按照就近就便原则，优先认领招标项目所在地的项目。”</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2</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1"/>
              <w:shd w:val="clear"/>
              <w:tabs>
                <w:tab w:val="left" w:pos="0"/>
              </w:tabs>
              <w:spacing w:line="360" w:lineRule="auto"/>
              <w:ind w:firstLine="0" w:firstLineChars="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氢燃料电池汽车的投入要求</w:t>
            </w:r>
          </w:p>
        </w:tc>
        <w:tc>
          <w:tcPr>
            <w:tcW w:w="6195"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rPr>
                <w:rFonts w:cs="宋体"/>
                <w:color w:val="000000" w:themeColor="text1"/>
                <w:kern w:val="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投标人应承诺氢燃料电池汽车作为混凝土搅拌车和建筑废弃物运输车在本项目的投入使用</w:t>
            </w:r>
            <w:r>
              <w:rPr>
                <w:rFonts w:hint="eastAsia" w:ascii="宋体" w:hAnsi="宋体" w:cs="宋体"/>
                <w:color w:val="000000" w:themeColor="text1"/>
                <w:szCs w:val="21"/>
                <w:highlight w:val="none"/>
                <w:lang w:val="zh-TW"/>
                <w14:textFill>
                  <w14:solidFill>
                    <w14:schemeClr w14:val="tx1"/>
                  </w14:solidFill>
                </w14:textFill>
              </w:rPr>
              <w:t>，投入比例≥</w:t>
            </w:r>
            <w:r>
              <w:rPr>
                <w:rFonts w:hint="eastAsia" w:ascii="宋体" w:hAnsi="宋体" w:cs="宋体" w:eastAsiaTheme="minorEastAsia"/>
                <w:color w:val="000000" w:themeColor="text1"/>
                <w:szCs w:val="21"/>
                <w:highlight w:val="none"/>
                <w:lang w:val="zh-TW"/>
                <w14:textFill>
                  <w14:solidFill>
                    <w14:schemeClr w14:val="tx1"/>
                  </w14:solidFill>
                </w14:textFill>
              </w:rPr>
              <w:t>5</w:t>
            </w:r>
            <w:r>
              <w:rPr>
                <w:rFonts w:hint="eastAsia" w:ascii="宋体" w:hAnsi="宋体" w:cs="宋体"/>
                <w:color w:val="000000" w:themeColor="text1"/>
                <w:szCs w:val="21"/>
                <w:highlight w:val="none"/>
                <w:lang w:val="zh-TW"/>
                <w14:textFill>
                  <w14:solidFill>
                    <w14:schemeClr w14:val="tx1"/>
                  </w14:solidFill>
                </w14:textFill>
              </w:rPr>
              <w:t>0%</w:t>
            </w:r>
            <w:r>
              <w:rPr>
                <w:rFonts w:hint="eastAsia" w:ascii="宋体" w:hAnsi="宋体" w:cs="Courier New"/>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538"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widowControl/>
              <w:shd w:val="clear"/>
              <w:spacing w:line="360" w:lineRule="auto"/>
              <w:jc w:val="center"/>
              <w:rPr>
                <w:rFonts w:hint="default" w:ascii="宋体" w:hAnsi="宋体" w:eastAsia="宋体" w:cs="宋体"/>
                <w:color w:val="000000" w:themeColor="text1"/>
                <w:kern w:val="1"/>
                <w:szCs w:val="21"/>
                <w:highlight w:val="none"/>
                <w:lang w:val="en-US" w:eastAsia="zh-CN"/>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13</w:t>
            </w:r>
          </w:p>
        </w:tc>
        <w:tc>
          <w:tcPr>
            <w:tcW w:w="2513" w:type="dxa"/>
            <w:tcBorders>
              <w:top w:val="single" w:color="000000" w:sz="4" w:space="0"/>
              <w:left w:val="single" w:color="000000" w:sz="4" w:space="0"/>
              <w:bottom w:val="single" w:color="000000" w:sz="4" w:space="0"/>
              <w:right w:val="single" w:color="auto" w:sz="4" w:space="0"/>
            </w:tcBorders>
            <w:vAlign w:val="center"/>
          </w:tcPr>
          <w:p>
            <w:pPr>
              <w:pStyle w:val="61"/>
              <w:shd w:val="clear"/>
              <w:tabs>
                <w:tab w:val="left" w:pos="0"/>
              </w:tabs>
              <w:spacing w:line="360" w:lineRule="auto"/>
              <w:ind w:firstLine="0" w:firstLineChars="0"/>
              <w:jc w:val="left"/>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材料采购要求</w:t>
            </w:r>
          </w:p>
        </w:tc>
        <w:tc>
          <w:tcPr>
            <w:tcW w:w="6195"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rPr>
                <w:rFonts w:hint="default" w:ascii="宋体" w:hAnsi="宋体" w:eastAsia="宋体" w:cs="Courier New"/>
                <w:color w:val="000000" w:themeColor="text1"/>
                <w:szCs w:val="21"/>
                <w:highlight w:val="none"/>
                <w:lang w:val="en-US" w:eastAsia="zh-CN"/>
                <w14:textFill>
                  <w14:solidFill>
                    <w14:schemeClr w14:val="tx1"/>
                  </w14:solidFill>
                </w14:textFill>
              </w:rPr>
            </w:pPr>
            <w:r>
              <w:rPr>
                <w:rStyle w:val="39"/>
                <w:rFonts w:hint="eastAsia" w:ascii="宋体" w:hAnsi="宋体" w:eastAsia="宋体" w:cs="Times New Roman"/>
                <w:color w:val="000000" w:themeColor="text1"/>
                <w:highlight w:val="none"/>
                <w:lang w:eastAsia="zh-CN"/>
                <w14:textFill>
                  <w14:solidFill>
                    <w14:schemeClr w14:val="tx1"/>
                  </w14:solidFill>
                </w14:textFill>
              </w:rPr>
              <w:t>本项目材料</w:t>
            </w:r>
            <w:r>
              <w:rPr>
                <w:rStyle w:val="39"/>
                <w:rFonts w:hint="eastAsia" w:ascii="宋体" w:hAnsi="宋体" w:eastAsia="宋体" w:cs="Times New Roman"/>
                <w:color w:val="000000" w:themeColor="text1"/>
                <w:highlight w:val="none"/>
                <w:lang w:val="en-US" w:eastAsia="zh-CN"/>
                <w14:textFill>
                  <w14:solidFill>
                    <w14:schemeClr w14:val="tx1"/>
                  </w14:solidFill>
                </w14:textFill>
              </w:rPr>
              <w:t>须按合同约定进行采购，供应商选取的主要材料应参照</w:t>
            </w:r>
            <w:r>
              <w:rPr>
                <w:rStyle w:val="39"/>
                <w:rFonts w:hint="eastAsia" w:ascii="宋体" w:hAnsi="宋体" w:eastAsia="宋体" w:cs="Times New Roman"/>
                <w:color w:val="000000" w:themeColor="text1"/>
                <w:highlight w:val="none"/>
                <w14:textFill>
                  <w14:solidFill>
                    <w14:schemeClr w14:val="tx1"/>
                  </w14:solidFill>
                </w14:textFill>
              </w:rPr>
              <w:t>或相当于</w:t>
            </w:r>
            <w:r>
              <w:rPr>
                <w:rStyle w:val="39"/>
                <w:rFonts w:hint="eastAsia" w:ascii="宋体" w:hAnsi="宋体" w:eastAsia="宋体" w:cs="Times New Roman"/>
                <w:color w:val="000000" w:themeColor="text1"/>
                <w:highlight w:val="none"/>
                <w:lang w:val="en-US" w:eastAsia="zh-CN"/>
                <w14:textFill>
                  <w14:solidFill>
                    <w14:schemeClr w14:val="tx1"/>
                  </w14:solidFill>
                </w14:textFill>
              </w:rPr>
              <w:t>《主要设备材料品牌/生产厂家推荐表》所推荐的</w:t>
            </w:r>
            <w:r>
              <w:rPr>
                <w:rStyle w:val="39"/>
                <w:rFonts w:hint="eastAsia" w:ascii="宋体" w:hAnsi="宋体" w:eastAsia="宋体" w:cs="Times New Roman"/>
                <w:color w:val="000000" w:themeColor="text1"/>
                <w:highlight w:val="none"/>
                <w14:textFill>
                  <w14:solidFill>
                    <w14:schemeClr w14:val="tx1"/>
                  </w14:solidFill>
                </w14:textFill>
              </w:rPr>
              <w:t>品牌/生产厂家</w:t>
            </w:r>
            <w:r>
              <w:rPr>
                <w:rStyle w:val="39"/>
                <w:rFonts w:hint="eastAsia" w:ascii="宋体" w:hAnsi="宋体" w:eastAsia="宋体" w:cs="Times New Roman"/>
                <w:color w:val="000000" w:themeColor="text1"/>
                <w:highlight w:val="none"/>
                <w:lang w:val="en-US" w:eastAsia="zh-CN"/>
                <w14:textFill>
                  <w14:solidFill>
                    <w14:schemeClr w14:val="tx1"/>
                  </w14:solidFill>
                </w14:textFill>
              </w:rPr>
              <w:t>档次，</w:t>
            </w:r>
            <w:r>
              <w:rPr>
                <w:rStyle w:val="39"/>
                <w:rFonts w:ascii="宋体" w:hAnsi="宋体" w:cs="Times New Roman"/>
                <w:color w:val="000000" w:themeColor="text1"/>
                <w:highlight w:val="none"/>
                <w14:textFill>
                  <w14:solidFill>
                    <w14:schemeClr w14:val="tx1"/>
                  </w14:solidFill>
                </w14:textFill>
              </w:rPr>
              <w:t>具体材料选取按合同约定</w:t>
            </w:r>
            <w:r>
              <w:rPr>
                <w:rStyle w:val="39"/>
                <w:rFonts w:hint="eastAsia" w:ascii="宋体" w:hAnsi="宋体" w:cs="Times New Roman"/>
                <w:color w:val="000000" w:themeColor="text1"/>
                <w:highlight w:val="none"/>
                <w:lang w:val="en-US" w:eastAsia="zh-CN"/>
                <w14:textFill>
                  <w14:solidFill>
                    <w14:schemeClr w14:val="tx1"/>
                  </w14:solidFill>
                </w14:textFill>
              </w:rPr>
              <w:t>执行</w:t>
            </w:r>
            <w:r>
              <w:rPr>
                <w:rStyle w:val="39"/>
                <w:rFonts w:ascii="宋体" w:hAnsi="宋体" w:cs="Times New Roman"/>
                <w:color w:val="000000" w:themeColor="text1"/>
                <w:highlight w:val="none"/>
                <w14:textFill>
                  <w14:solidFill>
                    <w14:schemeClr w14:val="tx1"/>
                  </w14:solidFill>
                </w14:textFill>
              </w:rPr>
              <w:t>。</w:t>
            </w:r>
          </w:p>
        </w:tc>
      </w:tr>
    </w:tbl>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35" w:name="_Toc357089511"/>
      <w:bookmarkEnd w:id="35"/>
      <w:bookmarkStart w:id="36" w:name="_Toc443505822"/>
      <w:bookmarkEnd w:id="36"/>
      <w:bookmarkStart w:id="37" w:name="_Toc247527553"/>
      <w:bookmarkEnd w:id="37"/>
      <w:bookmarkStart w:id="38" w:name="_Toc300834949"/>
      <w:bookmarkEnd w:id="38"/>
      <w:bookmarkStart w:id="39" w:name="_Toc247513952"/>
      <w:bookmarkEnd w:id="39"/>
      <w:bookmarkStart w:id="40" w:name="_Toc152045529"/>
      <w:bookmarkEnd w:id="40"/>
      <w:bookmarkStart w:id="41" w:name="_Toc152042305"/>
      <w:bookmarkEnd w:id="41"/>
      <w:bookmarkStart w:id="42" w:name="_Toc144974497"/>
      <w:bookmarkEnd w:id="42"/>
      <w:bookmarkStart w:id="43" w:name="_Toc362816480"/>
      <w:bookmarkEnd w:id="43"/>
      <w:r>
        <w:rPr>
          <w:rFonts w:hint="eastAsia" w:ascii="宋体" w:hAnsi="宋体" w:eastAsia="宋体" w:cs="宋体"/>
          <w:color w:val="000000" w:themeColor="text1"/>
          <w:highlight w:val="none"/>
          <w:lang w:val="zh-CN"/>
          <w14:textFill>
            <w14:solidFill>
              <w14:schemeClr w14:val="tx1"/>
            </w14:solidFill>
          </w14:textFill>
        </w:rPr>
        <w:br w:type="page"/>
      </w:r>
      <w:bookmarkStart w:id="44" w:name="_Toc224"/>
      <w:bookmarkEnd w:id="44"/>
      <w:bookmarkStart w:id="45" w:name="_Toc13193"/>
      <w:bookmarkEnd w:id="45"/>
      <w:bookmarkStart w:id="46" w:name="_Toc5620296"/>
      <w:bookmarkStart w:id="47" w:name="_Toc15796"/>
      <w:r>
        <w:rPr>
          <w:rFonts w:hint="eastAsia" w:ascii="宋体" w:hAnsi="宋体" w:eastAsia="宋体" w:cs="宋体"/>
          <w:color w:val="000000" w:themeColor="text1"/>
          <w:highlight w:val="none"/>
          <w:lang w:val="zh-CN"/>
          <w14:textFill>
            <w14:solidFill>
              <w14:schemeClr w14:val="tx1"/>
            </w14:solidFill>
          </w14:textFill>
        </w:rPr>
        <w:t>1. 总则</w:t>
      </w:r>
      <w:bookmarkEnd w:id="46"/>
      <w:bookmarkEnd w:id="47"/>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48" w:name="_Toc144974498"/>
      <w:bookmarkEnd w:id="48"/>
      <w:bookmarkStart w:id="49" w:name="_Toc152042306"/>
      <w:bookmarkEnd w:id="49"/>
      <w:bookmarkStart w:id="50" w:name="_Toc356469178"/>
      <w:bookmarkEnd w:id="50"/>
      <w:bookmarkStart w:id="51" w:name="_Toc300834950"/>
      <w:bookmarkEnd w:id="51"/>
      <w:bookmarkStart w:id="52" w:name="_Toc362816481"/>
      <w:bookmarkEnd w:id="52"/>
      <w:bookmarkStart w:id="53" w:name="_Toc247527554"/>
      <w:bookmarkEnd w:id="53"/>
      <w:bookmarkStart w:id="54" w:name="_Toc247513953"/>
      <w:bookmarkEnd w:id="54"/>
      <w:bookmarkStart w:id="55" w:name="_Toc357089512"/>
      <w:bookmarkEnd w:id="55"/>
      <w:bookmarkStart w:id="56" w:name="_Toc152045530"/>
      <w:bookmarkEnd w:id="56"/>
      <w:bookmarkStart w:id="57" w:name="_Toc5620297"/>
      <w:bookmarkStart w:id="58" w:name="_Toc14593"/>
      <w:r>
        <w:rPr>
          <w:rFonts w:hint="eastAsia" w:ascii="宋体" w:hAnsi="宋体" w:eastAsia="宋体"/>
          <w:b/>
          <w:color w:val="000000" w:themeColor="text1"/>
          <w:sz w:val="24"/>
          <w:szCs w:val="24"/>
          <w:highlight w:val="none"/>
          <w14:textFill>
            <w14:solidFill>
              <w14:schemeClr w14:val="tx1"/>
            </w14:solidFill>
          </w14:textFill>
        </w:rPr>
        <w:t>1.1 项目概况</w:t>
      </w:r>
      <w:bookmarkEnd w:id="57"/>
      <w:bookmarkEnd w:id="58"/>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1.1.1 根据《中华人民共和国招标投标法》等有关法律、法规和规章的规定，本招标项目已具备招标条件，现对该项目进行招标。</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1.1.2 招标人：见投标人须知前附表。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1.1.3 招标代理机构：见投标人须知前附表。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1.1.4 招标项目名称：见投标人须知前附表。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1.1.5 项目建设地点：见投标人须知前附表。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59" w:name="_Toc152042307"/>
      <w:bookmarkEnd w:id="59"/>
      <w:bookmarkStart w:id="60" w:name="_Toc300834951"/>
      <w:bookmarkEnd w:id="60"/>
      <w:bookmarkStart w:id="61" w:name="_Toc362816482"/>
      <w:bookmarkEnd w:id="61"/>
      <w:bookmarkStart w:id="62" w:name="_Toc152045531"/>
      <w:bookmarkEnd w:id="62"/>
      <w:bookmarkStart w:id="63" w:name="_Toc247527555"/>
      <w:bookmarkEnd w:id="63"/>
      <w:bookmarkStart w:id="64" w:name="_Toc144974499"/>
      <w:bookmarkEnd w:id="64"/>
      <w:bookmarkStart w:id="65" w:name="_Toc356469179"/>
      <w:bookmarkEnd w:id="65"/>
      <w:bookmarkStart w:id="66" w:name="_Toc247513954"/>
      <w:bookmarkEnd w:id="66"/>
      <w:bookmarkStart w:id="67" w:name="_Toc357089513"/>
      <w:bookmarkEnd w:id="67"/>
      <w:bookmarkStart w:id="68" w:name="_Toc5620298"/>
      <w:bookmarkStart w:id="69" w:name="_Toc28844"/>
      <w:r>
        <w:rPr>
          <w:rFonts w:hint="eastAsia" w:ascii="宋体" w:hAnsi="宋体" w:eastAsia="宋体"/>
          <w:b/>
          <w:color w:val="000000" w:themeColor="text1"/>
          <w:sz w:val="24"/>
          <w:szCs w:val="24"/>
          <w:highlight w:val="none"/>
          <w14:textFill>
            <w14:solidFill>
              <w14:schemeClr w14:val="tx1"/>
            </w14:solidFill>
          </w14:textFill>
        </w:rPr>
        <w:t>1.2 项目的资金来源和落实情况</w:t>
      </w:r>
      <w:bookmarkEnd w:id="68"/>
      <w:bookmarkEnd w:id="69"/>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1.2.1 资金来源及比例：见投标人须知前附表。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1.2.2 资金落实情况：见投标人须知前附表。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70" w:name="_Toc356469180"/>
      <w:bookmarkEnd w:id="70"/>
      <w:bookmarkStart w:id="71" w:name="_Toc357089514"/>
      <w:bookmarkEnd w:id="71"/>
      <w:bookmarkStart w:id="72" w:name="_Toc300834952"/>
      <w:bookmarkEnd w:id="72"/>
      <w:bookmarkStart w:id="73" w:name="_Toc144974500"/>
      <w:bookmarkEnd w:id="73"/>
      <w:bookmarkStart w:id="74" w:name="_Toc152045532"/>
      <w:bookmarkEnd w:id="74"/>
      <w:bookmarkStart w:id="75" w:name="_Toc152042308"/>
      <w:bookmarkEnd w:id="75"/>
      <w:bookmarkStart w:id="76" w:name="_Toc247527556"/>
      <w:bookmarkEnd w:id="76"/>
      <w:bookmarkStart w:id="77" w:name="_Toc247513955"/>
      <w:bookmarkEnd w:id="77"/>
      <w:bookmarkStart w:id="78" w:name="_Toc362816483"/>
      <w:bookmarkEnd w:id="78"/>
      <w:bookmarkStart w:id="79" w:name="_Toc5620299"/>
      <w:bookmarkStart w:id="80" w:name="_Toc27428"/>
      <w:r>
        <w:rPr>
          <w:rFonts w:hint="eastAsia" w:ascii="宋体" w:hAnsi="宋体" w:eastAsia="宋体"/>
          <w:b/>
          <w:color w:val="000000" w:themeColor="text1"/>
          <w:sz w:val="24"/>
          <w:szCs w:val="24"/>
          <w:highlight w:val="none"/>
          <w14:textFill>
            <w14:solidFill>
              <w14:schemeClr w14:val="tx1"/>
            </w14:solidFill>
          </w14:textFill>
        </w:rPr>
        <w:t>1.3 招标范围、计划工期和质量标准</w:t>
      </w:r>
      <w:bookmarkEnd w:id="79"/>
      <w:bookmarkEnd w:id="80"/>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1.3.1 招标范围：见投标人须知前附表。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1.3.2 计划工期：见投标人须知前附表。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1.3.3 质量标准：见投标人须知前附表。</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81" w:name="_Toc152042310"/>
      <w:bookmarkEnd w:id="81"/>
      <w:bookmarkStart w:id="82" w:name="_Toc247513957"/>
      <w:bookmarkEnd w:id="82"/>
      <w:bookmarkStart w:id="83" w:name="_Toc247527558"/>
      <w:bookmarkEnd w:id="83"/>
      <w:bookmarkStart w:id="84" w:name="_Toc144974502"/>
      <w:bookmarkEnd w:id="84"/>
      <w:bookmarkStart w:id="85" w:name="_Toc300834954"/>
      <w:bookmarkEnd w:id="85"/>
      <w:bookmarkStart w:id="86" w:name="_Toc152045534"/>
      <w:bookmarkEnd w:id="86"/>
      <w:bookmarkStart w:id="87" w:name="_Toc31933"/>
      <w:bookmarkStart w:id="88" w:name="_Toc5620300"/>
      <w:r>
        <w:rPr>
          <w:rFonts w:hint="eastAsia" w:ascii="宋体" w:hAnsi="宋体" w:eastAsia="宋体"/>
          <w:b/>
          <w:color w:val="000000" w:themeColor="text1"/>
          <w:sz w:val="24"/>
          <w:szCs w:val="24"/>
          <w:highlight w:val="none"/>
          <w14:textFill>
            <w14:solidFill>
              <w14:schemeClr w14:val="tx1"/>
            </w14:solidFill>
          </w14:textFill>
        </w:rPr>
        <w:t>1.4投标人资格要求</w:t>
      </w:r>
      <w:bookmarkEnd w:id="87"/>
      <w:bookmarkEnd w:id="88"/>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1.4.1</w:t>
      </w:r>
      <w:r>
        <w:rPr>
          <w:rFonts w:hint="eastAsia" w:ascii="宋体" w:hAnsi="宋体" w:cs="宋体"/>
          <w:color w:val="000000" w:themeColor="text1"/>
          <w:kern w:val="1"/>
          <w:highlight w:val="none"/>
          <w:u w:val="single"/>
          <w14:textFill>
            <w14:solidFill>
              <w14:schemeClr w14:val="tx1"/>
            </w14:solidFill>
          </w14:textFill>
        </w:rPr>
        <w:t>投标人资格要求详见招标公告。</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1.4.2 投标人须知前附表规定接受联合体投标的，除应符合本章第1.4.1项和投标人须知前附表的要求外，还应遵守以下规定： </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（1）联合体各方应按招标文件提供的格式签订联合体协议书，明确联合体牵头方和各方权利义务；</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（2）由同一专业的单位组成的联合体，按照资质等级较低的单位确定资质等级；</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（3）联合体各方不得再以自己名义单独或参加其他联合体在本招标项目中投标。</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1.4.3 投标人不得存在下列情形之一：</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（一）为招标人不具有独立法人资格的附属机构（单位）；</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（二）为本标段前期准备提供咨询服务或者与提供咨询服务的机构存在附属关系的（已公开项目建议书、可行性研究报告等前期成果文件的编制单位除外）；</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（三）为本标段监理人或者与本标段监理人存在隶属关系或者其他利害关系；</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（四）为本标段的代建人；</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（五）为本标段提供招标代理服务的；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（六）与本标段的监理人或代建人或招标代理机构同为一个法定代表人的；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（七）与本标段的监理人或代建人或招标代理机构互相控股或参股的；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（八）与本标段的监理人或代建人或招标代理机构相互任职或工作的；</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（九）与本标段的检测机构有隶属关系或者其他利害关系；</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（十）与招标人存在利害关系且可能影响招标公正性； </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（十二）被责令停产停业、暂扣或者吊销许可证、暂扣或者吊销执照的（本项事实应当以根据《中华人民共和国行政处罚法》依法作出并已经生效的行政处罚决定为认定依据。）；</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（十三）进入清算程序，或被宣布破产，或其他丧失履约能力的情形；</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（十五）法律法规规定的其他情形。</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1.4.4 单位负责人为同一人或者存在控股、管理关系的不同单位，不得同时参加本招标项目投标。</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89" w:name="_Toc356469182"/>
      <w:bookmarkEnd w:id="89"/>
      <w:bookmarkStart w:id="90" w:name="_Toc247513958"/>
      <w:bookmarkEnd w:id="90"/>
      <w:bookmarkStart w:id="91" w:name="_Toc357089516"/>
      <w:bookmarkEnd w:id="91"/>
      <w:bookmarkStart w:id="92" w:name="_Toc362816485"/>
      <w:bookmarkEnd w:id="92"/>
      <w:bookmarkStart w:id="93" w:name="_Toc247527559"/>
      <w:bookmarkEnd w:id="93"/>
      <w:bookmarkStart w:id="94" w:name="_Toc144974503"/>
      <w:bookmarkEnd w:id="94"/>
      <w:bookmarkStart w:id="95" w:name="_Toc152042311"/>
      <w:bookmarkEnd w:id="95"/>
      <w:bookmarkStart w:id="96" w:name="_Toc152045535"/>
      <w:bookmarkEnd w:id="96"/>
      <w:bookmarkStart w:id="97" w:name="_Toc300834955"/>
      <w:bookmarkEnd w:id="97"/>
      <w:bookmarkStart w:id="98" w:name="_Toc21668"/>
      <w:bookmarkStart w:id="99" w:name="_Toc5620301"/>
      <w:r>
        <w:rPr>
          <w:rFonts w:hint="eastAsia" w:ascii="宋体" w:hAnsi="宋体" w:eastAsia="宋体"/>
          <w:b/>
          <w:color w:val="000000" w:themeColor="text1"/>
          <w:sz w:val="24"/>
          <w:szCs w:val="24"/>
          <w:highlight w:val="none"/>
          <w14:textFill>
            <w14:solidFill>
              <w14:schemeClr w14:val="tx1"/>
            </w14:solidFill>
          </w14:textFill>
        </w:rPr>
        <w:t>1.5 费用承担和设计成果补偿</w:t>
      </w:r>
      <w:bookmarkEnd w:id="98"/>
      <w:bookmarkEnd w:id="99"/>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1.5.1 投标人准备和参加投标活动发生的费用自理。</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1.5.2 </w:t>
      </w:r>
      <w:r>
        <w:rPr>
          <w:rFonts w:hint="eastAsia" w:ascii="宋体" w:hAnsi="宋体" w:cs="宋体"/>
          <w:color w:val="000000" w:themeColor="text1"/>
          <w:kern w:val="1"/>
          <w:highlight w:val="none"/>
          <w:u w:val="single"/>
          <w14:textFill>
            <w14:solidFill>
              <w14:schemeClr w14:val="tx1"/>
            </w14:solidFill>
          </w14:textFill>
        </w:rPr>
        <w:t>招标人在征得未中标人的同意后有权免费使用未中标人设计成果。</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00" w:name="_Toc247527560"/>
      <w:bookmarkEnd w:id="100"/>
      <w:bookmarkStart w:id="101" w:name="_Toc247513959"/>
      <w:bookmarkEnd w:id="101"/>
      <w:bookmarkStart w:id="102" w:name="_Toc152042312"/>
      <w:bookmarkEnd w:id="102"/>
      <w:bookmarkStart w:id="103" w:name="_Toc300834956"/>
      <w:bookmarkEnd w:id="103"/>
      <w:bookmarkStart w:id="104" w:name="_Toc144974504"/>
      <w:bookmarkEnd w:id="104"/>
      <w:bookmarkStart w:id="105" w:name="_Toc357089517"/>
      <w:bookmarkEnd w:id="105"/>
      <w:bookmarkStart w:id="106" w:name="_Toc362816486"/>
      <w:bookmarkEnd w:id="106"/>
      <w:bookmarkStart w:id="107" w:name="_Toc152045536"/>
      <w:bookmarkEnd w:id="107"/>
      <w:bookmarkStart w:id="108" w:name="_Toc356469183"/>
      <w:bookmarkEnd w:id="108"/>
      <w:bookmarkStart w:id="109" w:name="_Toc14287"/>
      <w:bookmarkStart w:id="110" w:name="_Toc5620302"/>
      <w:r>
        <w:rPr>
          <w:rFonts w:hint="eastAsia" w:ascii="宋体" w:hAnsi="宋体" w:eastAsia="宋体"/>
          <w:b/>
          <w:color w:val="000000" w:themeColor="text1"/>
          <w:sz w:val="24"/>
          <w:szCs w:val="24"/>
          <w:highlight w:val="none"/>
          <w14:textFill>
            <w14:solidFill>
              <w14:schemeClr w14:val="tx1"/>
            </w14:solidFill>
          </w14:textFill>
        </w:rPr>
        <w:t>1.6 保密</w:t>
      </w:r>
      <w:bookmarkEnd w:id="109"/>
      <w:bookmarkEnd w:id="110"/>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参与招标投标活动的各方应对招标文件和投标文件中的商业和技术等秘密保密，否则应承担相应的法律责任。</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11" w:name="_Toc152042313"/>
      <w:bookmarkEnd w:id="111"/>
      <w:bookmarkStart w:id="112" w:name="_Toc247513960"/>
      <w:bookmarkEnd w:id="112"/>
      <w:bookmarkStart w:id="113" w:name="_Toc152045537"/>
      <w:bookmarkEnd w:id="113"/>
      <w:bookmarkStart w:id="114" w:name="_Toc357089518"/>
      <w:bookmarkEnd w:id="114"/>
      <w:bookmarkStart w:id="115" w:name="_Toc300834957"/>
      <w:bookmarkEnd w:id="115"/>
      <w:bookmarkStart w:id="116" w:name="_Toc362816487"/>
      <w:bookmarkEnd w:id="116"/>
      <w:bookmarkStart w:id="117" w:name="_Toc144974505"/>
      <w:bookmarkEnd w:id="117"/>
      <w:bookmarkStart w:id="118" w:name="_Toc247527561"/>
      <w:bookmarkEnd w:id="118"/>
      <w:bookmarkStart w:id="119" w:name="_Toc356469184"/>
      <w:bookmarkEnd w:id="119"/>
      <w:bookmarkStart w:id="120" w:name="_Toc5620303"/>
      <w:bookmarkStart w:id="121" w:name="_Toc23256"/>
      <w:r>
        <w:rPr>
          <w:rFonts w:hint="eastAsia" w:ascii="宋体" w:hAnsi="宋体" w:eastAsia="宋体"/>
          <w:b/>
          <w:color w:val="000000" w:themeColor="text1"/>
          <w:sz w:val="24"/>
          <w:szCs w:val="24"/>
          <w:highlight w:val="none"/>
          <w14:textFill>
            <w14:solidFill>
              <w14:schemeClr w14:val="tx1"/>
            </w14:solidFill>
          </w14:textFill>
        </w:rPr>
        <w:t>1.7 语言文字</w:t>
      </w:r>
      <w:bookmarkEnd w:id="120"/>
      <w:bookmarkEnd w:id="121"/>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招标投标文件使用的语言文字为中文。专用术语使用外文的，应附有中文注释。</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22" w:name="_Toc362816488"/>
      <w:bookmarkEnd w:id="122"/>
      <w:bookmarkStart w:id="123" w:name="_Toc152042314"/>
      <w:bookmarkEnd w:id="123"/>
      <w:bookmarkStart w:id="124" w:name="_Toc247527562"/>
      <w:bookmarkEnd w:id="124"/>
      <w:bookmarkStart w:id="125" w:name="_Toc152045538"/>
      <w:bookmarkEnd w:id="125"/>
      <w:bookmarkStart w:id="126" w:name="_Toc300834958"/>
      <w:bookmarkEnd w:id="126"/>
      <w:bookmarkStart w:id="127" w:name="_Toc357089519"/>
      <w:bookmarkEnd w:id="127"/>
      <w:bookmarkStart w:id="128" w:name="_Toc144974506"/>
      <w:bookmarkEnd w:id="128"/>
      <w:bookmarkStart w:id="129" w:name="_Toc356469185"/>
      <w:bookmarkEnd w:id="129"/>
      <w:bookmarkStart w:id="130" w:name="_Toc247513961"/>
      <w:bookmarkEnd w:id="130"/>
      <w:bookmarkStart w:id="131" w:name="_Toc5620304"/>
      <w:bookmarkStart w:id="132" w:name="_Toc9356"/>
      <w:r>
        <w:rPr>
          <w:rFonts w:hint="eastAsia" w:ascii="宋体" w:hAnsi="宋体" w:eastAsia="宋体"/>
          <w:b/>
          <w:color w:val="000000" w:themeColor="text1"/>
          <w:sz w:val="24"/>
          <w:szCs w:val="24"/>
          <w:highlight w:val="none"/>
          <w14:textFill>
            <w14:solidFill>
              <w14:schemeClr w14:val="tx1"/>
            </w14:solidFill>
          </w14:textFill>
        </w:rPr>
        <w:t>1.8 计量单位</w:t>
      </w:r>
      <w:bookmarkEnd w:id="131"/>
      <w:bookmarkEnd w:id="132"/>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1.8.1 所有计量均采用中华人民共和国法定计量单位。</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1.8.2 本工程投标报价采用的币种为人民币。</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33" w:name="_Toc247527563"/>
      <w:bookmarkEnd w:id="133"/>
      <w:bookmarkStart w:id="134" w:name="_Toc362816489"/>
      <w:bookmarkEnd w:id="134"/>
      <w:bookmarkStart w:id="135" w:name="_Toc152042315"/>
      <w:bookmarkEnd w:id="135"/>
      <w:bookmarkStart w:id="136" w:name="_Toc356469186"/>
      <w:bookmarkEnd w:id="136"/>
      <w:bookmarkStart w:id="137" w:name="_Toc247513962"/>
      <w:bookmarkEnd w:id="137"/>
      <w:bookmarkStart w:id="138" w:name="_Toc300834959"/>
      <w:bookmarkEnd w:id="138"/>
      <w:bookmarkStart w:id="139" w:name="_Toc357089520"/>
      <w:bookmarkEnd w:id="139"/>
      <w:bookmarkStart w:id="140" w:name="_Toc144974507"/>
      <w:bookmarkEnd w:id="140"/>
      <w:bookmarkStart w:id="141" w:name="_Toc152045539"/>
      <w:bookmarkEnd w:id="141"/>
      <w:bookmarkStart w:id="142" w:name="_Toc9654"/>
      <w:bookmarkStart w:id="143" w:name="_Toc5620305"/>
      <w:r>
        <w:rPr>
          <w:rFonts w:hint="eastAsia" w:ascii="宋体" w:hAnsi="宋体" w:eastAsia="宋体"/>
          <w:b/>
          <w:color w:val="000000" w:themeColor="text1"/>
          <w:sz w:val="24"/>
          <w:szCs w:val="24"/>
          <w:highlight w:val="none"/>
          <w14:textFill>
            <w14:solidFill>
              <w14:schemeClr w14:val="tx1"/>
            </w14:solidFill>
          </w14:textFill>
        </w:rPr>
        <w:t>1.9 踏勘现场</w:t>
      </w:r>
      <w:bookmarkEnd w:id="142"/>
      <w:bookmarkEnd w:id="143"/>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1.9.1 投标人须知前附表规定组织踏勘现场的，招标人按投标人须知前附表规定的时间、地点组织投标人踏勘项目现场。 </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1.9.2 投标人踏勘现场发生的费用自理。</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1.9.3 除招标人的原因外，投标人自行负责在踏勘现场中所发生的人员伤亡和财产损失。</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1.9.4</w:t>
      </w:r>
      <w:r>
        <w:rPr>
          <w:rFonts w:hint="eastAsia" w:ascii="宋体" w:hAnsi="宋体" w:cs="宋体"/>
          <w:color w:val="000000" w:themeColor="text1"/>
          <w:kern w:val="1"/>
          <w:highlight w:val="none"/>
          <w:u w:val="single"/>
          <w14:textFill>
            <w14:solidFill>
              <w14:schemeClr w14:val="tx1"/>
            </w14:solidFill>
          </w14:textFill>
        </w:rPr>
        <w:t>现场由投标人自行踏勘，投标人不进行踏勘的，视为已熟知现场条件，自行承担相关风险。招标人不对投标人自行踏勘现场作出的判断和决策负责。</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44" w:name="_Toc362816490"/>
      <w:bookmarkEnd w:id="144"/>
      <w:bookmarkStart w:id="145" w:name="_Toc247527564"/>
      <w:bookmarkEnd w:id="145"/>
      <w:bookmarkStart w:id="146" w:name="_Toc144974508"/>
      <w:bookmarkEnd w:id="146"/>
      <w:bookmarkStart w:id="147" w:name="_Toc152042316"/>
      <w:bookmarkEnd w:id="147"/>
      <w:bookmarkStart w:id="148" w:name="_Toc357089521"/>
      <w:bookmarkEnd w:id="148"/>
      <w:bookmarkStart w:id="149" w:name="_Toc247513963"/>
      <w:bookmarkEnd w:id="149"/>
      <w:bookmarkStart w:id="150" w:name="_Toc152045540"/>
      <w:bookmarkEnd w:id="150"/>
      <w:bookmarkStart w:id="151" w:name="_Toc356469187"/>
      <w:bookmarkEnd w:id="151"/>
      <w:bookmarkStart w:id="152" w:name="_Toc300834960"/>
      <w:bookmarkEnd w:id="152"/>
      <w:bookmarkStart w:id="153" w:name="_Toc25429"/>
      <w:bookmarkStart w:id="154" w:name="_Toc5620306"/>
      <w:r>
        <w:rPr>
          <w:rFonts w:hint="eastAsia" w:ascii="宋体" w:hAnsi="宋体" w:eastAsia="宋体"/>
          <w:b/>
          <w:color w:val="000000" w:themeColor="text1"/>
          <w:sz w:val="24"/>
          <w:szCs w:val="24"/>
          <w:highlight w:val="none"/>
          <w14:textFill>
            <w14:solidFill>
              <w14:schemeClr w14:val="tx1"/>
            </w14:solidFill>
          </w14:textFill>
        </w:rPr>
        <w:t>1.10 投标预备会</w:t>
      </w:r>
      <w:bookmarkEnd w:id="153"/>
      <w:bookmarkEnd w:id="154"/>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1.10.1</w:t>
      </w:r>
      <w:r>
        <w:rPr>
          <w:rFonts w:hint="eastAsia" w:ascii="宋体" w:hAnsi="宋体" w:cs="宋体"/>
          <w:color w:val="000000" w:themeColor="text1"/>
          <w:kern w:val="1"/>
          <w:highlight w:val="none"/>
          <w:u w:val="single"/>
          <w14:textFill>
            <w14:solidFill>
              <w14:schemeClr w14:val="tx1"/>
            </w14:solidFill>
          </w14:textFill>
        </w:rPr>
        <w:t>本项目不召开投标预备会。</w:t>
      </w:r>
      <w:r>
        <w:rPr>
          <w:rFonts w:hint="eastAsia" w:ascii="宋体" w:hAnsi="宋体" w:cs="宋体"/>
          <w:color w:val="000000" w:themeColor="text1"/>
          <w:szCs w:val="21"/>
          <w:highlight w:val="none"/>
          <w:u w:val="single"/>
          <w14:textFill>
            <w14:solidFill>
              <w14:schemeClr w14:val="tx1"/>
            </w14:solidFill>
          </w14:textFill>
        </w:rPr>
        <w:t>投标人对本项目有疑问，应在投标人须知前附表1</w:t>
      </w:r>
      <w:r>
        <w:rPr>
          <w:rFonts w:ascii="宋体" w:hAnsi="宋体" w:cs="宋体"/>
          <w:color w:val="000000" w:themeColor="text1"/>
          <w:szCs w:val="21"/>
          <w:highlight w:val="none"/>
          <w:u w:val="single"/>
          <w14:textFill>
            <w14:solidFill>
              <w14:schemeClr w14:val="tx1"/>
            </w14:solidFill>
          </w14:textFill>
        </w:rPr>
        <w:t>.10.2</w:t>
      </w:r>
      <w:r>
        <w:rPr>
          <w:rFonts w:hint="eastAsia" w:ascii="宋体" w:hAnsi="宋体" w:cs="宋体"/>
          <w:color w:val="000000" w:themeColor="text1"/>
          <w:szCs w:val="21"/>
          <w:highlight w:val="none"/>
          <w:u w:val="single"/>
          <w14:textFill>
            <w14:solidFill>
              <w14:schemeClr w14:val="tx1"/>
            </w14:solidFill>
          </w14:textFill>
        </w:rPr>
        <w:t>规定的时间内，通过登录广州交易集团有限公司（广州公共资源交易中心）网站交易系统将问题提交给招标人或招标代理人。</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w:t>
      </w:r>
      <w:r>
        <w:rPr>
          <w:rFonts w:ascii="宋体" w:hAnsi="宋体" w:cs="宋体"/>
          <w:color w:val="000000" w:themeColor="text1"/>
          <w:kern w:val="1"/>
          <w:highlight w:val="none"/>
          <w14:textFill>
            <w14:solidFill>
              <w14:schemeClr w14:val="tx1"/>
            </w14:solidFill>
          </w14:textFill>
        </w:rPr>
        <w:t xml:space="preserve">.10.2 </w:t>
      </w:r>
      <w:r>
        <w:rPr>
          <w:rFonts w:hint="eastAsia" w:ascii="宋体" w:hAnsi="宋体" w:cs="宋体"/>
          <w:color w:val="000000" w:themeColor="text1"/>
          <w:kern w:val="1"/>
          <w:highlight w:val="none"/>
          <w:u w:val="single"/>
          <w14:textFill>
            <w14:solidFill>
              <w14:schemeClr w14:val="tx1"/>
            </w14:solidFill>
          </w14:textFill>
        </w:rPr>
        <w:t>招标答疑方式按投标人须知前附表规定。</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55" w:name="_Toc300834961"/>
      <w:bookmarkEnd w:id="155"/>
      <w:bookmarkStart w:id="156" w:name="_Toc362816491"/>
      <w:bookmarkEnd w:id="156"/>
      <w:bookmarkStart w:id="157" w:name="_Toc356469188"/>
      <w:bookmarkEnd w:id="157"/>
      <w:bookmarkStart w:id="158" w:name="_Toc357089522"/>
      <w:bookmarkEnd w:id="158"/>
      <w:bookmarkStart w:id="159" w:name="_Toc152045541"/>
      <w:bookmarkEnd w:id="159"/>
      <w:bookmarkStart w:id="160" w:name="_Toc247513964"/>
      <w:bookmarkEnd w:id="160"/>
      <w:bookmarkStart w:id="161" w:name="_Toc152042317"/>
      <w:bookmarkEnd w:id="161"/>
      <w:bookmarkStart w:id="162" w:name="_Toc247527565"/>
      <w:bookmarkEnd w:id="162"/>
      <w:bookmarkStart w:id="163" w:name="_Toc144974509"/>
      <w:bookmarkEnd w:id="163"/>
      <w:bookmarkStart w:id="164" w:name="_Toc4945"/>
      <w:bookmarkStart w:id="165" w:name="_Toc5620307"/>
      <w:r>
        <w:rPr>
          <w:rFonts w:hint="eastAsia" w:ascii="宋体" w:hAnsi="宋体" w:eastAsia="宋体"/>
          <w:b/>
          <w:color w:val="000000" w:themeColor="text1"/>
          <w:sz w:val="24"/>
          <w:szCs w:val="24"/>
          <w:highlight w:val="none"/>
          <w14:textFill>
            <w14:solidFill>
              <w14:schemeClr w14:val="tx1"/>
            </w14:solidFill>
          </w14:textFill>
        </w:rPr>
        <w:t>1.11 分包</w:t>
      </w:r>
      <w:bookmarkEnd w:id="164"/>
      <w:bookmarkEnd w:id="165"/>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1.11.1 投标人须知前附表规定应当由分包人实施的非主体、非关键性工作，投标人应当按照</w:t>
      </w:r>
      <w:r>
        <w:rPr>
          <w:rFonts w:hint="eastAsia" w:ascii="宋体" w:hAnsi="宋体" w:cs="宋体"/>
          <w:color w:val="000000" w:themeColor="text1"/>
          <w:kern w:val="1"/>
          <w:highlight w:val="none"/>
          <w:u w:val="single"/>
          <w14:textFill>
            <w14:solidFill>
              <w14:schemeClr w14:val="tx1"/>
            </w14:solidFill>
          </w14:textFill>
        </w:rPr>
        <w:t>第五章“招标人要求”</w:t>
      </w:r>
      <w:r>
        <w:rPr>
          <w:rFonts w:hint="eastAsia" w:ascii="宋体" w:hAnsi="宋体" w:cs="宋体"/>
          <w:color w:val="000000" w:themeColor="text1"/>
          <w:kern w:val="1"/>
          <w:highlight w:val="none"/>
          <w14:textFill>
            <w14:solidFill>
              <w14:schemeClr w14:val="tx1"/>
            </w14:solidFill>
          </w14:textFill>
        </w:rPr>
        <w:t>的规定提供分包人侯选名单及其相应资料。</w:t>
      </w:r>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1.11.2 招标人允许投标人在中标后将中标项目的部分非主体、非关键性工作进行分包的，应符合投标人须知前附表规定的分包内容、资质要求等限制性条件。</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66" w:name="_Toc356469189"/>
      <w:bookmarkEnd w:id="166"/>
      <w:bookmarkStart w:id="167" w:name="_Toc247513965"/>
      <w:bookmarkEnd w:id="167"/>
      <w:bookmarkStart w:id="168" w:name="_Toc247527566"/>
      <w:bookmarkEnd w:id="168"/>
      <w:bookmarkStart w:id="169" w:name="_Toc362816492"/>
      <w:bookmarkEnd w:id="169"/>
      <w:bookmarkStart w:id="170" w:name="_Toc300834962"/>
      <w:bookmarkEnd w:id="170"/>
      <w:bookmarkStart w:id="171" w:name="_Toc357089523"/>
      <w:bookmarkEnd w:id="171"/>
      <w:bookmarkStart w:id="172" w:name="_Toc1093"/>
      <w:bookmarkStart w:id="173" w:name="_Toc5620308"/>
      <w:r>
        <w:rPr>
          <w:rFonts w:hint="eastAsia" w:ascii="宋体" w:hAnsi="宋体" w:eastAsia="宋体"/>
          <w:b/>
          <w:color w:val="000000" w:themeColor="text1"/>
          <w:sz w:val="24"/>
          <w:szCs w:val="24"/>
          <w:highlight w:val="none"/>
          <w14:textFill>
            <w14:solidFill>
              <w14:schemeClr w14:val="tx1"/>
            </w14:solidFill>
          </w14:textFill>
        </w:rPr>
        <w:t>1.12 偏离</w:t>
      </w:r>
      <w:bookmarkEnd w:id="172"/>
      <w:bookmarkEnd w:id="173"/>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投标人须知前附表允许投标文件偏离招标文件某些要求的，偏离应当符合招标文件规定的偏离范围和幅度。</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174" w:name="_Toc247527567"/>
      <w:bookmarkEnd w:id="174"/>
      <w:bookmarkStart w:id="175" w:name="_Toc23951"/>
      <w:bookmarkEnd w:id="175"/>
      <w:bookmarkStart w:id="176" w:name="_Toc152042318"/>
      <w:bookmarkEnd w:id="176"/>
      <w:bookmarkStart w:id="177" w:name="_Toc443505823"/>
      <w:bookmarkEnd w:id="177"/>
      <w:bookmarkStart w:id="178" w:name="_Toc362816493"/>
      <w:bookmarkEnd w:id="178"/>
      <w:bookmarkStart w:id="179" w:name="_Toc25799"/>
      <w:bookmarkEnd w:id="179"/>
      <w:bookmarkStart w:id="180" w:name="_Toc300834963"/>
      <w:bookmarkEnd w:id="180"/>
      <w:bookmarkStart w:id="181" w:name="_Toc357089524"/>
      <w:bookmarkEnd w:id="181"/>
      <w:bookmarkStart w:id="182" w:name="_Toc144974510"/>
      <w:bookmarkEnd w:id="182"/>
      <w:bookmarkStart w:id="183" w:name="_Toc247513966"/>
      <w:bookmarkEnd w:id="183"/>
      <w:bookmarkStart w:id="184" w:name="_Toc152045542"/>
      <w:bookmarkEnd w:id="184"/>
      <w:bookmarkStart w:id="185" w:name="_Toc15458"/>
      <w:bookmarkStart w:id="186" w:name="_Toc5620309"/>
      <w:r>
        <w:rPr>
          <w:rFonts w:hint="eastAsia" w:ascii="宋体" w:hAnsi="宋体" w:eastAsia="宋体" w:cs="宋体"/>
          <w:color w:val="000000" w:themeColor="text1"/>
          <w:highlight w:val="none"/>
          <w:lang w:val="zh-CN"/>
          <w14:textFill>
            <w14:solidFill>
              <w14:schemeClr w14:val="tx1"/>
            </w14:solidFill>
          </w14:textFill>
        </w:rPr>
        <w:t>2. 招标文件</w:t>
      </w:r>
      <w:bookmarkEnd w:id="185"/>
      <w:bookmarkEnd w:id="186"/>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87" w:name="_Toc247513967"/>
      <w:bookmarkEnd w:id="187"/>
      <w:bookmarkStart w:id="188" w:name="_Toc152042319"/>
      <w:bookmarkEnd w:id="188"/>
      <w:bookmarkStart w:id="189" w:name="_Toc152045543"/>
      <w:bookmarkEnd w:id="189"/>
      <w:bookmarkStart w:id="190" w:name="_Toc357089525"/>
      <w:bookmarkEnd w:id="190"/>
      <w:bookmarkStart w:id="191" w:name="_Toc247527568"/>
      <w:bookmarkEnd w:id="191"/>
      <w:bookmarkStart w:id="192" w:name="_Toc300834964"/>
      <w:bookmarkEnd w:id="192"/>
      <w:bookmarkStart w:id="193" w:name="_Toc356469191"/>
      <w:bookmarkEnd w:id="193"/>
      <w:bookmarkStart w:id="194" w:name="_Toc144974511"/>
      <w:bookmarkEnd w:id="194"/>
      <w:bookmarkStart w:id="195" w:name="_Toc362816494"/>
      <w:bookmarkEnd w:id="195"/>
      <w:bookmarkStart w:id="196" w:name="_Toc2576"/>
      <w:bookmarkStart w:id="197" w:name="_Toc5620310"/>
      <w:r>
        <w:rPr>
          <w:rFonts w:hint="eastAsia" w:ascii="宋体" w:hAnsi="宋体" w:eastAsia="宋体"/>
          <w:b/>
          <w:color w:val="000000" w:themeColor="text1"/>
          <w:sz w:val="24"/>
          <w:szCs w:val="24"/>
          <w:highlight w:val="none"/>
          <w14:textFill>
            <w14:solidFill>
              <w14:schemeClr w14:val="tx1"/>
            </w14:solidFill>
          </w14:textFill>
        </w:rPr>
        <w:t>2.1 招标文件的组成</w:t>
      </w:r>
      <w:bookmarkEnd w:id="196"/>
      <w:bookmarkEnd w:id="197"/>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2.1.1本招标文件包括：</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（1）招标公告；</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（2）投标人须知；</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（3）评标办法；</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（4）合同条款及格式；</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招标人要求</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招标人提供的资料</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（7）投标文件格式；</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（8）</w:t>
      </w:r>
      <w:r>
        <w:rPr>
          <w:rFonts w:hint="eastAsia" w:ascii="宋体" w:hAnsi="宋体" w:cs="宋体"/>
          <w:color w:val="000000" w:themeColor="text1"/>
          <w:kern w:val="1"/>
          <w:highlight w:val="none"/>
          <w:u w:val="single"/>
          <w14:textFill>
            <w14:solidFill>
              <w14:schemeClr w14:val="tx1"/>
            </w14:solidFill>
          </w14:textFill>
        </w:rPr>
        <w:t>招标控制价细项汇总表</w:t>
      </w:r>
      <w:r>
        <w:rPr>
          <w:rFonts w:hint="eastAsia" w:ascii="宋体" w:hAnsi="宋体" w:cs="宋体"/>
          <w:color w:val="000000" w:themeColor="text1"/>
          <w:kern w:val="1"/>
          <w:highlight w:val="none"/>
          <w14:textFill>
            <w14:solidFill>
              <w14:schemeClr w14:val="tx1"/>
            </w14:solidFill>
          </w14:textFill>
        </w:rPr>
        <w:t>。</w:t>
      </w:r>
    </w:p>
    <w:p>
      <w:pPr>
        <w:shd w:val="clear"/>
        <w:spacing w:line="360" w:lineRule="auto"/>
        <w:ind w:firstLine="359"/>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2.1.2根据本章第1.10款、第2.2款和第2.3款对招标文件所作的澄清、修改，构成招标文件的组成部分。</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198" w:name="_Toc247527569"/>
      <w:bookmarkEnd w:id="198"/>
      <w:bookmarkStart w:id="199" w:name="_Toc144974512"/>
      <w:bookmarkEnd w:id="199"/>
      <w:bookmarkStart w:id="200" w:name="_Toc362816495"/>
      <w:bookmarkEnd w:id="200"/>
      <w:bookmarkStart w:id="201" w:name="_Toc247513968"/>
      <w:bookmarkEnd w:id="201"/>
      <w:bookmarkStart w:id="202" w:name="_Toc152045544"/>
      <w:bookmarkEnd w:id="202"/>
      <w:bookmarkStart w:id="203" w:name="_Toc152042320"/>
      <w:bookmarkEnd w:id="203"/>
      <w:bookmarkStart w:id="204" w:name="_Toc356469192"/>
      <w:bookmarkEnd w:id="204"/>
      <w:bookmarkStart w:id="205" w:name="_Toc357089526"/>
      <w:bookmarkEnd w:id="205"/>
      <w:bookmarkStart w:id="206" w:name="_Toc300834965"/>
      <w:bookmarkEnd w:id="206"/>
      <w:bookmarkStart w:id="207" w:name="_Toc5620311"/>
      <w:bookmarkStart w:id="208" w:name="_Toc14885"/>
      <w:r>
        <w:rPr>
          <w:rFonts w:hint="eastAsia" w:ascii="宋体" w:hAnsi="宋体" w:eastAsia="宋体"/>
          <w:b/>
          <w:color w:val="000000" w:themeColor="text1"/>
          <w:sz w:val="24"/>
          <w:szCs w:val="24"/>
          <w:highlight w:val="none"/>
          <w14:textFill>
            <w14:solidFill>
              <w14:schemeClr w14:val="tx1"/>
            </w14:solidFill>
          </w14:textFill>
        </w:rPr>
        <w:t>2.2 招标文件的澄清</w:t>
      </w:r>
      <w:bookmarkEnd w:id="207"/>
      <w:bookmarkEnd w:id="208"/>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投标人应仔细阅读和检查招标文件的全部内容。如发现缺页或附件不全，应及时向招标人提出，以便补齐。</w:t>
      </w:r>
      <w:r>
        <w:rPr>
          <w:rFonts w:hint="eastAsia" w:ascii="宋体" w:hAnsi="宋体" w:cs="宋体"/>
          <w:color w:val="000000" w:themeColor="text1"/>
          <w:kern w:val="1"/>
          <w:szCs w:val="21"/>
          <w:highlight w:val="none"/>
          <w:u w:val="single"/>
          <w14:textFill>
            <w14:solidFill>
              <w14:schemeClr w14:val="tx1"/>
            </w14:solidFill>
          </w14:textFill>
        </w:rPr>
        <w:t>如有疑问，可在投标人须知前附表规定的时间内通过广州交易集团有限公司（广州公共资源交易中心）网站交易系统将问题提交给招标人或招标代理人。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网上答疑的操作指南为：登陆广州交易集团有限公司（广州公共资源交易中心）网站交易系统→进入“我的投标”专区→进入“招标答疑”选项→通过项目编号或名称找到所需的项目→在答疑时间内点击“答疑提问-新增提问”→提出问题(提问一律不得署名)。</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w:t>
      </w:r>
      <w:r>
        <w:rPr>
          <w:rFonts w:hint="eastAsia" w:ascii="宋体" w:hAnsi="宋体" w:cs="宋体"/>
          <w:color w:val="000000" w:themeColor="text1"/>
          <w:kern w:val="1"/>
          <w:szCs w:val="21"/>
          <w:highlight w:val="none"/>
          <w:u w:val="single"/>
          <w14:textFill>
            <w14:solidFill>
              <w14:schemeClr w14:val="tx1"/>
            </w14:solidFill>
          </w14:textFill>
        </w:rPr>
        <w:t>招标人应在投标截止时间15日前解答投标人对招标文件提出的疑问，形成答疑纪要，并在广州交易集团有限公司（广州公共资源交易中心）网站“项目查询（日程安排、答疑纪要）”专区发布，</w:t>
      </w:r>
      <w:r>
        <w:rPr>
          <w:rFonts w:hint="eastAsia" w:ascii="宋体" w:hAnsi="宋体" w:cs="宋体"/>
          <w:color w:val="000000" w:themeColor="text1"/>
          <w:kern w:val="1"/>
          <w:szCs w:val="21"/>
          <w:highlight w:val="none"/>
          <w14:textFill>
            <w14:solidFill>
              <w14:schemeClr w14:val="tx1"/>
            </w14:solidFill>
          </w14:textFill>
        </w:rPr>
        <w:t>但不指明问题的来源。澄清发出的时间距本章第 4.2.1 项规定的投标截止时间不足 15 日的，并且澄清内容可能影响投标文件编制的，将相应延长投标截止时间。</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2.2.3</w:t>
      </w:r>
      <w:r>
        <w:rPr>
          <w:rFonts w:hint="eastAsia" w:ascii="宋体" w:hAnsi="宋体" w:cs="宋体"/>
          <w:color w:val="000000" w:themeColor="text1"/>
          <w:kern w:val="1"/>
          <w:szCs w:val="21"/>
          <w:highlight w:val="none"/>
          <w:u w:val="single"/>
          <w14:textFill>
            <w14:solidFill>
              <w14:schemeClr w14:val="tx1"/>
            </w14:solidFill>
          </w14:textFill>
        </w:rPr>
        <w:t>招标答疑纪要一经在广州交易集团有限公司（广州公共资源交易中心）网站发布，视作已发放给所有投标人。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2.2.4招标答疑纪要为招标文件的一部分。投标人可在广州交易集团有限公司（广州公共资源交易中心）网站浏览、下载招标答疑纪要。</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2.2.5若招标答疑纪要与招标文件有矛盾时，以广州交易集团有限公司（广州公共资源交易中心）网站最后发布的答疑纪要为准。</w:t>
      </w:r>
    </w:p>
    <w:p>
      <w:pPr>
        <w:pStyle w:val="5"/>
        <w:shd w:val="clear"/>
        <w:spacing w:line="360" w:lineRule="auto"/>
        <w:ind w:firstLine="118"/>
        <w:rPr>
          <w:rFonts w:ascii="宋体" w:hAnsi="宋体" w:eastAsia="宋体"/>
          <w:b/>
          <w:color w:val="000000" w:themeColor="text1"/>
          <w:sz w:val="24"/>
          <w:szCs w:val="24"/>
          <w:highlight w:val="none"/>
          <w14:textFill>
            <w14:solidFill>
              <w14:schemeClr w14:val="tx1"/>
            </w14:solidFill>
          </w14:textFill>
        </w:rPr>
      </w:pPr>
      <w:bookmarkStart w:id="209" w:name="_Toc357089527"/>
      <w:bookmarkEnd w:id="209"/>
      <w:bookmarkStart w:id="210" w:name="_Toc247513969"/>
      <w:bookmarkEnd w:id="210"/>
      <w:bookmarkStart w:id="211" w:name="_Toc356469193"/>
      <w:bookmarkEnd w:id="211"/>
      <w:bookmarkStart w:id="212" w:name="_Toc144974513"/>
      <w:bookmarkEnd w:id="212"/>
      <w:bookmarkStart w:id="213" w:name="_Toc362816496"/>
      <w:bookmarkEnd w:id="213"/>
      <w:bookmarkStart w:id="214" w:name="_Toc300834966"/>
      <w:bookmarkEnd w:id="214"/>
      <w:bookmarkStart w:id="215" w:name="_Toc152045545"/>
      <w:bookmarkEnd w:id="215"/>
      <w:bookmarkStart w:id="216" w:name="_Toc247527570"/>
      <w:bookmarkEnd w:id="216"/>
      <w:bookmarkStart w:id="217" w:name="_Toc152042321"/>
      <w:bookmarkEnd w:id="217"/>
      <w:bookmarkStart w:id="218" w:name="_Toc5620312"/>
      <w:bookmarkStart w:id="219" w:name="_Toc11509"/>
      <w:r>
        <w:rPr>
          <w:rFonts w:hint="eastAsia" w:ascii="宋体" w:hAnsi="宋体" w:eastAsia="宋体"/>
          <w:b/>
          <w:color w:val="000000" w:themeColor="text1"/>
          <w:sz w:val="24"/>
          <w:szCs w:val="24"/>
          <w:highlight w:val="none"/>
          <w14:textFill>
            <w14:solidFill>
              <w14:schemeClr w14:val="tx1"/>
            </w14:solidFill>
          </w14:textFill>
        </w:rPr>
        <w:t>2.3 招标文件的修改</w:t>
      </w:r>
      <w:bookmarkEnd w:id="218"/>
      <w:bookmarkEnd w:id="219"/>
    </w:p>
    <w:p>
      <w:pPr>
        <w:pStyle w:val="32"/>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w:t>
      </w:r>
      <w:r>
        <w:rPr>
          <w:rFonts w:hint="eastAsia" w:ascii="宋体" w:hAnsi="宋体" w:cs="宋体"/>
          <w:color w:val="000000" w:themeColor="text1"/>
          <w:szCs w:val="21"/>
          <w:highlight w:val="none"/>
          <w:u w:val="single"/>
          <w14:textFill>
            <w14:solidFill>
              <w14:schemeClr w14:val="tx1"/>
            </w14:solidFill>
          </w14:textFill>
        </w:rPr>
        <w:t>招标文件发出后,在提交投标文件截止时间15日前，招标人可对招标文件进行必要的澄清或修改。</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color w:val="000000" w:themeColor="text1"/>
          <w:szCs w:val="21"/>
          <w:highlight w:val="none"/>
          <w:u w:val="single"/>
          <w14:textFill>
            <w14:solidFill>
              <w14:schemeClr w14:val="tx1"/>
            </w14:solidFill>
          </w14:textFill>
        </w:rPr>
        <w:t>招标文件的澄清或修改在广州交易集团有限公司（广州公共资源交易中心）网站发布。招标文件的澄清或修改一经在广州公共资源交易中心网站发布，视作已发放给所有投标人，招标文件的修改内容作为招标文件的组成部分，具有约束作用。</w:t>
      </w:r>
    </w:p>
    <w:p>
      <w:pPr>
        <w:pStyle w:val="32"/>
        <w:shd w:val="clea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2.3.3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220" w:name="_Toc144974514"/>
      <w:bookmarkEnd w:id="220"/>
      <w:bookmarkStart w:id="221" w:name="_Toc247527571"/>
      <w:bookmarkEnd w:id="221"/>
      <w:bookmarkStart w:id="222" w:name="_Toc247513970"/>
      <w:bookmarkEnd w:id="222"/>
      <w:bookmarkStart w:id="223" w:name="_Toc152045546"/>
      <w:bookmarkEnd w:id="223"/>
      <w:bookmarkStart w:id="224" w:name="_Toc27122"/>
      <w:bookmarkEnd w:id="224"/>
      <w:bookmarkStart w:id="225" w:name="_Toc410240234"/>
      <w:bookmarkEnd w:id="225"/>
      <w:bookmarkStart w:id="226" w:name="_Toc362816497"/>
      <w:bookmarkEnd w:id="226"/>
      <w:bookmarkStart w:id="227" w:name="_Toc152042322"/>
      <w:bookmarkEnd w:id="227"/>
      <w:bookmarkStart w:id="228" w:name="_Toc443505825"/>
      <w:bookmarkEnd w:id="228"/>
      <w:bookmarkStart w:id="229" w:name="_Toc375931087"/>
      <w:bookmarkEnd w:id="229"/>
      <w:bookmarkStart w:id="230" w:name="_Toc357089528"/>
      <w:bookmarkEnd w:id="230"/>
      <w:bookmarkStart w:id="231" w:name="_Toc6320"/>
      <w:bookmarkEnd w:id="231"/>
      <w:bookmarkStart w:id="232" w:name="_Toc300834967"/>
      <w:bookmarkEnd w:id="232"/>
      <w:bookmarkStart w:id="233" w:name="_Toc5620313"/>
      <w:bookmarkStart w:id="234" w:name="_Toc8206"/>
      <w:r>
        <w:rPr>
          <w:rFonts w:hint="eastAsia" w:ascii="宋体" w:hAnsi="宋体" w:eastAsia="宋体" w:cs="宋体"/>
          <w:color w:val="000000" w:themeColor="text1"/>
          <w:highlight w:val="none"/>
          <w:lang w:val="zh-CN"/>
          <w14:textFill>
            <w14:solidFill>
              <w14:schemeClr w14:val="tx1"/>
            </w14:solidFill>
          </w14:textFill>
        </w:rPr>
        <w:t>3. 投标文件</w:t>
      </w:r>
      <w:bookmarkEnd w:id="233"/>
      <w:bookmarkEnd w:id="234"/>
    </w:p>
    <w:p>
      <w:pPr>
        <w:pStyle w:val="5"/>
        <w:shd w:val="clear"/>
        <w:spacing w:line="360" w:lineRule="auto"/>
        <w:rPr>
          <w:rFonts w:ascii="宋体" w:hAnsi="宋体" w:eastAsia="宋体"/>
          <w:b/>
          <w:bCs/>
          <w:color w:val="000000" w:themeColor="text1"/>
          <w:sz w:val="24"/>
          <w:szCs w:val="24"/>
          <w:highlight w:val="none"/>
          <w14:textFill>
            <w14:solidFill>
              <w14:schemeClr w14:val="tx1"/>
            </w14:solidFill>
          </w14:textFill>
        </w:rPr>
      </w:pPr>
      <w:bookmarkStart w:id="235" w:name="_Toc152045547"/>
      <w:bookmarkEnd w:id="235"/>
      <w:bookmarkStart w:id="236" w:name="_Toc247513971"/>
      <w:bookmarkEnd w:id="236"/>
      <w:bookmarkStart w:id="237" w:name="_Toc357089529"/>
      <w:bookmarkEnd w:id="237"/>
      <w:bookmarkStart w:id="238" w:name="_Toc247527572"/>
      <w:bookmarkEnd w:id="238"/>
      <w:bookmarkStart w:id="239" w:name="_Toc144974515"/>
      <w:bookmarkEnd w:id="239"/>
      <w:bookmarkStart w:id="240" w:name="_Toc300834968"/>
      <w:bookmarkEnd w:id="240"/>
      <w:bookmarkStart w:id="241" w:name="_Toc362816498"/>
      <w:bookmarkEnd w:id="241"/>
      <w:bookmarkStart w:id="242" w:name="_Toc152042323"/>
      <w:bookmarkEnd w:id="242"/>
      <w:bookmarkStart w:id="243" w:name="_Toc356469195"/>
      <w:bookmarkEnd w:id="243"/>
      <w:bookmarkStart w:id="244" w:name="_Toc9754"/>
      <w:bookmarkStart w:id="245" w:name="_Toc5620314"/>
      <w:r>
        <w:rPr>
          <w:rFonts w:hint="eastAsia" w:ascii="宋体" w:hAnsi="宋体" w:eastAsia="宋体"/>
          <w:b/>
          <w:bCs/>
          <w:color w:val="000000" w:themeColor="text1"/>
          <w:sz w:val="24"/>
          <w:szCs w:val="24"/>
          <w:highlight w:val="none"/>
          <w14:textFill>
            <w14:solidFill>
              <w14:schemeClr w14:val="tx1"/>
            </w14:solidFill>
          </w14:textFill>
        </w:rPr>
        <w:t>3.1 投标文件的组成</w:t>
      </w:r>
      <w:bookmarkEnd w:id="244"/>
      <w:bookmarkEnd w:id="245"/>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3.1.1投标文件由资格审查文件、设计方案投标文件、工程总承包实施方案技术投标文件、工程总承包实施方案经济投标文件四部分组成。</w:t>
      </w:r>
    </w:p>
    <w:p>
      <w:pPr>
        <w:shd w:val="clear"/>
        <w:spacing w:before="120" w:line="360" w:lineRule="auto"/>
        <w:ind w:firstLine="420"/>
        <w:rPr>
          <w:rFonts w:ascii="宋体" w:hAnsi="宋体" w:cs="宋体"/>
          <w:b/>
          <w:bCs/>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3.1.2资格审查文件</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主要包括下列内容：</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（1）封面：写明项目名称、资格审查文件、投标人单位及年月日；加盖投标人电子印章（联合体投标的，“投标人”一栏需书写所有联合体成员的单位全称，由牵头方签署、盖章）；</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）按照招标公告附件一</w:t>
      </w:r>
      <w:bookmarkStart w:id="246" w:name="_Toc245024004"/>
      <w:bookmarkStart w:id="247" w:name="_Toc439245992"/>
      <w:bookmarkStart w:id="248" w:name="_Toc249845976"/>
      <w:bookmarkStart w:id="249" w:name="_Toc253143223"/>
      <w:bookmarkStart w:id="250" w:name="_Toc266881404"/>
      <w:bookmarkStart w:id="251" w:name="_Toc249846231"/>
      <w:bookmarkStart w:id="252" w:name="_Toc266093552"/>
      <w:r>
        <w:rPr>
          <w:rFonts w:hint="eastAsia" w:ascii="宋体" w:hAnsi="宋体" w:cs="宋体"/>
          <w:color w:val="000000" w:themeColor="text1"/>
          <w:szCs w:val="21"/>
          <w:highlight w:val="none"/>
          <w14:textFill>
            <w14:solidFill>
              <w14:schemeClr w14:val="tx1"/>
            </w14:solidFill>
          </w14:textFill>
        </w:rPr>
        <w:t>：《资格审查资料及其他取自广州市住建行业信用管理平台登记的信息一览表</w:t>
      </w:r>
      <w:bookmarkEnd w:id="246"/>
      <w:bookmarkEnd w:id="247"/>
      <w:bookmarkEnd w:id="248"/>
      <w:bookmarkEnd w:id="249"/>
      <w:bookmarkEnd w:id="250"/>
      <w:bookmarkEnd w:id="251"/>
      <w:bookmarkEnd w:id="252"/>
      <w:r>
        <w:rPr>
          <w:rFonts w:hint="eastAsia" w:ascii="宋体" w:hAnsi="宋体" w:cs="宋体"/>
          <w:color w:val="000000" w:themeColor="text1"/>
          <w:szCs w:val="21"/>
          <w:highlight w:val="none"/>
          <w14:textFill>
            <w14:solidFill>
              <w14:schemeClr w14:val="tx1"/>
            </w14:solidFill>
          </w14:textFill>
        </w:rPr>
        <w:t>》进行编制的所有资料。</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）满足招标公告中投标人合格条件的其他资料。</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合格条件第3.4项的信用档案取自平台内的信息）。若招标人延长递交投标文件截止时间的，以上资料的评审时点也相应延长。投标人应及时维护其在广州市住建行业信用管理平台登记的信息及上传件，确保各项信息及上传件在有效期内。</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2）未在招标公告第3条单列的资审合格条件，不作为资审不合格的依据。</w:t>
      </w:r>
    </w:p>
    <w:p>
      <w:pPr>
        <w:shd w:val="clear"/>
        <w:spacing w:before="120" w:line="360" w:lineRule="auto"/>
        <w:ind w:firstLine="420"/>
        <w:rPr>
          <w:rFonts w:ascii="宋体" w:hAnsi="宋体" w:cs="宋体"/>
          <w:b/>
          <w:bCs/>
          <w:color w:val="000000" w:themeColor="text1"/>
          <w:kern w:val="1"/>
          <w:szCs w:val="21"/>
          <w:highlight w:val="none"/>
          <w14:textFill>
            <w14:solidFill>
              <w14:schemeClr w14:val="tx1"/>
            </w14:solidFill>
          </w14:textFill>
        </w:rPr>
      </w:pPr>
      <w:bookmarkStart w:id="253" w:name="_Toc5620315"/>
      <w:r>
        <w:rPr>
          <w:rFonts w:hint="eastAsia" w:ascii="宋体" w:hAnsi="宋体" w:cs="宋体"/>
          <w:b/>
          <w:bCs/>
          <w:color w:val="000000" w:themeColor="text1"/>
          <w:kern w:val="1"/>
          <w:szCs w:val="21"/>
          <w:highlight w:val="none"/>
          <w14:textFill>
            <w14:solidFill>
              <w14:schemeClr w14:val="tx1"/>
            </w14:solidFill>
          </w14:textFill>
        </w:rPr>
        <w:t>3</w:t>
      </w:r>
      <w:r>
        <w:rPr>
          <w:rFonts w:ascii="宋体" w:hAnsi="宋体" w:cs="宋体"/>
          <w:b/>
          <w:bCs/>
          <w:color w:val="000000" w:themeColor="text1"/>
          <w:kern w:val="1"/>
          <w:szCs w:val="21"/>
          <w:highlight w:val="none"/>
          <w14:textFill>
            <w14:solidFill>
              <w14:schemeClr w14:val="tx1"/>
            </w14:solidFill>
          </w14:textFill>
        </w:rPr>
        <w:t>.1.3</w:t>
      </w:r>
      <w:r>
        <w:rPr>
          <w:rFonts w:hint="eastAsia" w:ascii="宋体" w:hAnsi="宋体" w:cs="宋体"/>
          <w:b/>
          <w:bCs/>
          <w:color w:val="000000" w:themeColor="text1"/>
          <w:kern w:val="1"/>
          <w:szCs w:val="21"/>
          <w:highlight w:val="none"/>
          <w14:textFill>
            <w14:solidFill>
              <w14:schemeClr w14:val="tx1"/>
            </w14:solidFill>
          </w14:textFill>
        </w:rPr>
        <w:t>设计方案投标文件</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设计方案中不得出现可以辨认投标人及专业技术人员身份的名称、印章、商标、图形等记认符号，也不得通过明标、暗标中包含的相同内容（如报价等）互相印证、辨认投标人身份。内容包括：</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（1）封面：标明项目名称、“投标文件（设计方案）”字样、编制时间</w:t>
      </w:r>
    </w:p>
    <w:p>
      <w:pPr>
        <w:pStyle w:val="32"/>
        <w:shd w:val="clear"/>
        <w:spacing w:line="360" w:lineRule="auto"/>
        <w:ind w:left="-1"/>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（2）目录（须编制页码）</w:t>
      </w:r>
    </w:p>
    <w:p>
      <w:pPr>
        <w:shd w:val="clear"/>
        <w:spacing w:before="120" w:line="360" w:lineRule="auto"/>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（3）设计方案。</w:t>
      </w:r>
    </w:p>
    <w:p>
      <w:pPr>
        <w:shd w:val="clear"/>
        <w:spacing w:before="120" w:line="360" w:lineRule="auto"/>
        <w:ind w:firstLine="420"/>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14:textFill>
            <w14:solidFill>
              <w14:schemeClr w14:val="tx1"/>
            </w14:solidFill>
          </w14:textFill>
        </w:rPr>
        <w:t>3.1.</w:t>
      </w:r>
      <w:bookmarkStart w:id="254" w:name="_Hlk55920752"/>
      <w:bookmarkStart w:id="255" w:name="_Hlk56585161"/>
      <w:r>
        <w:rPr>
          <w:rFonts w:ascii="宋体" w:hAnsi="宋体" w:cs="宋体"/>
          <w:b/>
          <w:bCs/>
          <w:color w:val="000000" w:themeColor="text1"/>
          <w:kern w:val="1"/>
          <w:szCs w:val="21"/>
          <w:highlight w:val="none"/>
          <w14:textFill>
            <w14:solidFill>
              <w14:schemeClr w14:val="tx1"/>
            </w14:solidFill>
          </w14:textFill>
        </w:rPr>
        <w:t>4</w:t>
      </w:r>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54"/>
      <w:r>
        <w:rPr>
          <w:rFonts w:hint="eastAsia" w:ascii="宋体" w:hAnsi="宋体" w:cs="宋体"/>
          <w:b/>
          <w:color w:val="000000" w:themeColor="text1"/>
          <w:kern w:val="1"/>
          <w:szCs w:val="21"/>
          <w:highlight w:val="none"/>
          <w14:textFill>
            <w14:solidFill>
              <w14:schemeClr w14:val="tx1"/>
            </w14:solidFill>
          </w14:textFill>
        </w:rPr>
        <w:t>技术投标文件</w:t>
      </w:r>
      <w:bookmarkEnd w:id="255"/>
    </w:p>
    <w:p>
      <w:pPr>
        <w:shd w:val="clear"/>
        <w:spacing w:line="360" w:lineRule="auto"/>
        <w:ind w:left="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应包含但不限于以下内容：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（1）封面：</w:t>
      </w:r>
      <w:bookmarkStart w:id="256" w:name="_Hlk56347369"/>
      <w:r>
        <w:rPr>
          <w:rFonts w:hint="eastAsia" w:ascii="宋体" w:hAnsi="宋体" w:cs="宋体"/>
          <w:color w:val="000000" w:themeColor="text1"/>
          <w:kern w:val="1"/>
          <w:szCs w:val="21"/>
          <w:highlight w:val="none"/>
          <w14:textFill>
            <w14:solidFill>
              <w14:schemeClr w14:val="tx1"/>
            </w14:solidFill>
          </w14:textFill>
        </w:rPr>
        <w:t>写明项目名称、工程总承包实施方案技术投标文件、投标人单位及年月日；加盖投标人电子印章（联合体投标的，“投标人”一栏需书写所有联合体成员的单位全称，由牵头方签署、盖章）；</w:t>
      </w:r>
      <w:bookmarkEnd w:id="256"/>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）目录；</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kern w:val="1"/>
          <w:szCs w:val="21"/>
          <w:highlight w:val="none"/>
          <w14:textFill>
            <w14:solidFill>
              <w14:schemeClr w14:val="tx1"/>
            </w14:solidFill>
          </w14:textFill>
        </w:rPr>
        <w:t>(按招标文件的要求填写)；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）《勘察设计投标书》；(按招标文件的要求填写)</w:t>
      </w:r>
      <w:r>
        <w:rPr>
          <w:rFonts w:ascii="宋体" w:hAnsi="宋体" w:cs="宋体"/>
          <w:color w:val="000000" w:themeColor="text1"/>
          <w:kern w:val="1"/>
          <w:szCs w:val="21"/>
          <w:highlight w:val="none"/>
          <w14:textFill>
            <w14:solidFill>
              <w14:schemeClr w14:val="tx1"/>
            </w14:solidFill>
          </w14:textFill>
        </w:rPr>
        <w:t xml:space="preserve"> </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（5）《技术投标书》；（按招标文件的要求填写）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6</w:t>
      </w:r>
      <w:r>
        <w:rPr>
          <w:rFonts w:hint="eastAsia" w:ascii="宋体" w:hAnsi="宋体" w:cs="宋体"/>
          <w:color w:val="000000" w:themeColor="text1"/>
          <w:kern w:val="1"/>
          <w:szCs w:val="21"/>
          <w:highlight w:val="none"/>
          <w14:textFill>
            <w14:solidFill>
              <w14:schemeClr w14:val="tx1"/>
            </w14:solidFill>
          </w14:textFill>
        </w:rPr>
        <w:t>）《投标承诺书》；(按招标文件的要求填写)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57" w:name="_Hlk55921098"/>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7</w:t>
      </w:r>
      <w:r>
        <w:rPr>
          <w:rFonts w:hint="eastAsia" w:ascii="宋体" w:hAnsi="宋体" w:cs="宋体"/>
          <w:color w:val="000000" w:themeColor="text1"/>
          <w:kern w:val="1"/>
          <w:szCs w:val="21"/>
          <w:highlight w:val="none"/>
          <w14:textFill>
            <w14:solidFill>
              <w14:schemeClr w14:val="tx1"/>
            </w14:solidFill>
          </w14:textFill>
        </w:rPr>
        <w:t>）《法定代表人证明书》、《授权委托书》；</w:t>
      </w:r>
      <w:bookmarkEnd w:id="257"/>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8</w:t>
      </w:r>
      <w:r>
        <w:rPr>
          <w:rFonts w:hint="eastAsia" w:ascii="宋体" w:hAnsi="宋体" w:cs="宋体"/>
          <w:color w:val="000000" w:themeColor="text1"/>
          <w:kern w:val="1"/>
          <w:szCs w:val="21"/>
          <w:highlight w:val="none"/>
          <w14:textFill>
            <w14:solidFill>
              <w14:schemeClr w14:val="tx1"/>
            </w14:solidFill>
          </w14:textFill>
        </w:rPr>
        <w:t>）《设计主要负责人配备表》；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9</w:t>
      </w:r>
      <w:r>
        <w:rPr>
          <w:rFonts w:hint="eastAsia" w:ascii="宋体" w:hAnsi="宋体" w:cs="宋体"/>
          <w:color w:val="000000" w:themeColor="text1"/>
          <w:kern w:val="1"/>
          <w:szCs w:val="21"/>
          <w:highlight w:val="none"/>
          <w14:textFill>
            <w14:solidFill>
              <w14:schemeClr w14:val="tx1"/>
            </w14:solidFill>
          </w14:textFill>
        </w:rPr>
        <w:t>）《拟投入本项目施工主要负责人员简历表》；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10</w:t>
      </w:r>
      <w:r>
        <w:rPr>
          <w:rFonts w:hint="eastAsia" w:ascii="宋体" w:hAnsi="宋体" w:cs="宋体"/>
          <w:color w:val="000000" w:themeColor="text1"/>
          <w:kern w:val="1"/>
          <w:szCs w:val="21"/>
          <w:highlight w:val="none"/>
          <w14:textFill>
            <w14:solidFill>
              <w14:schemeClr w14:val="tx1"/>
            </w14:solidFill>
          </w14:textFill>
        </w:rPr>
        <w:t>）《拟投入本项目施工人员一览表》；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11</w:t>
      </w:r>
      <w:r>
        <w:rPr>
          <w:rFonts w:hint="eastAsia" w:ascii="宋体" w:hAnsi="宋体" w:cs="宋体"/>
          <w:color w:val="000000" w:themeColor="text1"/>
          <w:kern w:val="1"/>
          <w:szCs w:val="21"/>
          <w:highlight w:val="none"/>
          <w14:textFill>
            <w14:solidFill>
              <w14:schemeClr w14:val="tx1"/>
            </w14:solidFill>
          </w14:textFill>
        </w:rPr>
        <w:t>）</w:t>
      </w:r>
      <w:r>
        <w:rPr>
          <w:rFonts w:hint="eastAsia" w:cs="宋体"/>
          <w:color w:val="000000" w:themeColor="text1"/>
          <w:kern w:val="1"/>
          <w:szCs w:val="21"/>
          <w:highlight w:val="none"/>
          <w14:textFill>
            <w14:solidFill>
              <w14:schemeClr w14:val="tx1"/>
            </w14:solidFill>
          </w14:textFill>
        </w:rPr>
        <w:t>《</w:t>
      </w:r>
      <w:bookmarkStart w:id="258" w:name="_Hlk55921535"/>
      <w:r>
        <w:rPr>
          <w:rFonts w:hint="eastAsia" w:cs="宋体"/>
          <w:color w:val="000000" w:themeColor="text1"/>
          <w:kern w:val="1"/>
          <w:szCs w:val="21"/>
          <w:highlight w:val="none"/>
          <w14:textFill>
            <w14:solidFill>
              <w14:schemeClr w14:val="tx1"/>
            </w14:solidFill>
          </w14:textFill>
        </w:rPr>
        <w:t>设计工程业绩</w:t>
      </w:r>
      <w:bookmarkEnd w:id="258"/>
      <w:r>
        <w:rPr>
          <w:rFonts w:hint="eastAsia" w:cs="宋体"/>
          <w:color w:val="000000" w:themeColor="text1"/>
          <w:kern w:val="1"/>
          <w:szCs w:val="21"/>
          <w:highlight w:val="none"/>
          <w14:textFill>
            <w14:solidFill>
              <w14:schemeClr w14:val="tx1"/>
            </w14:solidFill>
          </w14:textFill>
        </w:rPr>
        <w:t>表》、《投标人设计工程业绩获奖情况表》；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bookmarkStart w:id="259" w:name="_Hlk55921436"/>
      <w:r>
        <w:rPr>
          <w:rFonts w:hint="eastAsia" w:ascii="宋体" w:hAnsi="宋体" w:cs="宋体"/>
          <w:color w:val="000000" w:themeColor="text1"/>
          <w:kern w:val="1"/>
          <w:szCs w:val="21"/>
          <w:highlight w:val="none"/>
          <w14:textFill>
            <w14:solidFill>
              <w14:schemeClr w14:val="tx1"/>
            </w14:solidFill>
          </w14:textFill>
        </w:rPr>
        <w:t>施工工程业绩表</w:t>
      </w:r>
      <w:bookmarkEnd w:id="259"/>
      <w:r>
        <w:rPr>
          <w:rFonts w:hint="eastAsia" w:ascii="宋体" w:hAnsi="宋体" w:cs="宋体"/>
          <w:color w:val="000000" w:themeColor="text1"/>
          <w:kern w:val="1"/>
          <w:szCs w:val="21"/>
          <w:highlight w:val="none"/>
          <w14:textFill>
            <w14:solidFill>
              <w14:schemeClr w14:val="tx1"/>
            </w14:solidFill>
          </w14:textFill>
        </w:rPr>
        <w:t>》、《投标人施工工程业绩获奖情况表》；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）施工组织设计方案；（投标人在编制施工组织设计方案时应按照招标人提出的施工现场建筑垃圾源头减量的具体要求以及建筑垃圾综合利用产品的使用要求提供相应措施。）</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）《参与编制工程总承包实施方案技术投标文件人员名单》；（按照招标文件要求填写）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（15）投标保证金；</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16</w:t>
      </w: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shd w:val="clear"/>
        <w:spacing w:before="120" w:line="360" w:lineRule="auto"/>
        <w:ind w:firstLine="422"/>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3.1.</w:t>
      </w:r>
      <w:r>
        <w:rPr>
          <w:rFonts w:ascii="宋体" w:hAnsi="宋体" w:cs="宋体"/>
          <w:b/>
          <w:color w:val="000000" w:themeColor="text1"/>
          <w:kern w:val="1"/>
          <w:szCs w:val="21"/>
          <w:highlight w:val="none"/>
          <w14:textFill>
            <w14:solidFill>
              <w14:schemeClr w14:val="tx1"/>
            </w14:solidFill>
          </w14:textFill>
        </w:rPr>
        <w:t>5</w:t>
      </w:r>
      <w:r>
        <w:rPr>
          <w:rFonts w:hint="eastAsia" w:ascii="宋体" w:hAnsi="宋体" w:cs="宋体"/>
          <w:b/>
          <w:color w:val="000000" w:themeColor="text1"/>
          <w:kern w:val="1"/>
          <w:szCs w:val="21"/>
          <w:highlight w:val="none"/>
          <w14:textFill>
            <w14:solidFill>
              <w14:schemeClr w14:val="tx1"/>
            </w14:solidFill>
          </w14:textFill>
        </w:rPr>
        <w:t xml:space="preserve"> </w:t>
      </w:r>
      <w:bookmarkStart w:id="260" w:name="_Hlk55921623"/>
      <w:r>
        <w:rPr>
          <w:rFonts w:hint="eastAsia" w:ascii="宋体" w:hAnsi="宋体" w:cs="宋体"/>
          <w:b/>
          <w:color w:val="000000" w:themeColor="text1"/>
          <w:kern w:val="1"/>
          <w:szCs w:val="21"/>
          <w:highlight w:val="none"/>
          <w14:textFill>
            <w14:solidFill>
              <w14:schemeClr w14:val="tx1"/>
            </w14:solidFill>
          </w14:textFill>
        </w:rPr>
        <w:t>工程总承包实施方案</w:t>
      </w:r>
      <w:bookmarkEnd w:id="260"/>
      <w:r>
        <w:rPr>
          <w:rFonts w:hint="eastAsia" w:ascii="宋体" w:hAnsi="宋体" w:cs="宋体"/>
          <w:b/>
          <w:color w:val="000000" w:themeColor="text1"/>
          <w:kern w:val="1"/>
          <w:szCs w:val="21"/>
          <w:highlight w:val="none"/>
          <w14:textFill>
            <w14:solidFill>
              <w14:schemeClr w14:val="tx1"/>
            </w14:solidFill>
          </w14:textFill>
        </w:rPr>
        <w:t>经济投标文件</w:t>
      </w:r>
    </w:p>
    <w:p>
      <w:pPr>
        <w:shd w:val="clear"/>
        <w:tabs>
          <w:tab w:val="left" w:pos="1125"/>
        </w:tabs>
        <w:spacing w:line="360" w:lineRule="auto"/>
        <w:ind w:firstLine="420"/>
        <w:rPr>
          <w:rFonts w:ascii="宋体" w:hAnsi="宋体" w:cs="宋体"/>
          <w:color w:val="000000" w:themeColor="text1"/>
          <w:kern w:val="1"/>
          <w:szCs w:val="21"/>
          <w:highlight w:val="none"/>
          <w14:textFill>
            <w14:solidFill>
              <w14:schemeClr w14:val="tx1"/>
            </w14:solidFill>
          </w14:textFill>
        </w:rPr>
      </w:pPr>
      <w:bookmarkStart w:id="261" w:name="_Hlk56585096"/>
      <w:r>
        <w:rPr>
          <w:rFonts w:hint="eastAsia" w:ascii="宋体" w:hAnsi="宋体" w:cs="宋体"/>
          <w:color w:val="000000" w:themeColor="text1"/>
          <w:kern w:val="1"/>
          <w:szCs w:val="21"/>
          <w:highlight w:val="none"/>
          <w14:textFill>
            <w14:solidFill>
              <w14:schemeClr w14:val="tx1"/>
            </w14:solidFill>
          </w14:textFill>
        </w:rPr>
        <w:t>主要包括下列内容：</w:t>
      </w:r>
      <w:bookmarkEnd w:id="261"/>
    </w:p>
    <w:p>
      <w:pPr>
        <w:numPr>
          <w:ilvl w:val="0"/>
          <w:numId w:val="2"/>
        </w:numPr>
        <w:shd w:val="clear"/>
        <w:spacing w:line="360" w:lineRule="auto"/>
        <w:ind w:left="0"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封面：写明项目名称、工程总承包实施方案经济投标文件、投标人单位及年月日；加盖投标人电子印章（联合体投标的，“投标人”一栏需书写所有联合体成员的单位全称，由牵头方签署、盖章）；</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《经济标投标书》（按招标文件的要求填写）；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勘察费用明细表（按招标文件的要求填写）；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设计费用明细表（按招标文件的要求填写）；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en-US" w:eastAsia="zh-CN"/>
          <w14:textFill>
            <w14:solidFill>
              <w14:schemeClr w14:val="tx1"/>
            </w14:solidFill>
          </w14:textFill>
        </w:rPr>
        <w:t>工程</w:t>
      </w:r>
      <w:r>
        <w:rPr>
          <w:rFonts w:hint="eastAsia" w:ascii="宋体" w:hAnsi="宋体" w:cs="宋体"/>
          <w:color w:val="000000" w:themeColor="text1"/>
          <w:kern w:val="1"/>
          <w:szCs w:val="21"/>
          <w:highlight w:val="none"/>
          <w14:textFill>
            <w14:solidFill>
              <w14:schemeClr w14:val="tx1"/>
            </w14:solidFill>
          </w14:textFill>
        </w:rPr>
        <w:t>费用明细表（按招标文件的要求填写）；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《参与编制工程总承包实施方案经济投标文件人员名单》（按招标文件的要求填写）；</w:t>
      </w:r>
    </w:p>
    <w:p>
      <w:pPr>
        <w:numPr>
          <w:ilvl w:val="0"/>
          <w:numId w:val="2"/>
        </w:numPr>
        <w:shd w:val="clear"/>
        <w:tabs>
          <w:tab w:val="left" w:pos="1125"/>
        </w:tabs>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投标人认为应该提供的其他资料；</w:t>
      </w:r>
    </w:p>
    <w:p>
      <w:pPr>
        <w:pStyle w:val="5"/>
        <w:shd w:val="clear"/>
        <w:spacing w:line="360" w:lineRule="auto"/>
        <w:rPr>
          <w:rFonts w:ascii="宋体" w:hAnsi="宋体" w:eastAsia="宋体"/>
          <w:b/>
          <w:bCs/>
          <w:color w:val="000000" w:themeColor="text1"/>
          <w:sz w:val="24"/>
          <w:szCs w:val="24"/>
          <w:highlight w:val="none"/>
          <w14:textFill>
            <w14:solidFill>
              <w14:schemeClr w14:val="tx1"/>
            </w14:solidFill>
          </w14:textFill>
        </w:rPr>
      </w:pPr>
      <w:bookmarkStart w:id="262" w:name="_Toc28699"/>
      <w:r>
        <w:rPr>
          <w:rFonts w:hint="eastAsia" w:ascii="宋体" w:hAnsi="宋体" w:eastAsia="宋体"/>
          <w:b/>
          <w:bCs/>
          <w:color w:val="000000" w:themeColor="text1"/>
          <w:sz w:val="24"/>
          <w:szCs w:val="24"/>
          <w:highlight w:val="none"/>
          <w14:textFill>
            <w14:solidFill>
              <w14:schemeClr w14:val="tx1"/>
            </w14:solidFill>
          </w14:textFill>
        </w:rPr>
        <w:t>3.2 投标报价</w:t>
      </w:r>
      <w:bookmarkEnd w:id="253"/>
      <w:bookmarkEnd w:id="262"/>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3.2.1 </w:t>
      </w:r>
      <w:r>
        <w:rPr>
          <w:rFonts w:hint="eastAsia" w:ascii="宋体" w:hAnsi="宋体" w:cs="宋体"/>
          <w:color w:val="000000" w:themeColor="text1"/>
          <w:kern w:val="1"/>
          <w:highlight w:val="none"/>
          <w:u w:val="single"/>
          <w14:textFill>
            <w14:solidFill>
              <w14:schemeClr w14:val="tx1"/>
            </w14:solidFill>
          </w14:textFill>
        </w:rPr>
        <w:t>本工程的投标报价方式见投标须知前附表。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3.2.2 投标人应</w:t>
      </w:r>
      <w:r>
        <w:rPr>
          <w:rFonts w:hint="eastAsia" w:ascii="宋体" w:hAnsi="宋体" w:cs="宋体"/>
          <w:color w:val="000000" w:themeColor="text1"/>
          <w:kern w:val="1"/>
          <w:highlight w:val="none"/>
          <w14:textFill>
            <w14:solidFill>
              <w14:schemeClr w14:val="tx1"/>
            </w14:solidFill>
          </w14:textFill>
        </w:rPr>
        <w:t>充分了解</w:t>
      </w:r>
      <w:r>
        <w:rPr>
          <w:rFonts w:hint="eastAsia" w:ascii="宋体" w:hAnsi="宋体" w:cs="宋体"/>
          <w:color w:val="000000" w:themeColor="text1"/>
          <w:kern w:val="1"/>
          <w:szCs w:val="21"/>
          <w:highlight w:val="none"/>
          <w14:textFill>
            <w14:solidFill>
              <w14:schemeClr w14:val="tx1"/>
            </w14:solidFill>
          </w14:textFill>
        </w:rPr>
        <w:t>施工场地的位置、周边环境、道路、装卸、保管、安装限制以及影响投标报价的其他要素。投标人根据投标设计，结合市场情况进行投标报价。</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3.2.3 投标人在投标截止时间前修改投标函中的投标报价总额，应同时修改投标文件中的相应报价，投标报价总额为各分项金额之和。此修改须符合本章第4.3款的有关要求。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3.2.</w:t>
      </w:r>
      <w:r>
        <w:rPr>
          <w:rFonts w:ascii="宋体" w:hAnsi="宋体" w:cs="宋体"/>
          <w:color w:val="000000" w:themeColor="text1"/>
          <w:kern w:val="1"/>
          <w:highlight w:val="none"/>
          <w14:textFill>
            <w14:solidFill>
              <w14:schemeClr w14:val="tx1"/>
            </w14:solidFill>
          </w14:textFill>
        </w:rPr>
        <w:t>4</w:t>
      </w:r>
      <w:r>
        <w:rPr>
          <w:rFonts w:hint="eastAsia" w:ascii="宋体" w:hAnsi="宋体" w:cs="宋体"/>
          <w:color w:val="000000" w:themeColor="text1"/>
          <w:kern w:val="1"/>
          <w:highlight w:val="none"/>
          <w14:textFill>
            <w14:solidFill>
              <w14:schemeClr w14:val="tx1"/>
            </w14:solidFill>
          </w14:textFill>
        </w:rPr>
        <w:t xml:space="preserve"> 招标人设有最高投标限价的，投标人的投标报价不得超过最高投标限价，最高投标限价在投标人须知前附表中载明。</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招标人按照招标需求制定最高投标限价（招标控制价），有两个含义，①最高投标限价总价，②勘察费最高投标限价、设计费最高投标限价、工程费最高投标限价、及含税综合包干单价限价。投标人按照招标人提供的招标清单中列出的费用项目予以报价，其中。勘察费</w:t>
      </w:r>
      <w:r>
        <w:rPr>
          <w:rFonts w:hint="eastAsia" w:ascii="宋体" w:hAnsi="宋体" w:cs="宋体"/>
          <w:color w:val="000000" w:themeColor="text1"/>
          <w:szCs w:val="21"/>
          <w:highlight w:val="none"/>
          <w:u w:val="single"/>
          <w14:textFill>
            <w14:solidFill>
              <w14:schemeClr w14:val="tx1"/>
            </w14:solidFill>
          </w14:textFill>
        </w:rPr>
        <w:t>及勘察各单价报价</w:t>
      </w:r>
      <w:r>
        <w:rPr>
          <w:rFonts w:hint="eastAsia" w:ascii="宋体" w:hAnsi="宋体" w:cs="宋体"/>
          <w:color w:val="000000" w:themeColor="text1"/>
          <w:kern w:val="1"/>
          <w:szCs w:val="21"/>
          <w:highlight w:val="none"/>
          <w:u w:val="single"/>
          <w14:textFill>
            <w14:solidFill>
              <w14:schemeClr w14:val="tx1"/>
            </w14:solidFill>
          </w14:textFill>
        </w:rPr>
        <w:t>、设计费、工程费所报金额不得超出招标人规定的相应的最高投标限价（含各含税综合包干单价限价）。</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.1.1投标报价每一项费用只允许有一个报价，任何有选择的报价或未填报单价的投标文件将不予接受。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w:t>
      </w:r>
      <w:r>
        <w:rPr>
          <w:rFonts w:ascii="宋体" w:hAnsi="宋体" w:cs="宋体"/>
          <w:color w:val="000000" w:themeColor="text1"/>
          <w:kern w:val="1"/>
          <w:szCs w:val="21"/>
          <w:highlight w:val="none"/>
          <w:u w:val="single"/>
          <w14:textFill>
            <w14:solidFill>
              <w14:schemeClr w14:val="tx1"/>
            </w14:solidFill>
          </w14:textFill>
        </w:rPr>
        <w:t>4</w:t>
      </w:r>
      <w:r>
        <w:rPr>
          <w:rFonts w:hint="eastAsia" w:ascii="宋体" w:hAnsi="宋体" w:cs="宋体"/>
          <w:color w:val="000000" w:themeColor="text1"/>
          <w:kern w:val="1"/>
          <w:szCs w:val="21"/>
          <w:highlight w:val="none"/>
          <w:u w:val="single"/>
          <w14:textFill>
            <w14:solidFill>
              <w14:schemeClr w14:val="tx1"/>
            </w14:solidFill>
          </w14:textFill>
        </w:rPr>
        <w:t>.1.2投标人的投标总报价，包括勘察费、设计费和工程费。投标人应按照投标须知前附表第1.3.2 项的工期要求，在投标须知前附表第1.1.5项的建设地点，完成投标须知前附表第1.3.1项的招标范围内列明工作的全部费用，包括但不限于完成全部勘察、设计、建安工程工作的成本、利润、税金、技术措施费、大型机械进出场费、风险费以及政策性文件规定费用等，不得以任何理由予以重复计算。</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3.2.</w:t>
      </w:r>
      <w:r>
        <w:rPr>
          <w:rFonts w:ascii="宋体" w:hAnsi="宋体" w:cs="宋体"/>
          <w:color w:val="000000" w:themeColor="text1"/>
          <w:kern w:val="1"/>
          <w:szCs w:val="21"/>
          <w:highlight w:val="none"/>
          <w14:textFill>
            <w14:solidFill>
              <w14:schemeClr w14:val="tx1"/>
            </w14:solidFill>
          </w14:textFill>
        </w:rPr>
        <w:t>5</w:t>
      </w:r>
      <w:r>
        <w:rPr>
          <w:rFonts w:hint="eastAsia" w:ascii="宋体" w:hAnsi="宋体" w:cs="宋体"/>
          <w:color w:val="000000" w:themeColor="text1"/>
          <w:kern w:val="1"/>
          <w:highlight w:val="none"/>
          <w14:textFill>
            <w14:solidFill>
              <w14:schemeClr w14:val="tx1"/>
            </w14:solidFill>
          </w14:textFill>
        </w:rPr>
        <w:t>投标报价的其他要求见投标人须知前附表。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3.2.</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本项目投标报价采用的币种为人民币。</w:t>
      </w:r>
    </w:p>
    <w:p>
      <w:pPr>
        <w:pStyle w:val="5"/>
        <w:shd w:val="clear"/>
        <w:spacing w:before="240" w:beforeLines="100" w:after="240" w:afterLines="100" w:line="360" w:lineRule="auto"/>
        <w:ind w:firstLine="351"/>
        <w:rPr>
          <w:rFonts w:ascii="宋体" w:hAnsi="宋体" w:eastAsia="宋体"/>
          <w:b/>
          <w:color w:val="000000" w:themeColor="text1"/>
          <w:sz w:val="24"/>
          <w:szCs w:val="24"/>
          <w:highlight w:val="none"/>
          <w14:textFill>
            <w14:solidFill>
              <w14:schemeClr w14:val="tx1"/>
            </w14:solidFill>
          </w14:textFill>
        </w:rPr>
      </w:pPr>
      <w:bookmarkStart w:id="263" w:name="_Toc5620316"/>
      <w:bookmarkStart w:id="264" w:name="_Toc20247"/>
      <w:r>
        <w:rPr>
          <w:rFonts w:hint="eastAsia" w:ascii="宋体" w:hAnsi="宋体" w:eastAsia="宋体"/>
          <w:b/>
          <w:color w:val="000000" w:themeColor="text1"/>
          <w:sz w:val="24"/>
          <w:szCs w:val="24"/>
          <w:highlight w:val="none"/>
          <w14:textFill>
            <w14:solidFill>
              <w14:schemeClr w14:val="tx1"/>
            </w14:solidFill>
          </w14:textFill>
        </w:rPr>
        <w:t>3.3 投标有效期</w:t>
      </w:r>
      <w:bookmarkEnd w:id="263"/>
      <w:bookmarkEnd w:id="264"/>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3.3.1</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highlight w:val="none"/>
          <w14:textFill>
            <w14:solidFill>
              <w14:schemeClr w14:val="tx1"/>
            </w14:solidFill>
          </w14:textFill>
        </w:rPr>
        <w:t>投标有效期按须知前附表的规定。</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3.3.2 在投标有效期内，投标人撤销或修改其投标文件的，应承担招标文件和法律规定的责任。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3.3.3 出现特殊情况需要延长投标有效期的，招标人以书面形式通知所有投标人延长投标有效期。投标人同意延长的，应相应延长其投标保证金</w:t>
      </w:r>
      <w:r>
        <w:rPr>
          <w:rFonts w:hint="eastAsia" w:ascii="宋体" w:hAnsi="宋体" w:cs="宋体"/>
          <w:strike/>
          <w:color w:val="000000" w:themeColor="text1"/>
          <w:kern w:val="1"/>
          <w:szCs w:val="21"/>
          <w:highlight w:val="none"/>
          <w14:textFill>
            <w14:solidFill>
              <w14:schemeClr w14:val="tx1"/>
            </w14:solidFill>
          </w14:textFill>
        </w:rPr>
        <w:t>的</w:t>
      </w:r>
      <w:r>
        <w:rPr>
          <w:rFonts w:hint="eastAsia" w:ascii="宋体" w:hAnsi="宋体" w:cs="宋体"/>
          <w:color w:val="000000" w:themeColor="text1"/>
          <w:kern w:val="1"/>
          <w:szCs w:val="21"/>
          <w:highlight w:val="none"/>
          <w14:textFill>
            <w14:solidFill>
              <w14:schemeClr w14:val="tx1"/>
            </w14:solidFill>
          </w14:textFill>
        </w:rPr>
        <w:t>有效期，但不得要求或被允许修改或撤销其投标文件；投标人拒绝延长的，其投标失效，但投标人有权收回其投标保证金。</w:t>
      </w:r>
    </w:p>
    <w:p>
      <w:pPr>
        <w:pStyle w:val="5"/>
        <w:shd w:val="clear"/>
        <w:spacing w:before="240" w:beforeLines="100" w:after="240" w:afterLines="100" w:line="360" w:lineRule="auto"/>
        <w:ind w:firstLine="363"/>
        <w:rPr>
          <w:rFonts w:ascii="宋体" w:hAnsi="宋体" w:eastAsia="宋体"/>
          <w:b/>
          <w:color w:val="000000" w:themeColor="text1"/>
          <w:sz w:val="24"/>
          <w:szCs w:val="24"/>
          <w:highlight w:val="none"/>
          <w14:textFill>
            <w14:solidFill>
              <w14:schemeClr w14:val="tx1"/>
            </w14:solidFill>
          </w14:textFill>
        </w:rPr>
      </w:pPr>
      <w:bookmarkStart w:id="265" w:name="_Toc5620317"/>
      <w:bookmarkStart w:id="266" w:name="_Toc18133"/>
      <w:r>
        <w:rPr>
          <w:rFonts w:hint="eastAsia" w:ascii="宋体" w:hAnsi="宋体" w:eastAsia="宋体"/>
          <w:b/>
          <w:color w:val="000000" w:themeColor="text1"/>
          <w:sz w:val="24"/>
          <w:szCs w:val="24"/>
          <w:highlight w:val="none"/>
          <w14:textFill>
            <w14:solidFill>
              <w14:schemeClr w14:val="tx1"/>
            </w14:solidFill>
          </w14:textFill>
        </w:rPr>
        <w:t>3.4 投标保证金</w:t>
      </w:r>
      <w:bookmarkEnd w:id="265"/>
      <w:bookmarkEnd w:id="266"/>
    </w:p>
    <w:p>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w:t>
      </w:r>
      <w:r>
        <w:rPr>
          <w:rFonts w:hint="eastAsia" w:ascii="宋体" w:hAnsi="宋体"/>
          <w:color w:val="000000" w:themeColor="text1"/>
          <w:highlight w:val="none"/>
          <w:u w:val="single"/>
          <w14:textFill>
            <w14:solidFill>
              <w14:schemeClr w14:val="tx1"/>
            </w14:solidFill>
          </w14:textFill>
        </w:rPr>
        <w:t>投标人在开标开始时间前（含开标开始时间），应按投标人须知前附表规定的金额、担保形式递交投标保证金</w:t>
      </w:r>
      <w:r>
        <w:rPr>
          <w:rFonts w:hint="eastAsia" w:ascii="宋体" w:hAnsi="宋体"/>
          <w:color w:val="000000" w:themeColor="text1"/>
          <w:highlight w:val="none"/>
          <w14:textFill>
            <w14:solidFill>
              <w14:schemeClr w14:val="tx1"/>
            </w14:solidFill>
          </w14:textFill>
        </w:rPr>
        <w:t>，并作为其投标文件的组成部分。</w:t>
      </w:r>
    </w:p>
    <w:p>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 投标人不按本章第3.4.1项要求提交投标保证金的，评标委员会将否决其投标。</w:t>
      </w:r>
    </w:p>
    <w:p>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3.4.3</w:t>
      </w:r>
      <w:r>
        <w:rPr>
          <w:rFonts w:hint="eastAsia"/>
          <w:color w:val="000000" w:themeColor="text1"/>
          <w:highlight w:val="none"/>
          <w:u w:val="single"/>
          <w14:textFill>
            <w14:solidFill>
              <w14:schemeClr w14:val="tx1"/>
            </w14:solidFill>
          </w14:textFill>
        </w:rPr>
        <w:t>未中标的投标保证金将尽快退还，最迟不超过招标人与中标人签订合同后的5个工作日。中标人的投标保证金，在签署合同并按要求提供了履约担保后予以退还。</w:t>
      </w:r>
    </w:p>
    <w:p>
      <w:pPr>
        <w:shd w:val="clea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3.4.4投标人有下列情形的，将自愿接受：通报批评，记录不良行为，列入黑名单，并暂停企业参加建设单位项目招投标活动一年，不予退还投标保证金。</w:t>
      </w:r>
    </w:p>
    <w:p>
      <w:pPr>
        <w:shd w:val="clear"/>
        <w:spacing w:line="360" w:lineRule="auto"/>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（1）投标人在规定的投标有效期内撤销或修改其投标文件；</w:t>
      </w:r>
    </w:p>
    <w:p>
      <w:pPr>
        <w:shd w:val="clear"/>
        <w:tabs>
          <w:tab w:val="left" w:pos="7711"/>
        </w:tabs>
        <w:spacing w:line="360" w:lineRule="auto"/>
        <w:ind w:firstLine="315" w:firstLineChars="15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（2）投标人提供了虚假的证明材料；</w:t>
      </w:r>
    </w:p>
    <w:p>
      <w:pPr>
        <w:shd w:val="clear"/>
        <w:spacing w:line="360" w:lineRule="auto"/>
        <w:ind w:firstLine="315" w:firstLineChars="15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（3）中标候选人放弃中标；</w:t>
      </w:r>
    </w:p>
    <w:p>
      <w:pPr>
        <w:shd w:val="clear"/>
        <w:spacing w:line="360" w:lineRule="auto"/>
        <w:ind w:firstLine="315"/>
        <w:rPr>
          <w:rFonts w:ascii="宋体" w:hAnsi="宋体" w:cs="宋体"/>
          <w:strike/>
          <w:color w:val="000000" w:themeColor="text1"/>
          <w:kern w:val="1"/>
          <w:szCs w:val="2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（4）中标人在收到中标通知书后，无正当理由拒签合同或未按招标文件规定提交履约担保。</w:t>
      </w: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67" w:name="_Toc5620318"/>
      <w:bookmarkStart w:id="268" w:name="_Toc32372"/>
      <w:r>
        <w:rPr>
          <w:rFonts w:hint="eastAsia" w:ascii="宋体" w:hAnsi="宋体" w:eastAsia="宋体"/>
          <w:b/>
          <w:color w:val="000000" w:themeColor="text1"/>
          <w:sz w:val="24"/>
          <w:szCs w:val="24"/>
          <w:highlight w:val="none"/>
          <w14:textFill>
            <w14:solidFill>
              <w14:schemeClr w14:val="tx1"/>
            </w14:solidFill>
          </w14:textFill>
        </w:rPr>
        <w:t>3.5 资格审查</w:t>
      </w:r>
      <w:bookmarkEnd w:id="267"/>
      <w:bookmarkEnd w:id="268"/>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本项目采用电子化资格后审，由评标委员会负责对投标人的资格进行审查，评标时只对通过资格评审的投标人进行下一阶段的评审。</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b/>
          <w:color w:val="000000" w:themeColor="text1"/>
          <w:highlight w:val="none"/>
          <w:u w:val="single"/>
          <w14:textFill>
            <w14:solidFill>
              <w14:schemeClr w14:val="tx1"/>
            </w14:solidFill>
          </w14:textFill>
        </w:rPr>
        <w:t>资审合格后，投标人的资格发生变化而不满足投标人合格条件，在发出中标通知书前，资格问题仍未解决的，招标人将取消其中标资格</w:t>
      </w:r>
      <w:r>
        <w:rPr>
          <w:rFonts w:hint="eastAsia" w:ascii="宋体" w:hAnsi="宋体"/>
          <w:b/>
          <w:color w:val="000000" w:themeColor="text1"/>
          <w:highlight w:val="none"/>
          <w14:textFill>
            <w14:solidFill>
              <w14:schemeClr w14:val="tx1"/>
            </w14:solidFill>
          </w14:textFill>
        </w:rPr>
        <w:t>。</w:t>
      </w:r>
    </w:p>
    <w:p>
      <w:pPr>
        <w:pStyle w:val="2"/>
        <w:shd w:val="clear"/>
        <w:spacing w:line="360" w:lineRule="auto"/>
        <w:rPr>
          <w:color w:val="000000" w:themeColor="text1"/>
          <w:highlight w:val="none"/>
          <w:lang w:val="en-US"/>
          <w14:textFill>
            <w14:solidFill>
              <w14:schemeClr w14:val="tx1"/>
            </w14:solidFill>
          </w14:textFill>
        </w:rPr>
      </w:pP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69" w:name="_Toc5620319"/>
      <w:bookmarkStart w:id="270" w:name="_Toc9278"/>
      <w:r>
        <w:rPr>
          <w:rFonts w:hint="eastAsia" w:ascii="宋体" w:hAnsi="宋体" w:eastAsia="宋体"/>
          <w:b/>
          <w:color w:val="000000" w:themeColor="text1"/>
          <w:sz w:val="24"/>
          <w:szCs w:val="24"/>
          <w:highlight w:val="none"/>
          <w14:textFill>
            <w14:solidFill>
              <w14:schemeClr w14:val="tx1"/>
            </w14:solidFill>
          </w14:textFill>
        </w:rPr>
        <w:t>3.6 备选投标方案</w:t>
      </w:r>
      <w:bookmarkEnd w:id="269"/>
      <w:bookmarkEnd w:id="270"/>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除投标人须知前附表另有规定外，投标人不得递交备选投标方案。</w:t>
      </w:r>
    </w:p>
    <w:p>
      <w:pPr>
        <w:pStyle w:val="5"/>
        <w:shd w:val="clear"/>
        <w:spacing w:before="240" w:beforeLines="100" w:after="240" w:afterLines="100" w:line="360" w:lineRule="auto"/>
        <w:ind w:firstLine="0"/>
        <w:rPr>
          <w:rFonts w:ascii="宋体" w:hAnsi="宋体" w:eastAsia="宋体"/>
          <w:b/>
          <w:color w:val="000000" w:themeColor="text1"/>
          <w:sz w:val="24"/>
          <w:szCs w:val="24"/>
          <w:highlight w:val="none"/>
          <w14:textFill>
            <w14:solidFill>
              <w14:schemeClr w14:val="tx1"/>
            </w14:solidFill>
          </w14:textFill>
        </w:rPr>
      </w:pPr>
      <w:bookmarkStart w:id="271" w:name="_Toc5620320"/>
      <w:bookmarkStart w:id="272" w:name="_Toc4446"/>
      <w:r>
        <w:rPr>
          <w:rFonts w:hint="eastAsia" w:ascii="宋体" w:hAnsi="宋体" w:eastAsia="宋体"/>
          <w:b/>
          <w:color w:val="000000" w:themeColor="text1"/>
          <w:sz w:val="24"/>
          <w:szCs w:val="24"/>
          <w:highlight w:val="none"/>
          <w14:textFill>
            <w14:solidFill>
              <w14:schemeClr w14:val="tx1"/>
            </w14:solidFill>
          </w14:textFill>
        </w:rPr>
        <w:t>3.7 投标文件的编制</w:t>
      </w:r>
      <w:bookmarkEnd w:id="271"/>
      <w:bookmarkEnd w:id="272"/>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3.7.1 投标文件应按第七章“投标文件格式”进行编写，如有必要，可以增加附页，作为投标文件的组成部分。</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3.7.2 投标文件应当对招标文件有关招标范围、投标有效期、工期、质量标准、招标人要求等实质性内容作出响应。</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3.7.3</w:t>
      </w:r>
      <w:r>
        <w:rPr>
          <w:rFonts w:hint="eastAsia" w:ascii="宋体" w:hAnsi="宋体" w:cs="宋体"/>
          <w:color w:val="000000" w:themeColor="text1"/>
          <w:kern w:val="1"/>
          <w:szCs w:val="21"/>
          <w:highlight w:val="none"/>
          <w:u w:val="single"/>
          <w14:textFill>
            <w14:solidFill>
              <w14:schemeClr w14:val="tx1"/>
            </w14:solidFill>
          </w14:textFill>
        </w:rPr>
        <w:t>设计方案</w:t>
      </w:r>
      <w:r>
        <w:rPr>
          <w:rFonts w:hint="eastAsia" w:ascii="宋体" w:hAnsi="宋体" w:cs="宋体"/>
          <w:color w:val="000000" w:themeColor="text1"/>
          <w:kern w:val="1"/>
          <w:highlight w:val="none"/>
          <w:u w:val="single"/>
          <w14:textFill>
            <w14:solidFill>
              <w14:schemeClr w14:val="tx1"/>
            </w14:solidFill>
          </w14:textFill>
        </w:rPr>
        <w:t>投标文件按本须知第3.1.3款的要求采用电子文档编制；其他投标文件全部采用电子文档，投标文件所附证书证件及证明文件均为原件扫描件，并应采用单位数字证书加盖电子印章。招标文件所附格式要求盖章处及招标文件要求投标文件盖章处需采用单位数字证书，按招标文件要求在相应位置加盖电子印章。投标文件中需个人签字或盖章的，应在线下完成后扫描上传。其余可不加盖电子印章或签名。详细操作按照交易平台关于全流程电子化项目的相关指南进行操作。详见：【全流程电子化项目】电子招投标操作手册（无纸化）</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联合体投标的，除《联合体共同投标协议书》必须联合体各方分别按要求进行签字、盖章外，投标文件封面及其他内容落款中的“投标人”应填写联合体各方的单位全称【格式为：(主)XXXX公司(成)XXXX公司(成)……】，由联合体牵头方签字、盖章即可。</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73" w:name="_Toc8024"/>
      <w:bookmarkEnd w:id="273"/>
      <w:bookmarkStart w:id="274" w:name="_Toc443505826"/>
      <w:bookmarkEnd w:id="274"/>
      <w:bookmarkStart w:id="275" w:name="_Toc3979"/>
      <w:bookmarkEnd w:id="275"/>
      <w:bookmarkStart w:id="276" w:name="_Toc8504"/>
      <w:bookmarkStart w:id="277" w:name="_Toc5620321"/>
      <w:r>
        <w:rPr>
          <w:rFonts w:hint="eastAsia" w:ascii="宋体" w:hAnsi="宋体" w:eastAsia="宋体" w:cs="宋体"/>
          <w:color w:val="000000" w:themeColor="text1"/>
          <w:highlight w:val="none"/>
          <w:lang w:val="zh-CN"/>
          <w14:textFill>
            <w14:solidFill>
              <w14:schemeClr w14:val="tx1"/>
            </w14:solidFill>
          </w14:textFill>
        </w:rPr>
        <w:t>4. 投标</w:t>
      </w:r>
      <w:bookmarkEnd w:id="276"/>
      <w:bookmarkEnd w:id="277"/>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78" w:name="_Toc357089537"/>
      <w:bookmarkEnd w:id="278"/>
      <w:bookmarkStart w:id="279" w:name="_Toc362816506"/>
      <w:bookmarkEnd w:id="279"/>
      <w:bookmarkStart w:id="280" w:name="_Toc5620322"/>
      <w:bookmarkStart w:id="281" w:name="_Toc21485"/>
      <w:r>
        <w:rPr>
          <w:rFonts w:hint="eastAsia" w:ascii="宋体" w:hAnsi="宋体" w:eastAsia="宋体"/>
          <w:b/>
          <w:bCs/>
          <w:color w:val="000000" w:themeColor="text1"/>
          <w:sz w:val="24"/>
          <w:szCs w:val="24"/>
          <w:highlight w:val="none"/>
          <w14:textFill>
            <w14:solidFill>
              <w14:schemeClr w14:val="tx1"/>
            </w14:solidFill>
          </w14:textFill>
        </w:rPr>
        <w:t>4.1 投标文件的密封和标记</w:t>
      </w:r>
      <w:bookmarkEnd w:id="280"/>
      <w:bookmarkEnd w:id="281"/>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4.1.1 </w:t>
      </w:r>
      <w:r>
        <w:rPr>
          <w:rFonts w:hint="eastAsia" w:ascii="宋体" w:hAnsi="宋体" w:cs="宋体"/>
          <w:color w:val="000000" w:themeColor="text1"/>
          <w:kern w:val="1"/>
          <w:highlight w:val="none"/>
          <w:u w:val="single"/>
          <w14:textFill>
            <w14:solidFill>
              <w14:schemeClr w14:val="tx1"/>
            </w14:solidFill>
          </w14:textFill>
        </w:rPr>
        <w:t>投标人应当按照招标文件和电子招标投标交易平台的要求加密投标文件，具体要求见投标人须知前附表。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4.1.2 </w:t>
      </w:r>
      <w:r>
        <w:rPr>
          <w:rFonts w:hint="eastAsia" w:ascii="宋体" w:hAnsi="宋体" w:cs="宋体"/>
          <w:color w:val="000000" w:themeColor="text1"/>
          <w:kern w:val="1"/>
          <w:highlight w:val="none"/>
          <w:u w:val="single"/>
          <w14:textFill>
            <w14:solidFill>
              <w14:schemeClr w14:val="tx1"/>
            </w14:solidFill>
          </w14:textFill>
        </w:rPr>
        <w:t>如有提交备用电子投标文件，封套上应写明的内容见投标人须知前附表。</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4.1.3投标人在投标截止期后逾期或未在指定地点递交备用电子投标文件的，或投标人递交的备用电子投标文件未按招标文件要求密封或未在密封处盖章的，或投标人</w:t>
      </w:r>
      <w:r>
        <w:rPr>
          <w:rFonts w:hint="eastAsia" w:ascii="宋体" w:hAnsi="宋体" w:cs="宋体"/>
          <w:color w:val="000000" w:themeColor="text1"/>
          <w:kern w:val="1"/>
          <w:highlight w:val="none"/>
          <w:u w:val="single"/>
          <w14:textFill>
            <w14:solidFill>
              <w14:schemeClr w14:val="tx1"/>
            </w14:solidFill>
          </w14:textFill>
        </w:rPr>
        <w:t>代表未凭法定代表人证明书原件、授权委托书原件（仅限于非法定代表人）、本人身份证原件按要求递交备用电子投标文件的，招标人将予以拒收。</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2" w:name="_Toc5620323"/>
      <w:bookmarkStart w:id="283" w:name="_Toc7472"/>
      <w:r>
        <w:rPr>
          <w:rFonts w:hint="eastAsia" w:ascii="宋体" w:hAnsi="宋体" w:eastAsia="宋体"/>
          <w:b/>
          <w:bCs/>
          <w:color w:val="000000" w:themeColor="text1"/>
          <w:sz w:val="24"/>
          <w:szCs w:val="24"/>
          <w:highlight w:val="none"/>
          <w14:textFill>
            <w14:solidFill>
              <w14:schemeClr w14:val="tx1"/>
            </w14:solidFill>
          </w14:textFill>
        </w:rPr>
        <w:t xml:space="preserve">4.2 </w:t>
      </w:r>
      <w:r>
        <w:rPr>
          <w:rFonts w:hint="eastAsia" w:ascii="宋体" w:hAnsi="宋体" w:eastAsia="宋体"/>
          <w:b/>
          <w:bCs/>
          <w:color w:val="000000" w:themeColor="text1"/>
          <w:sz w:val="24"/>
          <w:szCs w:val="24"/>
          <w:highlight w:val="none"/>
          <w:u w:val="single"/>
          <w14:textFill>
            <w14:solidFill>
              <w14:schemeClr w14:val="tx1"/>
            </w14:solidFill>
          </w14:textFill>
        </w:rPr>
        <w:t>投标文件的递交、接收、封存</w:t>
      </w:r>
      <w:bookmarkEnd w:id="282"/>
      <w:bookmarkEnd w:id="283"/>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4.2.1 </w:t>
      </w:r>
      <w:r>
        <w:rPr>
          <w:rFonts w:hint="eastAsia" w:ascii="宋体" w:hAnsi="宋体" w:cs="宋体"/>
          <w:color w:val="000000" w:themeColor="text1"/>
          <w:kern w:val="1"/>
          <w:highlight w:val="none"/>
          <w:u w:val="single"/>
          <w14:textFill>
            <w14:solidFill>
              <w14:schemeClr w14:val="tx1"/>
            </w14:solidFill>
          </w14:textFill>
        </w:rPr>
        <w:t>投标人应在投标人须知前附表规定的投标截止时间前递交投标文件。</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4.2.2投标人通过下载招标文件的</w:t>
      </w:r>
      <w:r>
        <w:rPr>
          <w:rFonts w:hint="eastAsia" w:ascii="宋体" w:hAnsi="宋体" w:cs="宋体"/>
          <w:b/>
          <w:color w:val="000000" w:themeColor="text1"/>
          <w:kern w:val="1"/>
          <w:highlight w:val="none"/>
          <w:u w:val="single"/>
          <w14:textFill>
            <w14:solidFill>
              <w14:schemeClr w14:val="tx1"/>
            </w14:solidFill>
          </w14:textFill>
        </w:rPr>
        <w:t>广州交易集团有限公司（广州公共资源交易中心）</w:t>
      </w:r>
      <w:r>
        <w:rPr>
          <w:rFonts w:hint="eastAsia" w:ascii="宋体" w:hAnsi="宋体" w:cs="宋体"/>
          <w:color w:val="000000" w:themeColor="text1"/>
          <w:kern w:val="1"/>
          <w:highlight w:val="none"/>
          <w:u w:val="single"/>
          <w14:textFill>
            <w14:solidFill>
              <w14:schemeClr w14:val="tx1"/>
            </w14:solidFill>
          </w14:textFill>
        </w:rPr>
        <w:t>电子招标投标交易平台递交电子投标文件。</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4.2.3投标人完成电子投标文件上传后，电子招标投标交易平台即时向投标人发出递交回执通知。递交时间以递交回执通知载明的传输完成时间为准。</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4.2.4</w:t>
      </w:r>
      <w:r>
        <w:rPr>
          <w:rFonts w:hint="eastAsia" w:ascii="宋体" w:hAnsi="宋体" w:cs="宋体"/>
          <w:color w:val="000000" w:themeColor="text1"/>
          <w:kern w:val="1"/>
          <w:highlight w:val="none"/>
          <w:u w:val="single"/>
          <w14:textFill>
            <w14:solidFill>
              <w14:schemeClr w14:val="tx1"/>
            </w14:solidFill>
          </w14:textFill>
        </w:rPr>
        <w:t>到投标截止时间止，若电子招标投标交易平台收到的投标文件少于</w:t>
      </w:r>
      <w:r>
        <w:rPr>
          <w:rFonts w:ascii="宋体" w:hAnsi="宋体" w:cs="宋体"/>
          <w:color w:val="000000" w:themeColor="text1"/>
          <w:kern w:val="1"/>
          <w:highlight w:val="none"/>
          <w:u w:val="single"/>
          <w14:textFill>
            <w14:solidFill>
              <w14:schemeClr w14:val="tx1"/>
            </w14:solidFill>
          </w14:textFill>
        </w:rPr>
        <w:t>3家的，本项目招标失败，将依法重新招标。</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ascii="宋体" w:hAnsi="宋体" w:cs="宋体"/>
          <w:color w:val="000000" w:themeColor="text1"/>
          <w:kern w:val="1"/>
          <w:highlight w:val="none"/>
          <w:u w:val="single"/>
          <w14:textFill>
            <w14:solidFill>
              <w14:schemeClr w14:val="tx1"/>
            </w14:solidFill>
          </w14:textFill>
        </w:rPr>
        <w:t xml:space="preserve">4.2.5 </w:t>
      </w:r>
      <w:r>
        <w:rPr>
          <w:rFonts w:hint="eastAsia" w:ascii="宋体" w:hAnsi="宋体" w:cs="宋体"/>
          <w:color w:val="000000" w:themeColor="text1"/>
          <w:kern w:val="1"/>
          <w:highlight w:val="none"/>
          <w:u w:val="single"/>
          <w14:textFill>
            <w14:solidFill>
              <w14:schemeClr w14:val="tx1"/>
            </w14:solidFill>
          </w14:textFill>
        </w:rPr>
        <w:t>逾期送达的投标文件，电子招标投标交易平台将予以拒收。</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84" w:name="_Toc357089539"/>
      <w:bookmarkEnd w:id="284"/>
      <w:bookmarkStart w:id="285" w:name="_Toc362816508"/>
      <w:bookmarkEnd w:id="285"/>
      <w:bookmarkStart w:id="286" w:name="_Toc17582"/>
      <w:bookmarkStart w:id="287" w:name="_Toc5620324"/>
      <w:r>
        <w:rPr>
          <w:rFonts w:hint="eastAsia" w:ascii="宋体" w:hAnsi="宋体" w:eastAsia="宋体"/>
          <w:b/>
          <w:bCs/>
          <w:color w:val="000000" w:themeColor="text1"/>
          <w:sz w:val="24"/>
          <w:szCs w:val="24"/>
          <w:highlight w:val="none"/>
          <w14:textFill>
            <w14:solidFill>
              <w14:schemeClr w14:val="tx1"/>
            </w14:solidFill>
          </w14:textFill>
        </w:rPr>
        <w:t>4.3 投标文件的修改与撤回</w:t>
      </w:r>
      <w:bookmarkEnd w:id="286"/>
      <w:bookmarkEnd w:id="287"/>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4.3.1 在投标人须知前附表第</w:t>
      </w:r>
      <w:r>
        <w:rPr>
          <w:rFonts w:ascii="宋体" w:hAnsi="宋体" w:cs="宋体"/>
          <w:color w:val="000000" w:themeColor="text1"/>
          <w:kern w:val="1"/>
          <w:highlight w:val="none"/>
          <w:u w:val="single"/>
          <w14:textFill>
            <w14:solidFill>
              <w14:schemeClr w14:val="tx1"/>
            </w14:solidFill>
          </w14:textFill>
        </w:rPr>
        <w:t>4.2.1</w:t>
      </w:r>
      <w:r>
        <w:rPr>
          <w:rFonts w:hint="eastAsia" w:ascii="宋体" w:hAnsi="宋体" w:cs="宋体"/>
          <w:color w:val="000000" w:themeColor="text1"/>
          <w:kern w:val="1"/>
          <w:highlight w:val="none"/>
          <w:u w:val="single"/>
          <w14:textFill>
            <w14:solidFill>
              <w14:schemeClr w14:val="tx1"/>
            </w14:solidFill>
          </w14:textFill>
        </w:rPr>
        <w:t>项规定的投标截止时间前，投标人可以修改或撤回已递交的投标文件，但需在交易平台发出撤回通知。</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4.3.2 投标人修改或撤回已递交投标文件的通知，应按照本章第 3.7.3项的要求加盖电子印章。电子招标投标交易平台收到通知后，即时向投标人发出确认回执通知。</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 xml:space="preserve">4.3.3 </w:t>
      </w:r>
      <w:r>
        <w:rPr>
          <w:rFonts w:hint="eastAsia" w:ascii="宋体" w:hAnsi="宋体"/>
          <w:color w:val="000000" w:themeColor="text1"/>
          <w:szCs w:val="21"/>
          <w:highlight w:val="none"/>
          <w:u w:val="single"/>
          <w14:textFill>
            <w14:solidFill>
              <w14:schemeClr w14:val="tx1"/>
            </w14:solidFill>
          </w14:textFill>
        </w:rPr>
        <w:t>投标人撤回投标文件的，招标人自收到投标人撤回通知之日起 5 日内退还已收取的投标保证金。</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w:t>
      </w:r>
      <w:r>
        <w:rPr>
          <w:rFonts w:ascii="宋体" w:hAnsi="宋体" w:cs="宋体"/>
          <w:color w:val="000000" w:themeColor="text1"/>
          <w:kern w:val="1"/>
          <w:highlight w:val="none"/>
          <w:u w:val="single"/>
          <w14:textFill>
            <w14:solidFill>
              <w14:schemeClr w14:val="tx1"/>
            </w14:solidFill>
          </w14:textFill>
        </w:rPr>
        <w:t xml:space="preserve">.3.4 </w:t>
      </w:r>
      <w:r>
        <w:rPr>
          <w:rFonts w:hint="eastAsia" w:ascii="宋体" w:hAnsi="宋体"/>
          <w:color w:val="000000" w:themeColor="text1"/>
          <w:szCs w:val="21"/>
          <w:highlight w:val="none"/>
          <w:u w:val="single"/>
          <w14:textFill>
            <w14:solidFill>
              <w14:schemeClr w14:val="tx1"/>
            </w14:solidFill>
          </w14:textFill>
        </w:rPr>
        <w:t>修改的内容为投标文件的组成部分修改的投标文件应按照本章第 3 条、第 4 条的规定进行编制和递交。</w:t>
      </w:r>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5</w:t>
      </w:r>
      <w:r>
        <w:rPr>
          <w:rFonts w:hint="eastAsia" w:ascii="宋体" w:hAnsi="宋体" w:cs="宋体"/>
          <w:color w:val="000000" w:themeColor="text1"/>
          <w:kern w:val="1"/>
          <w:highlight w:val="none"/>
          <w:u w:val="single"/>
          <w14:textFill>
            <w14:solidFill>
              <w14:schemeClr w14:val="tx1"/>
            </w14:solidFill>
          </w14:textFill>
        </w:rPr>
        <w:t xml:space="preserve"> 在投标截止时间之后，投标人不得补充、修改和更换投标文件。</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4.3.</w:t>
      </w:r>
      <w:r>
        <w:rPr>
          <w:rFonts w:ascii="宋体" w:hAnsi="宋体" w:cs="宋体"/>
          <w:color w:val="000000" w:themeColor="text1"/>
          <w:kern w:val="1"/>
          <w:highlight w:val="none"/>
          <w:u w:val="single"/>
          <w14:textFill>
            <w14:solidFill>
              <w14:schemeClr w14:val="tx1"/>
            </w14:solidFill>
          </w14:textFill>
        </w:rPr>
        <w:t>6</w:t>
      </w:r>
      <w:r>
        <w:rPr>
          <w:rFonts w:hint="eastAsia" w:ascii="宋体" w:hAnsi="宋体" w:cs="宋体"/>
          <w:color w:val="000000" w:themeColor="text1"/>
          <w:kern w:val="1"/>
          <w:highlight w:val="none"/>
          <w:u w:val="single"/>
          <w14:textFill>
            <w14:solidFill>
              <w14:schemeClr w14:val="tx1"/>
            </w14:solidFill>
          </w14:textFill>
        </w:rPr>
        <w:t xml:space="preserve"> 在投标截止后，投标人在投标文件格式中规定的有效期终止日前，投标人不能撤回投标文件，否则招标人有权就其撤回行为报告政府主管部门载入不良信用记录。</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88" w:name="_Toc443505828"/>
      <w:bookmarkEnd w:id="288"/>
      <w:bookmarkStart w:id="289" w:name="_Toc16809"/>
      <w:bookmarkEnd w:id="289"/>
      <w:bookmarkStart w:id="290" w:name="_Toc7909"/>
      <w:bookmarkEnd w:id="290"/>
      <w:bookmarkStart w:id="291" w:name="_Toc3600"/>
      <w:r>
        <w:rPr>
          <w:rFonts w:hint="eastAsia" w:ascii="宋体" w:hAnsi="宋体" w:eastAsia="宋体" w:cs="宋体"/>
          <w:color w:val="000000" w:themeColor="text1"/>
          <w:highlight w:val="none"/>
          <w:lang w:val="zh-CN"/>
          <w14:textFill>
            <w14:solidFill>
              <w14:schemeClr w14:val="tx1"/>
            </w14:solidFill>
          </w14:textFill>
        </w:rPr>
        <w:t>5. 开标</w:t>
      </w:r>
      <w:bookmarkEnd w:id="291"/>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92" w:name="_Toc21830"/>
      <w:r>
        <w:rPr>
          <w:rFonts w:hint="eastAsia" w:ascii="宋体" w:hAnsi="宋体" w:eastAsia="宋体"/>
          <w:b/>
          <w:bCs/>
          <w:color w:val="000000" w:themeColor="text1"/>
          <w:sz w:val="24"/>
          <w:szCs w:val="24"/>
          <w:highlight w:val="none"/>
          <w14:textFill>
            <w14:solidFill>
              <w14:schemeClr w14:val="tx1"/>
            </w14:solidFill>
          </w14:textFill>
        </w:rPr>
        <w:t>5.1 开标时间和地点</w:t>
      </w:r>
      <w:bookmarkEnd w:id="292"/>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招标人在本章第 4.2.1 项规定的投标截止时间（开标时间）,通过电子招标投标交易平台公 开开标。</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b/>
          <w:bCs/>
          <w:color w:val="000000" w:themeColor="text1"/>
          <w:sz w:val="24"/>
          <w:szCs w:val="24"/>
          <w:highlight w:val="none"/>
          <w14:textFill>
            <w14:solidFill>
              <w14:schemeClr w14:val="tx1"/>
            </w14:solidFill>
          </w14:textFill>
        </w:rPr>
        <w:t>5.2 开标程序</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 xml:space="preserve">5.2.1 </w:t>
      </w:r>
      <w:r>
        <w:rPr>
          <w:rFonts w:hint="eastAsia" w:ascii="宋体" w:hAnsi="宋体" w:cs="宋体"/>
          <w:color w:val="000000" w:themeColor="text1"/>
          <w:kern w:val="1"/>
          <w:szCs w:val="21"/>
          <w:highlight w:val="none"/>
          <w:u w:val="single"/>
          <w14:textFill>
            <w14:solidFill>
              <w14:schemeClr w14:val="tx1"/>
            </w14:solidFill>
          </w14:textFill>
        </w:rPr>
        <w:t>招标人按投标须知前附表所规定的时间和地点公开开标。截标后，</w:t>
      </w:r>
      <w:r>
        <w:rPr>
          <w:rFonts w:hint="eastAsia" w:ascii="宋体" w:hAnsi="宋体" w:cs="宋体"/>
          <w:color w:val="000000" w:themeColor="text1"/>
          <w:kern w:val="1"/>
          <w:highlight w:val="none"/>
          <w:u w:val="single"/>
          <w14:textFill>
            <w14:solidFill>
              <w14:schemeClr w14:val="tx1"/>
            </w14:solidFill>
          </w14:textFill>
        </w:rPr>
        <w:t>开标开始时间因故推迟的</w:t>
      </w:r>
      <w:r>
        <w:rPr>
          <w:rFonts w:hint="eastAsia" w:ascii="宋体" w:hAnsi="宋体" w:cs="宋体"/>
          <w:color w:val="000000" w:themeColor="text1"/>
          <w:kern w:val="1"/>
          <w:szCs w:val="21"/>
          <w:highlight w:val="none"/>
          <w:u w:val="single"/>
          <w14:textFill>
            <w14:solidFill>
              <w14:schemeClr w14:val="tx1"/>
            </w14:solidFill>
          </w14:textFill>
        </w:rPr>
        <w:t>，相关评标信息仍以原递交投标文件截止时间的信息为准。</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5.2.2开标由招标人或委托招标代理单位主持。</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5.2.3</w:t>
      </w:r>
      <w:r>
        <w:rPr>
          <w:rFonts w:hint="eastAsia" w:ascii="宋体" w:hAnsi="宋体" w:cs="宋体"/>
          <w:color w:val="000000" w:themeColor="text1"/>
          <w:kern w:val="1"/>
          <w:szCs w:val="21"/>
          <w:highlight w:val="none"/>
          <w:u w:val="single"/>
          <w14:textFill>
            <w14:solidFill>
              <w14:schemeClr w14:val="tx1"/>
            </w14:solidFill>
          </w14:textFill>
        </w:rPr>
        <w:t>开标细则</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（1）投标文件解密；</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（2）资格审查文件、工程总承包实施方案技术投标文件、工程总承包实施方案经济投标文件同时公开开标；</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（3）开标时宣读下列内容，并予以记录，记录提交评标委员会评审：</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开标时，宣读a、投标人名称；b、有无法定代表人证明书及授权委托证明书；c、总工期；d、质量标准；e、项目负责人姓名；f、设计负责人姓名；g、投标总报价；h、投标保证金等主要内容以及开标记录表中的其他必要内容。招标人或招标代理对开标过程进行记录，并存档备查，投标人代表、招标人代表、监标人、记录人等有关人员在开标记录上签字确认；若有关人员不签字的，不影响开标程序；</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 xml:space="preserve">5.2.4 </w:t>
      </w:r>
      <w:r>
        <w:rPr>
          <w:rFonts w:hint="eastAsia" w:ascii="宋体" w:hAnsi="宋体"/>
          <w:color w:val="000000" w:themeColor="text1"/>
          <w:szCs w:val="21"/>
          <w:highlight w:val="none"/>
          <w:u w:val="single"/>
          <w14:textFill>
            <w14:solidFill>
              <w14:schemeClr w14:val="tx1"/>
            </w14:solidFill>
          </w14:textFill>
        </w:rPr>
        <w:t>投标截止时间前未完成投标文件传输的或因投标人之外的原因造成投标文件未解密且投标人未递交备用电子投标文件的，视为投标人其撤回投标文件。因投标人原因造成投标文件未解密的或未在投标截止时间后一小时内解密的，视为撤销其投标文件。</w:t>
      </w:r>
    </w:p>
    <w:p>
      <w:pPr>
        <w:shd w:val="clear"/>
        <w:spacing w:line="360" w:lineRule="auto"/>
        <w:ind w:firstLine="458"/>
        <w:rPr>
          <w:rFonts w:ascii="宋体" w:hAnsi="宋体" w:cs="宋体"/>
          <w:color w:val="000000" w:themeColor="text1"/>
          <w:kern w:val="1"/>
          <w:szCs w:val="21"/>
          <w:highlight w:val="none"/>
          <w:u w:val="single"/>
          <w14:textFill>
            <w14:solidFill>
              <w14:schemeClr w14:val="tx1"/>
            </w14:solidFill>
          </w14:textFill>
        </w:rPr>
      </w:pPr>
      <w:r>
        <w:rPr>
          <w:rFonts w:ascii="宋体" w:hAnsi="宋体" w:cs="宋体"/>
          <w:color w:val="000000" w:themeColor="text1"/>
          <w:kern w:val="1"/>
          <w:szCs w:val="21"/>
          <w:highlight w:val="none"/>
          <w:u w:val="single"/>
          <w14:textFill>
            <w14:solidFill>
              <w14:schemeClr w14:val="tx1"/>
            </w14:solidFill>
          </w14:textFill>
        </w:rPr>
        <w:t>5.2.5</w:t>
      </w:r>
      <w:r>
        <w:rPr>
          <w:rFonts w:hint="eastAsia" w:ascii="宋体" w:hAnsi="宋体"/>
          <w:color w:val="000000" w:themeColor="text1"/>
          <w:szCs w:val="21"/>
          <w:highlight w:val="none"/>
          <w:u w:val="single"/>
          <w14:textFill>
            <w14:solidFill>
              <w14:schemeClr w14:val="tx1"/>
            </w14:solidFill>
          </w14:textFill>
        </w:rPr>
        <w:t>开标时，两个（含两个）以上的投标人加密打包投标文件电脑机器特征码一致的，不参与下一程序，并由评标委员会否决其投标。</w:t>
      </w:r>
    </w:p>
    <w:p>
      <w:pPr>
        <w:pStyle w:val="5"/>
        <w:shd w:val="clear"/>
        <w:spacing w:line="360" w:lineRule="auto"/>
        <w:ind w:firstLine="118"/>
        <w:rPr>
          <w:rFonts w:ascii="宋体" w:hAnsi="宋体" w:eastAsia="宋体"/>
          <w:b/>
          <w:bCs/>
          <w:color w:val="000000" w:themeColor="text1"/>
          <w:sz w:val="24"/>
          <w:szCs w:val="24"/>
          <w:highlight w:val="none"/>
          <w14:textFill>
            <w14:solidFill>
              <w14:schemeClr w14:val="tx1"/>
            </w14:solidFill>
          </w14:textFill>
        </w:rPr>
      </w:pPr>
      <w:bookmarkStart w:id="293" w:name="_Toc11457"/>
      <w:r>
        <w:rPr>
          <w:rFonts w:ascii="宋体" w:hAnsi="宋体" w:eastAsia="宋体"/>
          <w:b/>
          <w:bCs/>
          <w:color w:val="000000" w:themeColor="text1"/>
          <w:sz w:val="24"/>
          <w:szCs w:val="24"/>
          <w:highlight w:val="none"/>
          <w14:textFill>
            <w14:solidFill>
              <w14:schemeClr w14:val="tx1"/>
            </w14:solidFill>
          </w14:textFill>
        </w:rPr>
        <w:t xml:space="preserve">5.3 </w:t>
      </w:r>
      <w:r>
        <w:rPr>
          <w:rFonts w:hint="eastAsia" w:ascii="宋体" w:hAnsi="宋体" w:eastAsia="宋体"/>
          <w:b/>
          <w:bCs/>
          <w:color w:val="000000" w:themeColor="text1"/>
          <w:sz w:val="24"/>
          <w:szCs w:val="24"/>
          <w:highlight w:val="none"/>
          <w14:textFill>
            <w14:solidFill>
              <w14:schemeClr w14:val="tx1"/>
            </w14:solidFill>
          </w14:textFill>
        </w:rPr>
        <w:t>开标异议</w:t>
      </w:r>
      <w:bookmarkEnd w:id="293"/>
    </w:p>
    <w:p>
      <w:pPr>
        <w:shd w:val="clear"/>
        <w:spacing w:line="360" w:lineRule="auto"/>
        <w:ind w:firstLine="359"/>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投标人对开标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294" w:name="_Toc20998"/>
      <w:bookmarkEnd w:id="294"/>
      <w:bookmarkStart w:id="295" w:name="_Toc23707"/>
      <w:bookmarkEnd w:id="295"/>
      <w:bookmarkStart w:id="296" w:name="_Toc5620328"/>
      <w:bookmarkStart w:id="297" w:name="_Toc6507"/>
      <w:r>
        <w:rPr>
          <w:rFonts w:hint="eastAsia" w:ascii="宋体" w:hAnsi="宋体" w:eastAsia="宋体" w:cs="宋体"/>
          <w:color w:val="000000" w:themeColor="text1"/>
          <w:highlight w:val="none"/>
          <w:lang w:val="zh-CN"/>
          <w14:textFill>
            <w14:solidFill>
              <w14:schemeClr w14:val="tx1"/>
            </w14:solidFill>
          </w14:textFill>
        </w:rPr>
        <w:t>6. 评标</w:t>
      </w:r>
      <w:bookmarkEnd w:id="296"/>
      <w:bookmarkEnd w:id="297"/>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298" w:name="_Toc19143"/>
      <w:bookmarkStart w:id="299" w:name="_Toc5620329"/>
      <w:r>
        <w:rPr>
          <w:rFonts w:hint="eastAsia" w:ascii="宋体" w:hAnsi="宋体" w:eastAsia="宋体"/>
          <w:color w:val="000000" w:themeColor="text1"/>
          <w:sz w:val="21"/>
          <w:szCs w:val="21"/>
          <w:highlight w:val="none"/>
          <w14:textFill>
            <w14:solidFill>
              <w14:schemeClr w14:val="tx1"/>
            </w14:solidFill>
          </w14:textFill>
        </w:rPr>
        <w:t>6.1 评标委员会</w:t>
      </w:r>
      <w:bookmarkEnd w:id="298"/>
      <w:bookmarkEnd w:id="299"/>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6.1.1</w:t>
      </w:r>
      <w:r>
        <w:rPr>
          <w:rFonts w:hint="eastAsia" w:ascii="宋体" w:hAnsi="宋体" w:cs="宋体"/>
          <w:color w:val="000000" w:themeColor="text1"/>
          <w:kern w:val="1"/>
          <w:szCs w:val="21"/>
          <w:highlight w:val="none"/>
          <w:u w:val="single"/>
          <w14:textFill>
            <w14:solidFill>
              <w14:schemeClr w14:val="tx1"/>
            </w14:solidFill>
          </w14:textFill>
        </w:rPr>
        <w:t>评标由招标人依法组建的评标委员会负责，分勘察设计评审组、综合评审组，资格评审由综合评审组负责评审。</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6.1.2 评标委员会在开始评标前，应了解评标专家的职责及守则，认真阅读本章附件一《评标委员会成员声明》的内容并签名，签字后方可进行评标；</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6.1.3评标委员会成员有下列情形之一的，应当回避：</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（1）投标人或投标人主要负责人的近亲属；</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（2）项目主管部门或者行政监督部门的人员；</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（3）与投标人有经济利益关系，可能影响对投标公正评审的；</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（4）曾因在招标、评标以及其他与招标投标有关活动中从事违法行为而受过行政处罚或刑事处罚的；</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（5）与投标人有其他利害关系。</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0" w:name="_Toc443505829"/>
      <w:bookmarkEnd w:id="300"/>
      <w:bookmarkStart w:id="301" w:name="_Toc7827"/>
      <w:bookmarkStart w:id="302" w:name="_Toc5620330"/>
      <w:r>
        <w:rPr>
          <w:rFonts w:hint="eastAsia" w:ascii="宋体" w:hAnsi="宋体" w:eastAsia="宋体"/>
          <w:color w:val="000000" w:themeColor="text1"/>
          <w:sz w:val="21"/>
          <w:szCs w:val="21"/>
          <w:highlight w:val="none"/>
          <w14:textFill>
            <w14:solidFill>
              <w14:schemeClr w14:val="tx1"/>
            </w14:solidFill>
          </w14:textFill>
        </w:rPr>
        <w:t>6.2 评标原则</w:t>
      </w:r>
      <w:bookmarkEnd w:id="301"/>
      <w:bookmarkEnd w:id="302"/>
      <w:r>
        <w:rPr>
          <w:rFonts w:hint="eastAsia" w:ascii="宋体" w:hAnsi="宋体" w:eastAsia="宋体"/>
          <w:color w:val="000000" w:themeColor="text1"/>
          <w:sz w:val="21"/>
          <w:szCs w:val="21"/>
          <w:highlight w:val="none"/>
          <w14:textFill>
            <w14:solidFill>
              <w14:schemeClr w14:val="tx1"/>
            </w14:solidFill>
          </w14:textFill>
        </w:rPr>
        <w:tab/>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评标活动遵循公平、公正、科学和择优的原则。</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03" w:name="_Toc5620331"/>
      <w:bookmarkStart w:id="304" w:name="_Toc16832"/>
      <w:r>
        <w:rPr>
          <w:rFonts w:hint="eastAsia" w:ascii="宋体" w:hAnsi="宋体" w:eastAsia="宋体"/>
          <w:color w:val="000000" w:themeColor="text1"/>
          <w:sz w:val="21"/>
          <w:szCs w:val="21"/>
          <w:highlight w:val="none"/>
          <w14:textFill>
            <w14:solidFill>
              <w14:schemeClr w14:val="tx1"/>
            </w14:solidFill>
          </w14:textFill>
        </w:rPr>
        <w:t>6.3 评标</w:t>
      </w:r>
      <w:bookmarkEnd w:id="303"/>
      <w:bookmarkEnd w:id="304"/>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评标委员会按照第三章“评标办法”规定的方法、评审因素、标准和程序对投标文件进行评审。第三章“评标办法”没有规定的方法、评审因素和标准，不作为评标依据。</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在评审过程中，评标委员会可以以书面形式要求投标人就资格审查文件和投标文件中含义不明确的内容进行书面说明并提供相关材料。</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评标委员会经评审，认为所有投标都不符合招标文件要求的，可以否决所有投标。所有投标被否决后，招标人应当依法重新招标。</w:t>
      </w:r>
    </w:p>
    <w:p>
      <w:pPr>
        <w:pStyle w:val="5"/>
        <w:shd w:val="clear"/>
        <w:spacing w:before="0" w:after="0" w:line="360" w:lineRule="auto"/>
        <w:ind w:firstLine="0"/>
        <w:rPr>
          <w:rFonts w:ascii="宋体" w:hAnsi="宋体" w:eastAsia="宋体"/>
          <w:color w:val="000000" w:themeColor="text1"/>
          <w:sz w:val="21"/>
          <w:szCs w:val="21"/>
          <w:highlight w:val="none"/>
          <w:u w:val="single"/>
          <w14:textFill>
            <w14:solidFill>
              <w14:schemeClr w14:val="tx1"/>
            </w14:solidFill>
          </w14:textFill>
        </w:rPr>
      </w:pPr>
      <w:bookmarkStart w:id="305" w:name="_Toc14839"/>
      <w:bookmarkStart w:id="306" w:name="_Toc5620332"/>
      <w:r>
        <w:rPr>
          <w:rFonts w:hint="eastAsia" w:ascii="宋体" w:hAnsi="宋体" w:eastAsia="宋体"/>
          <w:color w:val="000000" w:themeColor="text1"/>
          <w:sz w:val="21"/>
          <w:szCs w:val="21"/>
          <w:highlight w:val="none"/>
          <w:u w:val="single"/>
          <w14:textFill>
            <w14:solidFill>
              <w14:schemeClr w14:val="tx1"/>
            </w14:solidFill>
          </w14:textFill>
        </w:rPr>
        <w:t>6.4评标过程的保密</w:t>
      </w:r>
      <w:bookmarkEnd w:id="305"/>
      <w:bookmarkEnd w:id="306"/>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6.4.1 开标后，直至授予中标人合同为止，凡属于对资格审查文件和投标文件的审查、澄清、评价和比较有关的资料以及中标候选人的推荐情况，与评标有关的其他任何情况均严格保密。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6.4.2 在资格审查文件和投标文件的评审和比较、中标候选人推荐以及授予合同的过程中，投标人向招标人和评标委员会施加影响的任何行为，都将会导致其投标被拒绝。</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6.4.3 中标人确定后，招标人不对未中标人就评标过程以及未能中标原因作出任何解释。未中标人不得向评标委员会组成人员或其他有关人员索问评标过程的情况和材料。</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07" w:name="_Toc7746"/>
      <w:bookmarkEnd w:id="307"/>
      <w:bookmarkStart w:id="308" w:name="_Toc27077"/>
      <w:bookmarkEnd w:id="308"/>
      <w:bookmarkStart w:id="309" w:name="_Toc5620333"/>
      <w:bookmarkStart w:id="310" w:name="_Toc13256"/>
      <w:r>
        <w:rPr>
          <w:rFonts w:hint="eastAsia" w:ascii="宋体" w:hAnsi="宋体" w:eastAsia="宋体" w:cs="宋体"/>
          <w:color w:val="000000" w:themeColor="text1"/>
          <w:highlight w:val="none"/>
          <w:lang w:val="zh-CN"/>
          <w14:textFill>
            <w14:solidFill>
              <w14:schemeClr w14:val="tx1"/>
            </w14:solidFill>
          </w14:textFill>
        </w:rPr>
        <w:t>7. 合同授予</w:t>
      </w:r>
      <w:bookmarkEnd w:id="309"/>
      <w:bookmarkEnd w:id="310"/>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1" w:name="_Toc18404"/>
      <w:bookmarkStart w:id="312" w:name="_Toc5620334"/>
      <w:r>
        <w:rPr>
          <w:rFonts w:hint="eastAsia" w:ascii="宋体" w:hAnsi="宋体" w:eastAsia="宋体"/>
          <w:color w:val="000000" w:themeColor="text1"/>
          <w:sz w:val="21"/>
          <w:szCs w:val="21"/>
          <w:highlight w:val="none"/>
          <w14:textFill>
            <w14:solidFill>
              <w14:schemeClr w14:val="tx1"/>
            </w14:solidFill>
          </w14:textFill>
        </w:rPr>
        <w:t>7.1 定标方式</w:t>
      </w:r>
      <w:bookmarkEnd w:id="311"/>
      <w:bookmarkEnd w:id="312"/>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7.1.1除投标人须知前附表规定评标委员会直接确定中标人外，招标人依据评标委员会推荐的中标候选人确定中标人，评标委员会推荐中标候选人的人数见投标人须知前附表。</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7.1.2 依法必须进行公开招标的项目，招标人应当确定排名第一的中标候选人为中标人。</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7.1.3排名第一的中标候选人放弃中标、因不可抗力不能履行合同、不按照招标文件要求提交履约保证金，或者被查实存在影响中标结果的违法行为或项目负责人已在其他在建项目中任职、不符合任职数量规定时等情形，不符合中标条件的，招标人可以按照评标委员会提出的中标候选人名单排序依次确定其他中标候选人为中标人，也可以重新招标。</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3" w:name="_Toc19474"/>
      <w:bookmarkStart w:id="314" w:name="_Toc5620335"/>
      <w:r>
        <w:rPr>
          <w:rFonts w:hint="eastAsia" w:ascii="宋体" w:hAnsi="宋体" w:eastAsia="宋体"/>
          <w:color w:val="000000" w:themeColor="text1"/>
          <w:sz w:val="21"/>
          <w:szCs w:val="21"/>
          <w:highlight w:val="none"/>
          <w14:textFill>
            <w14:solidFill>
              <w14:schemeClr w14:val="tx1"/>
            </w14:solidFill>
          </w14:textFill>
        </w:rPr>
        <w:t>7.2 中标候选人公示</w:t>
      </w:r>
      <w:bookmarkEnd w:id="313"/>
      <w:bookmarkEnd w:id="314"/>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7.2.1</w:t>
      </w:r>
      <w:r>
        <w:rPr>
          <w:rFonts w:hint="eastAsia" w:ascii="宋体" w:hAnsi="宋体" w:cs="宋体"/>
          <w:color w:val="000000" w:themeColor="text1"/>
          <w:kern w:val="1"/>
          <w:highlight w:val="none"/>
          <w14:textFill>
            <w14:solidFill>
              <w14:schemeClr w14:val="tx1"/>
            </w14:solidFill>
          </w14:textFill>
        </w:rPr>
        <w:t>招标人在投标人须知前附表规定的媒介公示中标候选人</w:t>
      </w:r>
      <w:r>
        <w:rPr>
          <w:rFonts w:hint="eastAsia" w:ascii="宋体" w:hAnsi="宋体" w:cs="宋体"/>
          <w:color w:val="000000" w:themeColor="text1"/>
          <w:kern w:val="1"/>
          <w:szCs w:val="21"/>
          <w:highlight w:val="none"/>
          <w14:textFill>
            <w14:solidFill>
              <w14:schemeClr w14:val="tx1"/>
            </w14:solidFill>
          </w14:textFill>
        </w:rPr>
        <w:t>。</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7.2.2在产生中标候选人后，招标人将中标候选人的投标文件商务部分文件的电子文件（包括人员、业绩、奖项等资料）在广州交易集团有限公司（广州公共资源交易中心）和广东省招标投标监管网公开。</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5" w:name="_Toc5620336"/>
      <w:bookmarkStart w:id="316" w:name="_Toc28278"/>
      <w:r>
        <w:rPr>
          <w:rFonts w:hint="eastAsia" w:ascii="宋体" w:hAnsi="宋体" w:eastAsia="宋体"/>
          <w:color w:val="000000" w:themeColor="text1"/>
          <w:sz w:val="21"/>
          <w:szCs w:val="21"/>
          <w:highlight w:val="none"/>
          <w14:textFill>
            <w14:solidFill>
              <w14:schemeClr w14:val="tx1"/>
            </w14:solidFill>
          </w14:textFill>
        </w:rPr>
        <w:t>7.3 中标通知</w:t>
      </w:r>
      <w:bookmarkEnd w:id="315"/>
      <w:bookmarkEnd w:id="316"/>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7.3.1在本章第3.3 款规定的投标有效期内，</w:t>
      </w:r>
      <w:r>
        <w:rPr>
          <w:rFonts w:hint="eastAsia" w:ascii="宋体" w:hAnsi="宋体" w:cs="宋体"/>
          <w:color w:val="000000" w:themeColor="text1"/>
          <w:kern w:val="1"/>
          <w:highlight w:val="none"/>
          <w:u w:val="single"/>
          <w14:textFill>
            <w14:solidFill>
              <w14:schemeClr w14:val="tx1"/>
            </w14:solidFill>
          </w14:textFill>
        </w:rPr>
        <w:t>中标人自行于广州交易集团有限公司（广州公共资源交易中心）交易平台下载中标通知书，同时招标人将中标结果通过广州交易集团有限公司（广州公共资源交易中心）交易平台公开发布。中标人须对其投标文件真实性负责，并准备投标文件涉及的所有原件待查，如存在弄虚作假情况或原件不齐或与原件不符的，招标人有权取消其中标人资格，并上报建设行政主管部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7" w:name="_Toc5620337"/>
      <w:bookmarkStart w:id="318" w:name="_Toc26932"/>
      <w:r>
        <w:rPr>
          <w:rFonts w:hint="eastAsia" w:ascii="宋体" w:hAnsi="宋体" w:eastAsia="宋体"/>
          <w:color w:val="000000" w:themeColor="text1"/>
          <w:sz w:val="21"/>
          <w:szCs w:val="21"/>
          <w:highlight w:val="none"/>
          <w14:textFill>
            <w14:solidFill>
              <w14:schemeClr w14:val="tx1"/>
            </w14:solidFill>
          </w14:textFill>
        </w:rPr>
        <w:t>7.4 履约担保</w:t>
      </w:r>
      <w:bookmarkEnd w:id="317"/>
      <w:bookmarkEnd w:id="318"/>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7.4.1</w:t>
      </w:r>
      <w:r>
        <w:rPr>
          <w:rFonts w:hint="eastAsia" w:ascii="宋体" w:hAnsi="宋体" w:cs="宋体"/>
          <w:color w:val="000000" w:themeColor="text1"/>
          <w:kern w:val="1"/>
          <w:szCs w:val="21"/>
          <w:highlight w:val="none"/>
          <w:u w:val="single"/>
          <w14:textFill>
            <w14:solidFill>
              <w14:schemeClr w14:val="tx1"/>
            </w14:solidFill>
          </w14:textFill>
        </w:rPr>
        <w:t>中标人应按投标人须知前附表规定的担保形式和金额向招标人提交履约担保</w:t>
      </w:r>
      <w:r>
        <w:rPr>
          <w:rFonts w:ascii="宋体" w:hAnsi="宋体" w:cs="宋体"/>
          <w:color w:val="000000" w:themeColor="text1"/>
          <w:szCs w:val="21"/>
          <w:highlight w:val="none"/>
          <w:u w:val="single"/>
          <w14:textFill>
            <w14:solidFill>
              <w14:schemeClr w14:val="tx1"/>
            </w14:solidFill>
          </w14:textFill>
        </w:rPr>
        <w:t>，具体以合同约定为准</w:t>
      </w:r>
      <w:r>
        <w:rPr>
          <w:rFonts w:hint="eastAsia" w:ascii="宋体" w:hAnsi="宋体" w:cs="宋体"/>
          <w:color w:val="000000" w:themeColor="text1"/>
          <w:kern w:val="1"/>
          <w:szCs w:val="21"/>
          <w:highlight w:val="none"/>
          <w:u w:val="single"/>
          <w14:textFill>
            <w14:solidFill>
              <w14:schemeClr w14:val="tx1"/>
            </w14:solidFill>
          </w14:textFill>
        </w:rPr>
        <w:t>。</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7.4.2 中标人不能按本章第7.4.1项要求提交履约担保的，视为放弃中标，</w:t>
      </w:r>
      <w:r>
        <w:rPr>
          <w:rFonts w:hint="eastAsia"/>
          <w:color w:val="000000" w:themeColor="text1"/>
          <w:highlight w:val="none"/>
          <w14:textFill>
            <w14:solidFill>
              <w14:schemeClr w14:val="tx1"/>
            </w14:solidFill>
          </w14:textFill>
        </w:rPr>
        <w:t>其投标保证金不予退还，</w:t>
      </w:r>
      <w:r>
        <w:rPr>
          <w:rFonts w:hint="eastAsia" w:ascii="宋体" w:hAnsi="宋体" w:cs="宋体"/>
          <w:color w:val="000000" w:themeColor="text1"/>
          <w:kern w:val="1"/>
          <w:szCs w:val="21"/>
          <w:highlight w:val="none"/>
          <w14:textFill>
            <w14:solidFill>
              <w14:schemeClr w14:val="tx1"/>
            </w14:solidFill>
          </w14:textFill>
        </w:rPr>
        <w:t>给招标人造成损失的，中标人还应当予以赔偿。</w:t>
      </w:r>
    </w:p>
    <w:p>
      <w:pPr>
        <w:pStyle w:val="5"/>
        <w:shd w:val="clear"/>
        <w:spacing w:before="0" w:after="0" w:line="360" w:lineRule="auto"/>
        <w:ind w:firstLine="0"/>
        <w:rPr>
          <w:rFonts w:ascii="宋体" w:hAnsi="宋体" w:eastAsia="宋体"/>
          <w:color w:val="000000" w:themeColor="text1"/>
          <w:sz w:val="21"/>
          <w:szCs w:val="21"/>
          <w:highlight w:val="none"/>
          <w14:textFill>
            <w14:solidFill>
              <w14:schemeClr w14:val="tx1"/>
            </w14:solidFill>
          </w14:textFill>
        </w:rPr>
      </w:pPr>
      <w:bookmarkStart w:id="319" w:name="_Toc18213"/>
      <w:bookmarkStart w:id="320" w:name="_Toc5620338"/>
      <w:r>
        <w:rPr>
          <w:rFonts w:hint="eastAsia" w:ascii="宋体" w:hAnsi="宋体" w:eastAsia="宋体"/>
          <w:color w:val="000000" w:themeColor="text1"/>
          <w:sz w:val="21"/>
          <w:szCs w:val="21"/>
          <w:highlight w:val="none"/>
          <w14:textFill>
            <w14:solidFill>
              <w14:schemeClr w14:val="tx1"/>
            </w14:solidFill>
          </w14:textFill>
        </w:rPr>
        <w:t>7.5 签订合同</w:t>
      </w:r>
      <w:bookmarkEnd w:id="319"/>
      <w:bookmarkEnd w:id="320"/>
    </w:p>
    <w:p>
      <w:pPr>
        <w:shd w:val="clear"/>
        <w:spacing w:line="360" w:lineRule="auto"/>
        <w:ind w:firstLine="420"/>
        <w:rPr>
          <w:rFonts w:ascii="宋体" w:hAnsi="宋体" w:cs="宋体"/>
          <w:b/>
          <w:color w:val="000000" w:themeColor="text1"/>
          <w:kern w:val="1"/>
          <w:szCs w:val="24"/>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7.5.1 招标人和中标人应当自中标通知书发出之日起30天内，根据招标文件和中标人的投标文件订立书面合同。中标人无正当理由拒签合同的，招标人取消其中标资格</w:t>
      </w:r>
      <w:r>
        <w:rPr>
          <w:rFonts w:hint="eastAsia" w:ascii="宋体" w:hAnsi="宋体" w:cs="宋体"/>
          <w:color w:val="000000" w:themeColor="text1"/>
          <w:kern w:val="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其投标保证金不予退还，</w:t>
      </w:r>
      <w:r>
        <w:rPr>
          <w:rFonts w:hint="eastAsia" w:ascii="宋体" w:hAnsi="宋体" w:cs="宋体"/>
          <w:color w:val="000000" w:themeColor="text1"/>
          <w:kern w:val="1"/>
          <w:szCs w:val="21"/>
          <w:highlight w:val="none"/>
          <w:u w:val="single"/>
          <w14:textFill>
            <w14:solidFill>
              <w14:schemeClr w14:val="tx1"/>
            </w14:solidFill>
          </w14:textFill>
        </w:rPr>
        <w:t>给招标人造成损失的，中标人还应当予以赔偿。</w:t>
      </w:r>
      <w:r>
        <w:rPr>
          <w:rFonts w:hint="eastAsia" w:ascii="宋体" w:hAnsi="宋体" w:cs="宋体"/>
          <w:color w:val="000000" w:themeColor="text1"/>
          <w:kern w:val="1"/>
          <w:highlight w:val="none"/>
          <w14:textFill>
            <w14:solidFill>
              <w14:schemeClr w14:val="tx1"/>
            </w14:solidFill>
          </w14:textFill>
        </w:rPr>
        <w:t xml:space="preserve"> </w:t>
      </w:r>
      <w:bookmarkStart w:id="321" w:name="_Toc15670"/>
      <w:bookmarkEnd w:id="321"/>
      <w:bookmarkStart w:id="322" w:name="_Toc11555"/>
      <w:bookmarkEnd w:id="322"/>
      <w:bookmarkStart w:id="323" w:name="_Toc443505830"/>
      <w:bookmarkEnd w:id="323"/>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7.5.2 发出中标通知书后，招标人无正当理由拒签合同</w:t>
      </w:r>
      <w:r>
        <w:rPr>
          <w:rFonts w:hint="eastAsia"/>
          <w:color w:val="000000" w:themeColor="text1"/>
          <w:highlight w:val="none"/>
          <w14:textFill>
            <w14:solidFill>
              <w14:schemeClr w14:val="tx1"/>
            </w14:solidFill>
          </w14:textFill>
        </w:rPr>
        <w:t>的，招标人向中标人退还投标保证金；</w:t>
      </w:r>
      <w:r>
        <w:rPr>
          <w:rFonts w:hint="eastAsia" w:ascii="宋体" w:hAnsi="宋体" w:cs="宋体"/>
          <w:color w:val="000000" w:themeColor="text1"/>
          <w:kern w:val="1"/>
          <w:highlight w:val="none"/>
          <w14:textFill>
            <w14:solidFill>
              <w14:schemeClr w14:val="tx1"/>
            </w14:solidFill>
          </w14:textFill>
        </w:rPr>
        <w:t>给中标人造成损失的，还应当赔偿损失。</w:t>
      </w:r>
    </w:p>
    <w:p>
      <w:pPr>
        <w:pStyle w:val="4"/>
        <w:shd w:val="clear"/>
        <w:spacing w:before="240" w:beforeLines="100" w:after="240" w:afterLines="100" w:line="360" w:lineRule="auto"/>
        <w:rPr>
          <w:rFonts w:ascii="宋体" w:hAnsi="宋体" w:eastAsia="宋体" w:cs="宋体"/>
          <w:color w:val="000000" w:themeColor="text1"/>
          <w:highlight w:val="none"/>
          <w:lang w:val="zh-CN"/>
          <w14:textFill>
            <w14:solidFill>
              <w14:schemeClr w14:val="tx1"/>
            </w14:solidFill>
          </w14:textFill>
        </w:rPr>
      </w:pPr>
      <w:bookmarkStart w:id="324" w:name="_Toc21320"/>
      <w:bookmarkEnd w:id="324"/>
      <w:bookmarkStart w:id="325" w:name="_Toc443505831"/>
      <w:bookmarkEnd w:id="325"/>
      <w:bookmarkStart w:id="326" w:name="_Toc30835"/>
      <w:bookmarkEnd w:id="326"/>
      <w:bookmarkStart w:id="327" w:name="_Toc9984"/>
      <w:bookmarkStart w:id="328" w:name="_Toc5620339"/>
      <w:r>
        <w:rPr>
          <w:rFonts w:hint="eastAsia" w:ascii="宋体" w:hAnsi="宋体" w:eastAsia="宋体" w:cs="宋体"/>
          <w:color w:val="000000" w:themeColor="text1"/>
          <w:highlight w:val="none"/>
          <w:lang w:val="zh-CN"/>
          <w14:textFill>
            <w14:solidFill>
              <w14:schemeClr w14:val="tx1"/>
            </w14:solidFill>
          </w14:textFill>
        </w:rPr>
        <w:t>8. 纪律和监督</w:t>
      </w:r>
      <w:bookmarkEnd w:id="327"/>
      <w:bookmarkEnd w:id="328"/>
    </w:p>
    <w:p>
      <w:pPr>
        <w:shd w:val="clear"/>
        <w:spacing w:line="360" w:lineRule="auto"/>
        <w:rPr>
          <w:rFonts w:ascii="宋体" w:hAnsi="宋体" w:cs="宋体"/>
          <w:color w:val="000000" w:themeColor="text1"/>
          <w:kern w:val="1"/>
          <w:szCs w:val="21"/>
          <w:highlight w:val="none"/>
          <w:lang w:val="zh-CN"/>
          <w14:textFill>
            <w14:solidFill>
              <w14:schemeClr w14:val="tx1"/>
            </w14:solidFill>
          </w14:textFill>
        </w:rPr>
      </w:pPr>
      <w:bookmarkStart w:id="329" w:name="_Toc7252"/>
      <w:bookmarkEnd w:id="329"/>
      <w:bookmarkStart w:id="330" w:name="_Toc443505832"/>
      <w:bookmarkEnd w:id="330"/>
      <w:bookmarkStart w:id="331" w:name="_Toc30367"/>
      <w:bookmarkEnd w:id="331"/>
      <w:bookmarkStart w:id="332" w:name="_Toc5620340"/>
      <w:r>
        <w:rPr>
          <w:rFonts w:hint="eastAsia" w:ascii="宋体" w:hAnsi="宋体" w:cs="宋体"/>
          <w:color w:val="000000" w:themeColor="text1"/>
          <w:kern w:val="1"/>
          <w:szCs w:val="21"/>
          <w:highlight w:val="none"/>
          <w:lang w:val="zh-CN"/>
          <w14:textFill>
            <w14:solidFill>
              <w14:schemeClr w14:val="tx1"/>
            </w14:solidFill>
          </w14:textFill>
        </w:rPr>
        <w:t>8.1 对招标人的纪律要求</w:t>
      </w:r>
      <w:bookmarkEnd w:id="332"/>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招标人不得泄漏招标投标活动中应当保密的情况和资料，不得与投标人串通损害国家利益、社会公共利益或者他人合法权益。</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8.2 对投标人的纪律要求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 xml:space="preserve">8.3 </w:t>
      </w:r>
      <w:r>
        <w:rPr>
          <w:rFonts w:hint="eastAsia" w:ascii="宋体" w:hAnsi="宋体" w:cs="宋体"/>
          <w:color w:val="000000" w:themeColor="text1"/>
          <w:kern w:val="1"/>
          <w:highlight w:val="none"/>
          <w14:textFill>
            <w14:solidFill>
              <w14:schemeClr w14:val="tx1"/>
            </w14:solidFill>
          </w14:textFill>
        </w:rPr>
        <w:t>对评标委员会成员的纪律要求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8.4 对与评标活动有关的工作人员的纪律要求</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hd w:val="clear"/>
        <w:spacing w:line="360" w:lineRule="auto"/>
        <w:rPr>
          <w:rFonts w:ascii="宋体" w:hAnsi="宋体" w:cs="宋体"/>
          <w:color w:val="000000" w:themeColor="text1"/>
          <w:kern w:val="1"/>
          <w:highlight w:val="none"/>
          <w14:textFill>
            <w14:solidFill>
              <w14:schemeClr w14:val="tx1"/>
            </w14:solidFill>
          </w14:textFill>
        </w:rPr>
      </w:pPr>
      <w:r>
        <w:rPr>
          <w:rFonts w:hint="eastAsia" w:ascii="宋体" w:hAnsi="宋体" w:cs="宋体"/>
          <w:bCs/>
          <w:color w:val="000000" w:themeColor="text1"/>
          <w:kern w:val="1"/>
          <w:szCs w:val="21"/>
          <w:highlight w:val="none"/>
          <w14:textFill>
            <w14:solidFill>
              <w14:schemeClr w14:val="tx1"/>
            </w14:solidFill>
          </w14:textFill>
        </w:rPr>
        <w:t>8.5 投诉</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投标人和其他利害关系人认为本次招标活动违反法律、法规和规章规定的，有权向有关行政监督部门投诉。</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333" w:name="_Toc10775"/>
      <w:bookmarkEnd w:id="333"/>
      <w:bookmarkStart w:id="334" w:name="_Toc443505833"/>
      <w:bookmarkEnd w:id="334"/>
      <w:bookmarkStart w:id="335" w:name="_Toc17396"/>
      <w:bookmarkEnd w:id="335"/>
      <w:bookmarkStart w:id="336" w:name="_Toc5620341"/>
      <w:bookmarkStart w:id="337" w:name="_Toc11223"/>
      <w:r>
        <w:rPr>
          <w:rFonts w:hint="eastAsia" w:ascii="宋体" w:hAnsi="宋体" w:eastAsia="宋体" w:cs="宋体"/>
          <w:color w:val="000000" w:themeColor="text1"/>
          <w:highlight w:val="none"/>
          <w:lang w:val="zh-CN"/>
          <w14:textFill>
            <w14:solidFill>
              <w14:schemeClr w14:val="tx1"/>
            </w14:solidFill>
          </w14:textFill>
        </w:rPr>
        <w:t>9. 需要补充的其他内容</w:t>
      </w:r>
      <w:bookmarkEnd w:id="336"/>
      <w:bookmarkEnd w:id="337"/>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需要补充的其他内容：见投标人须知前附表。</w:t>
      </w:r>
    </w:p>
    <w:p>
      <w:pPr>
        <w:pStyle w:val="4"/>
        <w:shd w:val="clear"/>
        <w:spacing w:line="360" w:lineRule="auto"/>
        <w:rPr>
          <w:rFonts w:ascii="宋体" w:hAnsi="宋体" w:eastAsia="宋体" w:cs="宋体"/>
          <w:color w:val="000000" w:themeColor="text1"/>
          <w:highlight w:val="none"/>
          <w:lang w:val="zh-CN"/>
          <w14:textFill>
            <w14:solidFill>
              <w14:schemeClr w14:val="tx1"/>
            </w14:solidFill>
          </w14:textFill>
        </w:rPr>
      </w:pPr>
      <w:bookmarkStart w:id="338" w:name="_Toc3028"/>
      <w:bookmarkEnd w:id="338"/>
      <w:bookmarkStart w:id="339" w:name="_Toc443505834"/>
      <w:bookmarkEnd w:id="339"/>
      <w:bookmarkStart w:id="340" w:name="_Toc26121"/>
      <w:bookmarkEnd w:id="340"/>
      <w:bookmarkStart w:id="341" w:name="_Toc5620342"/>
      <w:bookmarkStart w:id="342" w:name="_Toc10563"/>
      <w:r>
        <w:rPr>
          <w:rFonts w:hint="eastAsia" w:ascii="宋体" w:hAnsi="宋体" w:eastAsia="宋体" w:cs="宋体"/>
          <w:color w:val="000000" w:themeColor="text1"/>
          <w:highlight w:val="none"/>
          <w:lang w:val="zh-CN"/>
          <w14:textFill>
            <w14:solidFill>
              <w14:schemeClr w14:val="tx1"/>
            </w14:solidFill>
          </w14:textFill>
        </w:rPr>
        <w:t>10. 电子招标投标</w:t>
      </w:r>
      <w:bookmarkEnd w:id="341"/>
      <w:bookmarkEnd w:id="342"/>
    </w:p>
    <w:p>
      <w:pPr>
        <w:shd w:val="clear"/>
        <w:spacing w:line="360" w:lineRule="auto"/>
        <w:ind w:firstLine="420"/>
        <w:rPr>
          <w:rFonts w:ascii="宋体" w:hAnsi="宋体" w:cs="宋体"/>
          <w:color w:val="000000" w:themeColor="text1"/>
          <w:kern w:val="1"/>
          <w:highlight w:val="none"/>
          <w:u w:val="singl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本招标项目是否采用电子招标投标方式，见投标人须知前附表。</w:t>
      </w:r>
    </w:p>
    <w:p>
      <w:pPr>
        <w:pStyle w:val="4"/>
        <w:shd w:val="clear"/>
        <w:spacing w:line="360" w:lineRule="auto"/>
        <w:rPr>
          <w:rFonts w:ascii="宋体" w:hAnsi="宋体" w:eastAsia="宋体" w:cs="宋体"/>
          <w:color w:val="000000" w:themeColor="text1"/>
          <w:highlight w:val="none"/>
          <w:u w:val="single"/>
          <w:lang w:val="zh-CN"/>
          <w14:textFill>
            <w14:solidFill>
              <w14:schemeClr w14:val="tx1"/>
            </w14:solidFill>
          </w14:textFill>
        </w:rPr>
      </w:pPr>
      <w:bookmarkStart w:id="343" w:name="_Toc20042"/>
      <w:bookmarkEnd w:id="343"/>
      <w:bookmarkStart w:id="344" w:name="_Toc25267"/>
      <w:bookmarkEnd w:id="344"/>
      <w:bookmarkStart w:id="345" w:name="_Toc5620343"/>
      <w:bookmarkStart w:id="346" w:name="_Toc32213"/>
      <w:r>
        <w:rPr>
          <w:rFonts w:hint="eastAsia" w:ascii="宋体" w:hAnsi="宋体" w:eastAsia="宋体" w:cs="宋体"/>
          <w:color w:val="000000" w:themeColor="text1"/>
          <w:highlight w:val="none"/>
          <w:u w:val="single"/>
          <w:lang w:val="zh-CN"/>
          <w14:textFill>
            <w14:solidFill>
              <w14:schemeClr w14:val="tx1"/>
            </w14:solidFill>
          </w14:textFill>
        </w:rPr>
        <w:t>11.其他</w:t>
      </w:r>
      <w:bookmarkEnd w:id="345"/>
      <w:bookmarkEnd w:id="346"/>
    </w:p>
    <w:p>
      <w:pPr>
        <w:shd w:val="clear"/>
        <w:spacing w:line="360" w:lineRule="auto"/>
        <w:ind w:firstLine="420" w:firstLineChars="200"/>
        <w:rPr>
          <w:rFonts w:ascii="宋体" w:hAnsi="宋体" w:cs="宋体"/>
          <w:color w:val="000000" w:themeColor="text1"/>
          <w:kern w:val="1"/>
          <w:highlight w:val="none"/>
          <w:u w:val="single"/>
          <w14:textFill>
            <w14:solidFill>
              <w14:schemeClr w14:val="tx1"/>
            </w14:solidFill>
          </w14:textFill>
        </w:rPr>
      </w:pPr>
      <w:bookmarkStart w:id="347" w:name="_Toc5620344"/>
      <w:r>
        <w:rPr>
          <w:rFonts w:hint="eastAsia" w:ascii="宋体" w:hAnsi="宋体" w:cs="宋体"/>
          <w:color w:val="000000" w:themeColor="text1"/>
          <w:kern w:val="1"/>
          <w:highlight w:val="none"/>
          <w:u w:val="single"/>
          <w14:textFill>
            <w14:solidFill>
              <w14:schemeClr w14:val="tx1"/>
            </w14:solidFill>
          </w14:textFill>
        </w:rPr>
        <w:t>11.1 投标人按招标文件要求递交的所有资料,若存在虚假材料，一经发现或被投诉，经确认证实后，招标人将取消其投标资格，并上报给相关主管部门予以通报。</w:t>
      </w:r>
      <w:bookmarkEnd w:id="347"/>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u w:val="single"/>
          <w14:textFill>
            <w14:solidFill>
              <w14:schemeClr w14:val="tx1"/>
            </w14:solidFill>
          </w14:textFill>
        </w:rPr>
        <w:t>11.2投标人如在本项目中存在串通投标、在投标文件中提供虚假材料的、行贿情形的，中标无效，该投标人将被招标人列入黑名单并限制其投标。行政监督部门将对其违法行为进行政处罚并通报。</w:t>
      </w:r>
    </w:p>
    <w:p>
      <w:pPr>
        <w:shd w:val="clear"/>
        <w:rPr>
          <w:rFonts w:ascii="宋体" w:hAnsi="宋体" w:cs="宋体"/>
          <w:color w:val="000000" w:themeColor="text1"/>
          <w:kern w:val="1"/>
          <w:highlight w:val="none"/>
          <w14:textFill>
            <w14:solidFill>
              <w14:schemeClr w14:val="tx1"/>
            </w14:solidFill>
          </w14:textFill>
        </w:rPr>
      </w:pPr>
      <w:r>
        <w:rPr>
          <w:rFonts w:ascii="宋体" w:hAnsi="宋体" w:cs="宋体"/>
          <w:color w:val="000000" w:themeColor="text1"/>
          <w:kern w:val="1"/>
          <w:highlight w:val="none"/>
          <w14:textFill>
            <w14:solidFill>
              <w14:schemeClr w14:val="tx1"/>
            </w14:solidFill>
          </w14:textFill>
        </w:rPr>
        <w:br w:type="page"/>
      </w:r>
    </w:p>
    <w:p>
      <w:pPr>
        <w:pStyle w:val="2"/>
        <w:shd w:val="clear"/>
        <w:rPr>
          <w:color w:val="000000" w:themeColor="text1"/>
          <w:highlight w:val="none"/>
          <w:lang w:val="en-US"/>
          <w14:textFill>
            <w14:solidFill>
              <w14:schemeClr w14:val="tx1"/>
            </w14:solidFill>
          </w14:textFill>
        </w:rPr>
      </w:pPr>
      <w:r>
        <w:rPr>
          <w:rFonts w:hint="eastAsia"/>
          <w:color w:val="000000" w:themeColor="text1"/>
          <w:highlight w:val="none"/>
          <w:lang w:val="en-US"/>
          <w14:textFill>
            <w14:solidFill>
              <w14:schemeClr w14:val="tx1"/>
            </w14:solidFill>
          </w14:textFill>
        </w:rPr>
        <w:t>附件一：</w:t>
      </w:r>
    </w:p>
    <w:p>
      <w:pPr>
        <w:shd w:val="clear"/>
        <w:rPr>
          <w:color w:val="000000" w:themeColor="text1"/>
          <w:highlight w:val="none"/>
          <w14:textFill>
            <w14:solidFill>
              <w14:schemeClr w14:val="tx1"/>
            </w14:solidFill>
          </w14:textFill>
        </w:rPr>
      </w:pPr>
    </w:p>
    <w:p>
      <w:pPr>
        <w:shd w:val="clear"/>
        <w:ind w:firstLine="482" w:firstLineChars="200"/>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评标委员会成员声明</w:t>
      </w:r>
    </w:p>
    <w:p>
      <w:pPr>
        <w:shd w:val="clea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本项目招标人  </w:t>
      </w:r>
      <w:r>
        <w:rPr>
          <w:rFonts w:hint="eastAsia" w:ascii="宋体" w:hAnsi="宋体" w:cs="宋体"/>
          <w:color w:val="000000" w:themeColor="text1"/>
          <w:szCs w:val="21"/>
          <w:highlight w:val="none"/>
          <w14:textFill>
            <w14:solidFill>
              <w14:schemeClr w14:val="tx1"/>
            </w14:solidFill>
          </w14:textFill>
        </w:rPr>
        <w:t>：</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本人就参与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项目的评标工作，作出郑重声明：</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如果本人违反上述声明内容，造成的后果由本人自行承担。</w:t>
      </w:r>
    </w:p>
    <w:p>
      <w:pPr>
        <w:shd w:val="clear"/>
        <w:spacing w:line="360" w:lineRule="auto"/>
        <w:ind w:firstLine="420" w:firstLineChars="200"/>
        <w:rPr>
          <w:rFonts w:ascii="宋体" w:hAnsi="宋体" w:cs="宋体"/>
          <w:color w:val="000000" w:themeColor="text1"/>
          <w:szCs w:val="21"/>
          <w:highlight w:val="none"/>
          <w14:textFill>
            <w14:solidFill>
              <w14:schemeClr w14:val="tx1"/>
            </w14:solidFill>
          </w14:textFill>
        </w:rPr>
      </w:pPr>
    </w:p>
    <w:p>
      <w:pPr>
        <w:shd w:val="clear"/>
        <w:spacing w:line="360" w:lineRule="auto"/>
        <w:ind w:firstLine="420" w:firstLineChars="200"/>
        <w:rPr>
          <w:rFonts w:ascii="仿宋_GB2312" w:eastAsia="仿宋_GB2312"/>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声明人：</w:t>
      </w:r>
      <w:r>
        <w:rPr>
          <w:rFonts w:hint="eastAsia" w:ascii="宋体" w:hAnsi="宋体" w:cs="宋体"/>
          <w:color w:val="000000" w:themeColor="text1"/>
          <w:szCs w:val="21"/>
          <w:highlight w:val="none"/>
          <w:u w:val="single"/>
          <w14:textFill>
            <w14:solidFill>
              <w14:schemeClr w14:val="tx1"/>
            </w14:solidFill>
          </w14:textFill>
        </w:rPr>
        <w:t xml:space="preserve">（签名） </w:t>
      </w:r>
      <w:r>
        <w:rPr>
          <w:rFonts w:hint="eastAsia" w:ascii="仿宋_GB2312" w:eastAsia="仿宋_GB2312"/>
          <w:color w:val="000000" w:themeColor="text1"/>
          <w:szCs w:val="21"/>
          <w:highlight w:val="none"/>
          <w:u w:val="single"/>
          <w14:textFill>
            <w14:solidFill>
              <w14:schemeClr w14:val="tx1"/>
            </w14:solidFill>
          </w14:textFill>
        </w:rPr>
        <w:t xml:space="preserve"> </w:t>
      </w:r>
    </w:p>
    <w:p>
      <w:pPr>
        <w:pStyle w:val="2"/>
        <w:shd w:val="clear"/>
        <w:rPr>
          <w:color w:val="000000" w:themeColor="text1"/>
          <w:highlight w:val="none"/>
          <w:lang w:val="en-US"/>
          <w14:textFill>
            <w14:solidFill>
              <w14:schemeClr w14:val="tx1"/>
            </w14:solidFill>
          </w14:textFill>
        </w:rPr>
        <w:sectPr>
          <w:footerReference r:id="rId6" w:type="default"/>
          <w:pgSz w:w="11906" w:h="16838"/>
          <w:pgMar w:top="1440" w:right="1269" w:bottom="1440" w:left="1597" w:header="851" w:footer="992" w:gutter="0"/>
          <w:pgNumType w:start="1"/>
          <w:cols w:space="720" w:num="1"/>
        </w:sectPr>
      </w:pPr>
    </w:p>
    <w:p>
      <w:pPr>
        <w:keepNext/>
        <w:keepLines/>
        <w:shd w:val="clear"/>
        <w:spacing w:before="120" w:after="120" w:line="360" w:lineRule="auto"/>
        <w:ind w:firstLine="136"/>
        <w:rPr>
          <w:rFonts w:ascii="宋体" w:hAnsi="宋体"/>
          <w:color w:val="000000" w:themeColor="text1"/>
          <w:highlight w:val="none"/>
          <w14:textFill>
            <w14:solidFill>
              <w14:schemeClr w14:val="tx1"/>
            </w14:solidFill>
          </w14:textFill>
        </w:rPr>
      </w:pPr>
      <w:bookmarkStart w:id="348" w:name="_Toc5620345"/>
      <w:r>
        <w:rPr>
          <w:rFonts w:hint="eastAsia" w:ascii="宋体" w:hAnsi="宋体"/>
          <w:color w:val="000000" w:themeColor="text1"/>
          <w:highlight w:val="none"/>
          <w14:textFill>
            <w14:solidFill>
              <w14:schemeClr w14:val="tx1"/>
            </w14:solidFill>
          </w14:textFill>
        </w:rPr>
        <w:t>附件二：开标记录表</w:t>
      </w:r>
      <w:bookmarkEnd w:id="348"/>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开标记录表</w:t>
      </w:r>
    </w:p>
    <w:p>
      <w:pPr>
        <w:shd w:val="clear"/>
        <w:spacing w:line="360" w:lineRule="auto"/>
        <w:ind w:right="420"/>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 xml:space="preserve">                                                                                                        开标时间： 年 月 日 时 分</w:t>
      </w:r>
    </w:p>
    <w:tbl>
      <w:tblPr>
        <w:tblStyle w:val="34"/>
        <w:tblW w:w="14340" w:type="dxa"/>
        <w:tblInd w:w="0" w:type="dxa"/>
        <w:tblLayout w:type="fixed"/>
        <w:tblCellMar>
          <w:top w:w="0" w:type="dxa"/>
          <w:left w:w="108" w:type="dxa"/>
          <w:bottom w:w="0" w:type="dxa"/>
          <w:right w:w="108" w:type="dxa"/>
        </w:tblCellMar>
      </w:tblPr>
      <w:tblGrid>
        <w:gridCol w:w="457"/>
        <w:gridCol w:w="1537"/>
        <w:gridCol w:w="639"/>
        <w:gridCol w:w="885"/>
        <w:gridCol w:w="665"/>
        <w:gridCol w:w="594"/>
        <w:gridCol w:w="824"/>
        <w:gridCol w:w="909"/>
        <w:gridCol w:w="727"/>
        <w:gridCol w:w="1093"/>
        <w:gridCol w:w="757"/>
        <w:gridCol w:w="758"/>
        <w:gridCol w:w="750"/>
        <w:gridCol w:w="478"/>
        <w:gridCol w:w="463"/>
        <w:gridCol w:w="512"/>
        <w:gridCol w:w="819"/>
        <w:gridCol w:w="819"/>
        <w:gridCol w:w="654"/>
      </w:tblGrid>
      <w:tr>
        <w:tblPrEx>
          <w:tblCellMar>
            <w:top w:w="0" w:type="dxa"/>
            <w:left w:w="108" w:type="dxa"/>
            <w:bottom w:w="0" w:type="dxa"/>
            <w:right w:w="108" w:type="dxa"/>
          </w:tblCellMar>
        </w:tblPrEx>
        <w:trPr>
          <w:trHeight w:val="707"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序号</w:t>
            </w:r>
          </w:p>
        </w:tc>
        <w:tc>
          <w:tcPr>
            <w:tcW w:w="1537"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投标人名称</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投标文件递交情况</w:t>
            </w:r>
          </w:p>
        </w:tc>
        <w:tc>
          <w:tcPr>
            <w:tcW w:w="885"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投标文件解密情况</w:t>
            </w:r>
          </w:p>
        </w:tc>
        <w:tc>
          <w:tcPr>
            <w:tcW w:w="665"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投标总工期</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质量标准</w:t>
            </w:r>
          </w:p>
        </w:tc>
        <w:tc>
          <w:tcPr>
            <w:tcW w:w="824" w:type="dxa"/>
            <w:vMerge w:val="restart"/>
            <w:tcBorders>
              <w:top w:val="single" w:color="000000" w:sz="4" w:space="0"/>
              <w:left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项目负责人</w:t>
            </w:r>
          </w:p>
        </w:tc>
        <w:tc>
          <w:tcPr>
            <w:tcW w:w="909" w:type="dxa"/>
            <w:vMerge w:val="restart"/>
            <w:tcBorders>
              <w:top w:val="single" w:color="000000" w:sz="4" w:space="0"/>
              <w:left w:val="single" w:color="auto"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设计负责人</w:t>
            </w:r>
          </w:p>
        </w:tc>
        <w:tc>
          <w:tcPr>
            <w:tcW w:w="727" w:type="dxa"/>
            <w:vMerge w:val="restart"/>
            <w:tcBorders>
              <w:top w:val="single" w:color="000000" w:sz="4" w:space="0"/>
              <w:left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专职安全员</w:t>
            </w:r>
          </w:p>
        </w:tc>
        <w:tc>
          <w:tcPr>
            <w:tcW w:w="1093"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投标总报价（人民币：万元）</w:t>
            </w:r>
          </w:p>
        </w:tc>
        <w:tc>
          <w:tcPr>
            <w:tcW w:w="2265" w:type="dxa"/>
            <w:gridSpan w:val="3"/>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投标报价</w:t>
            </w:r>
          </w:p>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（人民币：万元）</w:t>
            </w:r>
          </w:p>
        </w:tc>
        <w:tc>
          <w:tcPr>
            <w:tcW w:w="1453" w:type="dxa"/>
            <w:gridSpan w:val="3"/>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投标下浮率（%）</w:t>
            </w:r>
          </w:p>
        </w:tc>
        <w:tc>
          <w:tcPr>
            <w:tcW w:w="819" w:type="dxa"/>
            <w:vMerge w:val="restart"/>
            <w:tcBorders>
              <w:top w:val="single" w:color="000000" w:sz="4" w:space="0"/>
              <w:left w:val="single" w:color="auto" w:sz="4" w:space="0"/>
              <w:right w:val="single" w:color="auto" w:sz="4" w:space="0"/>
            </w:tcBorders>
            <w:vAlign w:val="center"/>
          </w:tcPr>
          <w:p>
            <w:pPr>
              <w:shd w:val="clear"/>
              <w:spacing w:line="360" w:lineRule="auto"/>
              <w:jc w:val="center"/>
              <w:rPr>
                <w:rFonts w:ascii="宋体" w:hAnsi="宋体"/>
                <w:color w:val="000000" w:themeColor="text1"/>
                <w:kern w:val="2"/>
                <w:sz w:val="18"/>
                <w:szCs w:val="18"/>
                <w:highlight w:val="none"/>
                <w14:textFill>
                  <w14:solidFill>
                    <w14:schemeClr w14:val="tx1"/>
                  </w14:solidFill>
                </w14:textFill>
              </w:rPr>
            </w:pPr>
            <w:r>
              <w:rPr>
                <w:rFonts w:hint="eastAsia" w:ascii="宋体" w:hAnsi="宋体"/>
                <w:color w:val="000000" w:themeColor="text1"/>
                <w:kern w:val="2"/>
                <w:sz w:val="18"/>
                <w:szCs w:val="18"/>
                <w:highlight w:val="none"/>
                <w14:textFill>
                  <w14:solidFill>
                    <w14:schemeClr w14:val="tx1"/>
                  </w14:solidFill>
                </w14:textFill>
              </w:rPr>
              <w:t>投标保证金(万元)</w:t>
            </w:r>
          </w:p>
        </w:tc>
        <w:tc>
          <w:tcPr>
            <w:tcW w:w="819" w:type="dxa"/>
            <w:vMerge w:val="restart"/>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投标人代表签名</w:t>
            </w:r>
          </w:p>
        </w:tc>
        <w:tc>
          <w:tcPr>
            <w:tcW w:w="654" w:type="dxa"/>
            <w:vMerge w:val="restart"/>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备注</w:t>
            </w:r>
          </w:p>
        </w:tc>
      </w:tr>
      <w:tr>
        <w:tblPrEx>
          <w:tblCellMar>
            <w:top w:w="0" w:type="dxa"/>
            <w:left w:w="108" w:type="dxa"/>
            <w:bottom w:w="0" w:type="dxa"/>
            <w:right w:w="108" w:type="dxa"/>
          </w:tblCellMar>
        </w:tblPrEx>
        <w:trPr>
          <w:trHeight w:val="1171"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1537"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885"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65"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824" w:type="dxa"/>
            <w:vMerge w:val="continue"/>
            <w:tcBorders>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909" w:type="dxa"/>
            <w:vMerge w:val="continue"/>
            <w:tcBorders>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727" w:type="dxa"/>
            <w:vMerge w:val="continue"/>
            <w:tcBorders>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p>
        </w:tc>
        <w:tc>
          <w:tcPr>
            <w:tcW w:w="1093" w:type="dxa"/>
            <w:vMerge w:val="continue"/>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勘察费</w:t>
            </w:r>
          </w:p>
        </w:tc>
        <w:tc>
          <w:tcPr>
            <w:tcW w:w="758"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设计费</w:t>
            </w:r>
          </w:p>
        </w:tc>
        <w:tc>
          <w:tcPr>
            <w:tcW w:w="75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工程费</w:t>
            </w:r>
          </w:p>
        </w:tc>
        <w:tc>
          <w:tcPr>
            <w:tcW w:w="478"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勘察费</w:t>
            </w:r>
          </w:p>
        </w:tc>
        <w:tc>
          <w:tcPr>
            <w:tcW w:w="463"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设计费</w:t>
            </w:r>
          </w:p>
        </w:tc>
        <w:tc>
          <w:tcPr>
            <w:tcW w:w="51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工程费</w:t>
            </w:r>
          </w:p>
        </w:tc>
        <w:tc>
          <w:tcPr>
            <w:tcW w:w="819" w:type="dxa"/>
            <w:vMerge w:val="continue"/>
            <w:tcBorders>
              <w:left w:val="single" w:color="auto" w:sz="4" w:space="0"/>
              <w:bottom w:val="single" w:color="000000" w:sz="4" w:space="0"/>
              <w:right w:val="single" w:color="auto" w:sz="4" w:space="0"/>
            </w:tcBorders>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819" w:type="dxa"/>
            <w:vMerge w:val="continue"/>
            <w:tcBorders>
              <w:top w:val="single" w:color="000000" w:sz="4" w:space="0"/>
              <w:left w:val="single" w:color="auto" w:sz="4" w:space="0"/>
              <w:bottom w:val="single" w:color="000000" w:sz="4" w:space="0"/>
              <w:right w:val="single" w:color="000000" w:sz="4" w:space="0"/>
            </w:tcBorders>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c>
          <w:tcPr>
            <w:tcW w:w="654" w:type="dxa"/>
            <w:vMerge w:val="continue"/>
            <w:tcBorders>
              <w:top w:val="single" w:color="000000" w:sz="4" w:space="0"/>
              <w:left w:val="single" w:color="000000" w:sz="4" w:space="0"/>
              <w:bottom w:val="single" w:color="000000" w:sz="4" w:space="0"/>
              <w:right w:val="single" w:color="000000" w:sz="4" w:space="0"/>
            </w:tcBorders>
          </w:tcPr>
          <w:p>
            <w:pPr>
              <w:shd w:val="clear"/>
              <w:spacing w:line="360" w:lineRule="auto"/>
              <w:jc w:val="left"/>
              <w:rPr>
                <w:rFonts w:ascii="宋体" w:hAnsi="宋体" w:cs="宋体"/>
                <w:color w:val="000000" w:themeColor="text1"/>
                <w:kern w:val="1"/>
                <w:sz w:val="18"/>
                <w:szCs w:val="18"/>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8"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78"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63"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12"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8"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78"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63"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12"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8"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78"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63"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12"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27"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53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39"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8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6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24" w:type="dxa"/>
            <w:tcBorders>
              <w:top w:val="single" w:color="000000" w:sz="4" w:space="0"/>
              <w:left w:val="single" w:color="000000" w:sz="4" w:space="0"/>
              <w:bottom w:val="single" w:color="000000"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9" w:type="dxa"/>
            <w:tcBorders>
              <w:top w:val="single" w:color="000000" w:sz="4" w:space="0"/>
              <w:left w:val="single" w:color="auto"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2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09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7"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8"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78" w:type="dxa"/>
            <w:tcBorders>
              <w:top w:val="single" w:color="000000" w:sz="4" w:space="0"/>
              <w:left w:val="single" w:color="000000"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463"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512"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auto"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19" w:type="dxa"/>
            <w:tcBorders>
              <w:top w:val="single" w:color="000000" w:sz="4" w:space="0"/>
              <w:left w:val="single" w:color="auto"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654"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hd w:val="clear"/>
        <w:spacing w:line="360" w:lineRule="auto"/>
        <w:ind w:firstLine="840" w:firstLineChars="4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招标代理：                               招标人代表：                               交易中心见证人：</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sectPr>
          <w:headerReference r:id="rId7" w:type="default"/>
          <w:footerReference r:id="rId8" w:type="default"/>
          <w:pgSz w:w="16838" w:h="11906" w:orient="landscape"/>
          <w:pgMar w:top="1361" w:right="1304" w:bottom="1304" w:left="1304" w:header="851" w:footer="992" w:gutter="0"/>
          <w:cols w:space="720" w:num="1"/>
        </w:sectPr>
      </w:pPr>
      <w:r>
        <w:rPr>
          <w:rFonts w:hint="eastAsia" w:ascii="宋体" w:hAnsi="宋体" w:cs="宋体"/>
          <w:color w:val="000000" w:themeColor="text1"/>
          <w:kern w:val="1"/>
          <w:szCs w:val="21"/>
          <w:highlight w:val="none"/>
          <w:u w:val="single"/>
          <w14:textFill>
            <w14:solidFill>
              <w14:schemeClr w14:val="tx1"/>
            </w14:solidFill>
          </w14:textFill>
        </w:rPr>
        <w:t>本表仅供参考，具体以开标时广州交易集团有限公司（广州公共资源交易中心）系统的开标记录表为准。</w:t>
      </w:r>
    </w:p>
    <w:p>
      <w:pPr>
        <w:pStyle w:val="3"/>
        <w:shd w:val="clear"/>
        <w:spacing w:line="360" w:lineRule="auto"/>
        <w:jc w:val="center"/>
        <w:rPr>
          <w:rFonts w:ascii="宋体" w:hAnsi="宋体" w:cs="宋体"/>
          <w:color w:val="000000" w:themeColor="text1"/>
          <w:kern w:val="1"/>
          <w:highlight w:val="none"/>
          <w14:textFill>
            <w14:solidFill>
              <w14:schemeClr w14:val="tx1"/>
            </w14:solidFill>
          </w14:textFill>
        </w:rPr>
      </w:pPr>
      <w:bookmarkStart w:id="349" w:name="_Toc31642"/>
      <w:bookmarkEnd w:id="349"/>
      <w:bookmarkStart w:id="350" w:name="_Toc16394"/>
      <w:bookmarkStart w:id="351" w:name="_Toc5620346"/>
      <w:r>
        <w:rPr>
          <w:rFonts w:hint="eastAsia" w:ascii="宋体" w:hAnsi="宋体" w:cs="宋体"/>
          <w:color w:val="000000" w:themeColor="text1"/>
          <w:kern w:val="1"/>
          <w:highlight w:val="none"/>
          <w14:textFill>
            <w14:solidFill>
              <w14:schemeClr w14:val="tx1"/>
            </w14:solidFill>
          </w14:textFill>
        </w:rPr>
        <w:t xml:space="preserve">第三章 </w:t>
      </w:r>
      <w:bookmarkStart w:id="352" w:name="_Hlk116911189"/>
      <w:r>
        <w:rPr>
          <w:rFonts w:hint="eastAsia" w:ascii="宋体" w:hAnsi="宋体" w:cs="宋体"/>
          <w:color w:val="000000" w:themeColor="text1"/>
          <w:kern w:val="1"/>
          <w:highlight w:val="none"/>
          <w14:textFill>
            <w14:solidFill>
              <w14:schemeClr w14:val="tx1"/>
            </w14:solidFill>
          </w14:textFill>
        </w:rPr>
        <w:t>评标办法</w:t>
      </w:r>
      <w:bookmarkEnd w:id="352"/>
      <w:r>
        <w:rPr>
          <w:rFonts w:hint="eastAsia" w:ascii="宋体" w:hAnsi="宋体" w:cs="宋体"/>
          <w:color w:val="000000" w:themeColor="text1"/>
          <w:kern w:val="1"/>
          <w:highlight w:val="none"/>
          <w14:textFill>
            <w14:solidFill>
              <w14:schemeClr w14:val="tx1"/>
            </w14:solidFill>
          </w14:textFill>
        </w:rPr>
        <w:t>（综合评估法）</w:t>
      </w:r>
      <w:bookmarkEnd w:id="350"/>
      <w:bookmarkEnd w:id="351"/>
    </w:p>
    <w:p>
      <w:pPr>
        <w:shd w:val="clea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评标办法前附表</w:t>
      </w:r>
    </w:p>
    <w:tbl>
      <w:tblPr>
        <w:tblStyle w:val="34"/>
        <w:tblW w:w="9240" w:type="dxa"/>
        <w:tblInd w:w="108" w:type="dxa"/>
        <w:tblLayout w:type="fixed"/>
        <w:tblCellMar>
          <w:top w:w="0" w:type="dxa"/>
          <w:left w:w="108" w:type="dxa"/>
          <w:bottom w:w="0" w:type="dxa"/>
          <w:right w:w="108" w:type="dxa"/>
        </w:tblCellMar>
      </w:tblPr>
      <w:tblGrid>
        <w:gridCol w:w="840"/>
        <w:gridCol w:w="338"/>
        <w:gridCol w:w="1447"/>
        <w:gridCol w:w="1373"/>
        <w:gridCol w:w="5242"/>
      </w:tblGrid>
      <w:tr>
        <w:tblPrEx>
          <w:tblCellMar>
            <w:top w:w="0" w:type="dxa"/>
            <w:left w:w="108" w:type="dxa"/>
            <w:bottom w:w="0" w:type="dxa"/>
            <w:right w:w="108" w:type="dxa"/>
          </w:tblCellMar>
        </w:tblPrEx>
        <w:trPr>
          <w:trHeight w:val="524" w:hRule="atLeast"/>
          <w:tblHeader/>
        </w:trPr>
        <w:tc>
          <w:tcPr>
            <w:tcW w:w="2625" w:type="dxa"/>
            <w:gridSpan w:val="3"/>
            <w:tcBorders>
              <w:top w:val="single" w:color="000000" w:sz="4"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4"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评审因素</w:t>
            </w:r>
          </w:p>
        </w:tc>
        <w:tc>
          <w:tcPr>
            <w:tcW w:w="5242" w:type="dxa"/>
            <w:tcBorders>
              <w:top w:val="single" w:color="000000" w:sz="4"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评审标准</w:t>
            </w:r>
          </w:p>
        </w:tc>
      </w:tr>
      <w:tr>
        <w:tblPrEx>
          <w:tblCellMar>
            <w:top w:w="0" w:type="dxa"/>
            <w:left w:w="108" w:type="dxa"/>
            <w:bottom w:w="0" w:type="dxa"/>
            <w:right w:w="108" w:type="dxa"/>
          </w:tblCellMar>
        </w:tblPrEx>
        <w:trPr>
          <w:trHeight w:val="3105" w:hRule="atLeast"/>
        </w:trPr>
        <w:tc>
          <w:tcPr>
            <w:tcW w:w="840" w:type="dxa"/>
            <w:tcBorders>
              <w:top w:val="single" w:color="000000" w:sz="6" w:space="0"/>
              <w:left w:val="single" w:color="000000" w:sz="4" w:space="0"/>
              <w:bottom w:val="single" w:color="auto"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w:t>
            </w:r>
          </w:p>
        </w:tc>
        <w:tc>
          <w:tcPr>
            <w:tcW w:w="1785" w:type="dxa"/>
            <w:gridSpan w:val="2"/>
            <w:tcBorders>
              <w:top w:val="single" w:color="000000" w:sz="6" w:space="0"/>
              <w:left w:val="single" w:color="000000" w:sz="6" w:space="0"/>
              <w:bottom w:val="single" w:color="auto" w:sz="4" w:space="0"/>
              <w:right w:val="single" w:color="000000" w:sz="6"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评标方法</w:t>
            </w:r>
          </w:p>
        </w:tc>
        <w:tc>
          <w:tcPr>
            <w:tcW w:w="1373" w:type="dxa"/>
            <w:tcBorders>
              <w:top w:val="single" w:color="000000" w:sz="6" w:space="0"/>
              <w:left w:val="single" w:color="000000" w:sz="6" w:space="0"/>
              <w:bottom w:val="single" w:color="auto" w:sz="4" w:space="0"/>
              <w:right w:val="single" w:color="auto" w:sz="4" w:space="0"/>
            </w:tcBorders>
            <w:vAlign w:val="center"/>
          </w:tcPr>
          <w:p>
            <w:pPr>
              <w:shd w:val="clear"/>
              <w:jc w:val="center"/>
              <w:rPr>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中标候选人排序方法</w:t>
            </w:r>
          </w:p>
        </w:tc>
        <w:tc>
          <w:tcPr>
            <w:tcW w:w="5242" w:type="dxa"/>
            <w:tcBorders>
              <w:top w:val="single" w:color="000000" w:sz="6" w:space="0"/>
              <w:left w:val="single" w:color="auto" w:sz="4" w:space="0"/>
              <w:bottom w:val="single" w:color="auto" w:sz="4" w:space="0"/>
              <w:right w:val="single" w:color="000000" w:sz="4" w:space="0"/>
            </w:tcBorders>
            <w:vAlign w:val="center"/>
          </w:tcPr>
          <w:p>
            <w:pPr>
              <w:shd w:val="clea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tc>
      </w:tr>
      <w:tr>
        <w:tblPrEx>
          <w:tblCellMar>
            <w:top w:w="0" w:type="dxa"/>
            <w:left w:w="108" w:type="dxa"/>
            <w:bottom w:w="0" w:type="dxa"/>
            <w:right w:w="108" w:type="dxa"/>
          </w:tblCellMar>
        </w:tblPrEx>
        <w:trPr>
          <w:trHeight w:val="20"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w:t>
            </w:r>
          </w:p>
        </w:tc>
        <w:tc>
          <w:tcPr>
            <w:tcW w:w="1785" w:type="dxa"/>
            <w:gridSpan w:val="2"/>
            <w:vMerge w:val="restart"/>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形式评审标准</w:t>
            </w: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投标人名称、项目负责人、专职安全员</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投标人名称与营业执照、资质证书一致，投标人名称、项目负责人、专职安全员与投标登记时一致</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法定代表人证明书、法定代表人授权委托书</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投标文件具有有效的法定代表人证明书，由委托代理人签署或盖章的投标文件中有法定代表人授权委托书</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《勘察设计投标书》、《技术投标书》、《投标函》</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按招标文件规定的格式填写，没有出现内容不全，或者关键字迹模糊无法辨认的；有法定代表人或其委托代理人签字或盖章并加盖单位章</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投标文件格式</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工程总承包实施方案技术投标文件按规定的格式（第七章“工程总承包实施方案技术投标文件格式” 格式1、格式2、格式3、格式</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、格式1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工程总承包实施方案经济投标文件按规定的格式（第七章“工程总承包实施方案经济投标文件格式” 格式1、格式2、格式3、格式</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、格式</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）要求填写，按规定盖章签署，没有主要内容不全，或关键字迹模糊、无法辨认的情形；</w:t>
            </w:r>
          </w:p>
        </w:tc>
      </w:tr>
      <w:tr>
        <w:tblPrEx>
          <w:tblCellMar>
            <w:top w:w="0" w:type="dxa"/>
            <w:left w:w="108" w:type="dxa"/>
            <w:bottom w:w="0" w:type="dxa"/>
            <w:right w:w="108" w:type="dxa"/>
          </w:tblCellMar>
        </w:tblPrEx>
        <w:trPr>
          <w:trHeight w:val="519"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报价唯一</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只能有一个有效投标总报价</w:t>
            </w:r>
          </w:p>
        </w:tc>
      </w:tr>
      <w:tr>
        <w:tblPrEx>
          <w:tblCellMar>
            <w:top w:w="0" w:type="dxa"/>
            <w:left w:w="108" w:type="dxa"/>
            <w:bottom w:w="0" w:type="dxa"/>
            <w:right w:w="108" w:type="dxa"/>
          </w:tblCellMar>
        </w:tblPrEx>
        <w:trPr>
          <w:trHeight w:val="519"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投标保证金递交情况</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按招标文件要求递交投标保证金</w:t>
            </w:r>
          </w:p>
        </w:tc>
      </w:tr>
      <w:tr>
        <w:tblPrEx>
          <w:tblCellMar>
            <w:top w:w="0" w:type="dxa"/>
            <w:left w:w="108" w:type="dxa"/>
            <w:bottom w:w="0" w:type="dxa"/>
            <w:right w:w="108" w:type="dxa"/>
          </w:tblCellMar>
        </w:tblPrEx>
        <w:trPr>
          <w:trHeight w:val="9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参与编制投标文件人员名单</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有《参与编制工程总承包实施方案技术投标文件人员名单》和《参与编制工程总承包实施方案经济投标文件人员名单》</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投标文件电脑机器特征码</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投标人与</w:t>
            </w:r>
            <w:r>
              <w:rPr>
                <w:rFonts w:hint="eastAsia"/>
                <w:color w:val="000000" w:themeColor="text1"/>
                <w:highlight w:val="none"/>
                <w:u w:val="single"/>
                <w14:textFill>
                  <w14:solidFill>
                    <w14:schemeClr w14:val="tx1"/>
                  </w14:solidFill>
                </w14:textFill>
              </w:rPr>
              <w:t>本项目</w:t>
            </w:r>
            <w:r>
              <w:rPr>
                <w:rFonts w:hint="eastAsia"/>
                <w:color w:val="000000" w:themeColor="text1"/>
                <w:highlight w:val="none"/>
                <w14:textFill>
                  <w14:solidFill>
                    <w14:schemeClr w14:val="tx1"/>
                  </w14:solidFill>
                </w14:textFill>
              </w:rPr>
              <w:t>其他投标人加密打包投标文件电脑机器特征码一致的(以广州交易集团有限公司（广州公共资源交易中心）交易平台评标系统的检索信息为准)将被否决</w:t>
            </w:r>
          </w:p>
        </w:tc>
      </w:tr>
      <w:tr>
        <w:tblPrEx>
          <w:tblCellMar>
            <w:top w:w="0" w:type="dxa"/>
            <w:left w:w="108" w:type="dxa"/>
            <w:bottom w:w="0" w:type="dxa"/>
            <w:right w:w="108" w:type="dxa"/>
          </w:tblCellMar>
        </w:tblPrEx>
        <w:trPr>
          <w:trHeight w:val="20"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auto" w:sz="4" w:space="0"/>
              <w:left w:val="single" w:color="auto" w:sz="4" w:space="0"/>
              <w:bottom w:val="single" w:color="auto" w:sz="4" w:space="0"/>
              <w:right w:val="single" w:color="auto" w:sz="4"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串通投标情形</w:t>
            </w:r>
          </w:p>
        </w:tc>
        <w:tc>
          <w:tcPr>
            <w:tcW w:w="5242" w:type="dxa"/>
            <w:tcBorders>
              <w:top w:val="single" w:color="auto" w:sz="4" w:space="0"/>
              <w:left w:val="single" w:color="auto" w:sz="4" w:space="0"/>
              <w:bottom w:val="single" w:color="auto" w:sz="4"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不存在串通投标情形（串通投标情形以《中华人民共和国招标投标法实施条例》的规定为准）；</w:t>
            </w:r>
          </w:p>
        </w:tc>
      </w:tr>
      <w:tr>
        <w:tblPrEx>
          <w:tblCellMar>
            <w:top w:w="0" w:type="dxa"/>
            <w:left w:w="108" w:type="dxa"/>
            <w:bottom w:w="0" w:type="dxa"/>
            <w:right w:w="108" w:type="dxa"/>
          </w:tblCellMar>
        </w:tblPrEx>
        <w:trPr>
          <w:trHeight w:val="695" w:hRule="atLeast"/>
        </w:trPr>
        <w:tc>
          <w:tcPr>
            <w:tcW w:w="840" w:type="dxa"/>
            <w:tcBorders>
              <w:top w:val="single" w:color="auto" w:sz="4" w:space="0"/>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2</w:t>
            </w:r>
          </w:p>
        </w:tc>
        <w:tc>
          <w:tcPr>
            <w:tcW w:w="1785" w:type="dxa"/>
            <w:gridSpan w:val="2"/>
            <w:tcBorders>
              <w:top w:val="single" w:color="auto" w:sz="4" w:space="0"/>
              <w:left w:val="single" w:color="000000" w:sz="6" w:space="0"/>
              <w:right w:val="single" w:color="000000" w:sz="6"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资格评审标准</w:t>
            </w:r>
          </w:p>
        </w:tc>
        <w:tc>
          <w:tcPr>
            <w:tcW w:w="1373" w:type="dxa"/>
            <w:tcBorders>
              <w:top w:val="single" w:color="auto" w:sz="4" w:space="0"/>
              <w:left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c>
          <w:tcPr>
            <w:tcW w:w="5242" w:type="dxa"/>
            <w:tcBorders>
              <w:top w:val="single" w:color="auto" w:sz="4" w:space="0"/>
              <w:left w:val="single" w:color="auto" w:sz="4"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详见附表1</w:t>
            </w:r>
          </w:p>
        </w:tc>
      </w:tr>
      <w:tr>
        <w:tblPrEx>
          <w:tblCellMar>
            <w:top w:w="0" w:type="dxa"/>
            <w:left w:w="108" w:type="dxa"/>
            <w:bottom w:w="0" w:type="dxa"/>
            <w:right w:w="108" w:type="dxa"/>
          </w:tblCellMar>
        </w:tblPrEx>
        <w:trPr>
          <w:trHeight w:val="491" w:hRule="atLeast"/>
        </w:trPr>
        <w:tc>
          <w:tcPr>
            <w:tcW w:w="840" w:type="dxa"/>
            <w:vMerge w:val="restart"/>
            <w:tcBorders>
              <w:top w:val="single" w:color="auto" w:sz="4" w:space="0"/>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w:t>
            </w:r>
          </w:p>
        </w:tc>
        <w:tc>
          <w:tcPr>
            <w:tcW w:w="1785" w:type="dxa"/>
            <w:gridSpan w:val="2"/>
            <w:vMerge w:val="restart"/>
            <w:tcBorders>
              <w:top w:val="single" w:color="auto" w:sz="4" w:space="0"/>
              <w:left w:val="single" w:color="000000" w:sz="6" w:space="0"/>
              <w:right w:val="single" w:color="000000" w:sz="6"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设计方案文件响应性评审标准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spacing w:line="4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暗标形式</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spacing w:line="276" w:lineRule="auto"/>
              <w:rPr>
                <w:color w:val="000000" w:themeColor="text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设计方案</w:t>
            </w:r>
            <w:r>
              <w:rPr>
                <w:rFonts w:hint="eastAsia"/>
                <w:color w:val="000000" w:themeColor="text1"/>
                <w:szCs w:val="21"/>
                <w:highlight w:val="none"/>
                <w14:textFill>
                  <w14:solidFill>
                    <w14:schemeClr w14:val="tx1"/>
                  </w14:solidFill>
                </w14:textFill>
              </w:rPr>
              <w:t>文件按招标文件要求编制；投标人未在</w:t>
            </w:r>
            <w:r>
              <w:rPr>
                <w:rFonts w:hint="eastAsia" w:ascii="宋体" w:hAnsi="宋体" w:cs="宋体"/>
                <w:color w:val="000000" w:themeColor="text1"/>
                <w:kern w:val="1"/>
                <w:szCs w:val="21"/>
                <w:highlight w:val="none"/>
                <w14:textFill>
                  <w14:solidFill>
                    <w14:schemeClr w14:val="tx1"/>
                  </w14:solidFill>
                </w14:textFill>
              </w:rPr>
              <w:t>设计方案</w:t>
            </w:r>
            <w:r>
              <w:rPr>
                <w:rFonts w:hint="eastAsia"/>
                <w:color w:val="000000" w:themeColor="text1"/>
                <w:szCs w:val="21"/>
                <w:highlight w:val="none"/>
                <w14:textFill>
                  <w14:solidFill>
                    <w14:schemeClr w14:val="tx1"/>
                  </w14:solidFill>
                </w14:textFill>
              </w:rPr>
              <w:t>内标注名称、印章、商标、图形等记认符号（或使人辨认出投标人或其专业技术人员的身份）</w:t>
            </w:r>
          </w:p>
        </w:tc>
      </w:tr>
      <w:tr>
        <w:tblPrEx>
          <w:tblCellMar>
            <w:top w:w="0" w:type="dxa"/>
            <w:left w:w="108" w:type="dxa"/>
            <w:bottom w:w="0" w:type="dxa"/>
            <w:right w:w="108" w:type="dxa"/>
          </w:tblCellMar>
        </w:tblPrEx>
        <w:trPr>
          <w:trHeight w:val="491" w:hRule="atLeast"/>
        </w:trPr>
        <w:tc>
          <w:tcPr>
            <w:tcW w:w="840"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shd w:val="clear"/>
              <w:spacing w:line="30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spacing w:line="4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480" w:hRule="atLeast"/>
        </w:trPr>
        <w:tc>
          <w:tcPr>
            <w:tcW w:w="840" w:type="dxa"/>
            <w:vMerge w:val="restart"/>
            <w:tcBorders>
              <w:top w:val="single" w:color="000000" w:sz="6" w:space="0"/>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p>
        </w:tc>
        <w:tc>
          <w:tcPr>
            <w:tcW w:w="1785" w:type="dxa"/>
            <w:gridSpan w:val="2"/>
            <w:vMerge w:val="restart"/>
            <w:tcBorders>
              <w:top w:val="single" w:color="000000" w:sz="6" w:space="0"/>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工程总承包实施方案响应性评审标准</w:t>
            </w: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符合第二章“投标人须知”第3.2项规定</w:t>
            </w:r>
          </w:p>
        </w:tc>
      </w:tr>
      <w:tr>
        <w:tblPrEx>
          <w:tblCellMar>
            <w:top w:w="0" w:type="dxa"/>
            <w:left w:w="108" w:type="dxa"/>
            <w:bottom w:w="0" w:type="dxa"/>
            <w:right w:w="108" w:type="dxa"/>
          </w:tblCellMar>
        </w:tblPrEx>
        <w:trPr>
          <w:trHeight w:val="480" w:hRule="atLeast"/>
        </w:trPr>
        <w:tc>
          <w:tcPr>
            <w:tcW w:w="840" w:type="dxa"/>
            <w:vMerge w:val="continue"/>
            <w:tcBorders>
              <w:top w:val="single" w:color="000000" w:sz="6" w:space="0"/>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top w:val="single" w:color="000000" w:sz="6" w:space="0"/>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投标内容</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符合第二章“投标人须知”第1.3.1项规定</w:t>
            </w:r>
          </w:p>
        </w:tc>
      </w:tr>
      <w:tr>
        <w:tblPrEx>
          <w:tblCellMar>
            <w:top w:w="0" w:type="dxa"/>
            <w:left w:w="108" w:type="dxa"/>
            <w:bottom w:w="0" w:type="dxa"/>
            <w:right w:w="108" w:type="dxa"/>
          </w:tblCellMar>
        </w:tblPrEx>
        <w:trPr>
          <w:trHeight w:val="476" w:hRule="atLeast"/>
        </w:trPr>
        <w:tc>
          <w:tcPr>
            <w:tcW w:w="840"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投标总工期</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符合第二章“投标人须知”第1.3.2项规定</w:t>
            </w:r>
          </w:p>
        </w:tc>
      </w:tr>
      <w:tr>
        <w:tblPrEx>
          <w:tblCellMar>
            <w:top w:w="0" w:type="dxa"/>
            <w:left w:w="108" w:type="dxa"/>
            <w:bottom w:w="0" w:type="dxa"/>
            <w:right w:w="108" w:type="dxa"/>
          </w:tblCellMar>
        </w:tblPrEx>
        <w:trPr>
          <w:trHeight w:val="356" w:hRule="atLeast"/>
        </w:trPr>
        <w:tc>
          <w:tcPr>
            <w:tcW w:w="840"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质量标准</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符合第二章“投标人须知”第1.3.3项规定</w:t>
            </w:r>
          </w:p>
        </w:tc>
      </w:tr>
      <w:tr>
        <w:tblPrEx>
          <w:tblCellMar>
            <w:top w:w="0" w:type="dxa"/>
            <w:left w:w="108" w:type="dxa"/>
            <w:bottom w:w="0" w:type="dxa"/>
            <w:right w:w="108" w:type="dxa"/>
          </w:tblCellMar>
        </w:tblPrEx>
        <w:trPr>
          <w:trHeight w:val="406" w:hRule="atLeast"/>
        </w:trPr>
        <w:tc>
          <w:tcPr>
            <w:tcW w:w="840"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保修期限</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符合第二章“投标人须知前附表”第</w:t>
            </w:r>
            <w:r>
              <w:rPr>
                <w:color w:val="000000" w:themeColor="text1"/>
                <w:highlight w:val="none"/>
                <w14:textFill>
                  <w14:solidFill>
                    <w14:schemeClr w14:val="tx1"/>
                  </w14:solidFill>
                </w14:textFill>
              </w:rPr>
              <w:t>9.2</w:t>
            </w:r>
            <w:r>
              <w:rPr>
                <w:rFonts w:hint="eastAsia"/>
                <w:color w:val="000000" w:themeColor="text1"/>
                <w:highlight w:val="none"/>
                <w14:textFill>
                  <w14:solidFill>
                    <w14:schemeClr w14:val="tx1"/>
                  </w14:solidFill>
                </w14:textFill>
              </w:rPr>
              <w:t>项规定</w:t>
            </w:r>
          </w:p>
        </w:tc>
      </w:tr>
      <w:tr>
        <w:tblPrEx>
          <w:tblCellMar>
            <w:top w:w="0" w:type="dxa"/>
            <w:left w:w="108" w:type="dxa"/>
            <w:bottom w:w="0" w:type="dxa"/>
            <w:right w:w="108" w:type="dxa"/>
          </w:tblCellMar>
        </w:tblPrEx>
        <w:trPr>
          <w:trHeight w:val="486" w:hRule="atLeast"/>
        </w:trPr>
        <w:tc>
          <w:tcPr>
            <w:tcW w:w="840"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85" w:type="dxa"/>
            <w:gridSpan w:val="2"/>
            <w:vMerge w:val="continue"/>
            <w:tcBorders>
              <w:left w:val="single" w:color="000000" w:sz="6" w:space="0"/>
              <w:right w:val="single" w:color="000000" w:sz="6" w:space="0"/>
            </w:tcBorders>
            <w:vAlign w:val="center"/>
          </w:tcPr>
          <w:p>
            <w:pPr>
              <w:shd w:val="clear"/>
              <w:spacing w:line="340" w:lineRule="exact"/>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投标有效期</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符合第二章“投标人须知”第3.3.1项规定</w:t>
            </w:r>
          </w:p>
        </w:tc>
      </w:tr>
      <w:tr>
        <w:tblPrEx>
          <w:tblCellMar>
            <w:top w:w="0" w:type="dxa"/>
            <w:left w:w="108" w:type="dxa"/>
            <w:bottom w:w="0" w:type="dxa"/>
            <w:right w:w="108" w:type="dxa"/>
          </w:tblCellMar>
        </w:tblPrEx>
        <w:trPr>
          <w:trHeight w:val="486" w:hRule="atLeast"/>
        </w:trPr>
        <w:tc>
          <w:tcPr>
            <w:tcW w:w="840" w:type="dxa"/>
            <w:tcBorders>
              <w:left w:val="single" w:color="000000" w:sz="4" w:space="0"/>
              <w:right w:val="single" w:color="000000" w:sz="6"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1785" w:type="dxa"/>
            <w:gridSpan w:val="2"/>
            <w:tcBorders>
              <w:left w:val="single" w:color="000000" w:sz="6" w:space="0"/>
              <w:right w:val="single" w:color="000000" w:sz="6" w:space="0"/>
            </w:tcBorders>
            <w:vAlign w:val="center"/>
          </w:tcPr>
          <w:p>
            <w:pPr>
              <w:shd w:val="clear"/>
              <w:spacing w:line="340" w:lineRule="exact"/>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auto"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合法合规性</w:t>
            </w:r>
          </w:p>
        </w:tc>
        <w:tc>
          <w:tcPr>
            <w:tcW w:w="5242" w:type="dxa"/>
            <w:tcBorders>
              <w:top w:val="single" w:color="000000" w:sz="6" w:space="0"/>
              <w:left w:val="single" w:color="auto" w:sz="4"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投标人之间不存在《广东省实施&lt;中华人民共和国招标投标法&gt;》第十六条所禁止的情形的</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条款内容</w:t>
            </w:r>
          </w:p>
        </w:tc>
        <w:tc>
          <w:tcPr>
            <w:tcW w:w="5242"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编列内容</w:t>
            </w:r>
          </w:p>
        </w:tc>
      </w:tr>
      <w:tr>
        <w:tblPrEx>
          <w:tblCellMar>
            <w:top w:w="0" w:type="dxa"/>
            <w:left w:w="108" w:type="dxa"/>
            <w:bottom w:w="0" w:type="dxa"/>
            <w:right w:w="108" w:type="dxa"/>
          </w:tblCellMar>
        </w:tblPrEx>
        <w:trPr>
          <w:trHeight w:val="948"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w:t>
            </w:r>
          </w:p>
        </w:tc>
        <w:tc>
          <w:tcPr>
            <w:tcW w:w="1373"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分值构成及权重</w:t>
            </w:r>
          </w:p>
        </w:tc>
        <w:tc>
          <w:tcPr>
            <w:tcW w:w="5242" w:type="dxa"/>
            <w:tcBorders>
              <w:top w:val="single" w:color="000000" w:sz="6" w:space="0"/>
              <w:left w:val="single" w:color="000000" w:sz="6"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投标人总得分满分为100分，总分权重分配：设计方案得分（权重</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0</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（工程总承包实施方案经济部分得分（权重</w:t>
            </w:r>
            <w:r>
              <w:rPr>
                <w:rFonts w:hint="eastAsia"/>
                <w:color w:val="000000" w:themeColor="text1"/>
                <w:highlight w:val="none"/>
                <w:lang w:val="en-US" w:eastAsia="zh-CN"/>
                <w14:textFill>
                  <w14:solidFill>
                    <w14:schemeClr w14:val="tx1"/>
                  </w14:solidFill>
                </w14:textFill>
              </w:rPr>
              <w:t>28</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工程总承包实施方案技术部分得分（权重</w:t>
            </w:r>
            <w:r>
              <w:rPr>
                <w:rFonts w:hint="eastAsia"/>
                <w:color w:val="000000" w:themeColor="text1"/>
                <w:highlight w:val="none"/>
                <w:lang w:val="en-US" w:eastAsia="zh-CN"/>
                <w14:textFill>
                  <w14:solidFill>
                    <w14:schemeClr w14:val="tx1"/>
                  </w14:solidFill>
                </w14:textFill>
              </w:rPr>
              <w:t>42</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86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.2.2</w:t>
            </w:r>
          </w:p>
        </w:tc>
        <w:tc>
          <w:tcPr>
            <w:tcW w:w="1373" w:type="dxa"/>
            <w:tcBorders>
              <w:top w:val="single" w:color="000000" w:sz="6" w:space="0"/>
              <w:left w:val="single" w:color="000000" w:sz="6" w:space="0"/>
              <w:bottom w:val="single" w:color="000000" w:sz="6" w:space="0"/>
              <w:right w:val="single" w:color="000000" w:sz="6"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评标基准价计算方法</w:t>
            </w:r>
          </w:p>
        </w:tc>
        <w:tc>
          <w:tcPr>
            <w:tcW w:w="5242" w:type="dxa"/>
            <w:tcBorders>
              <w:top w:val="single" w:color="000000" w:sz="6" w:space="0"/>
              <w:left w:val="single" w:color="000000" w:sz="6"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，工程费最高投标限价]区间的投标人超过</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家时，在经算术复核的位于[工程费最高投标限价×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的工程费投标报价中，去掉一个最高价和一个最低价后，取剩余报价的算术平均值为评标基准价（精确到小数点后两位）；在通过初步评审且经算术复核的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，工程费最高投标限价]区间的投标人少于</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家（含</w:t>
            </w:r>
            <w:r>
              <w:rPr>
                <w:rFonts w:hint="eastAsia" w:ascii="宋体" w:hAnsi="宋体"/>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家）时，直接取区间中经算术复核的工程费投标报价的算术平均值为评标基准价（精确到小数点后两位）。若在通过初步评审且经算术复核的工程费投标报价中，没有工程费投标报价位于[工程费最高投标限价×</w:t>
            </w:r>
            <w:r>
              <w:rPr>
                <w:rFonts w:hint="eastAsia" w:ascii="宋体" w:hAnsi="宋体"/>
                <w:color w:val="000000" w:themeColor="text1"/>
                <w:highlight w:val="none"/>
                <w14:textFill>
                  <w14:solidFill>
                    <w14:schemeClr w14:val="tx1"/>
                  </w14:solidFill>
                </w14:textFill>
              </w:rPr>
              <w:t>90%</w:t>
            </w:r>
            <w:r>
              <w:rPr>
                <w:rFonts w:hint="eastAsia"/>
                <w:color w:val="000000" w:themeColor="text1"/>
                <w:highlight w:val="none"/>
                <w14:textFill>
                  <w14:solidFill>
                    <w14:schemeClr w14:val="tx1"/>
                  </w14:solidFill>
                </w14:textFill>
              </w:rPr>
              <w:t>，工程费最高投标限价]区间，则本项目招标失败，由招标人依法重新招标。</w:t>
            </w:r>
          </w:p>
        </w:tc>
      </w:tr>
      <w:tr>
        <w:tblPrEx>
          <w:tblCellMar>
            <w:top w:w="0" w:type="dxa"/>
            <w:left w:w="108" w:type="dxa"/>
            <w:bottom w:w="0" w:type="dxa"/>
            <w:right w:w="108" w:type="dxa"/>
          </w:tblCellMar>
        </w:tblPrEx>
        <w:trPr>
          <w:trHeight w:val="1127"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w:t>
            </w:r>
            <w:r>
              <w:rPr>
                <w:rFonts w:ascii="宋体" w:hAnsi="宋体" w:cs="宋体"/>
                <w:color w:val="000000" w:themeColor="text1"/>
                <w:kern w:val="1"/>
                <w:szCs w:val="21"/>
                <w:highlight w:val="none"/>
                <w14:textFill>
                  <w14:solidFill>
                    <w14:schemeClr w14:val="tx1"/>
                  </w14:solidFill>
                </w14:textFill>
              </w:rPr>
              <w:t>.2.3</w:t>
            </w:r>
          </w:p>
        </w:tc>
        <w:tc>
          <w:tcPr>
            <w:tcW w:w="1373" w:type="dxa"/>
            <w:tcBorders>
              <w:top w:val="single" w:color="000000" w:sz="6" w:space="0"/>
              <w:left w:val="single" w:color="000000" w:sz="6" w:space="0"/>
              <w:bottom w:val="single" w:color="000000" w:sz="6" w:space="0"/>
              <w:right w:val="single" w:color="000000" w:sz="6"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工程费投标报价的偏差率计算公式</w:t>
            </w:r>
          </w:p>
        </w:tc>
        <w:tc>
          <w:tcPr>
            <w:tcW w:w="5242" w:type="dxa"/>
            <w:tcBorders>
              <w:top w:val="single" w:color="000000" w:sz="6" w:space="0"/>
              <w:left w:val="single" w:color="000000" w:sz="6" w:space="0"/>
              <w:bottom w:val="single" w:color="000000" w:sz="6" w:space="0"/>
              <w:right w:val="single" w:color="000000" w:sz="4" w:space="0"/>
            </w:tcBorders>
            <w:vAlign w:val="center"/>
          </w:tcPr>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偏差率=</w:t>
            </w:r>
            <w:r>
              <w:rPr>
                <w:rFonts w:hint="eastAsia" w:ascii="宋体" w:hAnsi="宋体"/>
                <w:color w:val="000000" w:themeColor="text1"/>
                <w:highlight w:val="none"/>
                <w14:textFill>
                  <w14:solidFill>
                    <w14:schemeClr w14:val="tx1"/>
                  </w14:solidFill>
                </w14:textFill>
              </w:rPr>
              <w:t xml:space="preserve">100% </w:t>
            </w:r>
            <w:r>
              <w:rPr>
                <w:rFonts w:hint="eastAsia"/>
                <w:color w:val="000000" w:themeColor="text1"/>
                <w:highlight w:val="none"/>
                <w14:textFill>
                  <w14:solidFill>
                    <w14:schemeClr w14:val="tx1"/>
                  </w14:solidFill>
                </w14:textFill>
              </w:rPr>
              <w:t>×（工程费投标报价－评标基准价）/评标基准价</w:t>
            </w:r>
          </w:p>
        </w:tc>
      </w:tr>
      <w:tr>
        <w:tblPrEx>
          <w:tblCellMar>
            <w:top w:w="0" w:type="dxa"/>
            <w:left w:w="108" w:type="dxa"/>
            <w:bottom w:w="0" w:type="dxa"/>
            <w:right w:w="108" w:type="dxa"/>
          </w:tblCellMar>
        </w:tblPrEx>
        <w:trPr>
          <w:trHeight w:val="20" w:hRule="atLeast"/>
        </w:trPr>
        <w:tc>
          <w:tcPr>
            <w:tcW w:w="2625" w:type="dxa"/>
            <w:gridSpan w:val="3"/>
            <w:tcBorders>
              <w:top w:val="single" w:color="000000" w:sz="6" w:space="0"/>
              <w:left w:val="single" w:color="000000" w:sz="4"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条款号</w:t>
            </w:r>
          </w:p>
        </w:tc>
        <w:tc>
          <w:tcPr>
            <w:tcW w:w="1373"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评分因素</w:t>
            </w:r>
          </w:p>
        </w:tc>
        <w:tc>
          <w:tcPr>
            <w:tcW w:w="5242"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评分标准</w:t>
            </w:r>
          </w:p>
        </w:tc>
      </w:tr>
      <w:tr>
        <w:tblPrEx>
          <w:tblCellMar>
            <w:top w:w="0" w:type="dxa"/>
            <w:left w:w="108" w:type="dxa"/>
            <w:bottom w:w="0" w:type="dxa"/>
            <w:right w:w="108" w:type="dxa"/>
          </w:tblCellMar>
        </w:tblPrEx>
        <w:trPr>
          <w:trHeight w:val="720"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1</w:t>
            </w:r>
            <w:r>
              <w:rPr>
                <w:rFonts w:hint="eastAsia" w:ascii="宋体" w:hAnsi="宋体" w:cs="宋体"/>
                <w:color w:val="000000" w:themeColor="text1"/>
                <w:kern w:val="1"/>
                <w:szCs w:val="21"/>
                <w:highlight w:val="none"/>
                <w14:textFill>
                  <w14:solidFill>
                    <w14:schemeClr w14:val="tx1"/>
                  </w14:solidFill>
                </w14:textFill>
              </w:rPr>
              <w:t>）</w:t>
            </w:r>
          </w:p>
        </w:tc>
        <w:tc>
          <w:tcPr>
            <w:tcW w:w="1447" w:type="dxa"/>
            <w:tcBorders>
              <w:top w:val="single" w:color="000000" w:sz="6" w:space="0"/>
              <w:left w:val="single" w:color="000000" w:sz="4" w:space="0"/>
              <w:bottom w:val="single" w:color="auto"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设计方案部分</w:t>
            </w:r>
          </w:p>
        </w:tc>
        <w:tc>
          <w:tcPr>
            <w:tcW w:w="5242"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《设计方案评分表》</w:t>
            </w:r>
          </w:p>
        </w:tc>
      </w:tr>
      <w:tr>
        <w:tblPrEx>
          <w:tblCellMar>
            <w:top w:w="0" w:type="dxa"/>
            <w:left w:w="108" w:type="dxa"/>
            <w:bottom w:w="0" w:type="dxa"/>
            <w:right w:w="108" w:type="dxa"/>
          </w:tblCellMar>
        </w:tblPrEx>
        <w:trPr>
          <w:trHeight w:val="714" w:hRule="atLeast"/>
        </w:trPr>
        <w:tc>
          <w:tcPr>
            <w:tcW w:w="1178" w:type="dxa"/>
            <w:gridSpan w:val="2"/>
            <w:tcBorders>
              <w:top w:val="single" w:color="000000" w:sz="6" w:space="0"/>
              <w:left w:val="single" w:color="000000" w:sz="4" w:space="0"/>
              <w:bottom w:val="single" w:color="auto"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2</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restart"/>
            <w:tcBorders>
              <w:top w:val="single" w:color="auto" w:sz="4" w:space="0"/>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工程总承包实施方案评分标准</w:t>
            </w:r>
          </w:p>
        </w:tc>
        <w:tc>
          <w:tcPr>
            <w:tcW w:w="1373"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工程总承包实施方案技术部分</w:t>
            </w:r>
          </w:p>
        </w:tc>
        <w:tc>
          <w:tcPr>
            <w:tcW w:w="5242"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《工程总承包实施方案技术部分评分表》</w:t>
            </w:r>
          </w:p>
        </w:tc>
      </w:tr>
      <w:tr>
        <w:tblPrEx>
          <w:tblCellMar>
            <w:top w:w="0" w:type="dxa"/>
            <w:left w:w="108" w:type="dxa"/>
            <w:bottom w:w="0" w:type="dxa"/>
            <w:right w:w="108" w:type="dxa"/>
          </w:tblCellMar>
        </w:tblPrEx>
        <w:trPr>
          <w:trHeight w:val="1563" w:hRule="atLeast"/>
        </w:trPr>
        <w:tc>
          <w:tcPr>
            <w:tcW w:w="1178" w:type="dxa"/>
            <w:gridSpan w:val="2"/>
            <w:tcBorders>
              <w:top w:val="single" w:color="auto" w:sz="4" w:space="0"/>
              <w:left w:val="single" w:color="000000" w:sz="4" w:space="0"/>
              <w:bottom w:val="single" w:color="auto"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w:t>
            </w:r>
            <w:r>
              <w:rPr>
                <w:rFonts w:ascii="宋体" w:hAnsi="宋体" w:cs="宋体"/>
                <w:color w:val="000000" w:themeColor="text1"/>
                <w:kern w:val="1"/>
                <w:szCs w:val="21"/>
                <w:highlight w:val="none"/>
                <w14:textFill>
                  <w14:solidFill>
                    <w14:schemeClr w14:val="tx1"/>
                  </w14:solidFill>
                </w14:textFill>
              </w:rPr>
              <w:t>3</w:t>
            </w:r>
            <w:r>
              <w:rPr>
                <w:rFonts w:hint="eastAsia" w:ascii="宋体" w:hAnsi="宋体" w:cs="宋体"/>
                <w:color w:val="000000" w:themeColor="text1"/>
                <w:kern w:val="1"/>
                <w:szCs w:val="21"/>
                <w:highlight w:val="none"/>
                <w14:textFill>
                  <w14:solidFill>
                    <w14:schemeClr w14:val="tx1"/>
                  </w14:solidFill>
                </w14:textFill>
              </w:rPr>
              <w:t>）</w:t>
            </w:r>
          </w:p>
        </w:tc>
        <w:tc>
          <w:tcPr>
            <w:tcW w:w="1447" w:type="dxa"/>
            <w:vMerge w:val="continue"/>
            <w:tcBorders>
              <w:left w:val="single" w:color="000000" w:sz="4"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3"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工程总承包实施方案经济部分</w:t>
            </w:r>
          </w:p>
        </w:tc>
        <w:tc>
          <w:tcPr>
            <w:tcW w:w="5242" w:type="dxa"/>
            <w:tcBorders>
              <w:top w:val="single" w:color="000000" w:sz="6" w:space="0"/>
              <w:left w:val="single" w:color="000000" w:sz="4" w:space="0"/>
              <w:bottom w:val="single" w:color="000000" w:sz="6" w:space="0"/>
              <w:right w:val="single" w:color="000000" w:sz="4" w:space="0"/>
            </w:tcBorders>
            <w:shd w:val="clear" w:color="auto" w:fill="auto"/>
            <w:vAlign w:val="center"/>
          </w:tcPr>
          <w:p>
            <w:pPr>
              <w:shd w:val="clear"/>
              <w:spacing w:line="276"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评标委员会按“当评标价等于评标基准价时得100分，评标价每高于评标基准价1%，扣1.5分，每低于评标基准价1%，扣1.0分，最多扣100分”的标准，计算出工程总承包实施方案经济部分得分，精确到小数点后两位。</w:t>
            </w:r>
          </w:p>
        </w:tc>
      </w:tr>
      <w:tr>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auto" w:sz="4" w:space="0"/>
              <w:right w:val="single" w:color="000000" w:sz="4" w:space="0"/>
            </w:tcBorders>
            <w:vAlign w:val="center"/>
          </w:tcPr>
          <w:p>
            <w:pPr>
              <w:shd w:val="clear"/>
              <w:spacing w:line="276"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rPr>
          <w:trHeight w:val="538" w:hRule="atLeast"/>
        </w:trPr>
        <w:tc>
          <w:tcPr>
            <w:tcW w:w="9240" w:type="dxa"/>
            <w:gridSpan w:val="5"/>
            <w:tcBorders>
              <w:top w:val="single" w:color="auto" w:sz="4" w:space="0"/>
              <w:left w:val="single" w:color="000000" w:sz="4" w:space="0"/>
              <w:bottom w:val="single" w:color="000000" w:sz="6" w:space="0"/>
              <w:right w:val="single" w:color="000000" w:sz="4" w:space="0"/>
            </w:tcBorders>
            <w:vAlign w:val="center"/>
          </w:tcPr>
          <w:p>
            <w:pPr>
              <w:numPr>
                <w:ilvl w:val="0"/>
                <w:numId w:val="3"/>
              </w:num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如组成联合体投标的，勘察设计部分评分以承接勘察设计任务的单位为准；施工部分评分以承接施工任务的单位为准。</w:t>
            </w:r>
          </w:p>
          <w:p>
            <w:pPr>
              <w:numPr>
                <w:ilvl w:val="0"/>
                <w:numId w:val="3"/>
              </w:numPr>
              <w:shd w:val="clear"/>
              <w:spacing w:line="360" w:lineRule="auto"/>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200页（不含</w:t>
            </w:r>
            <w:r>
              <w:rPr>
                <w:rFonts w:hint="eastAsia" w:ascii="宋体" w:hAnsi="宋体" w:cs="宋体"/>
                <w:color w:val="000000" w:themeColor="text1"/>
                <w:szCs w:val="21"/>
                <w:highlight w:val="none"/>
                <w:lang w:val="en-US" w:eastAsia="zh-CN"/>
                <w14:textFill>
                  <w14:solidFill>
                    <w14:schemeClr w14:val="tx1"/>
                  </w14:solidFill>
                </w14:textFill>
              </w:rPr>
              <w:t>人员配备情况</w:t>
            </w:r>
            <w:r>
              <w:rPr>
                <w:rFonts w:hint="eastAsia" w:ascii="宋体" w:hAnsi="宋体" w:cs="宋体"/>
                <w:color w:val="000000" w:themeColor="text1"/>
                <w:szCs w:val="21"/>
                <w:highlight w:val="none"/>
                <w14:textFill>
                  <w14:solidFill>
                    <w14:schemeClr w14:val="tx1"/>
                  </w14:solidFill>
                </w14:textFill>
              </w:rPr>
              <w:t>）。超过部分不予评审。</w:t>
            </w:r>
          </w:p>
        </w:tc>
      </w:tr>
    </w:tbl>
    <w:p>
      <w:pPr>
        <w:shd w:val="clear"/>
        <w:spacing w:line="360" w:lineRule="auto"/>
        <w:jc w:val="left"/>
        <w:rPr>
          <w:rFonts w:ascii="宋体" w:hAnsi="宋体" w:cs="宋体"/>
          <w:color w:val="000000" w:themeColor="text1"/>
          <w:highlight w:val="none"/>
          <w14:textFill>
            <w14:solidFill>
              <w14:schemeClr w14:val="tx1"/>
            </w14:solidFill>
          </w14:textFill>
        </w:rPr>
        <w:sectPr>
          <w:headerReference r:id="rId9" w:type="default"/>
          <w:footerReference r:id="rId10" w:type="default"/>
          <w:pgSz w:w="11907" w:h="16840"/>
          <w:pgMar w:top="1361" w:right="1304" w:bottom="1304" w:left="1304" w:header="851" w:footer="720" w:gutter="0"/>
          <w:cols w:space="720" w:num="1"/>
        </w:sectPr>
      </w:pPr>
    </w:p>
    <w:p>
      <w:pPr>
        <w:pStyle w:val="4"/>
        <w:shd w:val="clear"/>
        <w:spacing w:before="100" w:after="100" w:line="360" w:lineRule="auto"/>
        <w:rPr>
          <w:rFonts w:ascii="宋体" w:hAnsi="宋体" w:eastAsia="宋体" w:cs="宋体"/>
          <w:color w:val="000000" w:themeColor="text1"/>
          <w:sz w:val="24"/>
          <w:szCs w:val="24"/>
          <w:highlight w:val="none"/>
          <w:lang w:val="zh-CN"/>
          <w14:textFill>
            <w14:solidFill>
              <w14:schemeClr w14:val="tx1"/>
            </w14:solidFill>
          </w14:textFill>
        </w:rPr>
      </w:pPr>
      <w:bookmarkStart w:id="353" w:name="_Toc27323"/>
      <w:bookmarkEnd w:id="353"/>
      <w:bookmarkStart w:id="354" w:name="_Toc3262"/>
      <w:bookmarkEnd w:id="354"/>
      <w:bookmarkStart w:id="355" w:name="_Toc5620347"/>
      <w:bookmarkStart w:id="356" w:name="_Toc1626"/>
      <w:r>
        <w:rPr>
          <w:rFonts w:hint="eastAsia" w:ascii="宋体" w:hAnsi="宋体" w:eastAsia="宋体" w:cs="宋体"/>
          <w:color w:val="000000" w:themeColor="text1"/>
          <w:sz w:val="24"/>
          <w:szCs w:val="24"/>
          <w:highlight w:val="none"/>
          <w:lang w:val="zh-CN"/>
          <w14:textFill>
            <w14:solidFill>
              <w14:schemeClr w14:val="tx1"/>
            </w14:solidFill>
          </w14:textFill>
        </w:rPr>
        <w:t>1. 评标方法</w:t>
      </w:r>
      <w:bookmarkEnd w:id="355"/>
      <w:bookmarkEnd w:id="356"/>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000000" w:themeColor="text1"/>
          <w:kern w:val="1"/>
          <w:szCs w:val="21"/>
          <w:highlight w:val="none"/>
          <w:u w:val="single"/>
          <w14:textFill>
            <w14:solidFill>
              <w14:schemeClr w14:val="tx1"/>
            </w14:solidFill>
          </w14:textFill>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57" w:name="_Toc26760"/>
      <w:bookmarkEnd w:id="357"/>
      <w:bookmarkStart w:id="358" w:name="_Toc3493"/>
      <w:bookmarkEnd w:id="358"/>
      <w:bookmarkStart w:id="359" w:name="_Toc26257"/>
      <w:bookmarkStart w:id="360" w:name="_Toc5620348"/>
      <w:r>
        <w:rPr>
          <w:rFonts w:hint="eastAsia" w:ascii="宋体" w:hAnsi="宋体" w:eastAsia="宋体" w:cs="宋体"/>
          <w:color w:val="000000" w:themeColor="text1"/>
          <w:sz w:val="21"/>
          <w:szCs w:val="21"/>
          <w:highlight w:val="none"/>
          <w:lang w:val="zh-CN"/>
          <w14:textFill>
            <w14:solidFill>
              <w14:schemeClr w14:val="tx1"/>
            </w14:solidFill>
          </w14:textFill>
        </w:rPr>
        <w:t>2. 评审标准</w:t>
      </w:r>
      <w:bookmarkEnd w:id="359"/>
      <w:bookmarkEnd w:id="360"/>
    </w:p>
    <w:p>
      <w:pPr>
        <w:pStyle w:val="5"/>
        <w:shd w:val="clear"/>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61" w:name="_Toc22589"/>
      <w:bookmarkEnd w:id="361"/>
      <w:bookmarkStart w:id="362" w:name="_Toc14978"/>
      <w:bookmarkEnd w:id="362"/>
      <w:bookmarkStart w:id="363" w:name="_Toc5620349"/>
      <w:bookmarkStart w:id="364" w:name="_Toc24233"/>
      <w:r>
        <w:rPr>
          <w:rFonts w:hint="eastAsia" w:ascii="宋体" w:hAnsi="宋体" w:eastAsia="宋体"/>
          <w:b/>
          <w:bCs/>
          <w:color w:val="000000" w:themeColor="text1"/>
          <w:sz w:val="21"/>
          <w:szCs w:val="21"/>
          <w:highlight w:val="none"/>
          <w:lang w:val="zh-CN"/>
          <w14:textFill>
            <w14:solidFill>
              <w14:schemeClr w14:val="tx1"/>
            </w14:solidFill>
          </w14:textFill>
        </w:rPr>
        <w:t>2.1 初步评审标准</w:t>
      </w:r>
      <w:bookmarkEnd w:id="363"/>
      <w:bookmarkEnd w:id="364"/>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2.1.1 形式评审标准：见评标办法前附表。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 xml:space="preserve">2.1.2 </w:t>
      </w:r>
      <w:r>
        <w:rPr>
          <w:rFonts w:hint="eastAsia" w:ascii="宋体" w:hAnsi="宋体" w:cs="宋体"/>
          <w:color w:val="000000" w:themeColor="text1"/>
          <w:kern w:val="1"/>
          <w:szCs w:val="21"/>
          <w:highlight w:val="none"/>
          <w14:textFill>
            <w14:solidFill>
              <w14:schemeClr w14:val="tx1"/>
            </w14:solidFill>
          </w14:textFill>
        </w:rPr>
        <w:t>资格评审标准：见评标办法前附表。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2.1.3</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设计方案响应性评审标准：见评标办法前附表。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2.1.</w:t>
      </w:r>
      <w:r>
        <w:rPr>
          <w:rFonts w:ascii="宋体" w:hAnsi="宋体" w:cs="宋体"/>
          <w:color w:val="000000" w:themeColor="text1"/>
          <w:kern w:val="1"/>
          <w:szCs w:val="21"/>
          <w:highlight w:val="none"/>
          <w14:textFill>
            <w14:solidFill>
              <w14:schemeClr w14:val="tx1"/>
            </w14:solidFill>
          </w14:textFill>
        </w:rPr>
        <w:t xml:space="preserve">4 </w:t>
      </w:r>
      <w:r>
        <w:rPr>
          <w:rFonts w:hint="eastAsia" w:ascii="宋体" w:hAnsi="宋体" w:cs="宋体"/>
          <w:color w:val="000000" w:themeColor="text1"/>
          <w:kern w:val="1"/>
          <w:szCs w:val="21"/>
          <w:highlight w:val="none"/>
          <w14:textFill>
            <w14:solidFill>
              <w14:schemeClr w14:val="tx1"/>
            </w14:solidFill>
          </w14:textFill>
        </w:rPr>
        <w:t>工程总承包实施方案响应性评审标准：见评标办法前附表。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w:t>
      </w:r>
      <w:r>
        <w:rPr>
          <w:rFonts w:ascii="宋体" w:hAnsi="宋体" w:cs="宋体"/>
          <w:color w:val="000000" w:themeColor="text1"/>
          <w:kern w:val="1"/>
          <w:szCs w:val="21"/>
          <w:highlight w:val="none"/>
          <w14:textFill>
            <w14:solidFill>
              <w14:schemeClr w14:val="tx1"/>
            </w14:solidFill>
          </w14:textFill>
        </w:rPr>
        <w:t>不得将文件顺序、明显的文字错误等列为否决投标的情形。评委发现</w:t>
      </w:r>
      <w:r>
        <w:rPr>
          <w:rFonts w:hint="eastAsia" w:ascii="宋体" w:hAnsi="宋体" w:cs="宋体"/>
          <w:color w:val="000000" w:themeColor="text1"/>
          <w:kern w:val="1"/>
          <w:szCs w:val="21"/>
          <w:highlight w:val="none"/>
          <w14:textFill>
            <w14:solidFill>
              <w14:schemeClr w14:val="tx1"/>
            </w14:solidFill>
          </w14:textFill>
        </w:rPr>
        <w:t>投标文件</w:t>
      </w:r>
      <w:r>
        <w:rPr>
          <w:rFonts w:ascii="宋体" w:hAnsi="宋体" w:cs="宋体"/>
          <w:color w:val="000000" w:themeColor="text1"/>
          <w:kern w:val="1"/>
          <w:szCs w:val="21"/>
          <w:highlight w:val="none"/>
          <w14:textFill>
            <w14:solidFill>
              <w14:schemeClr w14:val="tx1"/>
            </w14:solidFill>
          </w14:textFill>
        </w:rPr>
        <w:t>中含义不明确、对同类问题表述不一致、有明显文字和计算错误的，应当要求投标人作必要的澄清、说明后再判定投标人是否通过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，不得直接认定其不通过</w:t>
      </w:r>
      <w:r>
        <w:rPr>
          <w:rFonts w:hint="eastAsia" w:ascii="宋体" w:hAnsi="宋体" w:cs="宋体"/>
          <w:color w:val="000000" w:themeColor="text1"/>
          <w:kern w:val="1"/>
          <w:szCs w:val="21"/>
          <w:highlight w:val="none"/>
          <w14:textFill>
            <w14:solidFill>
              <w14:schemeClr w14:val="tx1"/>
            </w14:solidFill>
          </w14:textFill>
        </w:rPr>
        <w:t>初步评审</w:t>
      </w:r>
      <w:r>
        <w:rPr>
          <w:rFonts w:ascii="宋体" w:hAnsi="宋体" w:cs="宋体"/>
          <w:color w:val="000000" w:themeColor="text1"/>
          <w:kern w:val="1"/>
          <w:szCs w:val="21"/>
          <w:highlight w:val="none"/>
          <w14:textFill>
            <w14:solidFill>
              <w14:schemeClr w14:val="tx1"/>
            </w14:solidFill>
          </w14:textFill>
        </w:rPr>
        <w:t>。</w:t>
      </w:r>
    </w:p>
    <w:p>
      <w:pPr>
        <w:pStyle w:val="5"/>
        <w:shd w:val="clear"/>
        <w:spacing w:before="100" w:after="100" w:line="360" w:lineRule="auto"/>
        <w:rPr>
          <w:rFonts w:ascii="宋体" w:hAnsi="宋体" w:eastAsia="宋体"/>
          <w:b/>
          <w:bCs/>
          <w:color w:val="000000" w:themeColor="text1"/>
          <w:sz w:val="21"/>
          <w:szCs w:val="21"/>
          <w:highlight w:val="none"/>
          <w:lang w:val="zh-CN"/>
          <w14:textFill>
            <w14:solidFill>
              <w14:schemeClr w14:val="tx1"/>
            </w14:solidFill>
          </w14:textFill>
        </w:rPr>
      </w:pPr>
      <w:bookmarkStart w:id="365" w:name="_Toc21917"/>
      <w:bookmarkStart w:id="366" w:name="_Toc5620350"/>
      <w:r>
        <w:rPr>
          <w:rFonts w:hint="eastAsia" w:ascii="宋体" w:hAnsi="宋体" w:eastAsia="宋体"/>
          <w:b/>
          <w:bCs/>
          <w:color w:val="000000" w:themeColor="text1"/>
          <w:sz w:val="21"/>
          <w:szCs w:val="21"/>
          <w:highlight w:val="none"/>
          <w:lang w:val="zh-CN"/>
          <w14:textFill>
            <w14:solidFill>
              <w14:schemeClr w14:val="tx1"/>
            </w14:solidFill>
          </w14:textFill>
        </w:rPr>
        <w:t>2.2 分值构成与评分标准</w:t>
      </w:r>
      <w:bookmarkEnd w:id="365"/>
      <w:bookmarkEnd w:id="366"/>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2.2.1 分值构成及权重：见评标办法前附表。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2.2.2 评标基准价计算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评标基准价计算方法：见评标办法前附表。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2.2.3 </w:t>
      </w:r>
      <w:r>
        <w:rPr>
          <w:rFonts w:hint="eastAsia"/>
          <w:color w:val="000000" w:themeColor="text1"/>
          <w:highlight w:val="none"/>
          <w14:textFill>
            <w14:solidFill>
              <w14:schemeClr w14:val="tx1"/>
            </w14:solidFill>
          </w14:textFill>
        </w:rPr>
        <w:t>工程</w:t>
      </w:r>
      <w:r>
        <w:rPr>
          <w:rFonts w:hint="eastAsia" w:ascii="宋体" w:hAnsi="宋体" w:cs="宋体"/>
          <w:color w:val="000000" w:themeColor="text1"/>
          <w:kern w:val="1"/>
          <w:szCs w:val="21"/>
          <w:highlight w:val="none"/>
          <w14:textFill>
            <w14:solidFill>
              <w14:schemeClr w14:val="tx1"/>
            </w14:solidFill>
          </w14:textFill>
        </w:rPr>
        <w:t>费投标报价的偏差率计算</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工程</w:t>
      </w:r>
      <w:r>
        <w:rPr>
          <w:rFonts w:hint="eastAsia" w:ascii="宋体" w:hAnsi="宋体" w:cs="宋体"/>
          <w:color w:val="000000" w:themeColor="text1"/>
          <w:kern w:val="1"/>
          <w:szCs w:val="21"/>
          <w:highlight w:val="none"/>
          <w14:textFill>
            <w14:solidFill>
              <w14:schemeClr w14:val="tx1"/>
            </w14:solidFill>
          </w14:textFill>
        </w:rPr>
        <w:t>费投标报价的偏差率计算公式：见评标办法前附表。</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2.2.</w:t>
      </w:r>
      <w:r>
        <w:rPr>
          <w:rFonts w:ascii="宋体" w:hAnsi="宋体" w:cs="宋体"/>
          <w:color w:val="000000" w:themeColor="text1"/>
          <w:kern w:val="1"/>
          <w:szCs w:val="21"/>
          <w:highlight w:val="none"/>
          <w14:textFill>
            <w14:solidFill>
              <w14:schemeClr w14:val="tx1"/>
            </w14:solidFill>
          </w14:textFill>
        </w:rPr>
        <w:t>4</w:t>
      </w:r>
      <w:r>
        <w:rPr>
          <w:rFonts w:hint="eastAsia" w:ascii="宋体" w:hAnsi="宋体" w:cs="宋体"/>
          <w:color w:val="000000" w:themeColor="text1"/>
          <w:kern w:val="1"/>
          <w:szCs w:val="21"/>
          <w:highlight w:val="none"/>
          <w14:textFill>
            <w14:solidFill>
              <w14:schemeClr w14:val="tx1"/>
            </w14:solidFill>
          </w14:textFill>
        </w:rPr>
        <w:t>评分标准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（1）设计方案部分：见评标办法前附表。</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2</w:t>
      </w:r>
      <w:r>
        <w:rPr>
          <w:rFonts w:hint="eastAsia" w:ascii="宋体" w:hAnsi="宋体" w:cs="宋体"/>
          <w:color w:val="000000" w:themeColor="text1"/>
          <w:kern w:val="1"/>
          <w:szCs w:val="21"/>
          <w:highlight w:val="none"/>
          <w:u w:val="single"/>
          <w14:textFill>
            <w14:solidFill>
              <w14:schemeClr w14:val="tx1"/>
            </w14:solidFill>
          </w14:textFill>
        </w:rPr>
        <w:t>）工程总承包实施方案技术部分：见评标办法前附表。</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3</w:t>
      </w:r>
      <w:r>
        <w:rPr>
          <w:rFonts w:hint="eastAsia" w:ascii="宋体" w:hAnsi="宋体" w:cs="宋体"/>
          <w:color w:val="000000" w:themeColor="text1"/>
          <w:kern w:val="1"/>
          <w:szCs w:val="21"/>
          <w:highlight w:val="none"/>
          <w:u w:val="single"/>
          <w14:textFill>
            <w14:solidFill>
              <w14:schemeClr w14:val="tx1"/>
            </w14:solidFill>
          </w14:textFill>
        </w:rPr>
        <w:t>）工程总承包实施方案经济部分：见评标办法前附表。</w:t>
      </w:r>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67" w:name="_Toc25997"/>
      <w:bookmarkEnd w:id="367"/>
      <w:bookmarkStart w:id="368" w:name="_Toc11733"/>
      <w:bookmarkEnd w:id="368"/>
      <w:bookmarkStart w:id="369" w:name="_Toc5620351"/>
      <w:bookmarkStart w:id="370" w:name="_Toc5818"/>
      <w:r>
        <w:rPr>
          <w:rFonts w:hint="eastAsia" w:ascii="宋体" w:hAnsi="宋体" w:eastAsia="宋体" w:cs="宋体"/>
          <w:color w:val="000000" w:themeColor="text1"/>
          <w:sz w:val="21"/>
          <w:szCs w:val="21"/>
          <w:highlight w:val="none"/>
          <w:lang w:val="zh-CN"/>
          <w14:textFill>
            <w14:solidFill>
              <w14:schemeClr w14:val="tx1"/>
            </w14:solidFill>
          </w14:textFill>
        </w:rPr>
        <w:t>3. 评标程序</w:t>
      </w:r>
      <w:bookmarkEnd w:id="369"/>
      <w:bookmarkEnd w:id="370"/>
    </w:p>
    <w:p>
      <w:pPr>
        <w:shd w:val="clear"/>
        <w:spacing w:line="360" w:lineRule="auto"/>
        <w:ind w:firstLine="420" w:firstLineChars="200"/>
        <w:rPr>
          <w:color w:val="000000" w:themeColor="text1"/>
          <w:highlight w:val="none"/>
          <w:u w:val="single"/>
          <w:lang w:val="zh-CN"/>
          <w14:textFill>
            <w14:solidFill>
              <w14:schemeClr w14:val="tx1"/>
            </w14:solidFill>
          </w14:textFill>
        </w:rPr>
      </w:pPr>
      <w:r>
        <w:rPr>
          <w:rFonts w:hint="eastAsia"/>
          <w:color w:val="000000" w:themeColor="text1"/>
          <w:highlight w:val="none"/>
          <w:u w:val="single"/>
          <w:lang w:val="zh-CN"/>
          <w14:textFill>
            <w14:solidFill>
              <w14:schemeClr w14:val="tx1"/>
            </w14:solidFill>
          </w14:textFill>
        </w:rPr>
        <w:t>本项目采取电子评标。设计方案文件响应性评审、设计方案评审由勘察设计评审组负责，形式评审、资格评审、工程总承包实施方案响应性评审、工程总承包实施方案评审及评审汇总由综合评审组负责。</w:t>
      </w:r>
    </w:p>
    <w:p>
      <w:pPr>
        <w:pStyle w:val="5"/>
        <w:shd w:val="clear"/>
        <w:spacing w:before="100" w:after="100" w:line="360" w:lineRule="auto"/>
        <w:ind w:firstLine="103"/>
        <w:rPr>
          <w:rFonts w:ascii="宋体" w:hAnsi="宋体"/>
          <w:color w:val="000000" w:themeColor="text1"/>
          <w:kern w:val="1"/>
          <w:szCs w:val="21"/>
          <w:highlight w:val="none"/>
          <w14:textFill>
            <w14:solidFill>
              <w14:schemeClr w14:val="tx1"/>
            </w14:solidFill>
          </w14:textFill>
        </w:rPr>
      </w:pPr>
      <w:bookmarkStart w:id="371" w:name="_Toc22121"/>
      <w:bookmarkStart w:id="372" w:name="_Toc5620356"/>
      <w:r>
        <w:rPr>
          <w:rFonts w:hint="eastAsia" w:ascii="宋体" w:hAnsi="宋体" w:eastAsia="宋体"/>
          <w:b/>
          <w:color w:val="000000" w:themeColor="text1"/>
          <w:sz w:val="21"/>
          <w:szCs w:val="21"/>
          <w:highlight w:val="none"/>
          <w:u w:val="single"/>
          <w14:textFill>
            <w14:solidFill>
              <w14:schemeClr w14:val="tx1"/>
            </w14:solidFill>
          </w14:textFill>
        </w:rPr>
        <w:t>3.1</w:t>
      </w:r>
      <w:bookmarkEnd w:id="371"/>
      <w:r>
        <w:rPr>
          <w:rFonts w:hint="eastAsia" w:ascii="宋体" w:hAnsi="宋体" w:eastAsia="宋体"/>
          <w:b/>
          <w:color w:val="000000" w:themeColor="text1"/>
          <w:sz w:val="21"/>
          <w:szCs w:val="21"/>
          <w:highlight w:val="none"/>
          <w:u w:val="single"/>
          <w14:textFill>
            <w14:solidFill>
              <w14:schemeClr w14:val="tx1"/>
            </w14:solidFill>
          </w14:textFill>
        </w:rPr>
        <w:t>设计方案评审（由勘察设计评审组负责）</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1</w:t>
      </w:r>
      <w:r>
        <w:rPr>
          <w:rFonts w:hint="eastAsia" w:ascii="宋体" w:hAnsi="宋体" w:cs="宋体"/>
          <w:color w:val="000000" w:themeColor="text1"/>
          <w:kern w:val="1"/>
          <w:szCs w:val="21"/>
          <w:highlight w:val="none"/>
          <w:u w:val="single"/>
          <w14:textFill>
            <w14:solidFill>
              <w14:schemeClr w14:val="tx1"/>
            </w14:solidFill>
          </w14:textFill>
        </w:rPr>
        <w:t>.1勘察设计评审组评委按设计方案文件响应性评审标准（详见前附表）对所有成功解密的设计方案投标文件进行评审，只有通过响应性评审的设计方案投标文件方可进入下一阶段的评审。如果有否决投标提议，则勘察设计评审组成员共同表决，按照少数服从多数的原则决定是否否决其投标。勘察设计评审组评委根据设计方案文件响应性评审结果，否决未通过设计方案文件响应性评审的投标人的投标。通过设计方案文件响应性评审的设计方案少于3个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3.1.2 勘察设计评审组评委按设计方案评分标准（详见前附表）对通过设计方案文件响应性评审的设计方案投标文件进行评分。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3.1.3算术平均各勘察设计评审组评委评分，得出每个投标人设计方案部分得分，分数出现小数点，保留小数点后二位，第三位小数四舍五入。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 xml:space="preserve">.1.4 </w:t>
      </w:r>
      <w:r>
        <w:rPr>
          <w:rFonts w:hint="eastAsia" w:ascii="宋体" w:hAnsi="宋体" w:cs="宋体"/>
          <w:color w:val="000000" w:themeColor="text1"/>
          <w:kern w:val="1"/>
          <w:szCs w:val="21"/>
          <w:highlight w:val="none"/>
          <w:u w:val="single"/>
          <w14:textFill>
            <w14:solidFill>
              <w14:schemeClr w14:val="tx1"/>
            </w14:solidFill>
          </w14:textFill>
        </w:rPr>
        <w:t>勘察设计评审组评委揭晓投标人身份。</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.1.5</w:t>
      </w:r>
      <w:r>
        <w:rPr>
          <w:rFonts w:hint="eastAsia" w:ascii="宋体" w:hAnsi="宋体" w:cs="宋体"/>
          <w:color w:val="000000" w:themeColor="text1"/>
          <w:kern w:val="1"/>
          <w:szCs w:val="21"/>
          <w:highlight w:val="none"/>
          <w:u w:val="single"/>
          <w14:textFill>
            <w14:solidFill>
              <w14:schemeClr w14:val="tx1"/>
            </w14:solidFill>
          </w14:textFill>
        </w:rPr>
        <w:t>勘察设计评审组评委汇总各投标人设计方案部分得分、编写、签署设计方案评标报告，评标报告由勘察设计评审组评委全体成员签名，对评标结论持有异议的评标委员会成员可以书面方式阐述其不同意见和理由。</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w:t>
      </w:r>
      <w:r>
        <w:rPr>
          <w:rFonts w:ascii="宋体" w:hAnsi="宋体" w:cs="宋体"/>
          <w:color w:val="000000" w:themeColor="text1"/>
          <w:kern w:val="1"/>
          <w:szCs w:val="21"/>
          <w:highlight w:val="none"/>
          <w:u w:val="single"/>
          <w14:textFill>
            <w14:solidFill>
              <w14:schemeClr w14:val="tx1"/>
            </w14:solidFill>
          </w14:textFill>
        </w:rPr>
        <w:t>1</w:t>
      </w:r>
      <w:r>
        <w:rPr>
          <w:rFonts w:hint="eastAsia" w:ascii="宋体" w:hAnsi="宋体" w:cs="宋体"/>
          <w:color w:val="000000" w:themeColor="text1"/>
          <w:kern w:val="1"/>
          <w:szCs w:val="21"/>
          <w:highlight w:val="none"/>
          <w:u w:val="single"/>
          <w14:textFill>
            <w14:solidFill>
              <w14:schemeClr w14:val="tx1"/>
            </w14:solidFill>
          </w14:textFill>
        </w:rPr>
        <w:t>.</w:t>
      </w:r>
      <w:r>
        <w:rPr>
          <w:rFonts w:ascii="宋体" w:hAnsi="宋体" w:cs="宋体"/>
          <w:color w:val="000000" w:themeColor="text1"/>
          <w:kern w:val="1"/>
          <w:szCs w:val="21"/>
          <w:highlight w:val="none"/>
          <w:u w:val="single"/>
          <w14:textFill>
            <w14:solidFill>
              <w14:schemeClr w14:val="tx1"/>
            </w14:solidFill>
          </w14:textFill>
        </w:rPr>
        <w:t>6</w:t>
      </w:r>
      <w:r>
        <w:rPr>
          <w:rFonts w:hint="eastAsia" w:ascii="宋体" w:hAnsi="宋体" w:cs="宋体"/>
          <w:color w:val="000000" w:themeColor="text1"/>
          <w:kern w:val="1"/>
          <w:szCs w:val="21"/>
          <w:highlight w:val="none"/>
          <w:u w:val="single"/>
          <w14:textFill>
            <w14:solidFill>
              <w14:schemeClr w14:val="tx1"/>
            </w14:solidFill>
          </w14:textFill>
        </w:rPr>
        <w:t>勘察设计评审组评委向招标人提交书面设计方案评标报告后即告解散。</w:t>
      </w:r>
    </w:p>
    <w:p>
      <w:pPr>
        <w:pStyle w:val="5"/>
        <w:shd w:val="clear"/>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3" w:name="_Toc14439"/>
      <w:r>
        <w:rPr>
          <w:rFonts w:hint="eastAsia" w:ascii="宋体" w:hAnsi="宋体" w:eastAsia="宋体"/>
          <w:b/>
          <w:bCs/>
          <w:color w:val="000000" w:themeColor="text1"/>
          <w:sz w:val="21"/>
          <w:szCs w:val="21"/>
          <w:highlight w:val="none"/>
          <w:u w:val="single"/>
          <w14:textFill>
            <w14:solidFill>
              <w14:schemeClr w14:val="tx1"/>
            </w14:solidFill>
          </w14:textFill>
        </w:rPr>
        <w:t>3.</w:t>
      </w:r>
      <w:r>
        <w:rPr>
          <w:rFonts w:ascii="宋体" w:hAnsi="宋体" w:eastAsia="宋体"/>
          <w:b/>
          <w:bCs/>
          <w:color w:val="000000" w:themeColor="text1"/>
          <w:sz w:val="21"/>
          <w:szCs w:val="21"/>
          <w:highlight w:val="none"/>
          <w:u w:val="single"/>
          <w14:textFill>
            <w14:solidFill>
              <w14:schemeClr w14:val="tx1"/>
            </w14:solidFill>
          </w14:textFill>
        </w:rPr>
        <w:t>2</w:t>
      </w:r>
      <w:bookmarkEnd w:id="373"/>
      <w:r>
        <w:rPr>
          <w:rFonts w:hint="eastAsia" w:ascii="宋体" w:hAnsi="宋体" w:eastAsia="宋体"/>
          <w:b/>
          <w:bCs/>
          <w:color w:val="000000" w:themeColor="text1"/>
          <w:sz w:val="21"/>
          <w:szCs w:val="21"/>
          <w:highlight w:val="none"/>
          <w:u w:val="single"/>
          <w14:textFill>
            <w14:solidFill>
              <w14:schemeClr w14:val="tx1"/>
            </w14:solidFill>
          </w14:textFill>
        </w:rPr>
        <w:t>形式评审及资格评审（由综合评审组负责）</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3.2.1形式评审中全部符合形式评审标准（详见前附表）中规定情形的，为形式评审合格。否则为形式评审不合格，经综合评审组评委共同认定后，其投标文件将被拒绝。如综合评审组评委的评审意见不一致时，以综合评审组过半数成员的意见作为综合评审组对该情形的认定结论。</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3.2.2汇总形式评审情况，只有通过形式评审的投标人方可进入下一阶段的评审。形式评审合格的投标人少于3名的，则本项目招标失败。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3.2.3综合评审组评委对所有通过形式评审的投标人进行资格评审。资格审查文件中全部符合资格评审标准（详见前附表）中规定情形的，为资格评审合格。否则为资格评审不合格，经综合评审组评委共同认定后，其投标将被拒绝。如综合评审组评委的评审意见不一致时，以综合评审组过半数成员的意见作为评标委员会对该情形的认定结论。只有通过资格评审的投标人方可进入下一阶段的评审。</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3.2.4汇总资格评审情况，编写资格审查报告。资格评审合格的投标人少于3名的，则本项目招标失败。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3.2.5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pPr>
        <w:shd w:val="clear"/>
        <w:spacing w:line="360" w:lineRule="auto"/>
        <w:ind w:firstLine="420"/>
        <w:rPr>
          <w:rFonts w:ascii="宋体" w:hAnsi="宋体" w:cs="宋体"/>
          <w:b/>
          <w:bCs/>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特别声明：资审合格后，投标人的资格发生变化而不满足投标人合格条件，在发出中标通知书前，资格问题仍未解决的，招标人将取消其中标资格。</w:t>
      </w:r>
    </w:p>
    <w:p>
      <w:pPr>
        <w:shd w:val="clear"/>
        <w:spacing w:line="360" w:lineRule="auto"/>
        <w:rPr>
          <w:rFonts w:ascii="宋体" w:hAnsi="宋体" w:cs="宋体"/>
          <w:color w:val="000000" w:themeColor="text1"/>
          <w:kern w:val="1"/>
          <w:szCs w:val="21"/>
          <w:highlight w:val="none"/>
          <w14:textFill>
            <w14:solidFill>
              <w14:schemeClr w14:val="tx1"/>
            </w14:solidFill>
          </w14:textFill>
        </w:rPr>
      </w:pPr>
    </w:p>
    <w:p>
      <w:pPr>
        <w:pStyle w:val="5"/>
        <w:shd w:val="clear"/>
        <w:spacing w:before="100" w:after="100" w:line="360" w:lineRule="auto"/>
        <w:ind w:firstLine="103"/>
        <w:rPr>
          <w:rFonts w:ascii="宋体" w:hAnsi="宋体" w:eastAsia="宋体"/>
          <w:color w:val="000000" w:themeColor="text1"/>
          <w:sz w:val="21"/>
          <w:szCs w:val="21"/>
          <w:highlight w:val="none"/>
          <w:u w:val="single"/>
          <w14:textFill>
            <w14:solidFill>
              <w14:schemeClr w14:val="tx1"/>
            </w14:solidFill>
          </w14:textFill>
        </w:rPr>
      </w:pPr>
      <w:bookmarkStart w:id="374" w:name="_Toc31095"/>
      <w:r>
        <w:rPr>
          <w:rFonts w:hint="eastAsia" w:ascii="宋体" w:hAnsi="宋体" w:eastAsia="宋体"/>
          <w:b/>
          <w:bCs/>
          <w:color w:val="000000" w:themeColor="text1"/>
          <w:sz w:val="21"/>
          <w:szCs w:val="21"/>
          <w:highlight w:val="none"/>
          <w:u w:val="single"/>
          <w14:textFill>
            <w14:solidFill>
              <w14:schemeClr w14:val="tx1"/>
            </w14:solidFill>
          </w14:textFill>
        </w:rPr>
        <w:t>3.</w:t>
      </w:r>
      <w:r>
        <w:rPr>
          <w:rFonts w:ascii="宋体" w:hAnsi="宋体" w:eastAsia="宋体"/>
          <w:b/>
          <w:bCs/>
          <w:color w:val="000000" w:themeColor="text1"/>
          <w:sz w:val="21"/>
          <w:szCs w:val="21"/>
          <w:highlight w:val="none"/>
          <w:u w:val="single"/>
          <w14:textFill>
            <w14:solidFill>
              <w14:schemeClr w14:val="tx1"/>
            </w14:solidFill>
          </w14:textFill>
        </w:rPr>
        <w:t>3</w:t>
      </w:r>
      <w:bookmarkEnd w:id="372"/>
      <w:bookmarkEnd w:id="374"/>
      <w:r>
        <w:rPr>
          <w:rFonts w:hint="eastAsia" w:ascii="宋体" w:hAnsi="宋体" w:eastAsia="宋体"/>
          <w:b/>
          <w:bCs/>
          <w:color w:val="000000" w:themeColor="text1"/>
          <w:sz w:val="21"/>
          <w:szCs w:val="21"/>
          <w:highlight w:val="none"/>
          <w:u w:val="single"/>
          <w14:textFill>
            <w14:solidFill>
              <w14:schemeClr w14:val="tx1"/>
            </w14:solidFill>
          </w14:textFill>
        </w:rPr>
        <w:t>工程总承包实施方案技术部分评审（由综合评审组负责）</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3.3.1工程总承包实施方案的响应性评审：通过资格评审的投标文件中没有任一种列于工程总承包实施方案响应性评审标准（详见前附表）中情形的，为有效标书。否则为无效标书，经综合评审组评委共同认定后，其投标文件将被拒绝。如综合评审组评委的评审意见不一致时，以综合评审组评委过半数成员的意见作为评标委员会对该情形的认定结论。通过工程总承包实施方案响应性评审的投标人少于3名的，则本项目招标失败。</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3.3.2工程总承包实施方案技术部分详细审查：综合评审组评委按照工程总承包实施方案技术部分评分标准（详见前附表），对通过工程总承包实施方案响应性评审的投标文件进行详细评审，评分。</w:t>
      </w:r>
    </w:p>
    <w:p>
      <w:pPr>
        <w:shd w:val="clear"/>
        <w:spacing w:line="360" w:lineRule="auto"/>
        <w:ind w:firstLine="42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3.3.3各投标人工程总承包实施方案技术部分得分为所有评委每个分项的分数汇总的算术平均值，综合评审组评委按此汇总每个投标人工程总承包实施方案技术部分详细评审得分，分数出现小数点，保留小数点后二位，第三位小数四舍五入。</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bookmarkStart w:id="375" w:name="_Toc31130"/>
      <w:bookmarkStart w:id="376" w:name="_Toc5620357"/>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4</w:t>
      </w:r>
      <w:r>
        <w:rPr>
          <w:rFonts w:hint="eastAsia" w:ascii="宋体" w:hAnsi="宋体" w:eastAsia="宋体"/>
          <w:b/>
          <w:color w:val="000000" w:themeColor="text1"/>
          <w:sz w:val="21"/>
          <w:szCs w:val="21"/>
          <w:highlight w:val="none"/>
          <w:u w:val="single"/>
          <w14:textFill>
            <w14:solidFill>
              <w14:schemeClr w14:val="tx1"/>
            </w14:solidFill>
          </w14:textFill>
        </w:rPr>
        <w:t>工程总承包实施方案经济部分评审（由综合评审组评委负责）</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3.4.1综合评审组评委汇总各投标人的初步评审结果，未通过初步评审的投标人的投标报价，不再进行工程总承包实施方案经济部分评审，也不参与评标基准价的计算。</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w:t>
      </w:r>
      <w:r>
        <w:rPr>
          <w:rFonts w:ascii="宋体" w:hAnsi="宋体" w:cs="宋体"/>
          <w:color w:val="000000" w:themeColor="text1"/>
          <w:kern w:val="1"/>
          <w:sz w:val="21"/>
          <w:szCs w:val="21"/>
          <w:highlight w:val="none"/>
          <w:u w:val="single"/>
          <w:lang w:val="en-US"/>
          <w14:textFill>
            <w14:solidFill>
              <w14:schemeClr w14:val="tx1"/>
            </w14:solidFill>
          </w14:textFill>
        </w:rPr>
        <w:t>4.2</w:t>
      </w:r>
      <w:r>
        <w:rPr>
          <w:rFonts w:hint="eastAsia" w:ascii="宋体" w:hAnsi="宋体" w:cs="宋体"/>
          <w:color w:val="000000" w:themeColor="text1"/>
          <w:kern w:val="1"/>
          <w:sz w:val="21"/>
          <w:szCs w:val="21"/>
          <w:highlight w:val="none"/>
          <w:u w:val="single"/>
          <w:lang w:val="en-US"/>
          <w14:textFill>
            <w14:solidFill>
              <w14:schemeClr w14:val="tx1"/>
            </w14:solidFill>
          </w14:textFill>
        </w:rPr>
        <w:t xml:space="preserve"> 投标报价有算术错误的，综合评审组评委按以下原则对投标报价进行修正，修正的价格经投标人书面确认后具有约束力。投标人不接受修正价格的，评标委员会应当否决其投标。</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（1）投标文件中的大写金额与小写金额不一致的，以大写金额为准；</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（2）总价金额与依据单价计算出的结果不一致的，以单价金额为准修正总价，但单价金额小数点有明显错误的除外。</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3.4.</w:t>
      </w:r>
      <w:r>
        <w:rPr>
          <w:rFonts w:ascii="宋体" w:hAnsi="宋体" w:cs="宋体"/>
          <w:color w:val="000000" w:themeColor="text1"/>
          <w:kern w:val="1"/>
          <w:sz w:val="21"/>
          <w:szCs w:val="21"/>
          <w:highlight w:val="none"/>
          <w:u w:val="single"/>
          <w:lang w:val="en-US"/>
          <w14:textFill>
            <w14:solidFill>
              <w14:schemeClr w14:val="tx1"/>
            </w14:solidFill>
          </w14:textFill>
        </w:rPr>
        <w:t>3</w:t>
      </w:r>
      <w:r>
        <w:rPr>
          <w:rFonts w:hint="eastAsia" w:ascii="宋体" w:hAnsi="宋体" w:cs="宋体"/>
          <w:color w:val="000000" w:themeColor="text1"/>
          <w:kern w:val="1"/>
          <w:sz w:val="21"/>
          <w:szCs w:val="21"/>
          <w:highlight w:val="none"/>
          <w:u w:val="single"/>
          <w:lang w:val="en-US"/>
          <w14:textFill>
            <w14:solidFill>
              <w14:schemeClr w14:val="tx1"/>
            </w14:solidFill>
          </w14:textFill>
        </w:rPr>
        <w:t>工程费投标报价的算术校核。综合评审组评委对通过初步评审的投标文件的工程费投标报价进行算术校核，具体标准如下：</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工程费下浮率与工程费投标报价不对应时，以工程费下浮率为准修正工程费投标报价（工程费下浮率有明显的数量级错误的除外，此时应修正工程费下浮率），若修正后的工程费投标报价超过工程费最高投标限价的，作否决投标处理；</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（2）分项报价累加不等于总价的，以分项报价累加为准，修正总价；</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（3）投标文件存在其他计算性错误的，按就低不就高计算并修正；</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（4）按上述修正错误的原则及方法调整或修正投标文件的工程费投标报价，调整后的工程费投标报价对投标人起约束作用。如果投标人不接受修正后的报价，则取消其投标资格或中标资格。</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3.4.</w:t>
      </w:r>
      <w:r>
        <w:rPr>
          <w:rFonts w:ascii="宋体" w:hAnsi="宋体" w:cs="宋体"/>
          <w:color w:val="000000" w:themeColor="text1"/>
          <w:kern w:val="1"/>
          <w:sz w:val="21"/>
          <w:szCs w:val="21"/>
          <w:highlight w:val="none"/>
          <w:u w:val="single"/>
          <w:lang w:val="en-US"/>
          <w14:textFill>
            <w14:solidFill>
              <w14:schemeClr w14:val="tx1"/>
            </w14:solidFill>
          </w14:textFill>
        </w:rPr>
        <w:t>4</w:t>
      </w:r>
      <w:r>
        <w:rPr>
          <w:rFonts w:hint="eastAsia" w:ascii="宋体" w:hAnsi="宋体" w:cs="宋体"/>
          <w:color w:val="000000" w:themeColor="text1"/>
          <w:kern w:val="1"/>
          <w:sz w:val="21"/>
          <w:szCs w:val="21"/>
          <w:highlight w:val="none"/>
          <w:u w:val="single"/>
          <w:lang w:val="en-US"/>
          <w14:textFill>
            <w14:solidFill>
              <w14:schemeClr w14:val="tx1"/>
            </w14:solidFill>
          </w14:textFill>
        </w:rPr>
        <w:t>工程总承包实施方案经济部分评分</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（1）综合评审组评委按照评标基准价计算方法（详见前附表），计算出评标基准价。</w:t>
      </w:r>
    </w:p>
    <w:p>
      <w:pPr>
        <w:pStyle w:val="11"/>
        <w:shd w:val="clear"/>
        <w:spacing w:line="360" w:lineRule="auto"/>
        <w:ind w:firstLine="426"/>
        <w:rPr>
          <w:rFonts w:ascii="宋体" w:hAnsi="宋体" w:cs="宋体"/>
          <w:color w:val="000000" w:themeColor="text1"/>
          <w:kern w:val="1"/>
          <w:sz w:val="21"/>
          <w:szCs w:val="21"/>
          <w:highlight w:val="none"/>
          <w:u w:val="single"/>
          <w:lang w:val="en-US"/>
          <w14:textFill>
            <w14:solidFill>
              <w14:schemeClr w14:val="tx1"/>
            </w14:solidFill>
          </w14:textFill>
        </w:rPr>
      </w:pPr>
      <w:r>
        <w:rPr>
          <w:rFonts w:hint="eastAsia" w:ascii="宋体" w:hAnsi="宋体" w:cs="宋体"/>
          <w:color w:val="000000" w:themeColor="text1"/>
          <w:kern w:val="1"/>
          <w:sz w:val="21"/>
          <w:szCs w:val="21"/>
          <w:highlight w:val="none"/>
          <w:u w:val="single"/>
          <w:lang w:val="en-US"/>
          <w14:textFill>
            <w14:solidFill>
              <w14:schemeClr w14:val="tx1"/>
            </w14:solidFill>
          </w14:textFill>
        </w:rPr>
        <w:t>（2）综合评审组评委按照工程总承包实施方案经济部分评分标准（详见前附表），对通过初步评审且经算术复核的投标文件工程费投标报价进行评分，评出工程总承包实施方案经济部分详细审查得分。</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 xml:space="preserve">.5 </w:t>
      </w:r>
      <w:r>
        <w:rPr>
          <w:rFonts w:hint="eastAsia" w:ascii="宋体" w:hAnsi="宋体" w:eastAsia="宋体"/>
          <w:b/>
          <w:color w:val="000000" w:themeColor="text1"/>
          <w:sz w:val="21"/>
          <w:szCs w:val="21"/>
          <w:highlight w:val="none"/>
          <w:u w:val="single"/>
          <w14:textFill>
            <w14:solidFill>
              <w14:schemeClr w14:val="tx1"/>
            </w14:solidFill>
          </w14:textFill>
        </w:rPr>
        <w:t>评审汇总（由综合评审组评委负责）</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3.5.1投标人总得分满分为100分，各部分分值分配详见评标办法前附表。</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3.5.2综合评审组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3.5.3有效投标单位不足三家，应当依法重新组织招标。</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.6</w:t>
      </w:r>
      <w:r>
        <w:rPr>
          <w:rFonts w:hint="eastAsia" w:ascii="宋体" w:hAnsi="宋体" w:eastAsia="宋体"/>
          <w:b/>
          <w:color w:val="000000" w:themeColor="text1"/>
          <w:sz w:val="21"/>
          <w:szCs w:val="21"/>
          <w:highlight w:val="none"/>
          <w:u w:val="single"/>
          <w14:textFill>
            <w14:solidFill>
              <w14:schemeClr w14:val="tx1"/>
            </w14:solidFill>
          </w14:textFill>
        </w:rPr>
        <w:t>投标文件的澄清和补正</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3.6.1为有助于投标文件的审查、评价和比较，评标期间，经评标委员会中两人以上（含两人）的成员以书面形式提出动议，评标委员会应当书面发出澄清通知，要求投标人对投标文件含义不明确的内容作出澄清。</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3.6.3 评标委员会成员均应当阅读投标人的澄清，但应独立参考澄清对投标文件进行评审。</w:t>
      </w:r>
    </w:p>
    <w:p>
      <w:pPr>
        <w:shd w:val="clear"/>
        <w:spacing w:line="360" w:lineRule="auto"/>
        <w:ind w:firstLine="424" w:firstLineChars="202"/>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3.6.4如果投标文件实质上不响应招标文件的各项要求，评标委员会相应评审将按照响应性审查标准予以拒绝，不接受投标人通过修改或撤销其不符合要求的差异或保留，使之成为具有响应性的投标。</w:t>
      </w:r>
    </w:p>
    <w:p>
      <w:pPr>
        <w:pStyle w:val="5"/>
        <w:shd w:val="clear"/>
        <w:spacing w:before="100" w:after="100" w:line="360" w:lineRule="auto"/>
        <w:ind w:firstLine="103"/>
        <w:rPr>
          <w:rFonts w:ascii="宋体" w:hAnsi="宋体" w:eastAsia="宋体"/>
          <w:b/>
          <w:color w:val="000000" w:themeColor="text1"/>
          <w:sz w:val="21"/>
          <w:szCs w:val="21"/>
          <w:highlight w:val="none"/>
          <w:u w:val="single"/>
          <w14:textFill>
            <w14:solidFill>
              <w14:schemeClr w14:val="tx1"/>
            </w14:solidFill>
          </w14:textFill>
        </w:rPr>
      </w:pPr>
      <w:r>
        <w:rPr>
          <w:rFonts w:hint="eastAsia" w:ascii="宋体" w:hAnsi="宋体" w:eastAsia="宋体"/>
          <w:b/>
          <w:color w:val="000000" w:themeColor="text1"/>
          <w:sz w:val="21"/>
          <w:szCs w:val="21"/>
          <w:highlight w:val="none"/>
          <w:u w:val="single"/>
          <w14:textFill>
            <w14:solidFill>
              <w14:schemeClr w14:val="tx1"/>
            </w14:solidFill>
          </w14:textFill>
        </w:rPr>
        <w:t>3</w:t>
      </w:r>
      <w:r>
        <w:rPr>
          <w:rFonts w:ascii="宋体" w:hAnsi="宋体" w:eastAsia="宋体"/>
          <w:b/>
          <w:color w:val="000000" w:themeColor="text1"/>
          <w:sz w:val="21"/>
          <w:szCs w:val="21"/>
          <w:highlight w:val="none"/>
          <w:u w:val="single"/>
          <w14:textFill>
            <w14:solidFill>
              <w14:schemeClr w14:val="tx1"/>
            </w14:solidFill>
          </w14:textFill>
        </w:rPr>
        <w:t>.7</w:t>
      </w:r>
      <w:r>
        <w:rPr>
          <w:rFonts w:hint="eastAsia" w:ascii="宋体" w:hAnsi="宋体" w:eastAsia="宋体"/>
          <w:b/>
          <w:color w:val="000000" w:themeColor="text1"/>
          <w:sz w:val="21"/>
          <w:szCs w:val="21"/>
          <w:highlight w:val="none"/>
          <w:u w:val="single"/>
          <w14:textFill>
            <w14:solidFill>
              <w14:schemeClr w14:val="tx1"/>
            </w14:solidFill>
          </w14:textFill>
        </w:rPr>
        <w:t>评标结果</w:t>
      </w:r>
    </w:p>
    <w:bookmarkEnd w:id="375"/>
    <w:bookmarkEnd w:id="376"/>
    <w:p>
      <w:pPr>
        <w:pStyle w:val="11"/>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bookmarkStart w:id="377" w:name="_Toc11283"/>
      <w:r>
        <w:rPr>
          <w:rFonts w:hint="eastAsia" w:ascii="宋体" w:hAnsi="宋体" w:cs="宋体"/>
          <w:color w:val="000000" w:themeColor="text1"/>
          <w:kern w:val="1"/>
          <w:sz w:val="21"/>
          <w:szCs w:val="21"/>
          <w:highlight w:val="none"/>
          <w:u w:val="single"/>
          <w14:textFill>
            <w14:solidFill>
              <w14:schemeClr w14:val="tx1"/>
            </w14:solidFill>
          </w14:textFill>
        </w:rPr>
        <w:t>3.7.1 除第二章“投标人须知”前附表授权直接确定中标人外，评标委员会按照得分由高到低的顺序推荐中标候选人。</w:t>
      </w:r>
    </w:p>
    <w:p>
      <w:pPr>
        <w:pStyle w:val="11"/>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3.7.2 评标委员会完成评标后，应当向招标人提交书面评标报告。</w:t>
      </w:r>
    </w:p>
    <w:p>
      <w:pPr>
        <w:pStyle w:val="11"/>
        <w:shd w:val="clear"/>
        <w:spacing w:line="360" w:lineRule="auto"/>
        <w:ind w:firstLine="426"/>
        <w:rPr>
          <w:rFonts w:ascii="宋体" w:hAnsi="宋体" w:cs="宋体"/>
          <w:color w:val="000000" w:themeColor="text1"/>
          <w:kern w:val="1"/>
          <w:sz w:val="21"/>
          <w:szCs w:val="21"/>
          <w:highlight w:val="none"/>
          <w:u w:val="single"/>
          <w14:textFill>
            <w14:solidFill>
              <w14:schemeClr w14:val="tx1"/>
            </w14:solidFill>
          </w14:textFill>
        </w:rPr>
      </w:pPr>
      <w:r>
        <w:rPr>
          <w:rFonts w:hint="eastAsia" w:ascii="宋体" w:hAnsi="宋体" w:cs="宋体"/>
          <w:color w:val="000000" w:themeColor="text1"/>
          <w:kern w:val="1"/>
          <w:sz w:val="21"/>
          <w:szCs w:val="21"/>
          <w:highlight w:val="none"/>
          <w:u w:val="single"/>
          <w14:textFill>
            <w14:solidFill>
              <w14:schemeClr w14:val="tx1"/>
            </w14:solidFill>
          </w14:textFill>
        </w:rPr>
        <w:t>3.7.3投标人如在本项目中存在串通投标、在投标文件中提供虚假材料的、行贿情形且在评标过程中未被发现的，其投标不改变本项目评标结果排序。招标人按照《中华人民共和国招标投标法实施条例》第五十五条的规定确定中标人或重新招标。</w:t>
      </w:r>
    </w:p>
    <w:p>
      <w:pPr>
        <w:pStyle w:val="4"/>
        <w:numPr>
          <w:ilvl w:val="0"/>
          <w:numId w:val="4"/>
        </w:numPr>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否决性条款（详见附件：否决性条款汇总）</w:t>
      </w:r>
      <w:bookmarkEnd w:id="377"/>
    </w:p>
    <w:p>
      <w:pPr>
        <w:pStyle w:val="4"/>
        <w:shd w:val="clear"/>
        <w:spacing w:before="100" w:after="100" w:line="360" w:lineRule="auto"/>
        <w:rPr>
          <w:rFonts w:ascii="宋体" w:hAnsi="宋体" w:eastAsia="宋体" w:cs="宋体"/>
          <w:color w:val="000000" w:themeColor="text1"/>
          <w:sz w:val="21"/>
          <w:szCs w:val="21"/>
          <w:highlight w:val="none"/>
          <w:lang w:val="zh-CN"/>
          <w14:textFill>
            <w14:solidFill>
              <w14:schemeClr w14:val="tx1"/>
            </w14:solidFill>
          </w14:textFill>
        </w:rPr>
      </w:pPr>
      <w:bookmarkStart w:id="378" w:name="_Toc29974"/>
      <w:bookmarkEnd w:id="378"/>
      <w:bookmarkStart w:id="379" w:name="_Toc14390"/>
      <w:bookmarkEnd w:id="379"/>
      <w:bookmarkStart w:id="380" w:name="_Toc30449"/>
      <w:bookmarkStart w:id="381" w:name="_Toc5620358"/>
      <w:r>
        <w:rPr>
          <w:rFonts w:hint="eastAsia" w:ascii="宋体" w:hAnsi="宋体" w:eastAsia="宋体" w:cs="宋体"/>
          <w:color w:val="000000" w:themeColor="text1"/>
          <w:sz w:val="21"/>
          <w:szCs w:val="21"/>
          <w:highlight w:val="none"/>
          <w:lang w:val="zh-CN"/>
          <w14:textFill>
            <w14:solidFill>
              <w14:schemeClr w14:val="tx1"/>
            </w14:solidFill>
          </w14:textFill>
        </w:rPr>
        <w:t>5. 评标表格</w:t>
      </w:r>
      <w:bookmarkEnd w:id="380"/>
      <w:bookmarkEnd w:id="381"/>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见附表。</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p>
    <w:p>
      <w:pPr>
        <w:shd w:val="clear"/>
        <w:spacing w:line="360" w:lineRule="auto"/>
        <w:ind w:firstLine="420"/>
        <w:rPr>
          <w:rFonts w:ascii="宋体" w:hAnsi="宋体" w:cs="宋体"/>
          <w:b/>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br w:type="page"/>
      </w:r>
      <w:r>
        <w:rPr>
          <w:rFonts w:hint="eastAsia" w:ascii="宋体" w:hAnsi="宋体" w:cs="宋体"/>
          <w:b/>
          <w:color w:val="000000" w:themeColor="text1"/>
          <w:kern w:val="1"/>
          <w:highlight w:val="none"/>
          <w:lang w:val="zh-CN"/>
          <w14:textFill>
            <w14:solidFill>
              <w14:schemeClr w14:val="tx1"/>
            </w14:solidFill>
          </w14:textFill>
        </w:rPr>
        <w:t>附件：否决性条款汇总</w:t>
      </w:r>
    </w:p>
    <w:p>
      <w:pPr>
        <w:shd w:val="clear"/>
        <w:spacing w:line="360" w:lineRule="auto"/>
        <w:ind w:firstLine="422"/>
        <w:jc w:val="center"/>
        <w:rPr>
          <w:rFonts w:ascii="宋体" w:hAnsi="宋体" w:cs="宋体"/>
          <w:b/>
          <w:color w:val="000000" w:themeColor="text1"/>
          <w:kern w:val="1"/>
          <w:highlight w:val="none"/>
          <w14:textFill>
            <w14:solidFill>
              <w14:schemeClr w14:val="tx1"/>
            </w14:solidFill>
          </w14:textFill>
        </w:rPr>
      </w:pPr>
      <w:r>
        <w:rPr>
          <w:rFonts w:hint="eastAsia" w:ascii="宋体" w:hAnsi="宋体" w:cs="宋体"/>
          <w:b/>
          <w:color w:val="000000" w:themeColor="text1"/>
          <w:kern w:val="1"/>
          <w:highlight w:val="none"/>
          <w:lang w:val="zh-CN"/>
          <w14:textFill>
            <w14:solidFill>
              <w14:schemeClr w14:val="tx1"/>
            </w14:solidFill>
          </w14:textFill>
        </w:rPr>
        <w:t>否决性条款汇总</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pPr>
        <w:shd w:val="clear"/>
        <w:spacing w:line="360" w:lineRule="auto"/>
        <w:ind w:firstLine="42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否决性条款是指招标文件中规定的不予受理投标或者作无效标以及不合格标处理等否定投标文件效力的条款。</w:t>
      </w:r>
    </w:p>
    <w:p>
      <w:pPr>
        <w:shd w:val="clear"/>
        <w:spacing w:line="360" w:lineRule="auto"/>
        <w:ind w:firstLine="420" w:firstLineChars="200"/>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一、若出现以下情况，电子招标投标交易平台将予以拒收其投标文件：</w:t>
      </w:r>
    </w:p>
    <w:p>
      <w:pPr>
        <w:shd w:val="clear"/>
        <w:spacing w:line="360" w:lineRule="auto"/>
        <w:ind w:firstLine="420"/>
        <w:rPr>
          <w:rFonts w:ascii="宋体" w:hAnsi="宋体" w:cs="宋体"/>
          <w:color w:val="000000" w:themeColor="text1"/>
          <w:kern w:val="1"/>
          <w:highlight w:val="none"/>
          <w:lang w:val="zh-CN"/>
          <w14:textFill>
            <w14:solidFill>
              <w14:schemeClr w14:val="tx1"/>
            </w14:solidFill>
          </w14:textFill>
        </w:rPr>
      </w:pPr>
      <w:r>
        <w:rPr>
          <w:rFonts w:hint="eastAsia" w:ascii="宋体" w:hAnsi="宋体" w:cs="宋体"/>
          <w:color w:val="000000" w:themeColor="text1"/>
          <w:kern w:val="1"/>
          <w:highlight w:val="none"/>
          <w:lang w:val="zh-CN"/>
          <w14:textFill>
            <w14:solidFill>
              <w14:schemeClr w14:val="tx1"/>
            </w14:solidFill>
          </w14:textFill>
        </w:rPr>
        <w:t xml:space="preserve">  1、在招标文件规定的投标截止时间后递交投标文件的；</w:t>
      </w:r>
    </w:p>
    <w:p>
      <w:pPr>
        <w:shd w:val="clear"/>
        <w:spacing w:line="360" w:lineRule="auto"/>
        <w:ind w:firstLine="420" w:firstLineChars="200"/>
        <w:rPr>
          <w:rFonts w:cs="宋体"/>
          <w:color w:val="000000" w:themeColor="text1"/>
          <w:kern w:val="1"/>
          <w:highlight w:val="none"/>
          <w14:textFill>
            <w14:solidFill>
              <w14:schemeClr w14:val="tx1"/>
            </w14:solidFill>
          </w14:textFill>
        </w:rPr>
        <w:sectPr>
          <w:headerReference r:id="rId11" w:type="default"/>
          <w:footerReference r:id="rId12" w:type="default"/>
          <w:pgSz w:w="11907" w:h="16840"/>
          <w:pgMar w:top="1361" w:right="1304" w:bottom="1304" w:left="1304" w:header="851" w:footer="720" w:gutter="0"/>
          <w:cols w:space="720" w:num="1"/>
        </w:sectPr>
      </w:pPr>
      <w:r>
        <w:rPr>
          <w:rFonts w:hint="eastAsia" w:ascii="宋体" w:hAnsi="宋体" w:cs="宋体"/>
          <w:color w:val="000000" w:themeColor="text1"/>
          <w:kern w:val="1"/>
          <w:highlight w:val="none"/>
          <w:lang w:val="zh-CN"/>
          <w14:textFill>
            <w14:solidFill>
              <w14:schemeClr w14:val="tx1"/>
            </w14:solidFill>
          </w14:textFill>
        </w:rPr>
        <w:t>二、若出现不符合形式评审、资格评审、响应性评审中的评审因素，当无效标处理。</w:t>
      </w:r>
    </w:p>
    <w:p>
      <w:pPr>
        <w:widowControl/>
        <w:shd w:val="clear"/>
        <w:jc w:val="left"/>
        <w:rPr>
          <w:rFonts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附表1</w:t>
      </w:r>
    </w:p>
    <w:p>
      <w:pPr>
        <w:shd w:val="clear"/>
        <w:spacing w:line="400" w:lineRule="exact"/>
        <w:jc w:val="center"/>
        <w:rPr>
          <w:rFonts w:ascii="宋体" w:hAnsi="宋体"/>
          <w:b/>
          <w:color w:val="000000" w:themeColor="text1"/>
          <w:sz w:val="36"/>
          <w:szCs w:val="36"/>
          <w:highlight w:val="none"/>
          <w14:textFill>
            <w14:solidFill>
              <w14:schemeClr w14:val="tx1"/>
            </w14:solidFill>
          </w14:textFill>
        </w:rPr>
      </w:pPr>
      <w:r>
        <w:rPr>
          <w:rFonts w:ascii="宋体" w:hAnsi="宋体"/>
          <w:b/>
          <w:color w:val="000000" w:themeColor="text1"/>
          <w:sz w:val="36"/>
          <w:szCs w:val="36"/>
          <w:highlight w:val="none"/>
          <w14:textFill>
            <w14:solidFill>
              <w14:schemeClr w14:val="tx1"/>
            </w14:solidFill>
          </w14:textFill>
        </w:rPr>
        <w:t>资格审</w:t>
      </w:r>
      <w:r>
        <w:rPr>
          <w:rFonts w:hint="eastAsia" w:ascii="宋体" w:hAnsi="宋体"/>
          <w:b/>
          <w:color w:val="000000" w:themeColor="text1"/>
          <w:sz w:val="36"/>
          <w:szCs w:val="36"/>
          <w:highlight w:val="none"/>
          <w14:textFill>
            <w14:solidFill>
              <w14:schemeClr w14:val="tx1"/>
            </w14:solidFill>
          </w14:textFill>
        </w:rPr>
        <w:t>查评</w:t>
      </w:r>
      <w:r>
        <w:rPr>
          <w:rFonts w:ascii="宋体" w:hAnsi="宋体"/>
          <w:b/>
          <w:color w:val="000000" w:themeColor="text1"/>
          <w:sz w:val="36"/>
          <w:szCs w:val="36"/>
          <w:highlight w:val="none"/>
          <w14:textFill>
            <w14:solidFill>
              <w14:schemeClr w14:val="tx1"/>
            </w14:solidFill>
          </w14:textFill>
        </w:rPr>
        <w:t>审</w:t>
      </w:r>
      <w:r>
        <w:rPr>
          <w:rFonts w:hint="eastAsia" w:ascii="宋体" w:hAnsi="宋体"/>
          <w:b/>
          <w:color w:val="000000" w:themeColor="text1"/>
          <w:sz w:val="36"/>
          <w:szCs w:val="36"/>
          <w:highlight w:val="none"/>
          <w14:textFill>
            <w14:solidFill>
              <w14:schemeClr w14:val="tx1"/>
            </w14:solidFill>
          </w14:textFill>
        </w:rPr>
        <w:t>表</w:t>
      </w:r>
    </w:p>
    <w:tbl>
      <w:tblPr>
        <w:tblStyle w:val="34"/>
        <w:tblW w:w="13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530"/>
        <w:gridCol w:w="10819"/>
        <w:gridCol w:w="585"/>
        <w:gridCol w:w="61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91" w:hRule="atLeast"/>
        </w:trPr>
        <w:tc>
          <w:tcPr>
            <w:tcW w:w="530" w:type="dxa"/>
            <w:vAlign w:val="center"/>
          </w:tcPr>
          <w:p>
            <w:pPr>
              <w:shd w:val="clea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序号</w:t>
            </w:r>
          </w:p>
        </w:tc>
        <w:tc>
          <w:tcPr>
            <w:tcW w:w="10819" w:type="dxa"/>
            <w:vAlign w:val="center"/>
          </w:tcPr>
          <w:p>
            <w:pPr>
              <w:shd w:val="clear"/>
              <w:jc w:val="cente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评审内容</w:t>
            </w:r>
          </w:p>
        </w:tc>
        <w:tc>
          <w:tcPr>
            <w:tcW w:w="585" w:type="dxa"/>
          </w:tcPr>
          <w:p>
            <w:pPr>
              <w:shd w:val="clear"/>
              <w:rPr>
                <w:rFonts w:ascii="宋体" w:hAnsi="宋体"/>
                <w:b/>
                <w:color w:val="000000" w:themeColor="text1"/>
                <w:sz w:val="18"/>
                <w:szCs w:val="18"/>
                <w:highlight w:val="none"/>
                <w14:textFill>
                  <w14:solidFill>
                    <w14:schemeClr w14:val="tx1"/>
                  </w14:solidFill>
                </w14:textFill>
              </w:rPr>
            </w:pPr>
          </w:p>
        </w:tc>
        <w:tc>
          <w:tcPr>
            <w:tcW w:w="615" w:type="dxa"/>
          </w:tcPr>
          <w:p>
            <w:pPr>
              <w:shd w:val="clear"/>
              <w:rPr>
                <w:rFonts w:ascii="宋体" w:hAnsi="宋体"/>
                <w:b/>
                <w:color w:val="000000" w:themeColor="text1"/>
                <w:sz w:val="18"/>
                <w:szCs w:val="18"/>
                <w:highlight w:val="none"/>
                <w14:textFill>
                  <w14:solidFill>
                    <w14:schemeClr w14:val="tx1"/>
                  </w14:solidFill>
                </w14:textFill>
              </w:rPr>
            </w:pPr>
          </w:p>
        </w:tc>
        <w:tc>
          <w:tcPr>
            <w:tcW w:w="825" w:type="dxa"/>
          </w:tcPr>
          <w:p>
            <w:pPr>
              <w:shd w:val="clear"/>
              <w:rPr>
                <w:rFonts w:ascii="宋体" w:hAnsi="宋体"/>
                <w:b/>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8"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投标人参加投标的意思表达清楚，投标人代表被授权有效。</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81"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均具有独立法人资格，持有工商行政（市场监督）管理部门核发的法人营业执照或各级政府事业单位登记管理机关颁发的事业单位法人证书[联合体承担设计任务的一方为普通合伙企业形式的设计事务所的，需持有工商行政（市场监督）管理部门核发的合伙企业营业执照；联合体承担设计任务的一方为单独投标的香港企业的，需持有在香港进行商业登记的证明文书；]，按国家法律经营。</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3</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投标人（若为联合体，指联合体承担施工任务的单位）持有有效的建设行政主管部门颁发的安全生产许可证。</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87"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投标人（若为联合体，指联合体各方）企业资质符合招标公告要求。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0"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5</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投标人拟担任本项目的项目负责人资格满足招标公告要求。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6</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投标人拟担任本项目的设计负责人资格满足招标公告要求。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7</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投标人拟担任本项目的项目技术负责人资格满足招标公告要求。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25"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8</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项目负责人持有在有效期内的安全生产考核合格证书（B类），或能够提供建筑施工企业项目负责人安全生产考核合格证书。设计负责人、项目负责人、技术负责人和专职安全员不为同一人。</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8"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9</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投标人（若为联合体，指联合体牵头方）专职安全人员须具有在有效期内的安全生产考核合格证书（C类），或能够提供建筑施工企业专职安全生产管理人员安全生产考核合格证书（C3）。</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9"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10</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0"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11</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投标人提供的《投标人声明》符合招标公告要求。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9"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12</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联合体投标的提交联合体共同投标协议书，联合体组成符合招标公告要求。</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53"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13</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投标人（若为联合体，指联合体各方）未出现以下情形：与其它投标人的单位负责人为同一人或者存在控股、管理关系的（按投标人提供的《投标人声明》第九条内容进行评审），否则相关投标均无效。</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2" w:hRule="atLeast"/>
        </w:trPr>
        <w:tc>
          <w:tcPr>
            <w:tcW w:w="530" w:type="dxa"/>
            <w:vAlign w:val="center"/>
          </w:tcPr>
          <w:p>
            <w:pPr>
              <w:shd w:val="clear"/>
              <w:spacing w:line="400" w:lineRule="exact"/>
              <w:jc w:val="cente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4</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投标人（若为联合体，指联合体各成员）未被列入拖欠农民工工资失信联合惩戒对象名单。（投标人无需提供资料，按投标截止时间交易系统比对的结果进行评审）</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32" w:hRule="atLeast"/>
        </w:trPr>
        <w:tc>
          <w:tcPr>
            <w:tcW w:w="530" w:type="dxa"/>
            <w:vAlign w:val="center"/>
          </w:tcPr>
          <w:p>
            <w:pPr>
              <w:shd w:val="clea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z w:val="18"/>
                <w:szCs w:val="18"/>
                <w:highlight w:val="none"/>
                <w:lang w:val="en-US" w:eastAsia="zh-CN"/>
                <w14:textFill>
                  <w14:solidFill>
                    <w14:schemeClr w14:val="tx1"/>
                  </w14:solidFill>
                </w14:textFill>
              </w:rPr>
              <w:t>15</w:t>
            </w:r>
          </w:p>
        </w:tc>
        <w:tc>
          <w:tcPr>
            <w:tcW w:w="10819" w:type="dxa"/>
            <w:vAlign w:val="center"/>
          </w:tcPr>
          <w:p>
            <w:pPr>
              <w:shd w:val="clear"/>
              <w:rPr>
                <w:color w:val="000000" w:themeColor="text1"/>
                <w:sz w:val="18"/>
                <w:szCs w:val="18"/>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结论</w:t>
            </w:r>
          </w:p>
        </w:tc>
        <w:tc>
          <w:tcPr>
            <w:tcW w:w="58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61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c>
          <w:tcPr>
            <w:tcW w:w="825" w:type="dxa"/>
          </w:tcPr>
          <w:p>
            <w:pPr>
              <w:shd w:val="clear"/>
              <w:spacing w:line="400" w:lineRule="exact"/>
              <w:rPr>
                <w:rFonts w:ascii="宋体" w:hAnsi="宋体"/>
                <w:color w:val="000000" w:themeColor="text1"/>
                <w:sz w:val="18"/>
                <w:szCs w:val="18"/>
                <w:highlight w:val="none"/>
                <w14:textFill>
                  <w14:solidFill>
                    <w14:schemeClr w14:val="tx1"/>
                  </w14:solidFill>
                </w14:textFill>
              </w:rPr>
            </w:pPr>
          </w:p>
        </w:tc>
      </w:tr>
    </w:tbl>
    <w:p>
      <w:pPr>
        <w:shd w:val="clear"/>
        <w:spacing w:line="240" w:lineRule="exac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注：</w:t>
      </w:r>
      <w:r>
        <w:rPr>
          <w:rFonts w:ascii="宋体" w:hAnsi="宋体"/>
          <w:color w:val="000000" w:themeColor="text1"/>
          <w:sz w:val="18"/>
          <w:szCs w:val="18"/>
          <w:highlight w:val="none"/>
          <w14:textFill>
            <w14:solidFill>
              <w14:schemeClr w14:val="tx1"/>
            </w14:solidFill>
          </w14:textFill>
        </w:rPr>
        <w:t>1.每一项目符合有效的记“通过”无效的记“不通过”，全部审查项目均为有效的，结论为“通过”，否则为“不通过”。2.如对本表中某种情形的评审意见不一致时，以评</w:t>
      </w:r>
      <w:r>
        <w:rPr>
          <w:rFonts w:hint="eastAsia" w:ascii="宋体" w:hAnsi="宋体"/>
          <w:color w:val="000000" w:themeColor="text1"/>
          <w:sz w:val="18"/>
          <w:szCs w:val="18"/>
          <w:highlight w:val="none"/>
          <w14:textFill>
            <w14:solidFill>
              <w14:schemeClr w14:val="tx1"/>
            </w14:solidFill>
          </w14:textFill>
        </w:rPr>
        <w:t>审组过半数成员的意见作为评审组对该情形的认定结论。</w:t>
      </w:r>
      <w:r>
        <w:rPr>
          <w:rFonts w:ascii="宋体" w:hAnsi="宋体"/>
          <w:color w:val="000000" w:themeColor="text1"/>
          <w:sz w:val="18"/>
          <w:szCs w:val="18"/>
          <w:highlight w:val="none"/>
          <w14:textFill>
            <w14:solidFill>
              <w14:schemeClr w14:val="tx1"/>
            </w14:solidFill>
          </w14:textFill>
        </w:rPr>
        <w:t>3.资格审查资料按招标公告附件</w:t>
      </w:r>
      <w:r>
        <w:rPr>
          <w:rFonts w:hint="eastAsia" w:ascii="宋体" w:hAnsi="宋体"/>
          <w:color w:val="000000" w:themeColor="text1"/>
          <w:sz w:val="18"/>
          <w:szCs w:val="18"/>
          <w:highlight w:val="none"/>
          <w14:textFill>
            <w14:solidFill>
              <w14:schemeClr w14:val="tx1"/>
            </w14:solidFill>
          </w14:textFill>
        </w:rPr>
        <w:t>一要求提供。</w:t>
      </w:r>
    </w:p>
    <w:p>
      <w:pPr>
        <w:shd w:val="clear"/>
        <w:spacing w:line="240" w:lineRule="exact"/>
        <w:rPr>
          <w:rFonts w:ascii="宋体" w:hAnsi="宋体"/>
          <w:color w:val="000000" w:themeColor="text1"/>
          <w:sz w:val="18"/>
          <w:szCs w:val="18"/>
          <w:highlight w:val="none"/>
          <w14:textFill>
            <w14:solidFill>
              <w14:schemeClr w14:val="tx1"/>
            </w14:solidFill>
          </w14:textFill>
        </w:rPr>
        <w:sectPr>
          <w:pgSz w:w="16840" w:h="11907" w:orient="landscape"/>
          <w:pgMar w:top="1304" w:right="1361" w:bottom="1304" w:left="1304" w:header="851" w:footer="720" w:gutter="0"/>
          <w:cols w:space="720" w:num="1"/>
        </w:sectPr>
      </w:pPr>
      <w:r>
        <w:rPr>
          <w:rFonts w:hint="eastAsia" w:ascii="宋体" w:hAnsi="宋体"/>
          <w:color w:val="000000" w:themeColor="text1"/>
          <w:sz w:val="18"/>
          <w:szCs w:val="18"/>
          <w:highlight w:val="none"/>
          <w14:textFill>
            <w14:solidFill>
              <w14:schemeClr w14:val="tx1"/>
            </w14:solidFill>
          </w14:textFill>
        </w:rPr>
        <w:t>评委签名：</w:t>
      </w:r>
      <w:r>
        <w:rPr>
          <w:rFonts w:ascii="宋体" w:hAnsi="宋体"/>
          <w:color w:val="000000" w:themeColor="text1"/>
          <w:sz w:val="18"/>
          <w:szCs w:val="18"/>
          <w:highlight w:val="none"/>
          <w14:textFill>
            <w14:solidFill>
              <w14:schemeClr w14:val="tx1"/>
            </w14:solidFill>
          </w14:textFill>
        </w:rPr>
        <w:t xml:space="preserve">                                                                        </w:t>
      </w:r>
      <w:r>
        <w:rPr>
          <w:rFonts w:hint="eastAsia" w:ascii="宋体" w:hAnsi="宋体"/>
          <w:color w:val="000000" w:themeColor="text1"/>
          <w:sz w:val="18"/>
          <w:szCs w:val="18"/>
          <w:highlight w:val="none"/>
          <w14:textFill>
            <w14:solidFill>
              <w14:schemeClr w14:val="tx1"/>
            </w14:solidFill>
          </w14:textFill>
        </w:rPr>
        <w:t>日期：</w:t>
      </w:r>
    </w:p>
    <w:p>
      <w:pPr>
        <w:shd w:val="clear"/>
        <w:spacing w:line="360" w:lineRule="auto"/>
        <w:jc w:val="left"/>
        <w:rPr>
          <w:rFonts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t>附表</w:t>
      </w:r>
      <w:bookmarkStart w:id="382" w:name="_Hlk55894641"/>
      <w:r>
        <w:rPr>
          <w:rFonts w:ascii="宋体" w:hAnsi="宋体" w:cs="宋体"/>
          <w:b/>
          <w:color w:val="000000" w:themeColor="text1"/>
          <w:kern w:val="1"/>
          <w:sz w:val="24"/>
          <w:szCs w:val="24"/>
          <w:highlight w:val="none"/>
          <w14:textFill>
            <w14:solidFill>
              <w14:schemeClr w14:val="tx1"/>
            </w14:solidFill>
          </w14:textFill>
        </w:rPr>
        <w:t xml:space="preserve">2                                  </w:t>
      </w:r>
    </w:p>
    <w:p>
      <w:pPr>
        <w:shd w:val="clear"/>
        <w:spacing w:line="360" w:lineRule="auto"/>
        <w:jc w:val="center"/>
        <w:rPr>
          <w:color w:val="000000" w:themeColor="text1"/>
          <w:highlight w:val="none"/>
          <w14:textFill>
            <w14:solidFill>
              <w14:schemeClr w14:val="tx1"/>
            </w14:solidFill>
          </w14:textFill>
        </w:rPr>
      </w:pPr>
      <w:r>
        <w:rPr>
          <w:rFonts w:hint="eastAsia" w:ascii="宋体" w:hAnsi="宋体" w:cs="宋体"/>
          <w:b/>
          <w:color w:val="000000" w:themeColor="text1"/>
          <w:kern w:val="1"/>
          <w:sz w:val="28"/>
          <w:szCs w:val="28"/>
          <w:highlight w:val="none"/>
          <w14:textFill>
            <w14:solidFill>
              <w14:schemeClr w14:val="tx1"/>
            </w14:solidFill>
          </w14:textFill>
        </w:rPr>
        <w:t>设计方案评分表</w:t>
      </w:r>
    </w:p>
    <w:tbl>
      <w:tblPr>
        <w:tblStyle w:val="34"/>
        <w:tblW w:w="133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258"/>
        <w:gridCol w:w="1687"/>
        <w:gridCol w:w="9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8" w:hRule="atLeast"/>
          <w:jc w:val="center"/>
        </w:trPr>
        <w:tc>
          <w:tcPr>
            <w:tcW w:w="66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分值分配</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设计文件</w:t>
            </w:r>
          </w:p>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完整性</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结合项目实际情况，整个设计内容符合招标文件要求，内容全面，设计总说明书文字表达清楚、思路清晰、重点和难点突出、图纸及文卷质量高。</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优：[8，10]分；良：[6，8)分；中：（0，6)分；差或未提供得0分。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设计概念</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充分尊重区位条件，满足城市区域产业定位，满足项目的实际需要。针对总体规划进行布局比较，要求体现实用性与合理性。进行产业分析，对产业生产定位及功能形成明确定位。</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优：[8，10]分；良：[6，8)分；中：（0，6)分；差或未提供得0分。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规划与交通</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总平面设计考虑用地选址与周边片区的一体化设计，满足上位规划要求。地块与地铁站之间的慢行交通流线清晰、布局合理、环境舒适。总平布置交通动线清晰，人车分流，考虑与相邻地块之间的衔接合理。</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]分；良：[</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)分；中：（0，</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建筑外观</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建筑形式清晰、细腻、精致、简洁，视觉效果良好，建筑外观与城市文化及周边环境整体和谐，满足经济美观原则。</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优：[8，10]分；良：[6，8)分；中：（0，6)分；差或未提供得0分。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w:t>
            </w:r>
          </w:p>
        </w:tc>
        <w:tc>
          <w:tcPr>
            <w:tcW w:w="1258"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使用功能</w:t>
            </w:r>
          </w:p>
        </w:tc>
        <w:tc>
          <w:tcPr>
            <w:tcW w:w="1687"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平面布局合理，充分考虑商业使用的功能业态，满足设计任务书要求。充分考虑人车等内外部流线组织，充分考虑办公、商业、车库动线及后勤流线，使用功能合理。</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]分；良：[</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16</w:t>
            </w:r>
            <w:r>
              <w:rPr>
                <w:rFonts w:hint="eastAsia" w:ascii="宋体" w:hAnsi="宋体" w:cs="宋体"/>
                <w:color w:val="000000" w:themeColor="text1"/>
                <w:szCs w:val="21"/>
                <w:highlight w:val="none"/>
                <w14:textFill>
                  <w14:solidFill>
                    <w14:schemeClr w14:val="tx1"/>
                  </w14:solidFill>
                </w14:textFill>
              </w:rPr>
              <w:t>)分；中：（0，</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w:t>
            </w:r>
          </w:p>
        </w:tc>
        <w:tc>
          <w:tcPr>
            <w:tcW w:w="1258"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景观设计</w:t>
            </w:r>
          </w:p>
        </w:tc>
        <w:tc>
          <w:tcPr>
            <w:tcW w:w="168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充分考虑地形、空间划分合理性；公共绿地位置适当、观赏性与实用性相结合；合理利用绿化、水体，提供优良的室外活动场所；景观设计具有系统性和整体性；整体景观风格现代时尚，与建筑设计配合度高。</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优：[8，10]分；良：[6，8)分；中：（0，6)分；差或未提供得0分。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w:t>
            </w:r>
          </w:p>
        </w:tc>
        <w:tc>
          <w:tcPr>
            <w:tcW w:w="1258"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绿色建筑设计</w:t>
            </w:r>
          </w:p>
        </w:tc>
        <w:tc>
          <w:tcPr>
            <w:tcW w:w="168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设计方案符合绿色建筑设计目标，采取的绿色技术措施充分考虑华南地区的气候特点，最大限度地节约资源、保护环境、减少污染，提供健康、适应和高效的使用空间。</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]分；良：[</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)分；中：（0，</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w:t>
            </w:r>
          </w:p>
        </w:tc>
        <w:tc>
          <w:tcPr>
            <w:tcW w:w="1258"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结构设计</w:t>
            </w:r>
          </w:p>
        </w:tc>
        <w:tc>
          <w:tcPr>
            <w:tcW w:w="168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10</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结构柱网布局满足使用功能要求，经济合理。基坑方案设计合理。</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优：[8，10]分；良：[6，8)分；中：（0，6)分；差或未提供得0分。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6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w:t>
            </w:r>
          </w:p>
        </w:tc>
        <w:tc>
          <w:tcPr>
            <w:tcW w:w="1258"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机电系统设计</w:t>
            </w:r>
          </w:p>
        </w:tc>
        <w:tc>
          <w:tcPr>
            <w:tcW w:w="168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p>
        </w:tc>
        <w:tc>
          <w:tcPr>
            <w:tcW w:w="9742"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机电系统与建筑使用功能匹配，方案经济合理。</w:t>
            </w:r>
          </w:p>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]分；良：[</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)分；中：（0，</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)分；差或未提供得0分。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25"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1687"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00</w:t>
            </w:r>
          </w:p>
        </w:tc>
        <w:tc>
          <w:tcPr>
            <w:tcW w:w="9742" w:type="dxa"/>
            <w:tcBorders>
              <w:top w:val="single" w:color="auto" w:sz="6" w:space="0"/>
              <w:left w:val="single" w:color="auto" w:sz="6" w:space="0"/>
              <w:bottom w:val="single" w:color="auto" w:sz="6" w:space="0"/>
              <w:right w:val="single" w:color="auto" w:sz="6" w:space="0"/>
            </w:tcBorders>
            <w:shd w:val="clear" w:color="auto" w:fill="auto"/>
            <w:vAlign w:val="center"/>
          </w:tcPr>
          <w:p>
            <w:pPr>
              <w:shd w:val="clear"/>
              <w:autoSpaceDE w:val="0"/>
              <w:autoSpaceDN w:val="0"/>
              <w:adjustRightInd w:val="0"/>
              <w:jc w:val="left"/>
              <w:rPr>
                <w:rFonts w:ascii="宋体" w:hAnsi="宋体" w:cs="宋体"/>
                <w:color w:val="000000" w:themeColor="text1"/>
                <w:szCs w:val="21"/>
                <w:highlight w:val="none"/>
                <w14:textFill>
                  <w14:solidFill>
                    <w14:schemeClr w14:val="tx1"/>
                  </w14:solidFill>
                </w14:textFill>
              </w:rPr>
            </w:pPr>
          </w:p>
        </w:tc>
      </w:tr>
    </w:tbl>
    <w:p>
      <w:pPr>
        <w:pStyle w:val="2"/>
        <w:shd w:val="clear"/>
        <w:rPr>
          <w:color w:val="000000" w:themeColor="text1"/>
          <w:highlight w:val="none"/>
          <w14:textFill>
            <w14:solidFill>
              <w14:schemeClr w14:val="tx1"/>
            </w14:solidFill>
          </w14:textFill>
        </w:rPr>
      </w:pPr>
    </w:p>
    <w:bookmarkEnd w:id="382"/>
    <w:p>
      <w:pPr>
        <w:shd w:val="clear"/>
        <w:spacing w:line="288" w:lineRule="auto"/>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注：1</w:t>
      </w:r>
      <w:r>
        <w:rPr>
          <w:rFonts w:hint="eastAsia"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表中“[”</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“]”代表闭区间，如[0，1]代表该分数段范围为大于等于0 且小于等于1。表中“（”</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”代表开区间，如（1，2]代表该分数段范围为大于1 且小于等于2。</w:t>
      </w:r>
    </w:p>
    <w:p>
      <w:pPr>
        <w:shd w:val="clear"/>
        <w:spacing w:line="288" w:lineRule="auto"/>
        <w:jc w:val="left"/>
        <w:rPr>
          <w:rFonts w:ascii="宋体" w:hAnsi="宋体" w:cs="宋体"/>
          <w:b/>
          <w:bCs/>
          <w:color w:val="000000" w:themeColor="text1"/>
          <w:szCs w:val="2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2.</w:t>
      </w:r>
      <w:r>
        <w:rPr>
          <w:rFonts w:ascii="Times New Roman" w:hAnsi="Times New Roman" w:cs="Times New Roman"/>
          <w:color w:val="000000" w:themeColor="text1"/>
          <w:szCs w:val="21"/>
          <w:highlight w:val="none"/>
          <w14:textFill>
            <w14:solidFill>
              <w14:schemeClr w14:val="tx1"/>
            </w14:solidFill>
          </w14:textFill>
        </w:rPr>
        <w:t>本表按百分制评分，所有评委每个分项的分数汇总后的算术平均值作为该评审方案的设计方案投标文件得分。分数出现小数点，保留小数点后二位小数，第三位小数四舍五入。</w:t>
      </w:r>
    </w:p>
    <w:p>
      <w:pPr>
        <w:pStyle w:val="2"/>
        <w:shd w:val="clear"/>
        <w:ind w:firstLine="420" w:firstLineChars="200"/>
        <w:rPr>
          <w:rFonts w:ascii="Calibri" w:cs="Calibri"/>
          <w:color w:val="000000" w:themeColor="text1"/>
          <w:sz w:val="21"/>
          <w:szCs w:val="22"/>
          <w:highlight w:val="none"/>
          <w:lang w:val="en-US"/>
          <w14:textFill>
            <w14:solidFill>
              <w14:schemeClr w14:val="tx1"/>
            </w14:solidFill>
          </w14:textFill>
        </w:rPr>
      </w:pPr>
    </w:p>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r>
        <w:rPr>
          <w:rFonts w:hint="eastAsia" w:ascii="宋体" w:hAnsi="宋体" w:cs="宋体"/>
          <w:b/>
          <w:color w:val="000000" w:themeColor="text1"/>
          <w:kern w:val="1"/>
          <w:sz w:val="24"/>
          <w:szCs w:val="24"/>
          <w:highlight w:val="none"/>
          <w14:textFill>
            <w14:solidFill>
              <w14:schemeClr w14:val="tx1"/>
            </w14:solidFill>
          </w14:textFill>
        </w:rPr>
        <w:br w:type="page"/>
      </w:r>
      <w:r>
        <w:rPr>
          <w:rFonts w:hint="eastAsia" w:ascii="宋体" w:hAnsi="宋体" w:cs="宋体"/>
          <w:b/>
          <w:color w:val="000000" w:themeColor="text1"/>
          <w:kern w:val="1"/>
          <w:sz w:val="24"/>
          <w:szCs w:val="24"/>
          <w:highlight w:val="none"/>
          <w14:textFill>
            <w14:solidFill>
              <w14:schemeClr w14:val="tx1"/>
            </w14:solidFill>
          </w14:textFill>
        </w:rPr>
        <w:t>附表</w:t>
      </w:r>
      <w:r>
        <w:rPr>
          <w:rFonts w:ascii="宋体" w:hAnsi="宋体" w:cs="宋体"/>
          <w:b/>
          <w:color w:val="000000" w:themeColor="text1"/>
          <w:kern w:val="1"/>
          <w:sz w:val="24"/>
          <w:szCs w:val="24"/>
          <w:highlight w:val="none"/>
          <w14:textFill>
            <w14:solidFill>
              <w14:schemeClr w14:val="tx1"/>
            </w14:solidFill>
          </w14:textFill>
        </w:rPr>
        <w:t>3</w:t>
      </w:r>
    </w:p>
    <w:p>
      <w:pPr>
        <w:shd w:val="clear"/>
        <w:spacing w:line="36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kern w:val="2"/>
          <w:sz w:val="28"/>
          <w:szCs w:val="28"/>
          <w:highlight w:val="none"/>
          <w14:textFill>
            <w14:solidFill>
              <w14:schemeClr w14:val="tx1"/>
            </w14:solidFill>
          </w14:textFill>
        </w:rPr>
        <w:t>工程总承包实施方案技术部分评分表</w:t>
      </w:r>
    </w:p>
    <w:tbl>
      <w:tblPr>
        <w:tblStyle w:val="34"/>
        <w:tblW w:w="147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5"/>
        <w:gridCol w:w="773"/>
        <w:gridCol w:w="1333"/>
        <w:gridCol w:w="667"/>
        <w:gridCol w:w="9966"/>
        <w:gridCol w:w="634"/>
        <w:gridCol w:w="53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2" w:hRule="atLeast"/>
          <w:tblHeader/>
          <w:jc w:val="center"/>
        </w:trPr>
        <w:tc>
          <w:tcPr>
            <w:tcW w:w="855"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分部</w:t>
            </w:r>
          </w:p>
        </w:tc>
        <w:tc>
          <w:tcPr>
            <w:tcW w:w="773"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评分项目</w:t>
            </w:r>
          </w:p>
        </w:tc>
        <w:tc>
          <w:tcPr>
            <w:tcW w:w="1333"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评分内容</w:t>
            </w:r>
          </w:p>
        </w:tc>
        <w:tc>
          <w:tcPr>
            <w:tcW w:w="667"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分值</w:t>
            </w:r>
          </w:p>
        </w:tc>
        <w:tc>
          <w:tcPr>
            <w:tcW w:w="9966"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评审标准</w:t>
            </w:r>
          </w:p>
        </w:tc>
        <w:tc>
          <w:tcPr>
            <w:tcW w:w="634"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得分</w:t>
            </w:r>
          </w:p>
        </w:tc>
        <w:tc>
          <w:tcPr>
            <w:tcW w:w="532"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9" w:hRule="atLeast"/>
          <w:jc w:val="center"/>
        </w:trPr>
        <w:tc>
          <w:tcPr>
            <w:tcW w:w="855" w:type="dxa"/>
            <w:vMerge w:val="restart"/>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工程总承包实施方案技术部分</w:t>
            </w:r>
          </w:p>
        </w:tc>
        <w:tc>
          <w:tcPr>
            <w:tcW w:w="773" w:type="dxa"/>
            <w:vMerge w:val="restart"/>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一、企业资信（36分）</w:t>
            </w: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类似业绩</w:t>
            </w:r>
          </w:p>
        </w:tc>
        <w:tc>
          <w:tcPr>
            <w:tcW w:w="667" w:type="dxa"/>
            <w:vAlign w:val="center"/>
          </w:tcPr>
          <w:p>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9966" w:type="dxa"/>
            <w:vAlign w:val="center"/>
          </w:tcPr>
          <w:p>
            <w:pPr>
              <w:shd w:val="clear"/>
              <w:rPr>
                <w:rFonts w:cs="宋体"/>
                <w:color w:val="000000" w:themeColor="text1"/>
                <w:sz w:val="24"/>
                <w:szCs w:val="24"/>
                <w:highlight w:val="none"/>
                <w:lang w:val="en-US"/>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1.施工业绩：</w:t>
            </w:r>
            <w:r>
              <w:rPr>
                <w:rFonts w:cs="宋体"/>
                <w:color w:val="000000" w:themeColor="text1"/>
                <w:sz w:val="24"/>
                <w:szCs w:val="24"/>
                <w:highlight w:val="none"/>
                <w:lang w:val="en-US"/>
                <w14:textFill>
                  <w14:solidFill>
                    <w14:schemeClr w14:val="tx1"/>
                  </w14:solidFill>
                </w14:textFill>
              </w:rPr>
              <w:t>投标人（若为联合体</w:t>
            </w:r>
            <w:r>
              <w:rPr>
                <w:rFonts w:hint="eastAsia" w:cs="宋体"/>
                <w:color w:val="000000" w:themeColor="text1"/>
                <w:sz w:val="24"/>
                <w:szCs w:val="24"/>
                <w:highlight w:val="none"/>
                <w:lang w:val="en-US"/>
                <w14:textFill>
                  <w14:solidFill>
                    <w14:schemeClr w14:val="tx1"/>
                  </w14:solidFill>
                </w14:textFill>
              </w:rPr>
              <w:t>投标</w:t>
            </w:r>
            <w:r>
              <w:rPr>
                <w:rFonts w:cs="宋体"/>
                <w:color w:val="000000" w:themeColor="text1"/>
                <w:sz w:val="24"/>
                <w:szCs w:val="24"/>
                <w:highlight w:val="none"/>
                <w:lang w:val="en-US"/>
                <w14:textFill>
                  <w14:solidFill>
                    <w14:schemeClr w14:val="tx1"/>
                  </w14:solidFill>
                </w14:textFill>
              </w:rPr>
              <w:t>，指联合体牵头单位）自202</w:t>
            </w:r>
            <w:r>
              <w:rPr>
                <w:rFonts w:hint="eastAsia" w:cs="宋体"/>
                <w:color w:val="000000" w:themeColor="text1"/>
                <w:sz w:val="24"/>
                <w:szCs w:val="24"/>
                <w:highlight w:val="none"/>
                <w:lang w:val="en-US" w:eastAsia="zh-CN"/>
                <w14:textFill>
                  <w14:solidFill>
                    <w14:schemeClr w14:val="tx1"/>
                  </w14:solidFill>
                </w14:textFill>
              </w:rPr>
              <w:t>1</w:t>
            </w:r>
            <w:r>
              <w:rPr>
                <w:rFonts w:cs="宋体"/>
                <w:color w:val="000000" w:themeColor="text1"/>
                <w:sz w:val="24"/>
                <w:szCs w:val="24"/>
                <w:highlight w:val="none"/>
                <w:lang w:val="en-US"/>
                <w14:textFill>
                  <w14:solidFill>
                    <w14:schemeClr w14:val="tx1"/>
                  </w14:solidFill>
                </w14:textFill>
              </w:rPr>
              <w:t>年1月1日至投标截止时间止</w:t>
            </w:r>
            <w:r>
              <w:rPr>
                <w:rFonts w:hint="eastAsia" w:cs="宋体"/>
                <w:color w:val="000000" w:themeColor="text1"/>
                <w:sz w:val="24"/>
                <w:szCs w:val="24"/>
                <w:highlight w:val="none"/>
                <w:lang w:val="en-US" w:eastAsia="zh-CN"/>
                <w14:textFill>
                  <w14:solidFill>
                    <w14:schemeClr w14:val="tx1"/>
                  </w14:solidFill>
                </w14:textFill>
              </w:rPr>
              <w:t>完成过</w:t>
            </w:r>
            <w:r>
              <w:rPr>
                <w:rFonts w:cs="宋体"/>
                <w:color w:val="000000" w:themeColor="text1"/>
                <w:sz w:val="24"/>
                <w:szCs w:val="24"/>
                <w:highlight w:val="none"/>
                <w:lang w:val="en-US"/>
                <w14:textFill>
                  <w14:solidFill>
                    <w14:schemeClr w14:val="tx1"/>
                  </w14:solidFill>
                </w14:textFill>
              </w:rPr>
              <w:t>类似工程施工业绩</w:t>
            </w:r>
            <w:r>
              <w:rPr>
                <w:rFonts w:hint="eastAsia" w:cs="宋体"/>
                <w:color w:val="000000" w:themeColor="text1"/>
                <w:sz w:val="24"/>
                <w:szCs w:val="24"/>
                <w:highlight w:val="none"/>
                <w:lang w:val="en-US" w:eastAsia="zh-CN"/>
                <w14:textFill>
                  <w14:solidFill>
                    <w14:schemeClr w14:val="tx1"/>
                  </w14:solidFill>
                </w14:textFill>
              </w:rPr>
              <w:t>的</w:t>
            </w:r>
            <w:r>
              <w:rPr>
                <w:rFonts w:cs="宋体"/>
                <w:color w:val="000000" w:themeColor="text1"/>
                <w:sz w:val="24"/>
                <w:szCs w:val="24"/>
                <w:highlight w:val="none"/>
                <w:lang w:val="en-US"/>
                <w14:textFill>
                  <w14:solidFill>
                    <w14:schemeClr w14:val="tx1"/>
                  </w14:solidFill>
                </w14:textFill>
              </w:rPr>
              <w:t>，每项得1分。本项最高得</w:t>
            </w:r>
            <w:r>
              <w:rPr>
                <w:rFonts w:hint="eastAsia" w:cs="宋体"/>
                <w:color w:val="000000" w:themeColor="text1"/>
                <w:sz w:val="24"/>
                <w:szCs w:val="24"/>
                <w:highlight w:val="none"/>
                <w:lang w:val="en-US" w:eastAsia="zh-CN"/>
                <w14:textFill>
                  <w14:solidFill>
                    <w14:schemeClr w14:val="tx1"/>
                  </w14:solidFill>
                </w14:textFill>
              </w:rPr>
              <w:t>4</w:t>
            </w:r>
            <w:r>
              <w:rPr>
                <w:rFonts w:cs="宋体"/>
                <w:color w:val="000000" w:themeColor="text1"/>
                <w:sz w:val="24"/>
                <w:szCs w:val="24"/>
                <w:highlight w:val="none"/>
                <w:lang w:val="en-US"/>
                <w14:textFill>
                  <w14:solidFill>
                    <w14:schemeClr w14:val="tx1"/>
                  </w14:solidFill>
                </w14:textFill>
              </w:rPr>
              <w:t>分。</w:t>
            </w:r>
          </w:p>
          <w:p>
            <w:pPr>
              <w:shd w:val="clear"/>
              <w:rPr>
                <w:rFonts w:hint="default" w:cs="宋体"/>
                <w:color w:val="000000" w:themeColor="text1"/>
                <w:sz w:val="24"/>
                <w:szCs w:val="24"/>
                <w:highlight w:val="none"/>
                <w:lang w:val="en-US"/>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2.</w:t>
            </w:r>
            <w:r>
              <w:rPr>
                <w:rFonts w:hint="default" w:cs="宋体"/>
                <w:color w:val="000000" w:themeColor="text1"/>
                <w:sz w:val="24"/>
                <w:szCs w:val="24"/>
                <w:highlight w:val="none"/>
                <w:lang w:val="en-US" w:eastAsia="zh-CN"/>
                <w14:textFill>
                  <w14:solidFill>
                    <w14:schemeClr w14:val="tx1"/>
                  </w14:solidFill>
                </w14:textFill>
              </w:rPr>
              <w:t>设计业绩：投标人（若为联合体投标，指联合体设计单位）自2021年1月1日至投标截止时</w:t>
            </w:r>
            <w:r>
              <w:rPr>
                <w:rFonts w:hint="eastAsia" w:cs="宋体"/>
                <w:color w:val="000000" w:themeColor="text1"/>
                <w:sz w:val="24"/>
                <w:szCs w:val="24"/>
                <w:highlight w:val="none"/>
                <w:lang w:val="en-US" w:eastAsia="zh-CN"/>
                <w14:textFill>
                  <w14:solidFill>
                    <w14:schemeClr w14:val="tx1"/>
                  </w14:solidFill>
                </w14:textFill>
              </w:rPr>
              <w:t>间止</w:t>
            </w:r>
            <w:r>
              <w:rPr>
                <w:rFonts w:hint="default" w:cs="宋体"/>
                <w:color w:val="000000" w:themeColor="text1"/>
                <w:sz w:val="24"/>
                <w:szCs w:val="24"/>
                <w:highlight w:val="none"/>
                <w:lang w:val="en-US" w:eastAsia="zh-CN"/>
                <w14:textFill>
                  <w14:solidFill>
                    <w14:schemeClr w14:val="tx1"/>
                  </w14:solidFill>
                </w14:textFill>
              </w:rPr>
              <w:t>，完成过</w:t>
            </w:r>
            <w:r>
              <w:rPr>
                <w:rFonts w:hint="eastAsia" w:cs="宋体"/>
                <w:color w:val="000000" w:themeColor="text1"/>
                <w:sz w:val="24"/>
                <w:szCs w:val="24"/>
                <w:highlight w:val="none"/>
                <w:lang w:val="en-US" w:eastAsia="zh-CN"/>
                <w14:textFill>
                  <w14:solidFill>
                    <w14:schemeClr w14:val="tx1"/>
                  </w14:solidFill>
                </w14:textFill>
              </w:rPr>
              <w:t>类似</w:t>
            </w:r>
            <w:r>
              <w:rPr>
                <w:rFonts w:hint="default" w:cs="宋体"/>
                <w:color w:val="000000" w:themeColor="text1"/>
                <w:sz w:val="24"/>
                <w:szCs w:val="24"/>
                <w:highlight w:val="none"/>
                <w:lang w:val="en-US" w:eastAsia="zh-CN"/>
                <w14:textFill>
                  <w14:solidFill>
                    <w14:schemeClr w14:val="tx1"/>
                  </w14:solidFill>
                </w14:textFill>
              </w:rPr>
              <w:t>设计业绩的</w:t>
            </w:r>
            <w:r>
              <w:rPr>
                <w:rFonts w:hint="eastAsia" w:cs="宋体"/>
                <w:color w:val="000000" w:themeColor="text1"/>
                <w:sz w:val="24"/>
                <w:szCs w:val="24"/>
                <w:highlight w:val="none"/>
                <w:lang w:val="en-US" w:eastAsia="zh-CN"/>
                <w14:textFill>
                  <w14:solidFill>
                    <w14:schemeClr w14:val="tx1"/>
                  </w14:solidFill>
                </w14:textFill>
              </w:rPr>
              <w:t>，每项得1分。</w:t>
            </w:r>
            <w:r>
              <w:rPr>
                <w:rFonts w:hint="eastAsia" w:cs="宋体"/>
                <w:color w:val="000000" w:themeColor="text1"/>
                <w:sz w:val="24"/>
                <w:szCs w:val="24"/>
                <w:highlight w:val="none"/>
                <w:lang w:val="en-US"/>
                <w14:textFill>
                  <w14:solidFill>
                    <w14:schemeClr w14:val="tx1"/>
                  </w14:solidFill>
                </w14:textFill>
              </w:rPr>
              <w:t>本项最高得</w:t>
            </w:r>
            <w:r>
              <w:rPr>
                <w:rFonts w:hint="eastAsia" w:cs="宋体"/>
                <w:color w:val="000000" w:themeColor="text1"/>
                <w:sz w:val="24"/>
                <w:szCs w:val="24"/>
                <w:highlight w:val="none"/>
                <w:lang w:val="en-US" w:eastAsia="zh-CN"/>
                <w14:textFill>
                  <w14:solidFill>
                    <w14:schemeClr w14:val="tx1"/>
                  </w14:solidFill>
                </w14:textFill>
              </w:rPr>
              <w:t>3</w:t>
            </w:r>
            <w:r>
              <w:rPr>
                <w:rFonts w:hint="eastAsia" w:cs="宋体"/>
                <w:color w:val="000000" w:themeColor="text1"/>
                <w:sz w:val="24"/>
                <w:szCs w:val="24"/>
                <w:highlight w:val="none"/>
                <w:lang w:val="en-US"/>
                <w14:textFill>
                  <w14:solidFill>
                    <w14:schemeClr w14:val="tx1"/>
                  </w14:solidFill>
                </w14:textFill>
              </w:rPr>
              <w:t>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49" w:hRule="atLeast"/>
          <w:jc w:val="center"/>
        </w:trPr>
        <w:tc>
          <w:tcPr>
            <w:tcW w:w="855"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工程获奖</w:t>
            </w:r>
          </w:p>
        </w:tc>
        <w:tc>
          <w:tcPr>
            <w:tcW w:w="667" w:type="dxa"/>
            <w:vAlign w:val="center"/>
          </w:tcPr>
          <w:p>
            <w:pPr>
              <w:shd w:val="clea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9966" w:type="dxa"/>
            <w:vAlign w:val="center"/>
          </w:tcPr>
          <w:p>
            <w:pPr>
              <w:shd w:val="clear"/>
              <w:autoSpaceDE w:val="0"/>
              <w:autoSpaceDN w:val="0"/>
              <w:adjustRightInd w:val="0"/>
              <w:ind w:right="61" w:rightChars="29"/>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投标人（若为联合体，指联合体牵头单位）自202</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年1月1日至投标截止之日止，承建工程获得过</w:t>
            </w:r>
            <w:r>
              <w:rPr>
                <w:rFonts w:hint="eastAsia" w:ascii="宋体" w:hAnsi="宋体" w:cs="宋体"/>
                <w:color w:val="000000" w:themeColor="text1"/>
                <w:sz w:val="24"/>
                <w:szCs w:val="24"/>
                <w:highlight w:val="none"/>
                <w14:textFill>
                  <w14:solidFill>
                    <w14:schemeClr w14:val="tx1"/>
                  </w14:solidFill>
                </w14:textFill>
              </w:rPr>
              <w:t>工程</w:t>
            </w:r>
            <w:r>
              <w:rPr>
                <w:rFonts w:ascii="宋体" w:hAnsi="宋体" w:cs="宋体"/>
                <w:color w:val="000000" w:themeColor="text1"/>
                <w:sz w:val="24"/>
                <w:szCs w:val="24"/>
                <w:highlight w:val="none"/>
                <w14:textFill>
                  <w14:solidFill>
                    <w14:schemeClr w14:val="tx1"/>
                  </w14:solidFill>
                </w14:textFill>
              </w:rPr>
              <w:t>质量奖项：</w:t>
            </w:r>
          </w:p>
          <w:p>
            <w:pPr>
              <w:shd w:val="clear"/>
              <w:autoSpaceDE w:val="0"/>
              <w:autoSpaceDN w:val="0"/>
              <w:adjustRightInd w:val="0"/>
              <w:ind w:right="61" w:rightChars="2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（1）国家级奖项的，每个得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pPr>
              <w:shd w:val="clear"/>
              <w:autoSpaceDE w:val="0"/>
              <w:autoSpaceDN w:val="0"/>
              <w:adjustRightInd w:val="0"/>
              <w:ind w:right="61" w:rightChars="2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（2）省级奖项的，每个得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6</w:t>
            </w:r>
            <w:bookmarkStart w:id="422" w:name="_GoBack"/>
            <w:bookmarkEnd w:id="422"/>
            <w:r>
              <w:rPr>
                <w:rFonts w:hint="eastAsia"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pPr>
              <w:shd w:val="clear"/>
              <w:autoSpaceDE w:val="0"/>
              <w:autoSpaceDN w:val="0"/>
              <w:adjustRightInd w:val="0"/>
              <w:ind w:right="61" w:rightChars="29"/>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（3）市级奖项的，每个得</w:t>
            </w:r>
            <w:r>
              <w:rPr>
                <w:rFonts w:hint="eastAsia" w:ascii="宋体" w:hAnsi="宋体" w:cs="宋体"/>
                <w:color w:val="000000" w:themeColor="text1"/>
                <w:sz w:val="24"/>
                <w:szCs w:val="24"/>
                <w:highlight w:val="none"/>
                <w:lang w:val="en-US" w:eastAsia="zh-CN"/>
                <w14:textFill>
                  <w14:solidFill>
                    <w14:schemeClr w14:val="tx1"/>
                  </w14:solidFill>
                </w14:textFill>
              </w:rPr>
              <w:t>0.75</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最高得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pPr>
              <w:shd w:val="clear"/>
              <w:autoSpaceDE w:val="0"/>
              <w:autoSpaceDN w:val="0"/>
              <w:adjustRightInd w:val="0"/>
              <w:ind w:right="61" w:rightChars="29"/>
              <w:rPr>
                <w:rFonts w:hint="default"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本项最高1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ascii="宋体" w:hAnsi="宋体" w:cs="宋体"/>
                <w:color w:val="000000" w:themeColor="text1"/>
                <w:sz w:val="24"/>
                <w:szCs w:val="24"/>
                <w:highlight w:val="none"/>
                <w14:textFill>
                  <w14:solidFill>
                    <w14:schemeClr w14:val="tx1"/>
                  </w14:solidFill>
                </w14:textFill>
              </w:rPr>
              <w:t>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1" w:hRule="atLeast"/>
          <w:jc w:val="center"/>
        </w:trPr>
        <w:tc>
          <w:tcPr>
            <w:tcW w:w="855"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shd w:val="clear" w:color="auto" w:fill="auto"/>
            <w:vAlign w:val="center"/>
          </w:tcPr>
          <w:p>
            <w:pPr>
              <w:shd w:val="clear"/>
              <w:jc w:val="center"/>
              <w:rPr>
                <w:rFonts w:hint="eastAsia" w:ascii="宋体" w:hAnsi="宋体" w:cs="微软雅黑"/>
                <w:color w:val="000000" w:themeColor="text1"/>
                <w:sz w:val="21"/>
                <w:szCs w:val="21"/>
                <w:highlight w:val="none"/>
                <w14:textFill>
                  <w14:solidFill>
                    <w14:schemeClr w14:val="tx1"/>
                  </w14:solidFill>
                </w14:textFill>
              </w:rPr>
            </w:pPr>
            <w:r>
              <w:rPr>
                <w:rFonts w:hint="default" w:ascii="宋体" w:hAnsi="宋体" w:cs="宋体"/>
                <w:color w:val="000000" w:themeColor="text1"/>
                <w:kern w:val="0"/>
                <w:sz w:val="24"/>
                <w:szCs w:val="24"/>
                <w:highlight w:val="none"/>
                <w:lang w:val="zh-TW"/>
                <w14:textFill>
                  <w14:solidFill>
                    <w14:schemeClr w14:val="tx1"/>
                  </w14:solidFill>
                </w14:textFill>
              </w:rPr>
              <w:t>科技创新成果</w:t>
            </w:r>
          </w:p>
        </w:tc>
        <w:tc>
          <w:tcPr>
            <w:tcW w:w="667" w:type="dxa"/>
            <w:shd w:val="clear" w:color="auto" w:fill="auto"/>
            <w:vAlign w:val="center"/>
          </w:tcPr>
          <w:p>
            <w:pPr>
              <w:shd w:val="clear"/>
              <w:autoSpaceDE w:val="0"/>
              <w:autoSpaceDN w:val="0"/>
              <w:adjustRightInd w:val="0"/>
              <w:ind w:right="61" w:rightChars="29"/>
              <w:jc w:val="center"/>
              <w:rPr>
                <w:rFonts w:hint="default" w:ascii="宋体" w:hAnsi="宋体" w:cs="宋体"/>
                <w:color w:val="000000" w:themeColor="text1"/>
                <w:sz w:val="24"/>
                <w:szCs w:val="24"/>
                <w:highlight w:val="none"/>
                <w:lang w:val="en-US"/>
                <w14:textFill>
                  <w14:solidFill>
                    <w14:schemeClr w14:val="tx1"/>
                  </w14:solidFill>
                </w14:textFill>
              </w:rPr>
            </w:pPr>
            <w:r>
              <w:rPr>
                <w:rFonts w:hint="default" w:ascii="宋体" w:hAnsi="宋体" w:cs="宋体"/>
                <w:color w:val="000000" w:themeColor="text1"/>
                <w:sz w:val="24"/>
                <w:szCs w:val="24"/>
                <w:highlight w:val="none"/>
                <w:lang w:val="en-US" w:eastAsia="zh-CN"/>
                <w14:textFill>
                  <w14:solidFill>
                    <w14:schemeClr w14:val="tx1"/>
                  </w14:solidFill>
                </w14:textFill>
              </w:rPr>
              <w:t>7</w:t>
            </w:r>
          </w:p>
        </w:tc>
        <w:tc>
          <w:tcPr>
            <w:tcW w:w="9966" w:type="dxa"/>
            <w:shd w:val="clear" w:color="auto" w:fill="auto"/>
            <w:vAlign w:val="center"/>
          </w:tcPr>
          <w:p>
            <w:pPr>
              <w:shd w:val="clear"/>
              <w:autoSpaceDE w:val="0"/>
              <w:autoSpaceDN w:val="0"/>
              <w:adjustRightInd w:val="0"/>
              <w:ind w:right="61" w:rightChars="29"/>
              <w:rPr>
                <w:rFonts w:hint="default" w:ascii="宋体" w:hAnsi="宋体" w:cs="宋体"/>
                <w:color w:val="000000" w:themeColor="text1"/>
                <w:sz w:val="24"/>
                <w:szCs w:val="24"/>
                <w:highlight w:val="none"/>
                <w:lang w:val="en-US" w:eastAsia="zh-CN"/>
                <w14:textFill>
                  <w14:solidFill>
                    <w14:schemeClr w14:val="tx1"/>
                  </w14:solidFill>
                </w14:textFill>
              </w:rPr>
            </w:pPr>
            <w:r>
              <w:rPr>
                <w:rFonts w:hint="default" w:ascii="宋体" w:hAnsi="宋体" w:cs="宋体"/>
                <w:color w:val="000000" w:themeColor="text1"/>
                <w:sz w:val="24"/>
                <w:szCs w:val="24"/>
                <w:highlight w:val="none"/>
                <w14:textFill>
                  <w14:solidFill>
                    <w14:schemeClr w14:val="tx1"/>
                  </w14:solidFill>
                </w14:textFill>
              </w:rPr>
              <w:t>2021年1月1日</w:t>
            </w:r>
            <w:r>
              <w:rPr>
                <w:rFonts w:hint="default" w:ascii="宋体" w:hAnsi="宋体" w:cs="宋体"/>
                <w:color w:val="000000" w:themeColor="text1"/>
                <w:kern w:val="0"/>
                <w:sz w:val="24"/>
                <w:szCs w:val="24"/>
                <w:highlight w:val="none"/>
                <w14:textFill>
                  <w14:solidFill>
                    <w14:schemeClr w14:val="tx1"/>
                  </w14:solidFill>
                </w14:textFill>
              </w:rPr>
              <w:t>至投标截止时间止，</w:t>
            </w:r>
            <w:r>
              <w:rPr>
                <w:rFonts w:hint="default" w:ascii="宋体" w:hAnsi="宋体" w:cs="宋体"/>
                <w:color w:val="000000" w:themeColor="text1"/>
                <w:sz w:val="24"/>
                <w:szCs w:val="24"/>
                <w:highlight w:val="none"/>
                <w14:textFill>
                  <w14:solidFill>
                    <w14:schemeClr w14:val="tx1"/>
                  </w14:solidFill>
                </w14:textFill>
              </w:rPr>
              <w:t>投标人（若为联合体投标，指联合体牵头方）：</w:t>
            </w:r>
            <w:r>
              <w:rPr>
                <w:rFonts w:hint="default" w:ascii="宋体" w:hAnsi="宋体" w:eastAsia="宋体" w:cs="宋体"/>
                <w:color w:val="000000" w:themeColor="text1"/>
                <w:sz w:val="24"/>
                <w:szCs w:val="24"/>
                <w:highlight w:val="none"/>
                <w14:textFill>
                  <w14:solidFill>
                    <w14:schemeClr w14:val="tx1"/>
                  </w14:solidFill>
                </w14:textFill>
              </w:rPr>
              <w:t>获得发明专利奖的，每项得</w:t>
            </w:r>
            <w:r>
              <w:rPr>
                <w:rFonts w:hint="default" w:ascii="宋体" w:hAnsi="宋体" w:cs="宋体"/>
                <w:color w:val="000000" w:themeColor="text1"/>
                <w:sz w:val="24"/>
                <w:szCs w:val="24"/>
                <w:highlight w:val="none"/>
                <w:lang w:val="en-US" w:eastAsia="zh-CN"/>
                <w14:textFill>
                  <w14:solidFill>
                    <w14:schemeClr w14:val="tx1"/>
                  </w14:solidFill>
                </w14:textFill>
              </w:rPr>
              <w:t>3.5</w:t>
            </w:r>
            <w:r>
              <w:rPr>
                <w:rFonts w:hint="default"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本项</w:t>
            </w:r>
            <w:r>
              <w:rPr>
                <w:rFonts w:hint="default" w:ascii="宋体" w:hAnsi="宋体" w:eastAsia="宋体" w:cs="宋体"/>
                <w:color w:val="000000" w:themeColor="text1"/>
                <w:sz w:val="24"/>
                <w:szCs w:val="24"/>
                <w:highlight w:val="none"/>
                <w14:textFill>
                  <w14:solidFill>
                    <w14:schemeClr w14:val="tx1"/>
                  </w14:solidFill>
                </w14:textFill>
              </w:rPr>
              <w:t>最高得</w:t>
            </w:r>
            <w:r>
              <w:rPr>
                <w:rFonts w:hint="default" w:ascii="宋体" w:hAnsi="宋体" w:cs="宋体"/>
                <w:color w:val="000000" w:themeColor="text1"/>
                <w:sz w:val="24"/>
                <w:szCs w:val="24"/>
                <w:highlight w:val="none"/>
                <w:lang w:val="en-US" w:eastAsia="zh-CN"/>
                <w14:textFill>
                  <w14:solidFill>
                    <w14:schemeClr w14:val="tx1"/>
                  </w14:solidFill>
                </w14:textFill>
              </w:rPr>
              <w:t>7</w:t>
            </w:r>
            <w:r>
              <w:rPr>
                <w:rFonts w:hint="default" w:ascii="宋体" w:hAnsi="宋体" w:eastAsia="宋体" w:cs="宋体"/>
                <w:color w:val="000000" w:themeColor="text1"/>
                <w:sz w:val="24"/>
                <w:szCs w:val="24"/>
                <w:highlight w:val="none"/>
                <w14:textFill>
                  <w14:solidFill>
                    <w14:schemeClr w14:val="tx1"/>
                  </w14:solidFill>
                </w14:textFill>
              </w:rPr>
              <w:t>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31" w:hRule="atLeast"/>
          <w:jc w:val="center"/>
        </w:trPr>
        <w:tc>
          <w:tcPr>
            <w:tcW w:w="855"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第三方评价</w:t>
            </w:r>
          </w:p>
        </w:tc>
        <w:tc>
          <w:tcPr>
            <w:tcW w:w="667" w:type="dxa"/>
            <w:vAlign w:val="center"/>
          </w:tcPr>
          <w:p>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w:t>
            </w:r>
          </w:p>
        </w:tc>
        <w:tc>
          <w:tcPr>
            <w:tcW w:w="9966" w:type="dxa"/>
            <w:vAlign w:val="center"/>
          </w:tcPr>
          <w:p>
            <w:pPr>
              <w:numPr>
                <w:ilvl w:val="-1"/>
                <w:numId w:val="0"/>
              </w:numPr>
              <w:shd w:val="clear"/>
              <w:tabs>
                <w:tab w:val="left" w:pos="360"/>
              </w:tabs>
              <w:autoSpaceDE w:val="0"/>
              <w:autoSpaceDN w:val="0"/>
              <w:adjustRightInd w:val="0"/>
              <w:ind w:right="61" w:rightChars="2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w:t>
            </w:r>
            <w:r>
              <w:rPr>
                <w:rFonts w:ascii="宋体" w:hAnsi="宋体" w:cs="宋体"/>
                <w:color w:val="000000" w:themeColor="text1"/>
                <w:sz w:val="24"/>
                <w:szCs w:val="24"/>
                <w:highlight w:val="none"/>
                <w14:textFill>
                  <w14:solidFill>
                    <w14:schemeClr w14:val="tx1"/>
                  </w14:solidFill>
                </w14:textFill>
              </w:rPr>
              <w:t>（若为联合体投标，指联合体牵头单位）</w:t>
            </w:r>
            <w:r>
              <w:rPr>
                <w:rFonts w:hint="eastAsia" w:ascii="宋体" w:hAnsi="宋体" w:cs="宋体"/>
                <w:color w:val="000000" w:themeColor="text1"/>
                <w:sz w:val="24"/>
                <w:szCs w:val="24"/>
                <w:highlight w:val="none"/>
                <w14:textFill>
                  <w14:solidFill>
                    <w14:schemeClr w14:val="tx1"/>
                  </w14:solidFill>
                </w14:textFill>
              </w:rPr>
              <w:t>获得纳税信用等级</w:t>
            </w:r>
            <w:r>
              <w:rPr>
                <w:rFonts w:ascii="宋体" w:hAnsi="宋体" w:cs="宋体"/>
                <w:color w:val="000000" w:themeColor="text1"/>
                <w:sz w:val="24"/>
                <w:szCs w:val="24"/>
                <w:highlight w:val="none"/>
                <w14:textFill>
                  <w14:solidFill>
                    <w14:schemeClr w14:val="tx1"/>
                  </w14:solidFill>
                </w14:textFill>
              </w:rPr>
              <w:t>A级纳税人荣誉连续年限（须包含最新评审年份202</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ascii="宋体" w:hAnsi="宋体" w:cs="宋体"/>
                <w:color w:val="000000" w:themeColor="text1"/>
                <w:sz w:val="24"/>
                <w:szCs w:val="24"/>
                <w:highlight w:val="none"/>
                <w14:textFill>
                  <w14:solidFill>
                    <w14:schemeClr w14:val="tx1"/>
                  </w14:solidFill>
                </w14:textFill>
              </w:rPr>
              <w:t>年）：</w:t>
            </w:r>
          </w:p>
          <w:p>
            <w:pPr>
              <w:numPr>
                <w:ilvl w:val="-1"/>
                <w:numId w:val="0"/>
              </w:numPr>
              <w:shd w:val="clear"/>
              <w:tabs>
                <w:tab w:val="left" w:pos="360"/>
              </w:tabs>
              <w:autoSpaceDE w:val="0"/>
              <w:autoSpaceDN w:val="0"/>
              <w:adjustRightInd w:val="0"/>
              <w:ind w:right="61" w:rightChars="2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1）连续</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ascii="宋体" w:hAnsi="宋体" w:cs="宋体"/>
                <w:color w:val="000000" w:themeColor="text1"/>
                <w:sz w:val="24"/>
                <w:szCs w:val="24"/>
                <w:highlight w:val="none"/>
                <w14:textFill>
                  <w14:solidFill>
                    <w14:schemeClr w14:val="tx1"/>
                  </w14:solidFill>
                </w14:textFill>
              </w:rPr>
              <w:t>年(含</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ascii="宋体" w:hAnsi="宋体" w:cs="宋体"/>
                <w:color w:val="000000" w:themeColor="text1"/>
                <w:sz w:val="24"/>
                <w:szCs w:val="24"/>
                <w:highlight w:val="none"/>
                <w14:textFill>
                  <w14:solidFill>
                    <w14:schemeClr w14:val="tx1"/>
                  </w14:solidFill>
                </w14:textFill>
              </w:rPr>
              <w:t>年)以上的，得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ascii="宋体" w:hAnsi="宋体" w:cs="宋体"/>
                <w:color w:val="000000" w:themeColor="text1"/>
                <w:sz w:val="24"/>
                <w:szCs w:val="24"/>
                <w:highlight w:val="none"/>
                <w14:textFill>
                  <w14:solidFill>
                    <w14:schemeClr w14:val="tx1"/>
                  </w14:solidFill>
                </w14:textFill>
              </w:rPr>
              <w:t>分；</w:t>
            </w:r>
          </w:p>
          <w:p>
            <w:pPr>
              <w:numPr>
                <w:ilvl w:val="-1"/>
                <w:numId w:val="0"/>
              </w:numPr>
              <w:shd w:val="clear"/>
              <w:tabs>
                <w:tab w:val="left" w:pos="360"/>
              </w:tabs>
              <w:autoSpaceDE w:val="0"/>
              <w:autoSpaceDN w:val="0"/>
              <w:adjustRightInd w:val="0"/>
              <w:ind w:right="61" w:rightChars="2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2）连续</w:t>
            </w:r>
            <w:r>
              <w:rPr>
                <w:rFonts w:hint="eastAsia" w:ascii="宋体" w:hAnsi="宋体" w:cs="宋体"/>
                <w:color w:val="000000" w:themeColor="text1"/>
                <w:sz w:val="24"/>
                <w:szCs w:val="24"/>
                <w:highlight w:val="none"/>
                <w:lang w:val="en-US" w:eastAsia="zh-CN"/>
                <w14:textFill>
                  <w14:solidFill>
                    <w14:schemeClr w14:val="tx1"/>
                  </w14:solidFill>
                </w14:textFill>
              </w:rPr>
              <w:t>3-4</w:t>
            </w:r>
            <w:r>
              <w:rPr>
                <w:rFonts w:ascii="宋体" w:hAnsi="宋体" w:cs="宋体"/>
                <w:color w:val="000000" w:themeColor="text1"/>
                <w:sz w:val="24"/>
                <w:szCs w:val="24"/>
                <w:highlight w:val="none"/>
                <w14:textFill>
                  <w14:solidFill>
                    <w14:schemeClr w14:val="tx1"/>
                  </w14:solidFill>
                </w14:textFill>
              </w:rPr>
              <w:t>年的，得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ascii="宋体" w:hAnsi="宋体" w:cs="宋体"/>
                <w:color w:val="000000" w:themeColor="text1"/>
                <w:sz w:val="24"/>
                <w:szCs w:val="24"/>
                <w:highlight w:val="none"/>
                <w14:textFill>
                  <w14:solidFill>
                    <w14:schemeClr w14:val="tx1"/>
                  </w14:solidFill>
                </w14:textFill>
              </w:rPr>
              <w:t>分；</w:t>
            </w:r>
          </w:p>
          <w:p>
            <w:pPr>
              <w:numPr>
                <w:ilvl w:val="-1"/>
                <w:numId w:val="0"/>
              </w:numPr>
              <w:shd w:val="clear"/>
              <w:tabs>
                <w:tab w:val="left" w:pos="360"/>
              </w:tabs>
              <w:autoSpaceDE w:val="0"/>
              <w:autoSpaceDN w:val="0"/>
              <w:adjustRightInd w:val="0"/>
              <w:ind w:right="61" w:rightChars="29"/>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3）连续</w:t>
            </w: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ascii="宋体" w:hAnsi="宋体" w:cs="宋体"/>
                <w:color w:val="000000" w:themeColor="text1"/>
                <w:sz w:val="24"/>
                <w:szCs w:val="24"/>
                <w:highlight w:val="none"/>
                <w14:textFill>
                  <w14:solidFill>
                    <w14:schemeClr w14:val="tx1"/>
                  </w14:solidFill>
                </w14:textFill>
              </w:rPr>
              <w:t>年的，得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分；</w:t>
            </w:r>
          </w:p>
          <w:p>
            <w:pPr>
              <w:numPr>
                <w:ilvl w:val="-1"/>
                <w:numId w:val="0"/>
              </w:numPr>
              <w:shd w:val="clear"/>
              <w:tabs>
                <w:tab w:val="left" w:pos="360"/>
              </w:tabs>
              <w:autoSpaceDE w:val="0"/>
              <w:autoSpaceDN w:val="0"/>
              <w:adjustRightInd w:val="0"/>
              <w:ind w:right="61" w:rightChars="29"/>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注：本项最高得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ascii="宋体" w:hAnsi="宋体" w:cs="宋体"/>
                <w:color w:val="000000" w:themeColor="text1"/>
                <w:sz w:val="24"/>
                <w:szCs w:val="24"/>
                <w:highlight w:val="none"/>
                <w14:textFill>
                  <w14:solidFill>
                    <w14:schemeClr w14:val="tx1"/>
                  </w14:solidFill>
                </w14:textFill>
              </w:rPr>
              <w:t>分，不符合条件或不提供资料不得分。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70"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restart"/>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施工组织设计</w:t>
            </w:r>
          </w:p>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（64分）</w:t>
            </w:r>
          </w:p>
        </w:tc>
        <w:tc>
          <w:tcPr>
            <w:tcW w:w="1333" w:type="dxa"/>
            <w:vMerge w:val="restart"/>
            <w:vAlign w:val="center"/>
          </w:tcPr>
          <w:p>
            <w:pPr>
              <w:shd w:val="clear"/>
              <w:rPr>
                <w:color w:val="000000" w:themeColor="text1"/>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设计和施工的融合措施</w:t>
            </w:r>
          </w:p>
          <w:p>
            <w:pPr>
              <w:shd w:val="clear"/>
              <w:jc w:val="center"/>
              <w:rPr>
                <w:rFonts w:ascii="宋体" w:hAnsi="宋体" w:cs="宋体"/>
                <w:color w:val="000000" w:themeColor="text1"/>
                <w:sz w:val="24"/>
                <w:szCs w:val="24"/>
                <w:highlight w:val="none"/>
                <w14:textFill>
                  <w14:solidFill>
                    <w14:schemeClr w14:val="tx1"/>
                  </w14:solidFill>
                </w14:textFill>
              </w:rPr>
            </w:pPr>
          </w:p>
        </w:tc>
        <w:tc>
          <w:tcPr>
            <w:tcW w:w="667" w:type="dxa"/>
            <w:vMerge w:val="restart"/>
            <w:vAlign w:val="center"/>
          </w:tcPr>
          <w:p>
            <w:pPr>
              <w:shd w:val="clear"/>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28</w:t>
            </w:r>
          </w:p>
        </w:tc>
        <w:tc>
          <w:tcPr>
            <w:tcW w:w="9966" w:type="dxa"/>
            <w:tcBorders>
              <w:bottom w:val="single" w:color="auto" w:sz="4" w:space="0"/>
            </w:tcBorders>
            <w:vAlign w:val="center"/>
          </w:tcPr>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项目管理机构人员配备情况（若为联合体，</w:t>
            </w:r>
            <w:r>
              <w:rPr>
                <w:rFonts w:hint="eastAsia" w:ascii="宋体" w:hAnsi="宋体" w:cs="宋体"/>
                <w:color w:val="000000" w:themeColor="text1"/>
                <w:sz w:val="24"/>
                <w:szCs w:val="24"/>
                <w:highlight w:val="none"/>
                <w14:textFill>
                  <w14:solidFill>
                    <w14:schemeClr w14:val="tx1"/>
                  </w14:solidFill>
                </w14:textFill>
              </w:rPr>
              <w:t>指承担施工任务的单位</w:t>
            </w:r>
            <w:r>
              <w:rPr>
                <w:rFonts w:ascii="宋体" w:hAnsi="宋体" w:cs="宋体"/>
                <w:color w:val="000000" w:themeColor="text1"/>
                <w:sz w:val="24"/>
                <w:szCs w:val="24"/>
                <w:highlight w:val="none"/>
                <w14:textFill>
                  <w14:solidFill>
                    <w14:schemeClr w14:val="tx1"/>
                  </w14:solidFill>
                </w14:textFill>
              </w:rPr>
              <w:t>）（本项最高得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（1）质量负责人（本小项最高得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具有中级（或以上）工程师职称的，得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（2）安全负责人（本小项最高得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具有中级（或以上）工程师职称的，得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（3）造价负责人（本小项最高得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具有一级注册造价师证书的，得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（4）其他人员（本小项最高得</w:t>
            </w:r>
            <w:r>
              <w:rPr>
                <w:rFonts w:hint="eastAsia" w:ascii="宋体" w:hAnsi="宋体" w:cs="宋体"/>
                <w:color w:val="000000" w:themeColor="text1"/>
                <w:sz w:val="24"/>
                <w:szCs w:val="24"/>
                <w:highlight w:val="none"/>
                <w:lang w:val="en-US" w:eastAsia="zh-CN"/>
                <w14:textFill>
                  <w14:solidFill>
                    <w14:schemeClr w14:val="tx1"/>
                  </w14:solidFill>
                </w14:textFill>
              </w:rPr>
              <w:t>0.5</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具有中级（或以上）工程师职称的不少于2人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得0.5分</w:t>
            </w:r>
            <w:r>
              <w:rPr>
                <w:rFonts w:ascii="宋体" w:hAnsi="宋体" w:cs="宋体"/>
                <w:color w:val="000000" w:themeColor="text1"/>
                <w:sz w:val="24"/>
                <w:szCs w:val="24"/>
                <w:highlight w:val="none"/>
                <w14:textFill>
                  <w14:solidFill>
                    <w14:schemeClr w14:val="tx1"/>
                  </w14:solidFill>
                </w14:textFill>
              </w:rPr>
              <w:t>。</w:t>
            </w:r>
          </w:p>
        </w:tc>
        <w:tc>
          <w:tcPr>
            <w:tcW w:w="634" w:type="dxa"/>
            <w:vMerge w:val="restart"/>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vMerge w:val="restart"/>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667"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9966" w:type="dxa"/>
            <w:tcBorders>
              <w:bottom w:val="single" w:color="auto" w:sz="4" w:space="0"/>
            </w:tcBorders>
            <w:vAlign w:val="center"/>
          </w:tcPr>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设计团队人员配备情况（若为联合体，指联合体设计单位）（本项最高得</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1）设计负责人：（2分）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具有一级注册建筑师证书的</w:t>
            </w:r>
            <w:r>
              <w:rPr>
                <w:rFonts w:hint="eastAsia" w:ascii="宋体" w:hAnsi="宋体" w:cs="宋体"/>
                <w:color w:val="000000" w:themeColor="text1"/>
                <w:sz w:val="24"/>
                <w:szCs w:val="24"/>
                <w:highlight w:val="none"/>
                <w14:textFill>
                  <w14:solidFill>
                    <w14:schemeClr w14:val="tx1"/>
                  </w14:solidFill>
                </w14:textFill>
              </w:rPr>
              <w:t>，得</w:t>
            </w:r>
            <w:r>
              <w:rPr>
                <w:rFonts w:ascii="宋体" w:hAnsi="宋体" w:cs="宋体"/>
                <w:color w:val="000000" w:themeColor="text1"/>
                <w:sz w:val="24"/>
                <w:szCs w:val="24"/>
                <w:highlight w:val="none"/>
                <w14:textFill>
                  <w14:solidFill>
                    <w14:schemeClr w14:val="tx1"/>
                  </w14:solidFill>
                </w14:textFill>
              </w:rPr>
              <w:t>2分；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（2）建筑专业设计负责人：（4分）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①具有一级注册建筑师证书的，得2分；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②具有建筑相关专业高级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工程师职称的，得2分；具有建筑相关专业中级工程师职称证书的，得1分，未提供不得分。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（3）结构专业设计负责人：（4分）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①具有一级注册结构工程师证书的，得2分；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②具有建筑相关专业高级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职称证书的，得2分；具有建筑相关专业中级工程师职称证书的，得1分，未提供不得分。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（4）给排水专业设计负责人：（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具有给水排水相关专业高级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职称证书的，得2分；具有给水排水相关专业中级工程师职称证书的，得1分，未提供不得分。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（5）电气专业设计负责人：（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具有建筑电气相关专业高级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职称证书的，得2分；具有建筑电气相关专业中级工程师职称证书的，得1分，未提供不得分。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（6）暖通专业设计负责人：（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具有供暖通风或空调等相关专业高级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职称证书的，得2分；具有供暖通风或空调等相关专业中级工程师职称证书的，得1分，未提供不得分。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lang w:val="en-US" w:eastAsia="zh-CN"/>
                <w14:textFill>
                  <w14:solidFill>
                    <w14:schemeClr w14:val="tx1"/>
                  </w14:solidFill>
                </w14:textFill>
              </w:rPr>
              <w:t>人防专业</w:t>
            </w:r>
            <w:r>
              <w:rPr>
                <w:rFonts w:ascii="宋体" w:hAnsi="宋体" w:cs="宋体"/>
                <w:color w:val="000000" w:themeColor="text1"/>
                <w:sz w:val="24"/>
                <w:szCs w:val="24"/>
                <w:highlight w:val="none"/>
                <w14:textFill>
                  <w14:solidFill>
                    <w14:schemeClr w14:val="tx1"/>
                  </w14:solidFill>
                </w14:textFill>
              </w:rPr>
              <w:t>负责人：（</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具有</w:t>
            </w:r>
            <w:r>
              <w:rPr>
                <w:rFonts w:ascii="宋体" w:hAnsi="宋体" w:cs="宋体"/>
                <w:color w:val="000000" w:themeColor="text1"/>
                <w:sz w:val="24"/>
                <w:szCs w:val="24"/>
                <w:highlight w:val="none"/>
                <w:lang w:val="en-US" w:eastAsia="zh-CN"/>
                <w14:textFill>
                  <w14:solidFill>
                    <w14:schemeClr w14:val="tx1"/>
                  </w14:solidFill>
                </w14:textFill>
              </w:rPr>
              <w:t>建筑防护</w:t>
            </w:r>
            <w:r>
              <w:rPr>
                <w:rFonts w:ascii="宋体" w:hAnsi="宋体" w:cs="宋体"/>
                <w:color w:val="000000" w:themeColor="text1"/>
                <w:sz w:val="24"/>
                <w:szCs w:val="24"/>
                <w:highlight w:val="none"/>
                <w14:textFill>
                  <w14:solidFill>
                    <w14:schemeClr w14:val="tx1"/>
                  </w14:solidFill>
                </w14:textFill>
              </w:rPr>
              <w:t>相关专业高级</w:t>
            </w:r>
            <w:r>
              <w:rPr>
                <w:rFonts w:hint="eastAsia" w:ascii="宋体" w:hAnsi="宋体" w:cs="宋体"/>
                <w:color w:val="000000" w:themeColor="text1"/>
                <w:sz w:val="24"/>
                <w:szCs w:val="24"/>
                <w:highlight w:val="none"/>
                <w14:textFill>
                  <w14:solidFill>
                    <w14:schemeClr w14:val="tx1"/>
                  </w14:solidFill>
                </w14:textFill>
              </w:rPr>
              <w:t>或以上</w:t>
            </w:r>
            <w:r>
              <w:rPr>
                <w:rFonts w:ascii="宋体" w:hAnsi="宋体" w:cs="宋体"/>
                <w:color w:val="000000" w:themeColor="text1"/>
                <w:sz w:val="24"/>
                <w:szCs w:val="24"/>
                <w:highlight w:val="none"/>
                <w14:textFill>
                  <w14:solidFill>
                    <w14:schemeClr w14:val="tx1"/>
                  </w14:solidFill>
                </w14:textFill>
              </w:rPr>
              <w:t>职称证书的，得2分；具有</w:t>
            </w:r>
            <w:r>
              <w:rPr>
                <w:rFonts w:ascii="宋体" w:hAnsi="宋体" w:cs="宋体"/>
                <w:color w:val="000000" w:themeColor="text1"/>
                <w:sz w:val="24"/>
                <w:szCs w:val="24"/>
                <w:highlight w:val="none"/>
                <w:lang w:val="en-US" w:eastAsia="zh-CN"/>
                <w14:textFill>
                  <w14:solidFill>
                    <w14:schemeClr w14:val="tx1"/>
                  </w14:solidFill>
                </w14:textFill>
              </w:rPr>
              <w:t>建筑防护</w:t>
            </w:r>
            <w:r>
              <w:rPr>
                <w:rFonts w:ascii="宋体" w:hAnsi="宋体" w:cs="宋体"/>
                <w:color w:val="000000" w:themeColor="text1"/>
                <w:sz w:val="24"/>
                <w:szCs w:val="24"/>
                <w:highlight w:val="none"/>
                <w14:textFill>
                  <w14:solidFill>
                    <w14:schemeClr w14:val="tx1"/>
                  </w14:solidFill>
                </w14:textFill>
              </w:rPr>
              <w:t>相关专业中级工程师职称证书的，得1分，未提供不得分</w:t>
            </w:r>
          </w:p>
          <w:p>
            <w:pPr>
              <w:shd w:val="clear"/>
              <w:jc w:val="left"/>
              <w:rPr>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注：本项最高得</w:t>
            </w:r>
            <w:r>
              <w:rPr>
                <w:rFonts w:hint="eastAsia" w:ascii="宋体" w:hAnsi="宋体" w:cs="宋体"/>
                <w:color w:val="000000" w:themeColor="text1"/>
                <w:sz w:val="24"/>
                <w:szCs w:val="24"/>
                <w:highlight w:val="none"/>
                <w:lang w:val="en-US" w:eastAsia="zh-CN"/>
                <w14:textFill>
                  <w14:solidFill>
                    <w14:schemeClr w14:val="tx1"/>
                  </w14:solidFill>
                </w14:textFill>
              </w:rPr>
              <w:t>18</w:t>
            </w:r>
            <w:r>
              <w:rPr>
                <w:rFonts w:ascii="宋体" w:hAnsi="宋体" w:cs="宋体"/>
                <w:color w:val="000000" w:themeColor="text1"/>
                <w:sz w:val="24"/>
                <w:szCs w:val="24"/>
                <w:highlight w:val="none"/>
                <w14:textFill>
                  <w14:solidFill>
                    <w14:schemeClr w14:val="tx1"/>
                  </w14:solidFill>
                </w14:textFill>
              </w:rPr>
              <w:t>分</w:t>
            </w:r>
          </w:p>
        </w:tc>
        <w:tc>
          <w:tcPr>
            <w:tcW w:w="634"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855" w:type="dxa"/>
            <w:vMerge w:val="continue"/>
            <w:vAlign w:val="center"/>
          </w:tcPr>
          <w:p>
            <w:pPr>
              <w:shd w:val="clear"/>
              <w:jc w:val="left"/>
              <w:rPr>
                <w:color w:val="000000" w:themeColor="text1"/>
                <w:highlight w:val="none"/>
                <w14:textFill>
                  <w14:solidFill>
                    <w14:schemeClr w14:val="tx1"/>
                  </w14:solidFill>
                </w14:textFill>
              </w:rPr>
            </w:pPr>
          </w:p>
        </w:tc>
        <w:tc>
          <w:tcPr>
            <w:tcW w:w="773" w:type="dxa"/>
            <w:vMerge w:val="continue"/>
            <w:vAlign w:val="center"/>
          </w:tcPr>
          <w:p>
            <w:pPr>
              <w:shd w:val="clear"/>
              <w:jc w:val="left"/>
              <w:rPr>
                <w:color w:val="000000" w:themeColor="text1"/>
                <w:highlight w:val="none"/>
                <w14:textFill>
                  <w14:solidFill>
                    <w14:schemeClr w14:val="tx1"/>
                  </w14:solidFill>
                </w14:textFill>
              </w:rPr>
            </w:pPr>
          </w:p>
        </w:tc>
        <w:tc>
          <w:tcPr>
            <w:tcW w:w="1333" w:type="dxa"/>
            <w:vMerge w:val="continue"/>
            <w:vAlign w:val="center"/>
          </w:tcPr>
          <w:p>
            <w:pPr>
              <w:shd w:val="clear"/>
              <w:jc w:val="left"/>
              <w:rPr>
                <w:color w:val="000000" w:themeColor="text1"/>
                <w:highlight w:val="none"/>
                <w14:textFill>
                  <w14:solidFill>
                    <w14:schemeClr w14:val="tx1"/>
                  </w14:solidFill>
                </w14:textFill>
              </w:rPr>
            </w:pPr>
          </w:p>
        </w:tc>
        <w:tc>
          <w:tcPr>
            <w:tcW w:w="667" w:type="dxa"/>
            <w:vMerge w:val="continue"/>
            <w:vAlign w:val="center"/>
          </w:tcPr>
          <w:p>
            <w:pPr>
              <w:shd w:val="clear"/>
              <w:jc w:val="left"/>
              <w:rPr>
                <w:color w:val="000000" w:themeColor="text1"/>
                <w:highlight w:val="none"/>
                <w14:textFill>
                  <w14:solidFill>
                    <w14:schemeClr w14:val="tx1"/>
                  </w14:solidFill>
                </w14:textFill>
              </w:rPr>
            </w:pPr>
          </w:p>
        </w:tc>
        <w:tc>
          <w:tcPr>
            <w:tcW w:w="9966" w:type="dxa"/>
            <w:tcBorders>
              <w:bottom w:val="single" w:color="auto" w:sz="4" w:space="0"/>
            </w:tcBorders>
            <w:vAlign w:val="center"/>
          </w:tcPr>
          <w:p>
            <w:pPr>
              <w:shd w:val="clear"/>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勘察</w:t>
            </w:r>
            <w:r>
              <w:rPr>
                <w:rFonts w:ascii="宋体" w:hAnsi="宋体" w:cs="宋体"/>
                <w:color w:val="000000" w:themeColor="text1"/>
                <w:sz w:val="24"/>
                <w:szCs w:val="24"/>
                <w:highlight w:val="none"/>
                <w14:textFill>
                  <w14:solidFill>
                    <w14:schemeClr w14:val="tx1"/>
                  </w14:solidFill>
                </w14:textFill>
              </w:rPr>
              <w:t>人员配备情况（若为联合体，指联合体</w:t>
            </w:r>
            <w:r>
              <w:rPr>
                <w:rFonts w:hint="eastAsia" w:ascii="宋体" w:hAnsi="宋体" w:cs="宋体"/>
                <w:color w:val="000000" w:themeColor="text1"/>
                <w:sz w:val="24"/>
                <w:szCs w:val="24"/>
                <w:highlight w:val="none"/>
                <w14:textFill>
                  <w14:solidFill>
                    <w14:schemeClr w14:val="tx1"/>
                  </w14:solidFill>
                </w14:textFill>
              </w:rPr>
              <w:t>勘察</w:t>
            </w:r>
            <w:r>
              <w:rPr>
                <w:rFonts w:ascii="宋体" w:hAnsi="宋体" w:cs="宋体"/>
                <w:color w:val="000000" w:themeColor="text1"/>
                <w:sz w:val="24"/>
                <w:szCs w:val="24"/>
                <w:highlight w:val="none"/>
                <w14:textFill>
                  <w14:solidFill>
                    <w14:schemeClr w14:val="tx1"/>
                  </w14:solidFill>
                </w14:textFill>
              </w:rPr>
              <w:t>单位）（本项最高得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1）勘察负责人：（</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ascii="宋体" w:hAnsi="宋体" w:cs="宋体"/>
                <w:color w:val="000000" w:themeColor="text1"/>
                <w:sz w:val="24"/>
                <w:szCs w:val="24"/>
                <w:highlight w:val="none"/>
                <w14:textFill>
                  <w14:solidFill>
                    <w14:schemeClr w14:val="tx1"/>
                  </w14:solidFill>
                </w14:textFill>
              </w:rPr>
              <w:t>分）</w:t>
            </w:r>
          </w:p>
          <w:p>
            <w:pPr>
              <w:shd w:val="clear"/>
              <w:jc w:val="left"/>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①具有注册土木工程师（岩土）证书的，得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p>
          <w:p>
            <w:pPr>
              <w:shd w:val="clear"/>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②</w:t>
            </w:r>
            <w:r>
              <w:rPr>
                <w:rFonts w:hint="eastAsia" w:ascii="宋体" w:hAnsi="宋体" w:cs="宋体"/>
                <w:color w:val="000000" w:themeColor="text1"/>
                <w:sz w:val="24"/>
                <w:szCs w:val="24"/>
                <w:highlight w:val="none"/>
                <w14:textFill>
                  <w14:solidFill>
                    <w14:schemeClr w14:val="tx1"/>
                  </w14:solidFill>
                </w14:textFill>
              </w:rPr>
              <w:t>具有</w:t>
            </w:r>
            <w:r>
              <w:rPr>
                <w:rFonts w:hint="eastAsia" w:ascii="宋体" w:hAnsi="宋体" w:cs="宋体"/>
                <w:color w:val="000000" w:themeColor="text1"/>
                <w:sz w:val="24"/>
                <w:szCs w:val="24"/>
                <w:highlight w:val="none"/>
                <w:lang w:val="en-US" w:eastAsia="zh-CN"/>
                <w14:textFill>
                  <w14:solidFill>
                    <w14:schemeClr w14:val="tx1"/>
                  </w14:solidFill>
                </w14:textFill>
              </w:rPr>
              <w:t>正</w:t>
            </w:r>
            <w:r>
              <w:rPr>
                <w:rFonts w:hint="eastAsia" w:ascii="宋体" w:hAnsi="宋体" w:cs="宋体"/>
                <w:color w:val="000000" w:themeColor="text1"/>
                <w:sz w:val="24"/>
                <w:szCs w:val="24"/>
                <w:highlight w:val="none"/>
                <w14:textFill>
                  <w14:solidFill>
                    <w14:schemeClr w14:val="tx1"/>
                  </w14:solidFill>
                </w14:textFill>
              </w:rPr>
              <w:t>高级或以上工程师职称的，得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14:textFill>
                  <w14:solidFill>
                    <w14:schemeClr w14:val="tx1"/>
                  </w14:solidFill>
                </w14:textFill>
              </w:rPr>
              <w:t>具有高级工程师职称的，得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其余不得分</w:t>
            </w:r>
          </w:p>
          <w:p>
            <w:pPr>
              <w:pStyle w:val="2"/>
              <w:numPr>
                <w:ilvl w:val="0"/>
                <w:numId w:val="5"/>
              </w:numPr>
              <w:shd w:val="clear"/>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其他人员（</w:t>
            </w:r>
            <w:r>
              <w:rPr>
                <w:rFonts w:hint="eastAsia" w:cs="宋体"/>
                <w:color w:val="000000" w:themeColor="text1"/>
                <w:sz w:val="24"/>
                <w:szCs w:val="24"/>
                <w:highlight w:val="none"/>
                <w:lang w:val="en-US" w:eastAsia="zh-CN"/>
                <w14:textFill>
                  <w14:solidFill>
                    <w14:schemeClr w14:val="tx1"/>
                  </w14:solidFill>
                </w14:textFill>
              </w:rPr>
              <w:t>2分</w:t>
            </w:r>
            <w:r>
              <w:rPr>
                <w:rFonts w:hint="eastAsia" w:cs="宋体"/>
                <w:color w:val="000000" w:themeColor="text1"/>
                <w:sz w:val="24"/>
                <w:szCs w:val="24"/>
                <w:highlight w:val="none"/>
                <w:lang w:eastAsia="zh-CN"/>
                <w14:textFill>
                  <w14:solidFill>
                    <w14:schemeClr w14:val="tx1"/>
                  </w14:solidFill>
                </w14:textFill>
              </w:rPr>
              <w:t>）</w:t>
            </w:r>
          </w:p>
          <w:p>
            <w:pPr>
              <w:shd w:val="clear"/>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除勘察负责人外，具备高级</w:t>
            </w:r>
            <w:r>
              <w:rPr>
                <w:rFonts w:ascii="宋体" w:hAnsi="宋体" w:cs="宋体"/>
                <w:color w:val="000000" w:themeColor="text1"/>
                <w:sz w:val="24"/>
                <w:szCs w:val="24"/>
                <w:highlight w:val="none"/>
                <w14:textFill>
                  <w14:solidFill>
                    <w14:schemeClr w14:val="tx1"/>
                  </w14:solidFill>
                </w14:textFill>
              </w:rPr>
              <w:t>或以上工程师职称的</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每人得0.5分，最高得2分。</w:t>
            </w:r>
          </w:p>
          <w:p>
            <w:pPr>
              <w:shd w:val="clear"/>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注：本项最高得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ascii="宋体" w:hAnsi="宋体" w:cs="宋体"/>
                <w:color w:val="000000" w:themeColor="text1"/>
                <w:sz w:val="24"/>
                <w:szCs w:val="24"/>
                <w:highlight w:val="none"/>
                <w14:textFill>
                  <w14:solidFill>
                    <w14:schemeClr w14:val="tx1"/>
                  </w14:solidFill>
                </w14:textFill>
              </w:rPr>
              <w:t>分</w:t>
            </w:r>
          </w:p>
        </w:tc>
        <w:tc>
          <w:tcPr>
            <w:tcW w:w="634" w:type="dxa"/>
            <w:vMerge w:val="continue"/>
          </w:tcPr>
          <w:p>
            <w:pPr>
              <w:shd w:val="clear"/>
              <w:jc w:val="left"/>
              <w:rPr>
                <w:rFonts w:hint="eastAsia" w:ascii="宋体" w:hAnsi="宋体" w:cs="宋体"/>
                <w:color w:val="000000" w:themeColor="text1"/>
                <w:sz w:val="24"/>
                <w:szCs w:val="24"/>
                <w:highlight w:val="none"/>
                <w14:textFill>
                  <w14:solidFill>
                    <w14:schemeClr w14:val="tx1"/>
                  </w14:solidFill>
                </w14:textFill>
              </w:rPr>
            </w:pPr>
          </w:p>
        </w:tc>
        <w:tc>
          <w:tcPr>
            <w:tcW w:w="532" w:type="dxa"/>
            <w:vMerge w:val="continue"/>
          </w:tcPr>
          <w:p>
            <w:pPr>
              <w:shd w:val="clear"/>
              <w:jc w:val="left"/>
              <w:rPr>
                <w:rFonts w:hint="eastAsia"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3"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Merge w:val="continue"/>
            <w:vAlign w:val="center"/>
          </w:tcPr>
          <w:p>
            <w:pPr>
              <w:shd w:val="clear"/>
              <w:jc w:val="center"/>
              <w:rPr>
                <w:rFonts w:ascii="宋体" w:hAnsi="宋体" w:cs="宋体"/>
                <w:color w:val="000000" w:themeColor="text1"/>
                <w:sz w:val="24"/>
                <w:szCs w:val="24"/>
                <w:highlight w:val="none"/>
                <w14:textFill>
                  <w14:solidFill>
                    <w14:schemeClr w14:val="tx1"/>
                  </w14:solidFill>
                </w14:textFill>
              </w:rPr>
            </w:pPr>
          </w:p>
        </w:tc>
        <w:tc>
          <w:tcPr>
            <w:tcW w:w="667" w:type="dxa"/>
            <w:vMerge w:val="continue"/>
            <w:vAlign w:val="center"/>
          </w:tcPr>
          <w:p>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9966" w:type="dxa"/>
            <w:tcBorders>
              <w:bottom w:val="single" w:color="auto" w:sz="4" w:space="0"/>
            </w:tcBorders>
            <w:vAlign w:val="center"/>
          </w:tcPr>
          <w:p>
            <w:pPr>
              <w:shd w:val="clea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4.设计和施工的融合措施方案</w:t>
            </w:r>
            <w:r>
              <w:rPr>
                <w:rFonts w:ascii="宋体" w:hAnsi="宋体" w:cs="宋体"/>
                <w:color w:val="000000" w:themeColor="text1"/>
                <w:sz w:val="24"/>
                <w:szCs w:val="24"/>
                <w:highlight w:val="none"/>
                <w14:textFill>
                  <w14:solidFill>
                    <w14:schemeClr w14:val="tx1"/>
                  </w14:solidFill>
                </w14:textFill>
              </w:rPr>
              <w:t>（本项最高得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ascii="宋体" w:hAnsi="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w:t>
            </w:r>
          </w:p>
          <w:p>
            <w:pPr>
              <w:shd w:val="clear"/>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有设计和施工的融合措施的，得1分，无得0分；</w:t>
            </w:r>
          </w:p>
          <w:p>
            <w:pPr>
              <w:shd w:val="clear"/>
              <w:jc w:val="left"/>
              <w:rPr>
                <w:rFonts w:hint="eastAsia"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根据本工程的项目的特点，提出详细的可行设计和施工的融合措施方案。优得1分，良得0.5分，一般得0.25分。</w:t>
            </w:r>
          </w:p>
        </w:tc>
        <w:tc>
          <w:tcPr>
            <w:tcW w:w="634"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8"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安全控制措施</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tcBorders>
              <w:top w:val="single" w:color="auto" w:sz="4" w:space="0"/>
            </w:tcBorders>
            <w:vAlign w:val="center"/>
          </w:tcPr>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根据本工程的安全文明施工目标，针对项目的特点，从安全文明施工管理体系、应急预案等方面提出详细的安全生产及文明施工保证措施。 </w:t>
            </w:r>
          </w:p>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优得 </w:t>
            </w:r>
            <w:r>
              <w:rPr>
                <w:rFonts w:hint="eastAsia" w:ascii="宋体" w:hAnsi="宋体" w:cs="宋体"/>
                <w:color w:val="000000" w:themeColor="text1"/>
                <w:sz w:val="24"/>
                <w:szCs w:val="24"/>
                <w:highlight w:val="none"/>
                <w:lang w:val="en-US" w:eastAsia="zh-CN" w:bidi="zh-TW"/>
                <w14:textFill>
                  <w14:solidFill>
                    <w14:schemeClr w14:val="tx1"/>
                  </w14:solidFill>
                </w14:textFill>
              </w:rPr>
              <w:t>6</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分，良得 </w:t>
            </w:r>
            <w:r>
              <w:rPr>
                <w:rFonts w:hint="eastAsia" w:ascii="宋体" w:hAnsi="宋体" w:cs="宋体"/>
                <w:color w:val="000000" w:themeColor="text1"/>
                <w:sz w:val="24"/>
                <w:szCs w:val="24"/>
                <w:highlight w:val="none"/>
                <w:lang w:val="en-US" w:eastAsia="zh-CN" w:bidi="zh-TW"/>
                <w14:textFill>
                  <w14:solidFill>
                    <w14:schemeClr w14:val="tx1"/>
                  </w14:solidFill>
                </w14:textFill>
              </w:rPr>
              <w:t>3</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分，差得 </w:t>
            </w:r>
            <w:r>
              <w:rPr>
                <w:rFonts w:hint="eastAsia" w:ascii="宋体" w:hAnsi="宋体" w:cs="宋体"/>
                <w:color w:val="000000" w:themeColor="text1"/>
                <w:sz w:val="24"/>
                <w:szCs w:val="24"/>
                <w:highlight w:val="none"/>
                <w:lang w:val="en-US" w:eastAsia="zh-CN" w:bidi="zh-TW"/>
                <w14:textFill>
                  <w14:solidFill>
                    <w14:schemeClr w14:val="tx1"/>
                  </w14:solidFill>
                </w14:textFill>
              </w:rPr>
              <w:t>1</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分，不提供的得 0 分。 </w:t>
            </w:r>
          </w:p>
        </w:tc>
        <w:tc>
          <w:tcPr>
            <w:tcW w:w="634"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vMerge w:val="continue"/>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质量控制措施</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vAlign w:val="center"/>
          </w:tcPr>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根据本工程的质量目标，针对项目的特点，从质量保证体系、材料的检测、质量通病的防治等方面提出详细的质量保证措施。 </w:t>
            </w:r>
          </w:p>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优得 </w:t>
            </w:r>
            <w:r>
              <w:rPr>
                <w:rFonts w:hint="eastAsia" w:ascii="宋体" w:hAnsi="宋体" w:cs="宋体"/>
                <w:color w:val="000000" w:themeColor="text1"/>
                <w:sz w:val="24"/>
                <w:szCs w:val="24"/>
                <w:highlight w:val="none"/>
                <w:lang w:val="en-US" w:eastAsia="zh-CN" w:bidi="zh-TW"/>
                <w14:textFill>
                  <w14:solidFill>
                    <w14:schemeClr w14:val="tx1"/>
                  </w14:solidFill>
                </w14:textFill>
              </w:rPr>
              <w:t>6</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分，良得 </w:t>
            </w:r>
            <w:r>
              <w:rPr>
                <w:rFonts w:hint="eastAsia" w:ascii="宋体" w:hAnsi="宋体" w:cs="宋体"/>
                <w:color w:val="000000" w:themeColor="text1"/>
                <w:sz w:val="24"/>
                <w:szCs w:val="24"/>
                <w:highlight w:val="none"/>
                <w:lang w:val="en-US" w:eastAsia="zh-CN" w:bidi="zh-TW"/>
                <w14:textFill>
                  <w14:solidFill>
                    <w14:schemeClr w14:val="tx1"/>
                  </w14:solidFill>
                </w14:textFill>
              </w:rPr>
              <w:t>3</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分，差得 1 分，不提供的得 0 分。 </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2"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进度控制措施</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vAlign w:val="center"/>
          </w:tcPr>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进度控制措施分析准确、措施得当。针对项目特点编制施工总进度计划及工期保证措施，确保实现工程进度目标。 </w:t>
            </w:r>
          </w:p>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优得 </w:t>
            </w:r>
            <w:r>
              <w:rPr>
                <w:rFonts w:hint="eastAsia" w:ascii="宋体" w:hAnsi="宋体" w:cs="宋体"/>
                <w:color w:val="000000" w:themeColor="text1"/>
                <w:sz w:val="24"/>
                <w:szCs w:val="24"/>
                <w:highlight w:val="none"/>
                <w:lang w:val="en-US" w:eastAsia="zh-CN" w:bidi="zh-TW"/>
                <w14:textFill>
                  <w14:solidFill>
                    <w14:schemeClr w14:val="tx1"/>
                  </w14:solidFill>
                </w14:textFill>
              </w:rPr>
              <w:t>6</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分，良得 </w:t>
            </w:r>
            <w:r>
              <w:rPr>
                <w:rFonts w:hint="eastAsia" w:ascii="宋体" w:hAnsi="宋体" w:cs="宋体"/>
                <w:color w:val="000000" w:themeColor="text1"/>
                <w:sz w:val="24"/>
                <w:szCs w:val="24"/>
                <w:highlight w:val="none"/>
                <w:lang w:val="en-US" w:eastAsia="zh-CN" w:bidi="zh-TW"/>
                <w14:textFill>
                  <w14:solidFill>
                    <w14:schemeClr w14:val="tx1"/>
                  </w14:solidFill>
                </w14:textFill>
              </w:rPr>
              <w:t>3</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分，差得 1 分，不提供的得 0 分。 </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2"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绿色节能控制措施</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vAlign w:val="center"/>
          </w:tcPr>
          <w:p>
            <w:pPr>
              <w:shd w:val="clea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承诺氢燃料电池汽车作为混凝土搅拌车和建筑废弃物运输车在本项目的使用，投入比例≥</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ascii="宋体" w:hAnsi="宋体" w:cs="宋体"/>
                <w:color w:val="000000" w:themeColor="text1"/>
                <w:sz w:val="24"/>
                <w:szCs w:val="24"/>
                <w:highlight w:val="none"/>
                <w14:textFill>
                  <w14:solidFill>
                    <w14:schemeClr w14:val="tx1"/>
                  </w14:solidFill>
                </w14:textFill>
              </w:rPr>
              <w:t>0%(即：投入的氢燃料电池汽车/投入的总车辆数≥</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ascii="宋体" w:hAnsi="宋体" w:cs="宋体"/>
                <w:color w:val="000000" w:themeColor="text1"/>
                <w:sz w:val="24"/>
                <w:szCs w:val="24"/>
                <w:highlight w:val="none"/>
                <w14:textFill>
                  <w14:solidFill>
                    <w14:schemeClr w14:val="tx1"/>
                  </w14:solidFill>
                </w14:textFill>
              </w:rPr>
              <w:t>0%)</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并</w:t>
            </w:r>
            <w:r>
              <w:rPr>
                <w:rFonts w:ascii="宋体" w:hAnsi="宋体" w:cs="宋体"/>
                <w:color w:val="000000" w:themeColor="text1"/>
                <w:sz w:val="24"/>
                <w:szCs w:val="24"/>
                <w:highlight w:val="none"/>
                <w14:textFill>
                  <w14:solidFill>
                    <w14:schemeClr w14:val="tx1"/>
                  </w14:solidFill>
                </w14:textFill>
              </w:rPr>
              <w:t>建立了完善的绿色施工管理体系，提出详细的绿色节能控制措施，编制能节约成本的保证措施。</w:t>
            </w:r>
          </w:p>
          <w:p>
            <w:pPr>
              <w:shd w:val="clea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zh-TW" w:eastAsia="zh-CN"/>
                <w14:textFill>
                  <w14:solidFill>
                    <w14:schemeClr w14:val="tx1"/>
                  </w14:solidFill>
                </w14:textFill>
              </w:rPr>
              <w:t>优得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lang w:val="zh-TW" w:eastAsia="zh-CN"/>
                <w14:textFill>
                  <w14:solidFill>
                    <w14:schemeClr w14:val="tx1"/>
                  </w14:solidFill>
                </w14:textFill>
              </w:rPr>
              <w:t xml:space="preserve">分，良得 </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val="zh-TW" w:eastAsia="zh-CN"/>
                <w14:textFill>
                  <w14:solidFill>
                    <w14:schemeClr w14:val="tx1"/>
                  </w14:solidFill>
                </w14:textFill>
              </w:rPr>
              <w:t>分，差得 1 分，不提供的得 0 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lang w:val="zh-TW" w:bidi="zh-TW"/>
                <w14:textFill>
                  <w14:solidFill>
                    <w14:schemeClr w14:val="tx1"/>
                  </w14:solidFill>
                </w14:textFill>
              </w:rPr>
              <w:t>各类管理方案及措施</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vAlign w:val="center"/>
          </w:tcPr>
          <w:p>
            <w:pPr>
              <w:shd w:val="clear"/>
              <w:jc w:val="left"/>
              <w:rPr>
                <w:rFonts w:hint="eastAsia" w:ascii="宋体" w:hAnsi="宋体" w:eastAsia="宋体" w:cs="宋体"/>
                <w:color w:val="000000" w:themeColor="text1"/>
                <w:sz w:val="24"/>
                <w:szCs w:val="24"/>
                <w:highlight w:val="none"/>
                <w:lang w:val="en-US" w:eastAsia="zh-CN" w:bidi="zh-TW"/>
                <w14:textFill>
                  <w14:solidFill>
                    <w14:schemeClr w14:val="tx1"/>
                  </w14:solidFill>
                </w14:textFill>
              </w:rPr>
            </w:pPr>
            <w:r>
              <w:rPr>
                <w:rFonts w:hint="eastAsia" w:ascii="宋体" w:hAnsi="宋体" w:cs="宋体"/>
                <w:color w:val="000000" w:themeColor="text1"/>
                <w:sz w:val="24"/>
                <w:szCs w:val="24"/>
                <w:highlight w:val="none"/>
                <w:lang w:val="zh-TW" w:bidi="zh-TW"/>
                <w14:textFill>
                  <w14:solidFill>
                    <w14:schemeClr w14:val="tx1"/>
                  </w14:solidFill>
                </w14:textFill>
              </w:rPr>
              <w:t>有</w:t>
            </w:r>
            <w:r>
              <w:rPr>
                <w:rFonts w:ascii="宋体" w:hAnsi="宋体" w:cs="宋体"/>
                <w:color w:val="000000" w:themeColor="text1"/>
                <w:sz w:val="24"/>
                <w:szCs w:val="24"/>
                <w:highlight w:val="none"/>
                <w:lang w:val="zh-TW" w:bidi="zh-TW"/>
                <w14:textFill>
                  <w14:solidFill>
                    <w14:schemeClr w14:val="tx1"/>
                  </w14:solidFill>
                </w14:textFill>
              </w:rPr>
              <w:t>工程报建方案及保证措施、勘察设计施工总承包风险控制措施、实名制管理方案、分包管理方案</w:t>
            </w:r>
            <w:r>
              <w:rPr>
                <w:rFonts w:hint="eastAsia" w:ascii="宋体" w:hAnsi="宋体" w:cs="宋体"/>
                <w:color w:val="000000" w:themeColor="text1"/>
                <w:sz w:val="24"/>
                <w:szCs w:val="24"/>
                <w:highlight w:val="none"/>
                <w:lang w:val="zh-TW" w:eastAsia="zh-CN" w:bidi="zh-TW"/>
                <w14:textFill>
                  <w14:solidFill>
                    <w14:schemeClr w14:val="tx1"/>
                  </w14:solidFill>
                </w14:textFill>
              </w:rPr>
              <w:t>。</w:t>
            </w:r>
          </w:p>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优得 6 分，良得 3 分，差得 1 分，不提供的得 0 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855"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773" w:type="dxa"/>
            <w:vMerge w:val="continue"/>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p>
        </w:tc>
        <w:tc>
          <w:tcPr>
            <w:tcW w:w="1333" w:type="dxa"/>
            <w:vAlign w:val="center"/>
          </w:tcPr>
          <w:p>
            <w:pPr>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投资控制</w:t>
            </w:r>
          </w:p>
        </w:tc>
        <w:tc>
          <w:tcPr>
            <w:tcW w:w="667" w:type="dxa"/>
            <w:vAlign w:val="center"/>
          </w:tcPr>
          <w:p>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9966" w:type="dxa"/>
            <w:vAlign w:val="center"/>
          </w:tcPr>
          <w:p>
            <w:pPr>
              <w:shd w:val="clear"/>
              <w:jc w:val="left"/>
              <w:rPr>
                <w:rFonts w:hint="eastAsia" w:ascii="宋体" w:hAnsi="宋体" w:cs="宋体"/>
                <w:color w:val="000000" w:themeColor="text1"/>
                <w:sz w:val="24"/>
                <w:szCs w:val="24"/>
                <w:highlight w:val="none"/>
                <w:lang w:val="zh-TW" w:eastAsia="zh-CN" w:bidi="zh-TW"/>
                <w14:textFill>
                  <w14:solidFill>
                    <w14:schemeClr w14:val="tx1"/>
                  </w14:solidFill>
                </w14:textFill>
              </w:rPr>
            </w:pPr>
            <w:r>
              <w:rPr>
                <w:rFonts w:hint="eastAsia" w:ascii="宋体" w:hAnsi="宋体" w:cs="宋体"/>
                <w:color w:val="000000" w:themeColor="text1"/>
                <w:sz w:val="24"/>
                <w:szCs w:val="24"/>
                <w:highlight w:val="none"/>
                <w:lang w:val="zh-TW" w:bidi="zh-TW"/>
                <w14:textFill>
                  <w14:solidFill>
                    <w14:schemeClr w14:val="tx1"/>
                  </w14:solidFill>
                </w14:textFill>
              </w:rPr>
              <w:t>投资控制措施齐全，有能有效保证业主利益，降低业主风险所采取的措施的</w:t>
            </w:r>
            <w:r>
              <w:rPr>
                <w:rFonts w:hint="eastAsia" w:ascii="宋体" w:hAnsi="宋体" w:cs="宋体"/>
                <w:color w:val="000000" w:themeColor="text1"/>
                <w:sz w:val="24"/>
                <w:szCs w:val="24"/>
                <w:highlight w:val="none"/>
                <w:lang w:val="zh-TW" w:eastAsia="zh-CN" w:bidi="zh-TW"/>
                <w14:textFill>
                  <w14:solidFill>
                    <w14:schemeClr w14:val="tx1"/>
                  </w14:solidFill>
                </w14:textFill>
              </w:rPr>
              <w:t>。</w:t>
            </w:r>
          </w:p>
          <w:p>
            <w:pPr>
              <w:shd w:val="clear"/>
              <w:jc w:val="left"/>
              <w:rPr>
                <w:rFonts w:ascii="宋体" w:hAnsi="宋体" w:cs="宋体"/>
                <w:color w:val="000000" w:themeColor="text1"/>
                <w:sz w:val="24"/>
                <w:szCs w:val="24"/>
                <w:highlight w:val="none"/>
                <w:lang w:val="zh-TW" w:bidi="zh-TW"/>
                <w14:textFill>
                  <w14:solidFill>
                    <w14:schemeClr w14:val="tx1"/>
                  </w14:solidFill>
                </w14:textFill>
              </w:rPr>
            </w:pP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优得 </w:t>
            </w:r>
            <w:r>
              <w:rPr>
                <w:rFonts w:hint="eastAsia" w:ascii="宋体" w:hAnsi="宋体" w:cs="宋体"/>
                <w:color w:val="000000" w:themeColor="text1"/>
                <w:sz w:val="24"/>
                <w:szCs w:val="24"/>
                <w:highlight w:val="none"/>
                <w:lang w:val="en-US" w:eastAsia="zh-CN" w:bidi="zh-TW"/>
                <w14:textFill>
                  <w14:solidFill>
                    <w14:schemeClr w14:val="tx1"/>
                  </w14:solidFill>
                </w14:textFill>
              </w:rPr>
              <w:t>6</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分，良得 </w:t>
            </w:r>
            <w:r>
              <w:rPr>
                <w:rFonts w:hint="eastAsia" w:ascii="宋体" w:hAnsi="宋体" w:cs="宋体"/>
                <w:color w:val="000000" w:themeColor="text1"/>
                <w:sz w:val="24"/>
                <w:szCs w:val="24"/>
                <w:highlight w:val="none"/>
                <w:lang w:val="en-US" w:eastAsia="zh-CN" w:bidi="zh-TW"/>
                <w14:textFill>
                  <w14:solidFill>
                    <w14:schemeClr w14:val="tx1"/>
                  </w14:solidFill>
                </w14:textFill>
              </w:rPr>
              <w:t>3</w:t>
            </w:r>
            <w:r>
              <w:rPr>
                <w:rFonts w:hint="eastAsia" w:ascii="宋体" w:hAnsi="宋体" w:cs="宋体"/>
                <w:color w:val="000000" w:themeColor="text1"/>
                <w:sz w:val="24"/>
                <w:szCs w:val="24"/>
                <w:highlight w:val="none"/>
                <w:lang w:val="zh-TW" w:eastAsia="zh-CN" w:bidi="zh-TW"/>
                <w14:textFill>
                  <w14:solidFill>
                    <w14:schemeClr w14:val="tx1"/>
                  </w14:solidFill>
                </w14:textFill>
              </w:rPr>
              <w:t xml:space="preserve"> 分，差得 1 分，不提供的得 0 分。</w:t>
            </w: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2961" w:type="dxa"/>
            <w:gridSpan w:val="3"/>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总计</w:t>
            </w:r>
          </w:p>
        </w:tc>
        <w:tc>
          <w:tcPr>
            <w:tcW w:w="667" w:type="dxa"/>
            <w:vAlign w:val="center"/>
          </w:tcPr>
          <w:p>
            <w:pPr>
              <w:widowControl/>
              <w:shd w:val="clear"/>
              <w:jc w:val="center"/>
              <w:rPr>
                <w:rFonts w:ascii="宋体" w:hAnsi="宋体" w:cs="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100</w:t>
            </w:r>
          </w:p>
        </w:tc>
        <w:tc>
          <w:tcPr>
            <w:tcW w:w="9966" w:type="dxa"/>
            <w:vAlign w:val="center"/>
          </w:tcPr>
          <w:p>
            <w:pPr>
              <w:widowControl/>
              <w:shd w:val="clear"/>
              <w:snapToGrid w:val="0"/>
              <w:ind w:right="134" w:rightChars="64"/>
              <w:rPr>
                <w:rFonts w:ascii="宋体" w:hAnsi="宋体" w:cs="宋体"/>
                <w:color w:val="000000" w:themeColor="text1"/>
                <w:sz w:val="24"/>
                <w:szCs w:val="24"/>
                <w:highlight w:val="none"/>
                <w14:textFill>
                  <w14:solidFill>
                    <w14:schemeClr w14:val="tx1"/>
                  </w14:solidFill>
                </w14:textFill>
              </w:rPr>
            </w:pPr>
          </w:p>
        </w:tc>
        <w:tc>
          <w:tcPr>
            <w:tcW w:w="634"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c>
          <w:tcPr>
            <w:tcW w:w="532" w:type="dxa"/>
          </w:tcPr>
          <w:p>
            <w:pPr>
              <w:widowControl/>
              <w:shd w:val="clear"/>
              <w:jc w:val="left"/>
              <w:rPr>
                <w:rFonts w:ascii="宋体" w:hAnsi="宋体" w:cs="宋体"/>
                <w:color w:val="000000" w:themeColor="text1"/>
                <w:sz w:val="24"/>
                <w:szCs w:val="24"/>
                <w:highlight w:val="none"/>
                <w14:textFill>
                  <w14:solidFill>
                    <w14:schemeClr w14:val="tx1"/>
                  </w14:solidFill>
                </w14:textFill>
              </w:rPr>
            </w:pPr>
          </w:p>
        </w:tc>
      </w:tr>
    </w:tbl>
    <w:p>
      <w:pPr>
        <w:shd w:val="clear"/>
        <w:spacing w:line="276" w:lineRule="auto"/>
        <w:rPr>
          <w:rFonts w:hint="eastAsia" w:ascii="宋体" w:hAnsi="宋体" w:cs="宋体"/>
          <w:color w:val="000000" w:themeColor="text1"/>
          <w:szCs w:val="21"/>
          <w:highlight w:val="none"/>
          <w14:textFill>
            <w14:solidFill>
              <w14:schemeClr w14:val="tx1"/>
            </w14:solidFill>
          </w14:textFill>
        </w:rPr>
      </w:pPr>
    </w:p>
    <w:p>
      <w:pPr>
        <w:shd w:val="clear"/>
        <w:spacing w:line="276"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p>
    <w:p>
      <w:pPr>
        <w:shd w:val="clear"/>
        <w:adjustRightInd w:val="0"/>
        <w:snapToGrid w:val="0"/>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1.类似业绩：</w:t>
      </w:r>
    </w:p>
    <w:p>
      <w:pPr>
        <w:shd w:val="clear"/>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1.1施工业绩：</w:t>
      </w:r>
      <w:r>
        <w:rPr>
          <w:rFonts w:hint="eastAsia" w:ascii="宋体" w:hAnsi="宋体" w:cs="宋体"/>
          <w:color w:val="000000" w:themeColor="text1"/>
          <w:szCs w:val="21"/>
          <w:highlight w:val="none"/>
          <w14:textFill>
            <w14:solidFill>
              <w14:schemeClr w14:val="tx1"/>
            </w14:solidFill>
          </w14:textFill>
        </w:rPr>
        <w:t>是指工程中标价大于或等于</w:t>
      </w:r>
      <w:r>
        <w:rPr>
          <w:rFonts w:hint="eastAsia" w:ascii="宋体" w:hAnsi="宋体" w:cs="宋体"/>
          <w:color w:val="000000" w:themeColor="text1"/>
          <w:szCs w:val="21"/>
          <w:highlight w:val="none"/>
          <w:lang w:val="en-US" w:eastAsia="zh-CN"/>
          <w14:textFill>
            <w14:solidFill>
              <w14:schemeClr w14:val="tx1"/>
            </w14:solidFill>
          </w14:textFill>
        </w:rPr>
        <w:t>23</w:t>
      </w:r>
      <w:r>
        <w:rPr>
          <w:rFonts w:ascii="宋体" w:hAnsi="宋体" w:cs="宋体"/>
          <w:color w:val="000000" w:themeColor="text1"/>
          <w:szCs w:val="21"/>
          <w:highlight w:val="none"/>
          <w14:textFill>
            <w14:solidFill>
              <w14:schemeClr w14:val="tx1"/>
            </w14:solidFill>
          </w14:textFill>
        </w:rPr>
        <w:t>000万元的</w:t>
      </w:r>
      <w:r>
        <w:rPr>
          <w:rFonts w:hint="eastAsia" w:ascii="宋体" w:hAnsi="宋体" w:cs="宋体"/>
          <w:color w:val="000000" w:themeColor="text1"/>
          <w:szCs w:val="21"/>
          <w:highlight w:val="none"/>
          <w14:textFill>
            <w14:solidFill>
              <w14:schemeClr w14:val="tx1"/>
            </w14:solidFill>
          </w14:textFill>
        </w:rPr>
        <w:t>房屋建筑工程施工总承包或工程总承包的施工部分（包括设计施工总承包或设计采购施工总承包或勘察设计施工总承包或勘察设计采购施工总承包）或投资类（不限于PPP、ABO等）的施工部分。金额以中标通知书为准，中标通知书上没有金额或免招标的，以施工合同（不含补充合同）为准，若合同内没有体现金额的，以竣工验收资料为准；须提供中标通知书、合同和竣工验收文件扫描件。完成时间以竣工验收文件为准。验收文件至少具有建设单位、设计、施工和监理单位盖章。</w:t>
      </w:r>
    </w:p>
    <w:p>
      <w:pPr>
        <w:shd w:val="clear"/>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1.2设计业绩：</w:t>
      </w:r>
      <w:r>
        <w:rPr>
          <w:rFonts w:hint="eastAsia" w:ascii="宋体" w:hAnsi="宋体" w:cs="宋体"/>
          <w:color w:val="000000" w:themeColor="text1"/>
          <w:szCs w:val="21"/>
          <w:highlight w:val="none"/>
          <w14:textFill>
            <w14:solidFill>
              <w14:schemeClr w14:val="tx1"/>
            </w14:solidFill>
          </w14:textFill>
        </w:rPr>
        <w:t>类似工程设计业绩指项目总建筑面积不少于</w:t>
      </w:r>
      <w:r>
        <w:rPr>
          <w:rFonts w:hint="eastAsia" w:ascii="宋体" w:hAnsi="宋体" w:cs="宋体"/>
          <w:color w:val="000000" w:themeColor="text1"/>
          <w:szCs w:val="21"/>
          <w:highlight w:val="none"/>
          <w:lang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0000㎡的房屋建筑工程设计项目或勘察设计项目或工程总承包的设计部分（包括设计施工总承包或设计采购施工总承包或勘察设计施工总承包或勘察设计采购施工总承包等），需提供合同（协议书部分或者合同关键页）、中标通知书（如为免招标项目无须提供中标通知书，但须提供相应的免招标证明文件）。建筑面积以设计合同（不含补充合同）为准，时间以合同签订日期为准</w:t>
      </w:r>
      <w:r>
        <w:rPr>
          <w:rFonts w:hint="eastAsia" w:ascii="宋体" w:hAnsi="宋体" w:cs="宋体"/>
          <w:color w:val="000000" w:themeColor="text1"/>
          <w:szCs w:val="21"/>
          <w:highlight w:val="none"/>
          <w:lang w:val="en-US" w:eastAsia="zh-CN"/>
          <w14:textFill>
            <w14:solidFill>
              <w14:schemeClr w14:val="tx1"/>
            </w14:solidFill>
          </w14:textFill>
        </w:rPr>
        <w:t>。</w:t>
      </w:r>
    </w:p>
    <w:p>
      <w:pPr>
        <w:shd w:val="clear"/>
        <w:adjustRightInd w:val="0"/>
        <w:snapToGrid w:val="0"/>
        <w:ind w:firstLine="422" w:firstLineChars="200"/>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.工程获奖：</w:t>
      </w:r>
    </w:p>
    <w:p>
      <w:pPr>
        <w:shd w:val="clear"/>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国家级奖项是指：中国建设工程鲁班奖、国家优质工程奖、国家优质工程金质奖（金奖）、中国土木工程詹天佑奖；省、市级奖项指由省、市级行政主管部门或行业协会颁发的质量奖项，不含技术创新QC成果及技术应用奖项。</w:t>
      </w:r>
      <w:r>
        <w:rPr>
          <w:rFonts w:hint="eastAsia" w:ascii="宋体" w:hAnsi="宋体" w:cs="宋体"/>
          <w:color w:val="000000" w:themeColor="text1"/>
          <w:szCs w:val="21"/>
          <w:highlight w:val="none"/>
          <w14:textFill>
            <w14:solidFill>
              <w14:schemeClr w14:val="tx1"/>
            </w14:solidFill>
          </w14:textFill>
        </w:rPr>
        <w:t>同一项目获得多个奖项的，该项目获奖只按其中一个奖项所在最高级别计算一次分数，不得重复计算。获奖单位必须与投标单位名称一致（工商信息变更除外），母、子、分公司均不计算在内。</w:t>
      </w:r>
    </w:p>
    <w:p>
      <w:pPr>
        <w:shd w:val="clear"/>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2.2提供由行政主管部门或行业协会颁发的获奖证书或获奖文件扫描件，</w:t>
      </w:r>
      <w:r>
        <w:rPr>
          <w:rFonts w:hint="eastAsia" w:ascii="宋体" w:hAnsi="宋体" w:cs="宋体"/>
          <w:color w:val="000000" w:themeColor="text1"/>
          <w:szCs w:val="21"/>
          <w:highlight w:val="none"/>
          <w14:textFill>
            <w14:solidFill>
              <w14:schemeClr w14:val="tx1"/>
            </w14:solidFill>
          </w14:textFill>
        </w:rPr>
        <w:t>时间以获奖证书发证时间为准</w:t>
      </w:r>
      <w:r>
        <w:rPr>
          <w:rFonts w:hint="eastAsia" w:ascii="宋体" w:hAnsi="宋体" w:cs="宋体"/>
          <w:color w:val="000000" w:themeColor="text1"/>
          <w:szCs w:val="21"/>
          <w:highlight w:val="none"/>
          <w:lang w:eastAsia="zh-CN"/>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如颁发单位为行业协会的，还须提供该协会在“全国社会组织信用信息公示平台（试运行）”</w:t>
      </w:r>
      <w:r>
        <w:rPr>
          <w:rFonts w:hint="eastAsia" w:ascii="宋体" w:hAnsi="宋体" w:cs="宋体"/>
          <w:color w:val="000000" w:themeColor="text1"/>
          <w:szCs w:val="21"/>
          <w:highlight w:val="none"/>
          <w14:textFill>
            <w14:solidFill>
              <w14:schemeClr w14:val="tx1"/>
            </w14:solidFill>
          </w14:textFill>
        </w:rPr>
        <w:t>己登记备案的查询信息截图页（网址：</w:t>
      </w:r>
      <w:r>
        <w:rPr>
          <w:rFonts w:ascii="宋体" w:hAnsi="宋体" w:cs="宋体"/>
          <w:color w:val="000000" w:themeColor="text1"/>
          <w:szCs w:val="21"/>
          <w:highlight w:val="none"/>
          <w14:textFill>
            <w14:solidFill>
              <w14:schemeClr w14:val="tx1"/>
            </w14:solidFill>
          </w14:textFill>
        </w:rPr>
        <w:t>https://xxgs.chinanpo.mca.gov.cn/gsxt/newList），奖项时间以获奖证书或获奖文件较晚日期为准。按要求提供，否则不予计分。</w:t>
      </w:r>
    </w:p>
    <w:p>
      <w:pPr>
        <w:shd w:val="clear"/>
        <w:adjustRightInd w:val="0"/>
        <w:snapToGrid w:val="0"/>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工程研发能力：</w:t>
      </w:r>
    </w:p>
    <w:p>
      <w:pPr>
        <w:shd w:val="clear"/>
        <w:adjustRightInd w:val="0"/>
        <w:snapToGrid w:val="0"/>
        <w:ind w:firstLine="420" w:firstLineChars="200"/>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工程类发明专利奖：须同时提供国家知识产权局颁发的获奖证书和专利证书，时间以获奖证书载明时间为准，否则不得分。</w:t>
      </w:r>
    </w:p>
    <w:p>
      <w:pPr>
        <w:shd w:val="clear"/>
        <w:adjustRightInd w:val="0"/>
        <w:snapToGrid w:val="0"/>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4</w:t>
      </w:r>
      <w:r>
        <w:rPr>
          <w:rFonts w:ascii="宋体" w:hAnsi="宋体" w:cs="宋体"/>
          <w:b/>
          <w:color w:val="000000" w:themeColor="text1"/>
          <w:szCs w:val="21"/>
          <w:highlight w:val="none"/>
          <w14:textFill>
            <w14:solidFill>
              <w14:schemeClr w14:val="tx1"/>
            </w14:solidFill>
          </w14:textFill>
        </w:rPr>
        <w:t>.第三方评价</w:t>
      </w:r>
      <w:r>
        <w:rPr>
          <w:rFonts w:hint="eastAsia" w:ascii="宋体" w:hAnsi="宋体" w:cs="宋体"/>
          <w:b/>
          <w:bCs/>
          <w:color w:val="000000" w:themeColor="text1"/>
          <w:szCs w:val="21"/>
          <w:highlight w:val="none"/>
          <w14:textFill>
            <w14:solidFill>
              <w14:schemeClr w14:val="tx1"/>
            </w14:solidFill>
          </w14:textFill>
        </w:rPr>
        <w:t>：</w:t>
      </w:r>
    </w:p>
    <w:p>
      <w:pPr>
        <w:shd w:val="clea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w:t>
      </w:r>
      <w:r>
        <w:rPr>
          <w:rFonts w:ascii="宋体" w:hAnsi="宋体" w:cs="宋体"/>
          <w:color w:val="000000" w:themeColor="text1"/>
          <w:szCs w:val="21"/>
          <w:highlight w:val="none"/>
          <w14:textFill>
            <w14:solidFill>
              <w14:schemeClr w14:val="tx1"/>
            </w14:solidFill>
          </w14:textFill>
        </w:rPr>
        <w:t>A级纳税人称号情况以省级或以上</w:t>
      </w:r>
      <w:r>
        <w:rPr>
          <w:rFonts w:hint="eastAsia" w:ascii="宋体" w:hAnsi="宋体" w:cs="宋体"/>
          <w:color w:val="000000" w:themeColor="text1"/>
          <w:szCs w:val="21"/>
          <w:highlight w:val="none"/>
          <w14:textFill>
            <w14:solidFill>
              <w14:schemeClr w14:val="tx1"/>
            </w14:solidFill>
          </w14:textFill>
        </w:rPr>
        <w:t>税务局官网查询的相关截图为准，纳税人等级只计算企业自身（不计算其分公司或子公司），时间以税务局官网公布的获奖年度（评价年度）为准。</w:t>
      </w:r>
    </w:p>
    <w:p>
      <w:pPr>
        <w:shd w:val="clear"/>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w:t>
      </w:r>
      <w:r>
        <w:rPr>
          <w:rFonts w:hint="eastAsia" w:ascii="宋体" w:hAnsi="宋体" w:cs="宋体"/>
          <w:color w:val="000000" w:themeColor="text1"/>
          <w:szCs w:val="21"/>
          <w:highlight w:val="none"/>
          <w14:textFill>
            <w14:solidFill>
              <w14:schemeClr w14:val="tx1"/>
            </w14:solidFill>
          </w14:textFill>
        </w:rPr>
        <w:t>投标人须提供在上述官网的查询结果网页截图（不符合条件或未提供上述打印件的不予计分）</w:t>
      </w:r>
    </w:p>
    <w:p>
      <w:pPr>
        <w:shd w:val="clear"/>
        <w:adjustRightInd w:val="0"/>
        <w:snapToGrid w:val="0"/>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t>5.</w:t>
      </w:r>
      <w:r>
        <w:rPr>
          <w:rFonts w:hint="eastAsia" w:ascii="宋体" w:hAnsi="宋体" w:cs="宋体"/>
          <w:b/>
          <w:bCs/>
          <w:color w:val="000000" w:themeColor="text1"/>
          <w:szCs w:val="21"/>
          <w:highlight w:val="none"/>
          <w:lang w:val="en-US" w:eastAsia="zh-CN"/>
          <w14:textFill>
            <w14:solidFill>
              <w14:schemeClr w14:val="tx1"/>
            </w14:solidFill>
          </w14:textFill>
        </w:rPr>
        <w:t>人员配备情况</w:t>
      </w:r>
      <w:r>
        <w:rPr>
          <w:rFonts w:ascii="宋体" w:hAnsi="宋体" w:cs="宋体"/>
          <w:b/>
          <w:bCs/>
          <w:color w:val="000000" w:themeColor="text1"/>
          <w:szCs w:val="21"/>
          <w:highlight w:val="none"/>
          <w14:textFill>
            <w14:solidFill>
              <w14:schemeClr w14:val="tx1"/>
            </w14:solidFill>
          </w14:textFill>
        </w:rPr>
        <w:t>：</w:t>
      </w:r>
    </w:p>
    <w:p>
      <w:pPr>
        <w:shd w:val="clear"/>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5.1人员仅指注册在本公司人员，不含子公司人员，如投标申请人为集团公司，则不含其集团下属的子公司人员。项目管理机构人员不能兼任，不重复计算得分。</w:t>
      </w:r>
    </w:p>
    <w:p>
      <w:pPr>
        <w:shd w:val="clear"/>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人员须相对应提供身份证、职称证（如有）、资格证（如有）、注册证（如有）等证书。注册造价工程师是指具备一级注册造价工程师执业资格，原注册造价工程师自动划分为一级注册造价工程师，详见住房和城乡建设部关于修改《工程造价咨询企业管理办法》《注册造价工程师管理办法》的决定（中华人民共和国住房和城乡建设部令第50号）</w:t>
      </w:r>
      <w:r>
        <w:rPr>
          <w:rFonts w:hint="eastAsia" w:ascii="宋体" w:hAnsi="宋体" w:cs="宋体"/>
          <w:color w:val="000000" w:themeColor="text1"/>
          <w:szCs w:val="21"/>
          <w:highlight w:val="none"/>
          <w:lang w:eastAsia="zh-CN"/>
          <w14:textFill>
            <w14:solidFill>
              <w14:schemeClr w14:val="tx1"/>
            </w14:solidFill>
          </w14:textFill>
        </w:rPr>
        <w:t>。</w:t>
      </w:r>
    </w:p>
    <w:p>
      <w:pPr>
        <w:pStyle w:val="2"/>
        <w:shd w:val="clear"/>
        <w:ind w:firstLine="420" w:firstLineChars="200"/>
        <w:rPr>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5.3所有人员应提供近1个月（202</w:t>
      </w:r>
      <w:r>
        <w:rPr>
          <w:rFonts w:hint="eastAsia" w:cs="宋体"/>
          <w:color w:val="000000" w:themeColor="text1"/>
          <w:sz w:val="21"/>
          <w:szCs w:val="21"/>
          <w:highlight w:val="none"/>
          <w:lang w:val="en-US" w:eastAsia="zh-CN"/>
          <w14:textFill>
            <w14:solidFill>
              <w14:schemeClr w14:val="tx1"/>
            </w14:solidFill>
          </w14:textFill>
        </w:rPr>
        <w:t>5</w:t>
      </w:r>
      <w:r>
        <w:rPr>
          <w:rFonts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09</w:t>
      </w:r>
      <w:r>
        <w:rPr>
          <w:rFonts w:cs="宋体"/>
          <w:color w:val="000000" w:themeColor="text1"/>
          <w:sz w:val="21"/>
          <w:szCs w:val="21"/>
          <w:highlight w:val="none"/>
          <w14:textFill>
            <w14:solidFill>
              <w14:schemeClr w14:val="tx1"/>
            </w14:solidFill>
          </w14:textFill>
        </w:rPr>
        <w:t>月），由社保行政主管部门出具的社保证明资料原件扫描件。</w:t>
      </w:r>
    </w:p>
    <w:p>
      <w:pPr>
        <w:shd w:val="clear"/>
        <w:spacing w:line="300" w:lineRule="auto"/>
        <w:ind w:left="0" w:leftChars="0" w:firstLine="422" w:firstLineChars="200"/>
        <w:rPr>
          <w:rFonts w:ascii="宋体" w:hAnsi="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lang w:bidi="ar"/>
          <w14:textFill>
            <w14:solidFill>
              <w14:schemeClr w14:val="tx1"/>
            </w14:solidFill>
          </w14:textFill>
        </w:rPr>
        <w:t>6</w:t>
      </w:r>
      <w:r>
        <w:rPr>
          <w:rFonts w:hint="eastAsia" w:ascii="宋体" w:hAnsi="宋体" w:cs="宋体"/>
          <w:b/>
          <w:bCs/>
          <w:color w:val="000000" w:themeColor="text1"/>
          <w:szCs w:val="21"/>
          <w:highlight w:val="none"/>
          <w:lang w:bidi="ar"/>
          <w14:textFill>
            <w14:solidFill>
              <w14:schemeClr w14:val="tx1"/>
            </w14:solidFill>
          </w14:textFill>
        </w:rPr>
        <w:t>.本评分表中所需要的证明材料可为原件扫描件、网页截图（或查询页面）打印件、电子版证书文件等投标人认为应提供的资料，投标人提供的证明材料必须加盖投标人（若为联合体投标，指联合体牵头单位）电子印章且内容必须清晰可辨，如因提供证明资料内容模糊或不全导致评标时无法判断或辨认的，视为证明资料不提供或提供不完整或提供不符合要求，该评分项不得分。</w:t>
      </w:r>
    </w:p>
    <w:p>
      <w:pPr>
        <w:shd w:val="clear"/>
        <w:spacing w:line="300" w:lineRule="auto"/>
        <w:ind w:left="0" w:leftChars="0" w:firstLine="422" w:firstLineChars="200"/>
        <w:rPr>
          <w:rFonts w:ascii="宋体" w:hAnsi="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lang w:bidi="ar"/>
          <w14:textFill>
            <w14:solidFill>
              <w14:schemeClr w14:val="tx1"/>
            </w14:solidFill>
          </w14:textFill>
        </w:rPr>
        <w:t>7</w:t>
      </w:r>
      <w:r>
        <w:rPr>
          <w:rFonts w:hint="eastAsia" w:ascii="宋体" w:hAnsi="宋体" w:cs="宋体"/>
          <w:b/>
          <w:bCs/>
          <w:color w:val="000000" w:themeColor="text1"/>
          <w:szCs w:val="21"/>
          <w:highlight w:val="none"/>
          <w:lang w:bidi="ar"/>
          <w14:textFill>
            <w14:solidFill>
              <w14:schemeClr w14:val="tx1"/>
            </w14:solidFill>
          </w14:textFill>
        </w:rPr>
        <w:t>.中标单位需准备投标文件涉及的所有原件待查，如原件不齐或与原件不符的，招标人有权认为其中标无效并将相关情况上报给有关行政监督部门，由有关行政监督部门按照情节严重程度予以相应处罚。</w:t>
      </w:r>
    </w:p>
    <w:p>
      <w:pPr>
        <w:shd w:val="clear"/>
        <w:spacing w:line="300" w:lineRule="auto"/>
        <w:ind w:left="0" w:leftChars="0" w:firstLine="422" w:firstLineChars="200"/>
        <w:rPr>
          <w:rFonts w:ascii="宋体" w:hAnsi="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lang w:bidi="ar"/>
          <w14:textFill>
            <w14:solidFill>
              <w14:schemeClr w14:val="tx1"/>
            </w14:solidFill>
          </w14:textFill>
        </w:rPr>
        <w:t>8</w:t>
      </w:r>
      <w:r>
        <w:rPr>
          <w:rFonts w:hint="eastAsia" w:ascii="宋体" w:hAnsi="宋体" w:cs="宋体"/>
          <w:b/>
          <w:bCs/>
          <w:color w:val="000000" w:themeColor="text1"/>
          <w:szCs w:val="21"/>
          <w:highlight w:val="none"/>
          <w:lang w:bidi="ar"/>
          <w14:textFill>
            <w14:solidFill>
              <w14:schemeClr w14:val="tx1"/>
            </w14:solidFill>
          </w14:textFill>
        </w:rPr>
        <w:t>.所有评委分数汇总后的算术平均值为投标人的最终得分。分数出现小数点，保留小数点后二位小数，第三位小数四舍五入。</w:t>
      </w:r>
    </w:p>
    <w:p>
      <w:pPr>
        <w:pStyle w:val="2"/>
        <w:shd w:val="clear"/>
        <w:ind w:firstLine="400" w:firstLineChars="200"/>
        <w:rPr>
          <w:color w:val="000000" w:themeColor="text1"/>
          <w:szCs w:val="21"/>
          <w:highlight w:val="none"/>
          <w:lang w:val="en-US"/>
          <w14:textFill>
            <w14:solidFill>
              <w14:schemeClr w14:val="tx1"/>
            </w14:solidFill>
          </w14:textFill>
        </w:rPr>
      </w:pPr>
    </w:p>
    <w:p>
      <w:pPr>
        <w:shd w:val="clear"/>
        <w:spacing w:line="360" w:lineRule="auto"/>
        <w:rPr>
          <w:rFonts w:hint="eastAsia" w:ascii="宋体" w:hAnsi="宋体"/>
          <w:color w:val="000000" w:themeColor="text1"/>
          <w:highlight w:val="none"/>
          <w14:textFill>
            <w14:solidFill>
              <w14:schemeClr w14:val="tx1"/>
            </w14:solidFill>
          </w14:textFill>
        </w:rPr>
        <w:sectPr>
          <w:headerReference r:id="rId13" w:type="default"/>
          <w:footerReference r:id="rId14" w:type="default"/>
          <w:pgSz w:w="16840" w:h="11907" w:orient="landscape"/>
          <w:pgMar w:top="1304" w:right="1361" w:bottom="1304" w:left="1304" w:header="851" w:footer="720" w:gutter="0"/>
          <w:cols w:space="0" w:num="1"/>
        </w:sectPr>
      </w:pPr>
      <w:r>
        <w:rPr>
          <w:rFonts w:hint="eastAsia" w:ascii="宋体" w:hAnsi="宋体"/>
          <w:color w:val="000000" w:themeColor="text1"/>
          <w:highlight w:val="none"/>
          <w14:textFill>
            <w14:solidFill>
              <w14:schemeClr w14:val="tx1"/>
            </w14:solidFill>
          </w14:textFill>
        </w:rPr>
        <w:t>评委签名：</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日期：</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附表4</w:t>
      </w:r>
    </w:p>
    <w:p>
      <w:pPr>
        <w:shd w:val="clea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bookmarkStart w:id="383" w:name="_Hlk69827077"/>
      <w:r>
        <w:rPr>
          <w:rFonts w:hint="eastAsia" w:ascii="宋体" w:hAnsi="宋体" w:cs="宋体"/>
          <w:b/>
          <w:color w:val="000000" w:themeColor="text1"/>
          <w:kern w:val="1"/>
          <w:sz w:val="28"/>
          <w:szCs w:val="28"/>
          <w:highlight w:val="none"/>
          <w14:textFill>
            <w14:solidFill>
              <w14:schemeClr w14:val="tx1"/>
            </w14:solidFill>
          </w14:textFill>
        </w:rPr>
        <w:t>工程费</w:t>
      </w:r>
      <w:bookmarkEnd w:id="383"/>
      <w:r>
        <w:rPr>
          <w:rFonts w:hint="eastAsia" w:ascii="宋体" w:hAnsi="宋体" w:cs="宋体"/>
          <w:b/>
          <w:color w:val="000000" w:themeColor="text1"/>
          <w:kern w:val="1"/>
          <w:sz w:val="28"/>
          <w:szCs w:val="28"/>
          <w:highlight w:val="none"/>
          <w14:textFill>
            <w14:solidFill>
              <w14:schemeClr w14:val="tx1"/>
            </w14:solidFill>
          </w14:textFill>
        </w:rPr>
        <w:t>投标报价综合评分表</w:t>
      </w:r>
    </w:p>
    <w:p>
      <w:pPr>
        <w:shd w:val="clear"/>
        <w:spacing w:line="360" w:lineRule="auto"/>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工程名称：</w:t>
      </w:r>
    </w:p>
    <w:tbl>
      <w:tblPr>
        <w:tblStyle w:val="34"/>
        <w:tblW w:w="9370" w:type="dxa"/>
        <w:tblInd w:w="0" w:type="dxa"/>
        <w:tblLayout w:type="fixed"/>
        <w:tblCellMar>
          <w:top w:w="0" w:type="dxa"/>
          <w:left w:w="108" w:type="dxa"/>
          <w:bottom w:w="0" w:type="dxa"/>
          <w:right w:w="108" w:type="dxa"/>
        </w:tblCellMar>
      </w:tblPr>
      <w:tblGrid>
        <w:gridCol w:w="3205"/>
        <w:gridCol w:w="1233"/>
        <w:gridCol w:w="1233"/>
        <w:gridCol w:w="1233"/>
        <w:gridCol w:w="1233"/>
        <w:gridCol w:w="1233"/>
      </w:tblGrid>
      <w:tr>
        <w:tblPrEx>
          <w:tblCellMar>
            <w:top w:w="0" w:type="dxa"/>
            <w:left w:w="108" w:type="dxa"/>
            <w:bottom w:w="0" w:type="dxa"/>
            <w:right w:w="108" w:type="dxa"/>
          </w:tblCellMar>
        </w:tblPrEx>
        <w:trPr>
          <w:trHeight w:val="1158"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jc w:val="center"/>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投标人名称</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工程费投标报价PT（元）</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计算参考数据</w:t>
            </w:r>
          </w:p>
        </w:tc>
        <w:tc>
          <w:tcPr>
            <w:tcW w:w="6165" w:type="dxa"/>
            <w:gridSpan w:val="5"/>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jc w:val="left"/>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评标基准价（PC）：</w:t>
            </w: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spacing w:val="-10"/>
                <w:kern w:val="1"/>
                <w:sz w:val="24"/>
                <w:highlight w:val="none"/>
                <w14:textFill>
                  <w14:solidFill>
                    <w14:schemeClr w14:val="tx1"/>
                  </w14:solidFill>
                </w14:textFill>
              </w:rPr>
            </w:pPr>
            <w:r>
              <w:rPr>
                <w:rFonts w:hint="eastAsia" w:ascii="宋体" w:hAnsi="宋体" w:cs="宋体"/>
                <w:color w:val="000000" w:themeColor="text1"/>
                <w:spacing w:val="-10"/>
                <w:kern w:val="1"/>
                <w:sz w:val="24"/>
                <w:highlight w:val="none"/>
                <w14:textFill>
                  <w14:solidFill>
                    <w14:schemeClr w14:val="tx1"/>
                  </w14:solidFill>
                </w14:textFill>
              </w:rPr>
              <w:t>偏差（（PT-PC）/PC）（%）</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49"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减分（A）</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经济得分(I=100-A)</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3205"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highlight w:val="none"/>
                <w14:textFill>
                  <w14:solidFill>
                    <w14:schemeClr w14:val="tx1"/>
                  </w14:solidFill>
                </w14:textFill>
              </w:rPr>
              <w:t>最终经济得分</w:t>
            </w: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hd w:val="clear"/>
              <w:tabs>
                <w:tab w:val="left" w:pos="0"/>
              </w:tabs>
              <w:spacing w:line="360" w:lineRule="auto"/>
              <w:ind w:left="563" w:hanging="84"/>
              <w:rPr>
                <w:rFonts w:ascii="宋体" w:hAnsi="宋体" w:cs="宋体"/>
                <w:color w:val="000000" w:themeColor="text1"/>
                <w:kern w:val="1"/>
                <w:sz w:val="24"/>
                <w:highlight w:val="none"/>
                <w14:textFill>
                  <w14:solidFill>
                    <w14:schemeClr w14:val="tx1"/>
                  </w14:solidFill>
                </w14:textFill>
              </w:rPr>
            </w:pP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sectPr>
          <w:pgSz w:w="11907" w:h="16840"/>
          <w:pgMar w:top="1361" w:right="1304" w:bottom="1304" w:left="1304" w:header="851" w:footer="720" w:gutter="0"/>
          <w:cols w:space="0" w:num="1"/>
        </w:sectPr>
      </w:pPr>
      <w:r>
        <w:rPr>
          <w:rFonts w:hint="eastAsia" w:ascii="宋体" w:hAnsi="宋体" w:cs="宋体"/>
          <w:color w:val="000000" w:themeColor="text1"/>
          <w:kern w:val="1"/>
          <w:szCs w:val="21"/>
          <w:highlight w:val="none"/>
          <w14:textFill>
            <w14:solidFill>
              <w14:schemeClr w14:val="tx1"/>
            </w14:solidFill>
          </w14:textFill>
        </w:rPr>
        <w:t>评委签名：                  日期：</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附表5</w:t>
      </w:r>
    </w:p>
    <w:p>
      <w:pPr>
        <w:shd w:val="clear"/>
        <w:spacing w:before="120" w:line="360" w:lineRule="auto"/>
        <w:jc w:val="center"/>
        <w:rPr>
          <w:rFonts w:ascii="宋体" w:hAnsi="宋体" w:cs="宋体"/>
          <w:b/>
          <w:color w:val="000000" w:themeColor="text1"/>
          <w:kern w:val="1"/>
          <w:sz w:val="28"/>
          <w:szCs w:val="28"/>
          <w:highlight w:val="none"/>
          <w14:textFill>
            <w14:solidFill>
              <w14:schemeClr w14:val="tx1"/>
            </w14:solidFill>
          </w14:textFill>
        </w:rPr>
      </w:pPr>
      <w:bookmarkStart w:id="384" w:name="_Hlk69827118"/>
      <w:r>
        <w:rPr>
          <w:rFonts w:hint="eastAsia" w:ascii="宋体" w:hAnsi="宋体" w:cs="宋体"/>
          <w:b/>
          <w:color w:val="000000" w:themeColor="text1"/>
          <w:kern w:val="1"/>
          <w:sz w:val="28"/>
          <w:szCs w:val="28"/>
          <w:highlight w:val="none"/>
          <w14:textFill>
            <w14:solidFill>
              <w14:schemeClr w14:val="tx1"/>
            </w14:solidFill>
          </w14:textFill>
        </w:rPr>
        <w:t>工程费投标报价</w:t>
      </w:r>
      <w:bookmarkEnd w:id="384"/>
      <w:r>
        <w:rPr>
          <w:rFonts w:hint="eastAsia" w:ascii="宋体" w:hAnsi="宋体" w:cs="宋体"/>
          <w:b/>
          <w:color w:val="000000" w:themeColor="text1"/>
          <w:kern w:val="1"/>
          <w:sz w:val="28"/>
          <w:szCs w:val="28"/>
          <w:highlight w:val="none"/>
          <w14:textFill>
            <w14:solidFill>
              <w14:schemeClr w14:val="tx1"/>
            </w14:solidFill>
          </w14:textFill>
        </w:rPr>
        <w:t>算术复核表</w:t>
      </w:r>
    </w:p>
    <w:p>
      <w:pPr>
        <w:shd w:val="clear"/>
        <w:spacing w:line="360" w:lineRule="auto"/>
        <w:ind w:firstLine="420" w:firstLineChars="200"/>
        <w:jc w:val="left"/>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项目名称：</w:t>
      </w:r>
    </w:p>
    <w:tbl>
      <w:tblPr>
        <w:tblStyle w:val="34"/>
        <w:tblW w:w="14004" w:type="dxa"/>
        <w:tblInd w:w="288" w:type="dxa"/>
        <w:tblLayout w:type="fixed"/>
        <w:tblCellMar>
          <w:top w:w="0" w:type="dxa"/>
          <w:left w:w="108" w:type="dxa"/>
          <w:bottom w:w="0" w:type="dxa"/>
          <w:right w:w="108" w:type="dxa"/>
        </w:tblCellMar>
      </w:tblPr>
      <w:tblGrid>
        <w:gridCol w:w="888"/>
        <w:gridCol w:w="4440"/>
        <w:gridCol w:w="3060"/>
        <w:gridCol w:w="3240"/>
        <w:gridCol w:w="2376"/>
      </w:tblGrid>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序号</w:t>
            </w: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投标人名称</w:t>
            </w: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原工程费投标报价（A）</w:t>
            </w: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算术复核后的工程费投标报价（B）</w:t>
            </w: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误差率（r=|A-B|/A×100%）</w:t>
            </w: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trPr>
        <w:tc>
          <w:tcPr>
            <w:tcW w:w="88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44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324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c>
          <w:tcPr>
            <w:tcW w:w="23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tc>
      </w:tr>
    </w:tbl>
    <w:p>
      <w:pPr>
        <w:shd w:val="clear"/>
        <w:spacing w:line="360" w:lineRule="auto"/>
        <w:rPr>
          <w:rFonts w:ascii="宋体" w:hAnsi="宋体" w:cs="宋体"/>
          <w:b/>
          <w:color w:val="000000" w:themeColor="text1"/>
          <w:kern w:val="1"/>
          <w:sz w:val="24"/>
          <w:szCs w:val="24"/>
          <w:highlight w:val="none"/>
          <w14:textFill>
            <w14:solidFill>
              <w14:schemeClr w14:val="tx1"/>
            </w14:solidFill>
          </w14:textFill>
        </w:rPr>
      </w:pPr>
    </w:p>
    <w:p>
      <w:pPr>
        <w:shd w:val="clear"/>
        <w:spacing w:line="360" w:lineRule="auto"/>
        <w:rPr>
          <w:rFonts w:ascii="宋体" w:hAnsi="宋体" w:cs="宋体"/>
          <w:color w:val="000000" w:themeColor="text1"/>
          <w:kern w:val="1"/>
          <w:sz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 xml:space="preserve">评委签名：                                                 </w:t>
      </w:r>
      <w:r>
        <w:rPr>
          <w:rFonts w:hint="eastAsia" w:ascii="宋体" w:hAnsi="宋体" w:cs="宋体"/>
          <w:color w:val="000000" w:themeColor="text1"/>
          <w:kern w:val="1"/>
          <w:sz w:val="24"/>
          <w:highlight w:val="none"/>
          <w14:textFill>
            <w14:solidFill>
              <w14:schemeClr w14:val="tx1"/>
            </w14:solidFill>
          </w14:textFill>
        </w:rPr>
        <w:t>日期：</w:t>
      </w:r>
    </w:p>
    <w:p>
      <w:pPr>
        <w:shd w:val="clear"/>
        <w:spacing w:line="360" w:lineRule="auto"/>
        <w:rPr>
          <w:rFonts w:ascii="宋体" w:hAnsi="宋体" w:cs="宋体"/>
          <w:color w:val="000000" w:themeColor="text1"/>
          <w:kern w:val="1"/>
          <w:sz w:val="24"/>
          <w:highlight w:val="none"/>
          <w14:textFill>
            <w14:solidFill>
              <w14:schemeClr w14:val="tx1"/>
            </w14:solidFill>
          </w14:textFill>
        </w:rPr>
      </w:pPr>
    </w:p>
    <w:p>
      <w:pPr>
        <w:shd w:val="clear"/>
        <w:spacing w:line="360" w:lineRule="auto"/>
        <w:rPr>
          <w:rFonts w:ascii="宋体" w:hAnsi="宋体" w:cs="宋体"/>
          <w:color w:val="000000" w:themeColor="text1"/>
          <w:kern w:val="1"/>
          <w:szCs w:val="21"/>
          <w:highlight w:val="none"/>
          <w14:textFill>
            <w14:solidFill>
              <w14:schemeClr w14:val="tx1"/>
            </w14:solidFill>
          </w14:textFill>
        </w:rPr>
        <w:sectPr>
          <w:headerReference r:id="rId15" w:type="default"/>
          <w:footerReference r:id="rId16" w:type="default"/>
          <w:pgSz w:w="16840" w:h="11907" w:orient="landscape"/>
          <w:pgMar w:top="1304" w:right="1361" w:bottom="1304" w:left="1304" w:header="851" w:footer="720" w:gutter="0"/>
          <w:cols w:space="0" w:num="1"/>
        </w:sectPr>
      </w:pPr>
    </w:p>
    <w:p>
      <w:pPr>
        <w:pStyle w:val="3"/>
        <w:shd w:val="clear"/>
        <w:spacing w:line="360" w:lineRule="auto"/>
        <w:jc w:val="center"/>
        <w:rPr>
          <w:rFonts w:ascii="宋体" w:hAnsi="宋体" w:cs="宋体"/>
          <w:color w:val="000000" w:themeColor="text1"/>
          <w:kern w:val="1"/>
          <w:highlight w:val="none"/>
          <w14:textFill>
            <w14:solidFill>
              <w14:schemeClr w14:val="tx1"/>
            </w14:solidFill>
          </w14:textFill>
        </w:rPr>
      </w:pPr>
      <w:bookmarkStart w:id="385" w:name="_Toc25769"/>
      <w:bookmarkEnd w:id="385"/>
      <w:bookmarkStart w:id="386" w:name="_Toc5620359"/>
      <w:bookmarkStart w:id="387" w:name="_Toc16039"/>
      <w:r>
        <w:rPr>
          <w:rFonts w:hint="eastAsia" w:ascii="宋体" w:hAnsi="宋体" w:cs="宋体"/>
          <w:color w:val="000000" w:themeColor="text1"/>
          <w:kern w:val="1"/>
          <w:highlight w:val="none"/>
          <w14:textFill>
            <w14:solidFill>
              <w14:schemeClr w14:val="tx1"/>
            </w14:solidFill>
          </w14:textFill>
        </w:rPr>
        <w:t>第四章 合同条款及格式</w:t>
      </w:r>
      <w:bookmarkEnd w:id="386"/>
      <w:bookmarkEnd w:id="387"/>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 xml:space="preserve">      (另册)</w:t>
      </w:r>
    </w:p>
    <w:p>
      <w:pPr>
        <w:pStyle w:val="2"/>
        <w:shd w:val="clear"/>
        <w:spacing w:line="360" w:lineRule="auto"/>
        <w:rPr>
          <w:rFonts w:cs="宋体"/>
          <w:b/>
          <w:color w:val="000000" w:themeColor="text1"/>
          <w:kern w:val="1"/>
          <w:sz w:val="28"/>
          <w:szCs w:val="28"/>
          <w:highlight w:val="none"/>
          <w14:textFill>
            <w14:solidFill>
              <w14:schemeClr w14:val="tx1"/>
            </w14:solidFill>
          </w14:textFill>
        </w:rPr>
      </w:pPr>
      <w:r>
        <w:rPr>
          <w:rFonts w:cs="宋体"/>
          <w:b/>
          <w:color w:val="000000" w:themeColor="text1"/>
          <w:kern w:val="1"/>
          <w:sz w:val="28"/>
          <w:szCs w:val="28"/>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bookmarkStart w:id="388" w:name="_Toc16641"/>
      <w:r>
        <w:rPr>
          <w:rFonts w:hint="eastAsia"/>
          <w:color w:val="000000" w:themeColor="text1"/>
          <w:highlight w:val="none"/>
          <w14:textFill>
            <w14:solidFill>
              <w14:schemeClr w14:val="tx1"/>
            </w14:solidFill>
          </w14:textFill>
        </w:rPr>
        <w:t>第五章 招标人要求</w:t>
      </w:r>
      <w:bookmarkEnd w:id="388"/>
    </w:p>
    <w:p>
      <w:pPr>
        <w:shd w:val="clear"/>
        <w:tabs>
          <w:tab w:val="left" w:pos="573"/>
        </w:tabs>
        <w:spacing w:line="360" w:lineRule="auto"/>
        <w:ind w:firstLine="723" w:firstLineChars="200"/>
        <w:jc w:val="left"/>
        <w:rPr>
          <w:rFonts w:ascii="方正小标宋简体" w:hAnsi="Arial" w:eastAsia="方正小标宋简体"/>
          <w:b/>
          <w:bCs/>
          <w:color w:val="000000" w:themeColor="text1"/>
          <w:sz w:val="36"/>
          <w:szCs w:val="36"/>
          <w:highlight w:val="none"/>
          <w14:textFill>
            <w14:solidFill>
              <w14:schemeClr w14:val="tx1"/>
            </w14:solidFill>
          </w14:textFill>
        </w:rPr>
      </w:pPr>
      <w:r>
        <w:rPr>
          <w:rFonts w:hint="eastAsia" w:ascii="方正小标宋简体" w:hAnsi="Arial" w:eastAsia="方正小标宋简体"/>
          <w:b/>
          <w:bCs/>
          <w:color w:val="000000" w:themeColor="text1"/>
          <w:sz w:val="36"/>
          <w:szCs w:val="36"/>
          <w:highlight w:val="none"/>
          <w14:textFill>
            <w14:solidFill>
              <w14:schemeClr w14:val="tx1"/>
            </w14:solidFill>
          </w14:textFill>
        </w:rPr>
        <w:t>1、勘察设计任务书（另册）</w:t>
      </w:r>
    </w:p>
    <w:p>
      <w:pPr>
        <w:shd w:val="clear"/>
        <w:spacing w:line="360" w:lineRule="auto"/>
        <w:ind w:firstLine="723" w:firstLineChars="200"/>
        <w:jc w:val="left"/>
        <w:rPr>
          <w:rFonts w:ascii="方正小标宋简体" w:hAnsi="Arial" w:eastAsia="方正小标宋简体"/>
          <w:b/>
          <w:bCs/>
          <w:color w:val="000000" w:themeColor="text1"/>
          <w:sz w:val="36"/>
          <w:szCs w:val="36"/>
          <w:highlight w:val="none"/>
          <w14:textFill>
            <w14:solidFill>
              <w14:schemeClr w14:val="tx1"/>
            </w14:solidFill>
          </w14:textFill>
        </w:rPr>
      </w:pPr>
      <w:r>
        <w:rPr>
          <w:rFonts w:hint="eastAsia" w:ascii="方正小标宋简体" w:hAnsi="Arial" w:eastAsia="方正小标宋简体"/>
          <w:b/>
          <w:bCs/>
          <w:color w:val="000000" w:themeColor="text1"/>
          <w:sz w:val="36"/>
          <w:szCs w:val="36"/>
          <w:highlight w:val="none"/>
          <w14:textFill>
            <w14:solidFill>
              <w14:schemeClr w14:val="tx1"/>
            </w14:solidFill>
          </w14:textFill>
        </w:rPr>
        <w:t>2、施工要求：</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施工现场建筑垃圾源头减量的具体要求和建筑垃圾综合利用产品的使用要求：</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2.建筑垃圾应当按照国家有关规定进行分类，实行分类收集、分类贮存、分类运输、分类处置。</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5.工程泥浆应当在施工现场进行脱水固化处理。施工现场不具备条件的，应当采用罐装器具密闭运输至依法设置的建筑垃圾处置场所进行处置。水上工程中依法无需经脱水处理的除外。</w:t>
      </w:r>
    </w:p>
    <w:p>
      <w:pPr>
        <w:shd w:val="clea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shd w:val="clear"/>
        <w:tabs>
          <w:tab w:val="left" w:pos="573"/>
        </w:tabs>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7.建设单位和施工单位严格遵守并执行《广东省建筑垃圾管理条例》。</w:t>
      </w:r>
    </w:p>
    <w:p>
      <w:pPr>
        <w:shd w:val="clear"/>
        <w:spacing w:line="360" w:lineRule="auto"/>
        <w:ind w:firstLine="723" w:firstLineChars="200"/>
        <w:jc w:val="left"/>
        <w:rPr>
          <w:color w:val="000000" w:themeColor="text1"/>
          <w:highlight w:val="none"/>
          <w14:textFill>
            <w14:solidFill>
              <w14:schemeClr w14:val="tx1"/>
            </w14:solidFill>
          </w14:textFill>
        </w:rPr>
      </w:pPr>
      <w:r>
        <w:rPr>
          <w:rFonts w:hint="eastAsia" w:ascii="方正小标宋简体" w:hAnsi="Arial" w:eastAsia="方正小标宋简体"/>
          <w:b/>
          <w:bCs/>
          <w:color w:val="000000" w:themeColor="text1"/>
          <w:sz w:val="36"/>
          <w:szCs w:val="36"/>
          <w:highlight w:val="none"/>
          <w:lang w:val="en-US" w:eastAsia="zh-CN"/>
          <w14:textFill>
            <w14:solidFill>
              <w14:schemeClr w14:val="tx1"/>
            </w14:solidFill>
          </w14:textFill>
        </w:rPr>
        <w:t>3</w:t>
      </w:r>
      <w:r>
        <w:rPr>
          <w:rFonts w:hint="eastAsia" w:ascii="方正小标宋简体" w:hAnsi="Arial" w:eastAsia="方正小标宋简体"/>
          <w:b/>
          <w:bCs/>
          <w:color w:val="000000" w:themeColor="text1"/>
          <w:sz w:val="36"/>
          <w:szCs w:val="36"/>
          <w:highlight w:val="none"/>
          <w14:textFill>
            <w14:solidFill>
              <w14:schemeClr w14:val="tx1"/>
            </w14:solidFill>
          </w14:textFill>
        </w:rPr>
        <w:t>、主要设备材料品牌/生产厂家推荐表</w:t>
      </w:r>
    </w:p>
    <w:p>
      <w:pPr>
        <w:pStyle w:val="2"/>
        <w:shd w:val="clear"/>
        <w:rPr>
          <w:color w:val="000000" w:themeColor="text1"/>
          <w:highlight w:val="none"/>
          <w14:textFill>
            <w14:solidFill>
              <w14:schemeClr w14:val="tx1"/>
            </w14:solidFill>
          </w14:textFill>
        </w:rPr>
      </w:pPr>
    </w:p>
    <w:tbl>
      <w:tblPr>
        <w:tblStyle w:val="34"/>
        <w:tblW w:w="9540" w:type="dxa"/>
        <w:tblInd w:w="0" w:type="dxa"/>
        <w:shd w:val="clear" w:color="auto" w:fill="auto"/>
        <w:tblLayout w:type="autofit"/>
        <w:tblCellMar>
          <w:top w:w="0" w:type="dxa"/>
          <w:left w:w="0" w:type="dxa"/>
          <w:bottom w:w="0" w:type="dxa"/>
          <w:right w:w="0" w:type="dxa"/>
        </w:tblCellMar>
      </w:tblPr>
      <w:tblGrid>
        <w:gridCol w:w="1020"/>
        <w:gridCol w:w="1600"/>
        <w:gridCol w:w="4880"/>
        <w:gridCol w:w="2040"/>
      </w:tblGrid>
      <w:tr>
        <w:tblPrEx>
          <w:shd w:val="clear" w:color="auto" w:fill="auto"/>
          <w:tblCellMar>
            <w:top w:w="0" w:type="dxa"/>
            <w:left w:w="0" w:type="dxa"/>
            <w:bottom w:w="0" w:type="dxa"/>
            <w:right w:w="0" w:type="dxa"/>
          </w:tblCellMar>
        </w:tblPrEx>
        <w:trPr>
          <w:trHeight w:val="560" w:hRule="atLeast"/>
        </w:trPr>
        <w:tc>
          <w:tcPr>
            <w:tcW w:w="1020" w:type="dxa"/>
            <w:tcBorders>
              <w:top w:val="nil"/>
              <w:left w:val="nil"/>
              <w:bottom w:val="nil"/>
              <w:right w:val="nil"/>
            </w:tcBorders>
            <w:shd w:val="clear" w:color="auto" w:fill="auto"/>
            <w:noWrap/>
            <w:tcMar>
              <w:top w:w="13" w:type="dxa"/>
              <w:left w:w="13" w:type="dxa"/>
              <w:right w:w="13" w:type="dxa"/>
            </w:tcMar>
            <w:vAlign w:val="center"/>
          </w:tcPr>
          <w:p>
            <w:pPr>
              <w:shd w:val="clear"/>
              <w:jc w:val="center"/>
              <w:rPr>
                <w:rFonts w:hint="eastAsia" w:ascii="宋体" w:hAnsi="宋体" w:eastAsia="宋体" w:cs="宋体"/>
                <w:i w:val="0"/>
                <w:color w:val="000000" w:themeColor="text1"/>
                <w:sz w:val="22"/>
                <w:szCs w:val="22"/>
                <w:highlight w:val="none"/>
                <w:u w:val="none"/>
                <w14:textFill>
                  <w14:solidFill>
                    <w14:schemeClr w14:val="tx1"/>
                  </w14:solidFill>
                </w14:textFill>
              </w:rPr>
            </w:pPr>
          </w:p>
        </w:tc>
        <w:tc>
          <w:tcPr>
            <w:tcW w:w="8520" w:type="dxa"/>
            <w:gridSpan w:val="3"/>
            <w:tcBorders>
              <w:top w:val="nil"/>
              <w:left w:val="nil"/>
              <w:bottom w:val="nil"/>
              <w:right w:val="nil"/>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4"/>
                <w:szCs w:val="24"/>
                <w:highlight w:val="none"/>
                <w:u w:val="none"/>
                <w14:textFill>
                  <w14:solidFill>
                    <w14:schemeClr w14:val="tx1"/>
                  </w14:solidFill>
                </w14:textFill>
              </w:rPr>
            </w:pPr>
            <w:r>
              <w:rPr>
                <w:rFonts w:hint="eastAsia" w:ascii="宋体" w:hAnsi="宋体" w:eastAsia="宋体" w:cs="宋体"/>
                <w:b/>
                <w:i w:val="0"/>
                <w:color w:val="000000" w:themeColor="text1"/>
                <w:kern w:val="0"/>
                <w:sz w:val="24"/>
                <w:szCs w:val="24"/>
                <w:highlight w:val="none"/>
                <w:u w:val="none"/>
                <w:lang w:val="en-US" w:eastAsia="zh-CN" w:bidi="ar"/>
                <w14:textFill>
                  <w14:solidFill>
                    <w14:schemeClr w14:val="tx1"/>
                  </w14:solidFill>
                </w14:textFill>
              </w:rPr>
              <w:t>主要设备材料品牌/生产厂家推荐表（参照或相当于）</w:t>
            </w:r>
          </w:p>
        </w:tc>
      </w:tr>
      <w:tr>
        <w:tblPrEx>
          <w:tblCellMar>
            <w:top w:w="0" w:type="dxa"/>
            <w:left w:w="0" w:type="dxa"/>
            <w:bottom w:w="0" w:type="dxa"/>
            <w:right w:w="0" w:type="dxa"/>
          </w:tblCellMar>
        </w:tblPrEx>
        <w:trPr>
          <w:trHeight w:val="46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序号</w:t>
            </w:r>
          </w:p>
        </w:tc>
        <w:tc>
          <w:tcPr>
            <w:tcW w:w="0" w:type="auto"/>
            <w:tcBorders>
              <w:top w:val="single" w:color="auto" w:sz="4" w:space="0"/>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类别</w:t>
            </w:r>
          </w:p>
        </w:tc>
        <w:tc>
          <w:tcPr>
            <w:tcW w:w="4880" w:type="dxa"/>
            <w:tcBorders>
              <w:top w:val="single" w:color="auto" w:sz="4" w:space="0"/>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厂家/品牌</w:t>
            </w:r>
          </w:p>
        </w:tc>
        <w:tc>
          <w:tcPr>
            <w:tcW w:w="2040" w:type="dxa"/>
            <w:tcBorders>
              <w:top w:val="single" w:color="auto" w:sz="4" w:space="0"/>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203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160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混凝土</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中建环保建材科技（广州）有限公司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广东永泰混凝土有限公司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广东城联共建混凝土有限公司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广州市城市建设资源再生技术有限公司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广州市兴曜建材有限公司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广州广力建材有限公司</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shd w:val="clear" w:color="auto" w:fill="auto"/>
          <w:tblCellMar>
            <w:top w:w="0" w:type="dxa"/>
            <w:left w:w="0" w:type="dxa"/>
            <w:bottom w:w="0" w:type="dxa"/>
            <w:right w:w="0" w:type="dxa"/>
          </w:tblCellMar>
        </w:tblPrEx>
        <w:trPr>
          <w:trHeight w:val="115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钢筋</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广钢</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韶钢</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湘钢</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粤钢</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15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水泥</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广州石井水泥公司（石井）</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台湾水泥股份有限公司（台泥）</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广州市越堡水泥有限公司（金羊）</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15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配电柜</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上海良信电器股份有限公司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广州白云电器设备股份有限公司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德力西电气有限公司</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shd w:val="clear" w:color="auto" w:fill="auto"/>
          <w:tblCellMar>
            <w:top w:w="0" w:type="dxa"/>
            <w:left w:w="0" w:type="dxa"/>
            <w:bottom w:w="0" w:type="dxa"/>
            <w:right w:w="0" w:type="dxa"/>
          </w:tblCellMar>
        </w:tblPrEx>
        <w:trPr>
          <w:trHeight w:val="115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电线电缆</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浙江万马股份有限公司（万马）</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宝胜科技创新股份有限公司（宝胜）</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东莞市民兴电缆有限公司（民兴）</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广东南缆电缆有限公司（南缆）</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300"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6</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电梯</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日立电梯（中国）有限公司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迅达（中国）电梯有限公司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奥的斯电梯（中国）有限公司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东芝电梯（中国）有限公司</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260"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7</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防水材料</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北京东方雨虹防水技术股份有限公司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科顺防水科技股份有限公司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德高（广州）建材有限公司</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台实防水材料有限公司</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601"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外墙涂料</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卜内门太古漆油（中国）有限公司（多乐士）</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广州立邦涂料有限公司（立邦）</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嘉宝莉化工集团股份有限公司（嘉宝莉）</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三棵树涂料股份有限公司（三棵树）</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401"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9</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内墙涂料</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卜内门太古漆油（中国）有限公司（多乐士）</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广州立邦涂料有限公司（立邦）</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嘉宝莉化工集团股份有限公司（嘉宝莉）</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三棵树涂料股份有限公司（三棵树）</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1159" w:hRule="atLeast"/>
        </w:trPr>
        <w:tc>
          <w:tcPr>
            <w:tcW w:w="0" w:type="auto"/>
            <w:tcBorders>
              <w:top w:val="nil"/>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空调</w:t>
            </w:r>
          </w:p>
        </w:tc>
        <w:tc>
          <w:tcPr>
            <w:tcW w:w="488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美的集团股份有限公司（美的）</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海尔集团公司（海尔）</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珠海格力电器股份有限公司（格力）</w:t>
            </w:r>
          </w:p>
        </w:tc>
        <w:tc>
          <w:tcPr>
            <w:tcW w:w="2040" w:type="dxa"/>
            <w:tcBorders>
              <w:top w:val="nil"/>
              <w:left w:val="nil"/>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r>
    </w:tbl>
    <w:p>
      <w:pPr>
        <w:pStyle w:val="2"/>
        <w:shd w:val="clear"/>
        <w:rPr>
          <w:color w:val="000000" w:themeColor="text1"/>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p>
    <w:p>
      <w:pPr>
        <w:pStyle w:val="2"/>
        <w:shd w:val="clear"/>
        <w:spacing w:line="360" w:lineRule="auto"/>
        <w:jc w:val="center"/>
        <w:rPr>
          <w:b/>
          <w:bCs/>
          <w:color w:val="000000" w:themeColor="text1"/>
          <w:sz w:val="44"/>
          <w:szCs w:val="44"/>
          <w:highlight w:val="none"/>
          <w14:textFill>
            <w14:solidFill>
              <w14:schemeClr w14:val="tx1"/>
            </w14:solidFill>
          </w14:textFill>
        </w:rPr>
        <w:sectPr>
          <w:pgSz w:w="11907" w:h="16840"/>
          <w:pgMar w:top="1361" w:right="1304" w:bottom="1304" w:left="1304" w:header="851" w:footer="720" w:gutter="0"/>
          <w:cols w:space="0" w:num="1"/>
          <w:docGrid w:linePitch="312" w:charSpace="0"/>
        </w:sectPr>
      </w:pPr>
      <w:r>
        <w:rPr>
          <w:color w:val="000000" w:themeColor="text1"/>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bookmarkStart w:id="389" w:name="_Toc3467"/>
      <w:bookmarkStart w:id="390" w:name="_Toc5620360"/>
      <w:r>
        <w:rPr>
          <w:rFonts w:hint="eastAsia"/>
          <w:color w:val="000000" w:themeColor="text1"/>
          <w:highlight w:val="none"/>
          <w14:textFill>
            <w14:solidFill>
              <w14:schemeClr w14:val="tx1"/>
            </w14:solidFill>
          </w14:textFill>
        </w:rPr>
        <w:t>第六章 招标人提供的资料</w:t>
      </w:r>
      <w:bookmarkEnd w:id="389"/>
      <w:bookmarkEnd w:id="390"/>
    </w:p>
    <w:p>
      <w:pPr>
        <w:shd w:val="clear"/>
        <w:tabs>
          <w:tab w:val="left" w:pos="573"/>
        </w:tabs>
        <w:spacing w:line="360" w:lineRule="auto"/>
        <w:jc w:val="center"/>
        <w:rPr>
          <w:rFonts w:ascii="方正小标宋简体" w:hAnsi="Arial" w:eastAsia="方正小标宋简体"/>
          <w:b/>
          <w:bCs/>
          <w:color w:val="000000" w:themeColor="text1"/>
          <w:sz w:val="36"/>
          <w:szCs w:val="36"/>
          <w:highlight w:val="none"/>
          <w14:textFill>
            <w14:solidFill>
              <w14:schemeClr w14:val="tx1"/>
            </w14:solidFill>
          </w14:textFill>
        </w:rPr>
      </w:pPr>
      <w:bookmarkStart w:id="391" w:name="_Toc436834201"/>
      <w:bookmarkEnd w:id="391"/>
      <w:bookmarkStart w:id="392" w:name="_Toc436834794"/>
      <w:bookmarkEnd w:id="392"/>
      <w:bookmarkStart w:id="393" w:name="_Toc439240671"/>
      <w:bookmarkEnd w:id="393"/>
      <w:bookmarkStart w:id="394" w:name="_Toc439246070"/>
      <w:bookmarkEnd w:id="394"/>
      <w:r>
        <w:rPr>
          <w:rFonts w:hint="eastAsia" w:ascii="方正小标宋简体" w:hAnsi="Arial" w:eastAsia="方正小标宋简体"/>
          <w:b/>
          <w:bCs/>
          <w:color w:val="000000" w:themeColor="text1"/>
          <w:sz w:val="36"/>
          <w:szCs w:val="36"/>
          <w:highlight w:val="none"/>
          <w14:textFill>
            <w14:solidFill>
              <w14:schemeClr w14:val="tx1"/>
            </w14:solidFill>
          </w14:textFill>
        </w:rPr>
        <w:t>红线图（另册）</w:t>
      </w:r>
    </w:p>
    <w:p>
      <w:pPr>
        <w:shd w:val="clear"/>
        <w:spacing w:line="360" w:lineRule="auto"/>
        <w:jc w:val="center"/>
        <w:rPr>
          <w:rFonts w:ascii="宋体" w:hAnsi="宋体" w:cs="宋体"/>
          <w:color w:val="000000" w:themeColor="text1"/>
          <w:kern w:val="1"/>
          <w:sz w:val="24"/>
          <w:szCs w:val="28"/>
          <w:highlight w:val="none"/>
          <w14:textFill>
            <w14:solidFill>
              <w14:schemeClr w14:val="tx1"/>
            </w14:solidFill>
          </w14:textFill>
        </w:rPr>
      </w:pPr>
      <w:r>
        <w:rPr>
          <w:rFonts w:ascii="宋体" w:hAnsi="宋体" w:cs="宋体"/>
          <w:color w:val="000000" w:themeColor="text1"/>
          <w:kern w:val="1"/>
          <w:sz w:val="36"/>
          <w:szCs w:val="36"/>
          <w:highlight w:val="none"/>
          <w14:textFill>
            <w14:solidFill>
              <w14:schemeClr w14:val="tx1"/>
            </w14:solidFill>
          </w14:textFill>
        </w:rPr>
        <w:br w:type="page"/>
      </w:r>
    </w:p>
    <w:p>
      <w:pPr>
        <w:pStyle w:val="3"/>
        <w:shd w:val="clear"/>
        <w:spacing w:line="360" w:lineRule="auto"/>
        <w:jc w:val="center"/>
        <w:rPr>
          <w:color w:val="000000" w:themeColor="text1"/>
          <w:highlight w:val="none"/>
          <w14:textFill>
            <w14:solidFill>
              <w14:schemeClr w14:val="tx1"/>
            </w14:solidFill>
          </w14:textFill>
        </w:rPr>
      </w:pPr>
      <w:bookmarkStart w:id="395" w:name="_Toc16136"/>
      <w:bookmarkEnd w:id="395"/>
      <w:bookmarkStart w:id="396" w:name="_Toc5620362"/>
      <w:bookmarkStart w:id="397" w:name="_Toc18390"/>
      <w:r>
        <w:rPr>
          <w:rFonts w:hint="eastAsia"/>
          <w:color w:val="000000" w:themeColor="text1"/>
          <w:highlight w:val="none"/>
          <w14:textFill>
            <w14:solidFill>
              <w14:schemeClr w14:val="tx1"/>
            </w14:solidFill>
          </w14:textFill>
        </w:rPr>
        <w:t>第七章 投标文件格式</w:t>
      </w:r>
      <w:bookmarkEnd w:id="396"/>
      <w:bookmarkEnd w:id="397"/>
    </w:p>
    <w:p>
      <w:pPr>
        <w:shd w:val="clear"/>
        <w:spacing w:line="360" w:lineRule="auto"/>
        <w:jc w:val="center"/>
        <w:rPr>
          <w:rFonts w:ascii="宋体" w:hAnsi="宋体" w:cs="宋体"/>
          <w:b/>
          <w:color w:val="000000" w:themeColor="text1"/>
          <w:kern w:val="1"/>
          <w:sz w:val="36"/>
          <w:szCs w:val="36"/>
          <w:highlight w:val="none"/>
          <w14:textFill>
            <w14:solidFill>
              <w14:schemeClr w14:val="tx1"/>
            </w14:solidFill>
          </w14:textFill>
        </w:rPr>
      </w:pPr>
      <w:r>
        <w:rPr>
          <w:rFonts w:ascii="宋体" w:hAnsi="宋体" w:cs="宋体"/>
          <w:color w:val="000000" w:themeColor="text1"/>
          <w:kern w:val="1"/>
          <w:sz w:val="20"/>
          <w:szCs w:val="20"/>
          <w:highlight w:val="none"/>
          <w:lang w:val="zh-CN"/>
          <w14:textFill>
            <w14:solidFill>
              <w14:schemeClr w14:val="tx1"/>
            </w14:solidFill>
          </w14:textFill>
        </w:rPr>
        <w:br w:type="page"/>
      </w:r>
      <w:r>
        <w:rPr>
          <w:rFonts w:hint="eastAsia" w:ascii="宋体" w:hAnsi="宋体" w:cs="宋体"/>
          <w:b/>
          <w:color w:val="000000" w:themeColor="text1"/>
          <w:kern w:val="1"/>
          <w:sz w:val="36"/>
          <w:szCs w:val="36"/>
          <w:highlight w:val="none"/>
          <w14:textFill>
            <w14:solidFill>
              <w14:schemeClr w14:val="tx1"/>
            </w14:solidFill>
          </w14:textFill>
        </w:rPr>
        <w:t>第一部分  工程总承包实施方案技术投标文件格式</w:t>
      </w: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sectPr>
          <w:headerReference r:id="rId17" w:type="default"/>
          <w:footerReference r:id="rId18" w:type="default"/>
          <w:pgSz w:w="11907" w:h="16840"/>
          <w:pgMar w:top="1361" w:right="1304" w:bottom="1304" w:left="1304" w:header="851" w:footer="720" w:gutter="0"/>
          <w:cols w:space="0" w:num="1"/>
        </w:sectPr>
      </w:pPr>
    </w:p>
    <w:p>
      <w:pPr>
        <w:widowControl/>
        <w:shd w:val="clear"/>
        <w:adjustRightInd w:val="0"/>
        <w:snapToGrid w:val="0"/>
        <w:spacing w:line="360" w:lineRule="auto"/>
        <w:ind w:right="102"/>
        <w:jc w:val="left"/>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格式1：</w:t>
      </w:r>
    </w:p>
    <w:p>
      <w:pPr>
        <w:widowControl/>
        <w:shd w:val="clear"/>
        <w:adjustRightInd w:val="0"/>
        <w:snapToGrid w:val="0"/>
        <w:spacing w:line="360" w:lineRule="auto"/>
        <w:ind w:right="102"/>
        <w:jc w:val="center"/>
        <w:rPr>
          <w:rFonts w:ascii="宋体" w:hAnsi="宋体" w:cs="宋体"/>
          <w:b/>
          <w:bCs/>
          <w:color w:val="000000" w:themeColor="text1"/>
          <w:kern w:val="1"/>
          <w:sz w:val="44"/>
          <w:szCs w:val="44"/>
          <w:highlight w:val="none"/>
          <w:lang w:val="zh-CN"/>
          <w14:textFill>
            <w14:solidFill>
              <w14:schemeClr w14:val="tx1"/>
            </w14:solidFill>
          </w14:textFill>
        </w:rPr>
      </w:pPr>
      <w:r>
        <w:rPr>
          <w:rFonts w:hint="eastAsia" w:ascii="宋体" w:hAnsi="宋体" w:cs="宋体"/>
          <w:b/>
          <w:bCs/>
          <w:color w:val="000000" w:themeColor="text1"/>
          <w:kern w:val="1"/>
          <w:sz w:val="44"/>
          <w:szCs w:val="44"/>
          <w:highlight w:val="none"/>
          <w:lang w:val="zh-CN"/>
          <w14:textFill>
            <w14:solidFill>
              <w14:schemeClr w14:val="tx1"/>
            </w14:solidFill>
          </w14:textFill>
        </w:rPr>
        <w:t>投标函</w:t>
      </w:r>
    </w:p>
    <w:p>
      <w:pPr>
        <w:widowControl/>
        <w:shd w:val="clear"/>
        <w:adjustRightInd w:val="0"/>
        <w:snapToGrid w:val="0"/>
        <w:spacing w:line="360" w:lineRule="auto"/>
        <w:ind w:right="102"/>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致:</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p>
    <w:p>
      <w:pPr>
        <w:pStyle w:val="2"/>
        <w:shd w:val="clear"/>
        <w:adjustRightInd w:val="0"/>
        <w:snapToGrid w:val="0"/>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我方确认收到贵方提供的</w:t>
      </w:r>
      <w:r>
        <w:rPr>
          <w:rFonts w:hint="eastAsia"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招标文件的全部内容，我方：</w:t>
      </w:r>
      <w:r>
        <w:rPr>
          <w:rFonts w:hint="eastAsia" w:cs="宋体"/>
          <w:color w:val="000000" w:themeColor="text1"/>
          <w:sz w:val="21"/>
          <w:szCs w:val="21"/>
          <w:highlight w:val="none"/>
          <w:u w:val="single"/>
          <w14:textFill>
            <w14:solidFill>
              <w14:schemeClr w14:val="tx1"/>
            </w14:solidFill>
          </w14:textFill>
        </w:rPr>
        <w:t xml:space="preserve">             （投标人名称）</w:t>
      </w:r>
      <w:r>
        <w:rPr>
          <w:rFonts w:hint="eastAsia" w:cs="宋体"/>
          <w:color w:val="000000" w:themeColor="text1"/>
          <w:sz w:val="21"/>
          <w:szCs w:val="21"/>
          <w:highlight w:val="none"/>
          <w14:textFill>
            <w14:solidFill>
              <w14:schemeClr w14:val="tx1"/>
            </w14:solidFill>
          </w14:textFill>
        </w:rPr>
        <w:t>已理解招标文件的全部内容，我方作为投标人正式授权</w:t>
      </w:r>
      <w:r>
        <w:rPr>
          <w:rFonts w:hint="eastAsia" w:cs="宋体"/>
          <w:color w:val="000000" w:themeColor="text1"/>
          <w:sz w:val="21"/>
          <w:szCs w:val="21"/>
          <w:highlight w:val="none"/>
          <w:u w:val="single"/>
          <w:lang w:val="en-US"/>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（授权代表全名, 职务</w:t>
      </w:r>
      <w:r>
        <w:rPr>
          <w:rFonts w:hint="eastAsia" w:cs="宋体"/>
          <w:color w:val="000000" w:themeColor="text1"/>
          <w:sz w:val="21"/>
          <w:szCs w:val="21"/>
          <w:highlight w:val="none"/>
          <w14:textFill>
            <w14:solidFill>
              <w14:schemeClr w14:val="tx1"/>
            </w14:solidFill>
          </w14:textFill>
        </w:rPr>
        <w:t>）代表我方进行有关本投标活动的一切事宜，考虑本企业自身的实力及特点，做出如下承诺：</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1、我方已详细研究了本项目招标文件的所有内容包括修正文（如果有）和所有已提供的参考资料以及合同条款和有关附件，并完全明白, 我方放弃在此方面提出含糊意见或误解的一切权力。</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我方承诺对我方提交的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如我司成为本项目中标候选人，我司同意并授权招标人将我司投标文件商务部分的人员、业绩、奖项等资料进行公开。</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3、我方同意按照贵方可能提出的要求，提供与我方投标有关的任何其它数据或信息。</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4、本投标文件的有效期至投标截止日后</w:t>
      </w:r>
      <w:r>
        <w:rPr>
          <w:rFonts w:hint="eastAsia" w:ascii="宋体" w:hAnsi="宋体" w:cs="宋体"/>
          <w:color w:val="000000" w:themeColor="text1"/>
          <w:kern w:val="1"/>
          <w:szCs w:val="21"/>
          <w:highlight w:val="none"/>
          <w:u w:val="single"/>
          <w:lang w:val="zh-CN"/>
          <w14:textFill>
            <w14:solidFill>
              <w14:schemeClr w14:val="tx1"/>
            </w14:solidFill>
          </w14:textFill>
        </w:rPr>
        <w:t>120</w:t>
      </w:r>
      <w:r>
        <w:rPr>
          <w:rFonts w:hint="eastAsia" w:ascii="宋体" w:hAnsi="宋体" w:cs="宋体"/>
          <w:color w:val="000000" w:themeColor="text1"/>
          <w:kern w:val="1"/>
          <w:szCs w:val="21"/>
          <w:highlight w:val="none"/>
          <w:lang w:val="zh-CN"/>
          <w14:textFill>
            <w14:solidFill>
              <w14:schemeClr w14:val="tx1"/>
            </w14:solidFill>
          </w14:textFill>
        </w:rPr>
        <w:t>日历天内有效，如中标，有效期将自动延至勘察设计施工总承包合同终止日为止。</w:t>
      </w:r>
    </w:p>
    <w:p>
      <w:pPr>
        <w:widowControl/>
        <w:shd w:val="clear"/>
        <w:adjustRightInd w:val="0"/>
        <w:snapToGrid w:val="0"/>
        <w:spacing w:line="360" w:lineRule="auto"/>
        <w:ind w:right="102" w:firstLine="420"/>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5、我方的</w:t>
      </w:r>
      <w:r>
        <w:rPr>
          <w:rFonts w:hint="eastAsia" w:ascii="宋体" w:hAnsi="宋体" w:cs="宋体"/>
          <w:b/>
          <w:color w:val="000000" w:themeColor="text1"/>
          <w:kern w:val="1"/>
          <w:szCs w:val="21"/>
          <w:highlight w:val="none"/>
          <w14:textFill>
            <w14:solidFill>
              <w14:schemeClr w14:val="tx1"/>
            </w14:solidFill>
          </w14:textFill>
        </w:rPr>
        <w:t>总报价为人民币</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万</w:t>
      </w:r>
      <w:r>
        <w:rPr>
          <w:rFonts w:hint="eastAsia" w:ascii="宋体" w:hAnsi="宋体" w:cs="宋体"/>
          <w:b/>
          <w:color w:val="000000" w:themeColor="text1"/>
          <w:kern w:val="1"/>
          <w:szCs w:val="21"/>
          <w:highlight w:val="none"/>
          <w14:textFill>
            <w14:solidFill>
              <w14:schemeClr w14:val="tx1"/>
            </w14:solidFill>
          </w14:textFill>
        </w:rPr>
        <w:t>元（大写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）【其中：勘察费为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lang w:bidi="ar"/>
          <w14:textFill>
            <w14:solidFill>
              <w14:schemeClr w14:val="tx1"/>
            </w14:solidFill>
          </w14:textFill>
        </w:rPr>
        <w:t>万</w:t>
      </w:r>
      <w:r>
        <w:rPr>
          <w:rFonts w:hint="eastAsia" w:ascii="宋体" w:hAnsi="宋体" w:cs="宋体"/>
          <w:b/>
          <w:color w:val="000000" w:themeColor="text1"/>
          <w:kern w:val="1"/>
          <w:szCs w:val="21"/>
          <w:highlight w:val="none"/>
          <w14:textFill>
            <w14:solidFill>
              <w14:schemeClr w14:val="tx1"/>
            </w14:solidFill>
          </w14:textFill>
        </w:rPr>
        <w:t>元，勘察费下浮率为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%，设计费为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lang w:bidi="ar"/>
          <w14:textFill>
            <w14:solidFill>
              <w14:schemeClr w14:val="tx1"/>
            </w14:solidFill>
          </w14:textFill>
        </w:rPr>
        <w:t>万</w:t>
      </w:r>
      <w:r>
        <w:rPr>
          <w:rFonts w:hint="eastAsia" w:ascii="宋体" w:hAnsi="宋体" w:cs="宋体"/>
          <w:b/>
          <w:color w:val="000000" w:themeColor="text1"/>
          <w:kern w:val="1"/>
          <w:szCs w:val="21"/>
          <w:highlight w:val="none"/>
          <w14:textFill>
            <w14:solidFill>
              <w14:schemeClr w14:val="tx1"/>
            </w14:solidFill>
          </w14:textFill>
        </w:rPr>
        <w:t>元，设计费下浮率为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b/>
          <w:bCs/>
          <w:color w:val="000000" w:themeColor="text1"/>
          <w:kern w:val="1"/>
          <w:szCs w:val="21"/>
          <w:highlight w:val="none"/>
          <w14:textFill>
            <w14:solidFill>
              <w14:schemeClr w14:val="tx1"/>
            </w14:solidFill>
          </w14:textFill>
        </w:rPr>
        <w:t>工程费</w:t>
      </w:r>
      <w:r>
        <w:rPr>
          <w:rFonts w:hint="eastAsia" w:ascii="宋体" w:hAnsi="宋体" w:cs="宋体"/>
          <w:b/>
          <w:color w:val="000000" w:themeColor="text1"/>
          <w:kern w:val="1"/>
          <w:szCs w:val="21"/>
          <w:highlight w:val="none"/>
          <w14:textFill>
            <w14:solidFill>
              <w14:schemeClr w14:val="tx1"/>
            </w14:solidFill>
          </w14:textFill>
        </w:rPr>
        <w:t>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lang w:bidi="ar"/>
          <w14:textFill>
            <w14:solidFill>
              <w14:schemeClr w14:val="tx1"/>
            </w14:solidFill>
          </w14:textFill>
        </w:rPr>
        <w:t>万</w:t>
      </w:r>
      <w:r>
        <w:rPr>
          <w:rFonts w:hint="eastAsia" w:ascii="宋体" w:hAnsi="宋体" w:cs="宋体"/>
          <w:b/>
          <w:color w:val="000000" w:themeColor="text1"/>
          <w:kern w:val="1"/>
          <w:szCs w:val="21"/>
          <w:highlight w:val="none"/>
          <w14:textFill>
            <w14:solidFill>
              <w14:schemeClr w14:val="tx1"/>
            </w14:solidFill>
          </w14:textFill>
        </w:rPr>
        <w:t>元，</w:t>
      </w:r>
      <w:r>
        <w:rPr>
          <w:rFonts w:hint="eastAsia" w:ascii="宋体" w:hAnsi="宋体" w:cs="宋体"/>
          <w:b/>
          <w:bCs/>
          <w:color w:val="000000" w:themeColor="text1"/>
          <w:kern w:val="1"/>
          <w:szCs w:val="21"/>
          <w:highlight w:val="none"/>
          <w14:textFill>
            <w14:solidFill>
              <w14:schemeClr w14:val="tx1"/>
            </w14:solidFill>
          </w14:textFill>
        </w:rPr>
        <w:t>工程费</w:t>
      </w:r>
      <w:r>
        <w:rPr>
          <w:rFonts w:hint="eastAsia" w:ascii="宋体" w:hAnsi="宋体" w:cs="宋体"/>
          <w:b/>
          <w:color w:val="000000" w:themeColor="text1"/>
          <w:kern w:val="1"/>
          <w:szCs w:val="21"/>
          <w:highlight w:val="none"/>
          <w14:textFill>
            <w14:solidFill>
              <w14:schemeClr w14:val="tx1"/>
            </w14:solidFill>
          </w14:textFill>
        </w:rPr>
        <w:t>下浮率为</w:t>
      </w:r>
      <w:r>
        <w:rPr>
          <w:rFonts w:hint="eastAsia" w:ascii="宋体" w:hAnsi="宋体" w:cs="宋体"/>
          <w:b/>
          <w:color w:val="000000" w:themeColor="text1"/>
          <w:kern w:val="1"/>
          <w:szCs w:val="21"/>
          <w:highlight w:val="none"/>
          <w:u w:val="single"/>
          <w:lang w:bidi="ar"/>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lang w:val="zh-CN"/>
          <w14:textFill>
            <w14:solidFill>
              <w14:schemeClr w14:val="tx1"/>
            </w14:solidFill>
          </w14:textFill>
        </w:rPr>
        <w:t>。</w:t>
      </w:r>
      <w:r>
        <w:rPr>
          <w:rFonts w:hint="eastAsia" w:ascii="宋体" w:hAnsi="宋体" w:cs="宋体"/>
          <w:color w:val="000000" w:themeColor="text1"/>
          <w:kern w:val="1"/>
          <w:szCs w:val="21"/>
          <w:highlight w:val="none"/>
          <w:u w:val="single"/>
          <w:lang w:val="zh-CN"/>
          <w14:textFill>
            <w14:solidFill>
              <w14:schemeClr w14:val="tx1"/>
            </w14:solidFill>
          </w14:textFill>
        </w:rPr>
        <w:t>我方承诺以上报价不低于我方成本价，</w:t>
      </w:r>
      <w:r>
        <w:rPr>
          <w:rFonts w:hint="eastAsia" w:ascii="宋体" w:hAnsi="宋体" w:cs="宋体"/>
          <w:color w:val="000000" w:themeColor="text1"/>
          <w:kern w:val="1"/>
          <w:szCs w:val="21"/>
          <w:highlight w:val="none"/>
          <w:lang w:val="zh-CN"/>
          <w14:textFill>
            <w14:solidFill>
              <w14:schemeClr w14:val="tx1"/>
            </w14:solidFill>
          </w14:textFill>
        </w:rPr>
        <w:t>并且已包括完成本项目招标公告第2点所述招标内容和服务范围所包含全部工作的费用。（注：报价以万元为单位，小数点后保留二位小数，第三位小数四舍五入。）</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6、我方如果中标，将按招标文件合同条款以及我方在投标文件中的承诺签订合同。</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7、我方完全接受招标人对本项目功能需求和相关建设标准的要求。如果中标，我方保证本工程的投资、工期、质量、安全、绿色等级等控制目标按照招标文件要求完成。</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8、我方拟委派</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）为设计负责人、</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同志（身份证号码：</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）为项目技术负责人。我方承诺中标后上述人员及其他我方投标文件中提供的主要项目管理人员，未经招标人同意，不得更换。否则，我方愿意按招标文件合同条款中的有关规定给予违约赔偿。</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9、我方如果中标，承诺在中标通知书发出后30个日历天内按招标文件的规定向贵方提交银行履约保函，承诺在中标通知书发出后30个日历天内与贵方签署项目合同。</w:t>
      </w:r>
    </w:p>
    <w:p>
      <w:pPr>
        <w:widowControl/>
        <w:shd w:val="clear"/>
        <w:adjustRightInd w:val="0"/>
        <w:snapToGrid w:val="0"/>
        <w:spacing w:line="360" w:lineRule="auto"/>
        <w:ind w:right="102" w:firstLine="420"/>
        <w:jc w:val="left"/>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如我方违背上述承诺，我方愿意接受公开通报，放弃中标资格，承担由此带来的法律后果。</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投标人（盖章）：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法定代表人或授权代表（签字或盖章）：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w:t>
      </w:r>
      <w:r>
        <w:rPr>
          <w:rFonts w:hint="eastAsia" w:ascii="宋体" w:hAnsi="宋体" w:cs="宋体"/>
          <w:color w:val="000000" w:themeColor="text1"/>
          <w:kern w:val="1"/>
          <w:szCs w:val="21"/>
          <w:highlight w:val="none"/>
          <w:lang w:val="zh-CN"/>
          <w14:textFill>
            <w14:solidFill>
              <w14:schemeClr w14:val="tx1"/>
            </w14:solidFill>
          </w14:textFill>
        </w:rPr>
        <w:t>（签字或盖章）</w:t>
      </w:r>
      <w:r>
        <w:rPr>
          <w:rFonts w:hint="eastAsia" w:ascii="宋体" w:hAnsi="宋体" w:cs="宋体"/>
          <w:color w:val="000000" w:themeColor="text1"/>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地址：</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邮政编码：</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widowControl/>
        <w:shd w:val="clear"/>
        <w:wordWrap w:val="0"/>
        <w:adjustRightInd w:val="0"/>
        <w:snapToGrid w:val="0"/>
        <w:spacing w:line="360" w:lineRule="auto"/>
        <w:ind w:right="102"/>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电话：</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lang w:val="zh-CN"/>
          <w14:textFill>
            <w14:solidFill>
              <w14:schemeClr w14:val="tx1"/>
            </w14:solidFill>
          </w14:textFill>
        </w:rPr>
        <w:t>传真：</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5250" w:firstLineChars="2500"/>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日期：______年_______月______日</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2</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勘察设计投标书</w:t>
      </w:r>
    </w:p>
    <w:p>
      <w:pPr>
        <w:shd w:val="clear"/>
        <w:spacing w:line="360" w:lineRule="auto"/>
        <w:jc w:val="left"/>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项目名称：</w:t>
      </w:r>
      <w:r>
        <w:rPr>
          <w:rFonts w:hint="eastAsia" w:ascii="宋体" w:hAnsi="宋体" w:cs="宋体"/>
          <w:color w:val="000000" w:themeColor="text1"/>
          <w:kern w:val="1"/>
          <w:szCs w:val="20"/>
          <w:highlight w:val="none"/>
          <w:u w:val="single"/>
          <w14:textFill>
            <w14:solidFill>
              <w14:schemeClr w14:val="tx1"/>
            </w14:solidFill>
          </w14:textFill>
        </w:rPr>
        <w:t xml:space="preserve">                                           </w:t>
      </w:r>
      <w:r>
        <w:rPr>
          <w:rFonts w:hint="eastAsia" w:ascii="宋体" w:hAnsi="宋体" w:cs="宋体"/>
          <w:color w:val="000000" w:themeColor="text1"/>
          <w:kern w:val="1"/>
          <w:szCs w:val="20"/>
          <w:highlight w:val="none"/>
          <w14:textFill>
            <w14:solidFill>
              <w14:schemeClr w14:val="tx1"/>
            </w14:solidFill>
          </w14:textFill>
        </w:rPr>
        <w:t>。</w:t>
      </w:r>
    </w:p>
    <w:p>
      <w:pPr>
        <w:pStyle w:val="2"/>
        <w:shd w:val="clear"/>
        <w:spacing w:line="360" w:lineRule="auto"/>
        <w:rPr>
          <w:rFonts w:cs="宋体"/>
          <w:color w:val="000000" w:themeColor="text1"/>
          <w:sz w:val="21"/>
          <w:szCs w:val="21"/>
          <w:highlight w:val="none"/>
          <w14:textFill>
            <w14:solidFill>
              <w14:schemeClr w14:val="tx1"/>
            </w14:solidFill>
          </w14:textFill>
        </w:rPr>
      </w:pPr>
    </w:p>
    <w:p>
      <w:pPr>
        <w:pStyle w:val="2"/>
        <w:shd w:val="clear"/>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（招标人名称）</w:t>
      </w:r>
    </w:p>
    <w:p>
      <w:pPr>
        <w:shd w:val="clear"/>
        <w:spacing w:line="360" w:lineRule="auto"/>
        <w:jc w:val="left"/>
        <w:rPr>
          <w:rFonts w:ascii="宋体" w:hAnsi="宋体" w:cs="宋体"/>
          <w:color w:val="000000" w:themeColor="text1"/>
          <w:kern w:val="1"/>
          <w:szCs w:val="20"/>
          <w:highlight w:val="none"/>
          <w14:textFill>
            <w14:solidFill>
              <w14:schemeClr w14:val="tx1"/>
            </w14:solidFill>
          </w14:textFill>
        </w:rPr>
      </w:pPr>
    </w:p>
    <w:p>
      <w:pPr>
        <w:pStyle w:val="2"/>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投标人的简称）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pPr>
        <w:pStyle w:val="2"/>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pPr>
        <w:pStyle w:val="2"/>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我方认同招标文件规定的评审规则，遵守评标委员会的裁决结果，并且不会采取妨碍项目进展的行为。</w:t>
      </w:r>
    </w:p>
    <w:p>
      <w:pPr>
        <w:pStyle w:val="2"/>
        <w:shd w:val="clear"/>
        <w:spacing w:line="360" w:lineRule="auto"/>
        <w:ind w:firstLine="48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除非制订正式合同协议书并生效，本投标书以及你方中标通知书，应构成你我双方间具有约束力的合同。</w:t>
      </w:r>
    </w:p>
    <w:p>
      <w:pPr>
        <w:shd w:val="clear"/>
        <w:spacing w:line="360" w:lineRule="auto"/>
        <w:ind w:firstLine="480"/>
        <w:rPr>
          <w:rFonts w:ascii="宋体" w:hAnsi="宋体" w:cs="宋体"/>
          <w:color w:val="000000" w:themeColor="text1"/>
          <w:kern w:val="1"/>
          <w:szCs w:val="20"/>
          <w:highlight w:val="none"/>
          <w14:textFill>
            <w14:solidFill>
              <w14:schemeClr w14:val="tx1"/>
            </w14:solidFill>
          </w14:textFill>
        </w:rPr>
      </w:pPr>
      <w:r>
        <w:rPr>
          <w:rFonts w:hint="eastAsia" w:ascii="宋体" w:hAnsi="宋体" w:cs="宋体"/>
          <w:color w:val="000000" w:themeColor="text1"/>
          <w:kern w:val="1"/>
          <w:szCs w:val="20"/>
          <w:highlight w:val="none"/>
          <w14:textFill>
            <w14:solidFill>
              <w14:schemeClr w14:val="tx1"/>
            </w14:solidFill>
          </w14:textFill>
        </w:rPr>
        <w:t>本投标书同时作为法人证明书或法人授权委托书。</w:t>
      </w:r>
    </w:p>
    <w:p>
      <w:pPr>
        <w:shd w:val="clear"/>
        <w:spacing w:line="360" w:lineRule="auto"/>
        <w:rPr>
          <w:rFonts w:ascii="宋体" w:hAnsi="宋体" w:cs="宋体"/>
          <w:color w:val="000000" w:themeColor="text1"/>
          <w:kern w:val="1"/>
          <w:szCs w:val="21"/>
          <w:highlight w:val="none"/>
          <w14:textFill>
            <w14:solidFill>
              <w14:schemeClr w14:val="tx1"/>
            </w14:solidFill>
          </w14:textFill>
        </w:rPr>
      </w:pP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（盖章）</w:t>
      </w: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384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日期：    年    月    日</w:t>
      </w: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宋体"/>
          <w:b/>
          <w:color w:val="000000" w:themeColor="text1"/>
          <w:kern w:val="1"/>
          <w:sz w:val="24"/>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3</w:t>
      </w:r>
      <w:r>
        <w:rPr>
          <w:rFonts w:hint="eastAsia" w:ascii="宋体" w:hAnsi="宋体" w:cs="宋体"/>
          <w:b/>
          <w:color w:val="000000" w:themeColor="text1"/>
          <w:kern w:val="1"/>
          <w:sz w:val="24"/>
          <w:highlight w:val="none"/>
          <w:lang w:val="zh-CN"/>
          <w14:textFill>
            <w14:solidFill>
              <w14:schemeClr w14:val="tx1"/>
            </w14:solidFill>
          </w14:textFill>
        </w:rPr>
        <w:t>：</w:t>
      </w:r>
    </w:p>
    <w:p>
      <w:pPr>
        <w:shd w:val="clear"/>
        <w:spacing w:line="360" w:lineRule="auto"/>
        <w:jc w:val="center"/>
        <w:rPr>
          <w:rFonts w:ascii="宋体" w:hAnsi="宋体" w:cs="宋体"/>
          <w:b/>
          <w:color w:val="000000" w:themeColor="text1"/>
          <w:kern w:val="1"/>
          <w:sz w:val="36"/>
          <w:szCs w:val="36"/>
          <w:highlight w:val="none"/>
          <w:lang w:val="zh-CN"/>
          <w14:textFill>
            <w14:solidFill>
              <w14:schemeClr w14:val="tx1"/>
            </w14:solidFill>
          </w14:textFill>
        </w:rPr>
      </w:pPr>
      <w:bookmarkStart w:id="398" w:name="_Hlk61429714"/>
      <w:r>
        <w:rPr>
          <w:rFonts w:hint="eastAsia" w:ascii="宋体" w:hAnsi="宋体" w:cs="宋体"/>
          <w:b/>
          <w:color w:val="000000" w:themeColor="text1"/>
          <w:kern w:val="1"/>
          <w:sz w:val="36"/>
          <w:szCs w:val="36"/>
          <w:highlight w:val="none"/>
          <w:lang w:val="zh-CN"/>
          <w14:textFill>
            <w14:solidFill>
              <w14:schemeClr w14:val="tx1"/>
            </w14:solidFill>
          </w14:textFill>
        </w:rPr>
        <w:t>技术</w:t>
      </w:r>
      <w:bookmarkEnd w:id="398"/>
      <w:r>
        <w:rPr>
          <w:rFonts w:hint="eastAsia" w:ascii="宋体" w:hAnsi="宋体" w:cs="宋体"/>
          <w:b/>
          <w:color w:val="000000" w:themeColor="text1"/>
          <w:kern w:val="1"/>
          <w:sz w:val="36"/>
          <w:szCs w:val="36"/>
          <w:highlight w:val="none"/>
          <w:lang w:val="zh-CN"/>
          <w14:textFill>
            <w14:solidFill>
              <w14:schemeClr w14:val="tx1"/>
            </w14:solidFill>
          </w14:textFill>
        </w:rPr>
        <w:t>投标书</w:t>
      </w:r>
    </w:p>
    <w:p>
      <w:pPr>
        <w:shd w:val="clear"/>
        <w:spacing w:line="360" w:lineRule="auto"/>
        <w:jc w:val="center"/>
        <w:rPr>
          <w:rFonts w:ascii="宋体" w:hAnsi="宋体" w:cs="宋体"/>
          <w:b/>
          <w:color w:val="000000" w:themeColor="text1"/>
          <w:kern w:val="1"/>
          <w:sz w:val="32"/>
          <w:szCs w:val="32"/>
          <w:highlight w:val="none"/>
          <w:lang w:val="zh-CN"/>
          <w14:textFill>
            <w14:solidFill>
              <w14:schemeClr w14:val="tx1"/>
            </w14:solidFill>
          </w14:textFill>
        </w:rPr>
      </w:pPr>
    </w:p>
    <w:p>
      <w:pPr>
        <w:shd w:val="clear"/>
        <w:spacing w:line="360" w:lineRule="auto"/>
        <w:jc w:val="right"/>
        <w:rPr>
          <w:rFonts w:ascii="宋体" w:hAnsi="宋体" w:cs="宋体"/>
          <w:b/>
          <w:color w:val="000000" w:themeColor="text1"/>
          <w:kern w:val="1"/>
          <w:sz w:val="32"/>
          <w:szCs w:val="32"/>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投标日期：   年  月  日</w:t>
      </w:r>
    </w:p>
    <w:tbl>
      <w:tblPr>
        <w:tblStyle w:val="34"/>
        <w:tblW w:w="9275" w:type="dxa"/>
        <w:tblInd w:w="0" w:type="dxa"/>
        <w:tblLayout w:type="fixed"/>
        <w:tblCellMar>
          <w:top w:w="0" w:type="dxa"/>
          <w:left w:w="108" w:type="dxa"/>
          <w:bottom w:w="0" w:type="dxa"/>
          <w:right w:w="108" w:type="dxa"/>
        </w:tblCellMar>
      </w:tblPr>
      <w:tblGrid>
        <w:gridCol w:w="3048"/>
        <w:gridCol w:w="2294"/>
        <w:gridCol w:w="3933"/>
      </w:tblGrid>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工 程 名 称</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总 工 期</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ind w:left="236" w:hanging="236"/>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bCs/>
                <w:color w:val="000000" w:themeColor="text1"/>
                <w:kern w:val="1"/>
                <w:sz w:val="24"/>
                <w:highlight w:val="none"/>
                <w:lang w:val="zh-CN"/>
                <w14:textFill>
                  <w14:solidFill>
                    <w14:schemeClr w14:val="tx1"/>
                  </w14:solidFill>
                </w14:textFill>
              </w:rPr>
              <w:t>质量标准</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68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保修期限</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完全响应招标文件及合同条款要求</w:t>
            </w:r>
          </w:p>
        </w:tc>
      </w:tr>
      <w:tr>
        <w:tblPrEx>
          <w:tblCellMar>
            <w:top w:w="0" w:type="dxa"/>
            <w:left w:w="108" w:type="dxa"/>
            <w:bottom w:w="0" w:type="dxa"/>
            <w:right w:w="108" w:type="dxa"/>
          </w:tblCellMar>
        </w:tblPrEx>
        <w:trPr>
          <w:trHeight w:val="51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委派的项目负责人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555" w:hRule="atLeast"/>
        </w:trPr>
        <w:tc>
          <w:tcPr>
            <w:tcW w:w="3048" w:type="dxa"/>
            <w:tcBorders>
              <w:top w:val="single" w:color="000000" w:sz="4" w:space="0"/>
              <w:left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委派的技术负责人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委派的专职安全员</w:t>
            </w:r>
          </w:p>
        </w:tc>
        <w:tc>
          <w:tcPr>
            <w:tcW w:w="22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469"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委派的设计负责人</w:t>
            </w:r>
          </w:p>
        </w:tc>
        <w:tc>
          <w:tcPr>
            <w:tcW w:w="229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姓    名</w:t>
            </w:r>
          </w:p>
        </w:tc>
        <w:tc>
          <w:tcPr>
            <w:tcW w:w="3933"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法 定 代 表 人</w:t>
            </w:r>
          </w:p>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授 权 委 托 人</w:t>
            </w:r>
          </w:p>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（签名或盖章）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r>
        <w:tblPrEx>
          <w:tblCellMar>
            <w:top w:w="0" w:type="dxa"/>
            <w:left w:w="108" w:type="dxa"/>
            <w:bottom w:w="0" w:type="dxa"/>
            <w:right w:w="108" w:type="dxa"/>
          </w:tblCellMar>
        </w:tblPrEx>
        <w:trPr>
          <w:trHeight w:val="1053" w:hRule="atLeast"/>
        </w:trPr>
        <w:tc>
          <w:tcPr>
            <w:tcW w:w="304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投  标  单  位</w:t>
            </w:r>
          </w:p>
          <w:p>
            <w:pPr>
              <w:shd w:val="clear"/>
              <w:spacing w:line="360" w:lineRule="auto"/>
              <w:ind w:firstLine="239"/>
              <w:jc w:val="center"/>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（企业公章）</w:t>
            </w:r>
          </w:p>
        </w:tc>
        <w:tc>
          <w:tcPr>
            <w:tcW w:w="6227" w:type="dxa"/>
            <w:gridSpan w:val="2"/>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p>
        </w:tc>
      </w:tr>
    </w:tbl>
    <w:p>
      <w:pPr>
        <w:pStyle w:val="2"/>
        <w:shd w:val="clear"/>
        <w:spacing w:line="360" w:lineRule="auto"/>
        <w:rPr>
          <w:rFonts w:cs="宋体"/>
          <w:b/>
          <w:color w:val="000000" w:themeColor="text1"/>
          <w:kern w:val="1"/>
          <w:szCs w:val="21"/>
          <w:highlight w:val="none"/>
          <w14:textFill>
            <w14:solidFill>
              <w14:schemeClr w14:val="tx1"/>
            </w14:solidFill>
          </w14:textFill>
        </w:rPr>
      </w:pPr>
      <w:r>
        <w:rPr>
          <w:rFonts w:hint="eastAsia" w:cs="宋体"/>
          <w:b/>
          <w:color w:val="000000" w:themeColor="text1"/>
          <w:kern w:val="1"/>
          <w:szCs w:val="21"/>
          <w:highlight w:val="none"/>
          <w14:textFill>
            <w14:solidFill>
              <w14:schemeClr w14:val="tx1"/>
            </w14:solidFill>
          </w14:textFill>
        </w:rPr>
        <w:t>注：联合体投标的，“投标单位”一栏需书写所有联合体成员的单位全称，可由牵头方签署、盖章。</w:t>
      </w:r>
    </w:p>
    <w:p>
      <w:pPr>
        <w:shd w:val="clear"/>
        <w:snapToGrid w:val="0"/>
        <w:spacing w:line="360" w:lineRule="auto"/>
        <w:ind w:firstLine="420" w:firstLineChars="200"/>
        <w:rPr>
          <w:rFonts w:ascii="宋体" w:hAns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399" w:name="_Hlk69827517"/>
      <w:r>
        <w:rPr>
          <w:rFonts w:hint="eastAsia" w:ascii="宋体" w:hAnsi="宋体" w:cs="宋体"/>
          <w:b/>
          <w:color w:val="000000" w:themeColor="text1"/>
          <w:kern w:val="1"/>
          <w:sz w:val="24"/>
          <w:highlight w:val="none"/>
          <w:lang w:val="zh-CN"/>
          <w14:textFill>
            <w14:solidFill>
              <w14:schemeClr w14:val="tx1"/>
            </w14:solidFill>
          </w14:textFill>
        </w:rPr>
        <w:t>技术投标书附表：</w:t>
      </w:r>
    </w:p>
    <w:tbl>
      <w:tblPr>
        <w:tblStyle w:val="34"/>
        <w:tblW w:w="9329" w:type="dxa"/>
        <w:tblInd w:w="0" w:type="dxa"/>
        <w:tblLayout w:type="fixed"/>
        <w:tblCellMar>
          <w:top w:w="0" w:type="dxa"/>
          <w:left w:w="0" w:type="dxa"/>
          <w:bottom w:w="0" w:type="dxa"/>
          <w:right w:w="0" w:type="dxa"/>
        </w:tblCellMar>
      </w:tblPr>
      <w:tblGrid>
        <w:gridCol w:w="590"/>
        <w:gridCol w:w="1071"/>
        <w:gridCol w:w="2608"/>
        <w:gridCol w:w="1633"/>
        <w:gridCol w:w="3427"/>
      </w:tblGrid>
      <w:tr>
        <w:tblPrEx>
          <w:tblCellMar>
            <w:top w:w="0" w:type="dxa"/>
            <w:left w:w="0" w:type="dxa"/>
            <w:bottom w:w="0" w:type="dxa"/>
            <w:right w:w="0" w:type="dxa"/>
          </w:tblCellMar>
        </w:tblPrEx>
        <w:trPr>
          <w:trHeight w:val="1160" w:hRule="atLeast"/>
        </w:trPr>
        <w:tc>
          <w:tcPr>
            <w:tcW w:w="9329" w:type="dxa"/>
            <w:gridSpan w:val="5"/>
            <w:tcBorders>
              <w:top w:val="nil"/>
              <w:left w:val="nil"/>
              <w:bottom w:val="single" w:color="000000" w:sz="4" w:space="0"/>
              <w:right w:val="nil"/>
            </w:tcBorders>
            <w:noWrap/>
            <w:tcMar>
              <w:top w:w="15" w:type="dxa"/>
              <w:left w:w="15" w:type="dxa"/>
              <w:right w:w="15" w:type="dxa"/>
            </w:tcMar>
            <w:vAlign w:val="center"/>
          </w:tcPr>
          <w:p>
            <w:pPr>
              <w:widowControl/>
              <w:shd w:val="clear"/>
              <w:spacing w:line="360" w:lineRule="auto"/>
              <w:jc w:val="center"/>
              <w:textAlignment w:val="center"/>
              <w:rPr>
                <w:rFonts w:ascii="宋体" w:hAnsi="宋体" w:cs="方正大标宋简体"/>
                <w:b/>
                <w:color w:val="000000" w:themeColor="text1"/>
                <w:sz w:val="32"/>
                <w:szCs w:val="32"/>
                <w:highlight w:val="none"/>
                <w14:textFill>
                  <w14:solidFill>
                    <w14:schemeClr w14:val="tx1"/>
                  </w14:solidFill>
                </w14:textFill>
              </w:rPr>
            </w:pPr>
            <w:bookmarkStart w:id="400" w:name="_Hlk61431754"/>
            <w:r>
              <w:rPr>
                <w:rFonts w:hint="eastAsia" w:ascii="宋体" w:hAnsi="宋体" w:cs="方正大标宋简体"/>
                <w:b/>
                <w:color w:val="000000" w:themeColor="text1"/>
                <w:sz w:val="32"/>
                <w:szCs w:val="32"/>
                <w:highlight w:val="none"/>
                <w:lang w:bidi="ar"/>
                <w14:textFill>
                  <w14:solidFill>
                    <w14:schemeClr w14:val="tx1"/>
                  </w14:solidFill>
                </w14:textFill>
              </w:rPr>
              <w:t>工程总承包</w:t>
            </w:r>
            <w:r>
              <w:rPr>
                <w:rFonts w:ascii="宋体" w:hAnsi="宋体" w:cs="方正大标宋简体"/>
                <w:b/>
                <w:color w:val="000000" w:themeColor="text1"/>
                <w:sz w:val="32"/>
                <w:szCs w:val="32"/>
                <w:highlight w:val="none"/>
                <w:lang w:bidi="ar"/>
                <w14:textFill>
                  <w14:solidFill>
                    <w14:schemeClr w14:val="tx1"/>
                  </w14:solidFill>
                </w14:textFill>
              </w:rPr>
              <w:t>项目管理团队人员信息表</w:t>
            </w:r>
            <w:bookmarkEnd w:id="400"/>
          </w:p>
        </w:tc>
      </w:tr>
      <w:tr>
        <w:tblPrEx>
          <w:tblCellMar>
            <w:top w:w="0" w:type="dxa"/>
            <w:left w:w="0" w:type="dxa"/>
            <w:bottom w:w="0" w:type="dxa"/>
            <w:right w:w="0" w:type="dxa"/>
          </w:tblCellMar>
        </w:tblPrEx>
        <w:trPr>
          <w:trHeight w:val="975" w:hRule="atLeast"/>
        </w:trPr>
        <w:tc>
          <w:tcPr>
            <w:tcW w:w="5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序号</w:t>
            </w:r>
          </w:p>
        </w:tc>
        <w:tc>
          <w:tcPr>
            <w:tcW w:w="10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姓名</w:t>
            </w:r>
          </w:p>
        </w:tc>
        <w:tc>
          <w:tcPr>
            <w:tcW w:w="26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岗位</w:t>
            </w:r>
          </w:p>
        </w:tc>
        <w:tc>
          <w:tcPr>
            <w:tcW w:w="16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w:t>
            </w:r>
          </w:p>
        </w:tc>
        <w:tc>
          <w:tcPr>
            <w:tcW w:w="3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spacing w:line="360" w:lineRule="auto"/>
              <w:jc w:val="center"/>
              <w:textAlignment w:val="center"/>
              <w:rPr>
                <w:rFonts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bidi="ar"/>
                <w14:textFill>
                  <w14:solidFill>
                    <w14:schemeClr w14:val="tx1"/>
                  </w14:solidFill>
                </w14:textFill>
              </w:rPr>
              <w:t>职称证书或资格证书编号</w:t>
            </w:r>
          </w:p>
        </w:tc>
      </w:tr>
      <w:tr>
        <w:tblPrEx>
          <w:tblCellMar>
            <w:top w:w="0" w:type="dxa"/>
            <w:left w:w="0" w:type="dxa"/>
            <w:bottom w:w="0" w:type="dxa"/>
            <w:right w:w="0" w:type="dxa"/>
          </w:tblCellMar>
        </w:tblPrEx>
        <w:trPr>
          <w:trHeight w:val="357"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6"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2</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3</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3"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4</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5</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6</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2"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ascii="仿宋" w:hAnsi="仿宋" w:eastAsia="仿宋" w:cs="仿宋"/>
                <w:color w:val="000000" w:themeColor="text1"/>
                <w:sz w:val="24"/>
                <w:szCs w:val="24"/>
                <w:highlight w:val="none"/>
                <w:lang w:bidi="ar"/>
                <w14:textFill>
                  <w14:solidFill>
                    <w14:schemeClr w14:val="tx1"/>
                  </w14:solidFill>
                </w14:textFill>
              </w:rPr>
              <w:t>7</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8"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lang w:bidi="ar"/>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8</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hd w:val="clear"/>
              <w:spacing w:line="360" w:lineRule="auto"/>
              <w:jc w:val="center"/>
              <w:textAlignment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9</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10</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401"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11</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394"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w:t>
            </w:r>
          </w:p>
        </w:tc>
        <w:tc>
          <w:tcPr>
            <w:tcW w:w="10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260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p>
        </w:tc>
        <w:tc>
          <w:tcPr>
            <w:tcW w:w="34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hd w:val="clear"/>
              <w:spacing w:line="360"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bidi="ar"/>
                <w14:textFill>
                  <w14:solidFill>
                    <w14:schemeClr w14:val="tx1"/>
                  </w14:solidFill>
                </w14:textFill>
              </w:rPr>
              <w:t>…</w:t>
            </w:r>
          </w:p>
        </w:tc>
      </w:tr>
      <w:tr>
        <w:tblPrEx>
          <w:tblCellMar>
            <w:top w:w="0" w:type="dxa"/>
            <w:left w:w="0" w:type="dxa"/>
            <w:bottom w:w="0" w:type="dxa"/>
            <w:right w:w="0" w:type="dxa"/>
          </w:tblCellMar>
        </w:tblPrEx>
        <w:trPr>
          <w:trHeight w:val="1393" w:hRule="atLeast"/>
        </w:trPr>
        <w:tc>
          <w:tcPr>
            <w:tcW w:w="93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hd w:val="clear"/>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备注：</w:t>
            </w:r>
          </w:p>
          <w:p>
            <w:pPr>
              <w:widowControl/>
              <w:shd w:val="clear"/>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1、“岗位”要求</w:t>
            </w:r>
            <w:r>
              <w:rPr>
                <w:rStyle w:val="54"/>
                <w:rFonts w:hint="eastAsia"/>
                <w:b/>
                <w:bCs/>
                <w:color w:val="000000" w:themeColor="text1"/>
                <w:sz w:val="22"/>
                <w:szCs w:val="22"/>
                <w:highlight w:val="none"/>
                <w:lang w:bidi="ar"/>
                <w14:textFill>
                  <w14:solidFill>
                    <w14:schemeClr w14:val="tx1"/>
                  </w14:solidFill>
                </w14:textFill>
              </w:rPr>
              <w:t>[</w:t>
            </w:r>
            <w:r>
              <w:rPr>
                <w:rStyle w:val="54"/>
                <w:b/>
                <w:bCs/>
                <w:color w:val="000000" w:themeColor="text1"/>
                <w:sz w:val="22"/>
                <w:szCs w:val="22"/>
                <w:highlight w:val="none"/>
                <w:lang w:bidi="ar"/>
                <w14:textFill>
                  <w14:solidFill>
                    <w14:schemeClr w14:val="tx1"/>
                  </w14:solidFill>
                </w14:textFill>
              </w:rPr>
              <w:t>除项目负责人</w:t>
            </w:r>
            <w:r>
              <w:rPr>
                <w:rStyle w:val="54"/>
                <w:rFonts w:hint="eastAsia"/>
                <w:b/>
                <w:bCs/>
                <w:color w:val="000000" w:themeColor="text1"/>
                <w:sz w:val="22"/>
                <w:szCs w:val="22"/>
                <w:highlight w:val="none"/>
                <w:lang w:bidi="ar"/>
                <w14:textFill>
                  <w14:solidFill>
                    <w14:schemeClr w14:val="tx1"/>
                  </w14:solidFill>
                </w14:textFill>
              </w:rPr>
              <w:t>（兼施工项目负责人）、设计负责人</w:t>
            </w:r>
            <w:r>
              <w:rPr>
                <w:rStyle w:val="54"/>
                <w:b/>
                <w:bCs/>
                <w:color w:val="000000" w:themeColor="text1"/>
                <w:sz w:val="22"/>
                <w:szCs w:val="22"/>
                <w:highlight w:val="none"/>
                <w:lang w:bidi="ar"/>
                <w14:textFill>
                  <w14:solidFill>
                    <w14:schemeClr w14:val="tx1"/>
                  </w14:solidFill>
                </w14:textFill>
              </w:rPr>
              <w:t>和专职安全员外</w:t>
            </w:r>
            <w:r>
              <w:rPr>
                <w:rStyle w:val="54"/>
                <w:rFonts w:hint="eastAsia"/>
                <w:b/>
                <w:bCs/>
                <w:color w:val="000000" w:themeColor="text1"/>
                <w:sz w:val="22"/>
                <w:szCs w:val="22"/>
                <w:highlight w:val="none"/>
                <w:lang w:bidi="ar"/>
                <w14:textFill>
                  <w14:solidFill>
                    <w14:schemeClr w14:val="tx1"/>
                  </w14:solidFill>
                </w14:textFill>
              </w:rPr>
              <w:t>]</w:t>
            </w:r>
            <w:r>
              <w:rPr>
                <w:rStyle w:val="90"/>
                <w:rFonts w:hint="default" w:ascii="宋体" w:hAnsi="宋体" w:eastAsia="宋体"/>
                <w:color w:val="000000" w:themeColor="text1"/>
                <w:sz w:val="22"/>
                <w:szCs w:val="22"/>
                <w:highlight w:val="none"/>
                <w:lang w:bidi="ar"/>
                <w14:textFill>
                  <w14:solidFill>
                    <w14:schemeClr w14:val="tx1"/>
                  </w14:solidFill>
                </w14:textFill>
              </w:rPr>
              <w:t>：拟派技术负责人、质量负责人、安全负责人、造价负责人、各专业设计负责人、施工员、质量员、资料员等。投标登记时，投标人应按本表内容在交易系统中填写《工程总承包项目管理团队人员信息表》，表中的项目管理团队人员信息作为投标文件的一部分，将由交易系统提取后供各相关单位在履约时比对、查核。</w:t>
            </w:r>
          </w:p>
          <w:p>
            <w:pPr>
              <w:widowControl/>
              <w:shd w:val="clear"/>
              <w:jc w:val="left"/>
              <w:textAlignment w:val="center"/>
              <w:rPr>
                <w:rStyle w:val="90"/>
                <w:rFonts w:hint="default" w:ascii="宋体" w:hAnsi="宋体" w:eastAsia="宋体"/>
                <w:color w:val="000000" w:themeColor="text1"/>
                <w:sz w:val="22"/>
                <w:szCs w:val="22"/>
                <w:highlight w:val="none"/>
                <w:lang w:bidi="ar"/>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shd w:val="clear"/>
              <w:jc w:val="left"/>
              <w:textAlignment w:val="center"/>
              <w:rPr>
                <w:rFonts w:ascii="宋体" w:hAnsi="宋体" w:cs="仿宋"/>
                <w:color w:val="000000" w:themeColor="text1"/>
                <w:sz w:val="22"/>
                <w:highlight w:val="none"/>
                <w14:textFill>
                  <w14:solidFill>
                    <w14:schemeClr w14:val="tx1"/>
                  </w14:solidFill>
                </w14:textFill>
              </w:rPr>
            </w:pPr>
            <w:r>
              <w:rPr>
                <w:rStyle w:val="90"/>
                <w:rFonts w:hint="default" w:ascii="宋体" w:hAnsi="宋体" w:eastAsia="宋体"/>
                <w:color w:val="000000" w:themeColor="text1"/>
                <w:sz w:val="22"/>
                <w:szCs w:val="22"/>
                <w:highlight w:val="none"/>
                <w:lang w:bidi="ar"/>
                <w14:textFill>
                  <w14:solidFill>
                    <w14:schemeClr w14:val="tx1"/>
                  </w14:solidFill>
                </w14:textFill>
              </w:rPr>
              <w:t>3、如评标办法对投标人拟投入的项目管理团队进行评审的，</w:t>
            </w:r>
            <w:bookmarkStart w:id="401" w:name="_Hlk61431742"/>
            <w:r>
              <w:rPr>
                <w:rStyle w:val="90"/>
                <w:rFonts w:hint="default" w:ascii="宋体" w:hAnsi="宋体" w:eastAsia="宋体"/>
                <w:color w:val="000000" w:themeColor="text1"/>
                <w:sz w:val="22"/>
                <w:szCs w:val="22"/>
                <w:highlight w:val="none"/>
                <w:lang w:bidi="ar"/>
                <w14:textFill>
                  <w14:solidFill>
                    <w14:schemeClr w14:val="tx1"/>
                  </w14:solidFill>
                </w14:textFill>
              </w:rPr>
              <w:t>如相同岗位投入人员姓名与本表不一致的，以本表中姓名为准；投标人提供的团队人员职称或资格（含证书编号）情况与本表不一致的，以投标人提供的相关证明材料为准。</w:t>
            </w:r>
            <w:bookmarkEnd w:id="401"/>
          </w:p>
        </w:tc>
      </w:tr>
      <w:bookmarkEnd w:id="399"/>
    </w:tbl>
    <w:p>
      <w:pPr>
        <w:pStyle w:val="2"/>
        <w:shd w:val="clear"/>
        <w:spacing w:line="360" w:lineRule="auto"/>
        <w:rPr>
          <w:color w:val="000000" w:themeColor="text1"/>
          <w:sz w:val="24"/>
          <w:highlight w:val="none"/>
          <w:lang w:val="en-US"/>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4</w:t>
      </w:r>
      <w:r>
        <w:rPr>
          <w:rFonts w:hint="eastAsia" w:ascii="宋体" w:hAnsi="宋体" w:cs="宋体"/>
          <w:b/>
          <w:color w:val="000000" w:themeColor="text1"/>
          <w:kern w:val="1"/>
          <w:sz w:val="24"/>
          <w:highlight w:val="none"/>
          <w:lang w:val="zh-CN"/>
          <w14:textFill>
            <w14:solidFill>
              <w14:schemeClr w14:val="tx1"/>
            </w14:solidFill>
          </w14:textFill>
        </w:rPr>
        <w:t>：</w:t>
      </w: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投标承诺书</w:t>
      </w:r>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致：</w:t>
      </w:r>
      <w:r>
        <w:rPr>
          <w:rFonts w:hint="eastAsia" w:ascii="宋体" w:hAnsi="宋体" w:cs="宋体"/>
          <w:color w:val="000000" w:themeColor="text1"/>
          <w:kern w:val="1"/>
          <w:szCs w:val="21"/>
          <w:highlight w:val="none"/>
          <w:u w:val="single"/>
          <w14:textFill>
            <w14:solidFill>
              <w14:schemeClr w14:val="tx1"/>
            </w14:solidFill>
          </w14:textFill>
        </w:rPr>
        <w:t xml:space="preserve">     （招标人名称）       </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我司确认收到贵司提供的</w:t>
      </w:r>
      <w:r>
        <w:rPr>
          <w:rFonts w:hint="eastAsia" w:ascii="宋体" w:hAnsi="宋体" w:cs="宋体"/>
          <w:color w:val="000000" w:themeColor="text1"/>
          <w:kern w:val="1"/>
          <w:szCs w:val="21"/>
          <w:highlight w:val="none"/>
          <w:u w:val="single"/>
          <w14:textFill>
            <w14:solidFill>
              <w14:schemeClr w14:val="tx1"/>
            </w14:solidFill>
          </w14:textFill>
        </w:rPr>
        <w:t xml:space="preserve">      （项目名称）      </w:t>
      </w:r>
      <w:r>
        <w:rPr>
          <w:rFonts w:hint="eastAsia" w:ascii="宋体" w:hAnsi="宋体" w:cs="宋体"/>
          <w:color w:val="000000" w:themeColor="text1"/>
          <w:kern w:val="1"/>
          <w:szCs w:val="21"/>
          <w:highlight w:val="none"/>
          <w14:textFill>
            <w14:solidFill>
              <w14:schemeClr w14:val="tx1"/>
            </w14:solidFill>
          </w14:textFill>
        </w:rPr>
        <w:t>招标文件的全部内容，我司：</w:t>
      </w:r>
      <w:r>
        <w:rPr>
          <w:rFonts w:hint="eastAsia" w:ascii="宋体" w:hAnsi="宋体" w:cs="宋体"/>
          <w:color w:val="000000" w:themeColor="text1"/>
          <w:kern w:val="1"/>
          <w:szCs w:val="21"/>
          <w:highlight w:val="none"/>
          <w:u w:val="single"/>
          <w14:textFill>
            <w14:solidFill>
              <w14:schemeClr w14:val="tx1"/>
            </w14:solidFill>
          </w14:textFill>
        </w:rPr>
        <w:t xml:space="preserve">       (投标人名称)      </w:t>
      </w:r>
      <w:r>
        <w:rPr>
          <w:rFonts w:hint="eastAsia" w:ascii="宋体" w:hAnsi="宋体" w:cs="宋体"/>
          <w:color w:val="000000" w:themeColor="text1"/>
          <w:kern w:val="1"/>
          <w:szCs w:val="21"/>
          <w:highlight w:val="none"/>
          <w14:textFill>
            <w14:solidFill>
              <w14:schemeClr w14:val="tx1"/>
            </w14:solidFill>
          </w14:textFill>
        </w:rPr>
        <w:t>已作为投标人正式授权</w:t>
      </w:r>
      <w:r>
        <w:rPr>
          <w:rFonts w:hint="eastAsia" w:ascii="宋体" w:hAnsi="宋体" w:cs="宋体"/>
          <w:color w:val="000000" w:themeColor="text1"/>
          <w:kern w:val="1"/>
          <w:szCs w:val="21"/>
          <w:highlight w:val="none"/>
          <w:u w:val="single"/>
          <w14:textFill>
            <w14:solidFill>
              <w14:schemeClr w14:val="tx1"/>
            </w14:solidFill>
          </w14:textFill>
        </w:rPr>
        <w:t xml:space="preserve">         (授权代表全名，职务)    </w:t>
      </w:r>
      <w:r>
        <w:rPr>
          <w:rFonts w:hint="eastAsia" w:ascii="宋体" w:hAnsi="宋体" w:cs="宋体"/>
          <w:color w:val="000000" w:themeColor="text1"/>
          <w:kern w:val="1"/>
          <w:szCs w:val="21"/>
          <w:highlight w:val="none"/>
          <w14:textFill>
            <w14:solidFill>
              <w14:schemeClr w14:val="tx1"/>
            </w14:solidFill>
          </w14:textFill>
        </w:rPr>
        <w:t>代表我司进行有关本投标的一切事宜。</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我司已完全明白和接受招标文件的所有条款要求，并重申以下几点：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 我司已充分阅读了本项目招标文件并充分了解有关报价方式及变更、结算方式，我司完全响应招标文件的规定。</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3．本投标文件的有效期为投标截止日后120天内有效；</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4．我司承诺投标文件中的一切资料、数据是真实的，并承担由此引起的一切责任。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5．我司明白并愿意若在规定的投标截止时间之后至投标有效期之内撤回投标，则招标人有权就其撤回行为报告政府主管部门载入不良信用记录。</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6．我司同意按照贵司可能提出的要求而提供与投标有关的任何其它数据或信息。</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7．我司如果中标，我司保证：</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7.1保证履行招标文件以及招标文件修改书(如有)中的全部责任和义务，在中标通知书规定的时间内签订合同，并严格按国家有关法规履行我司的全部责任，按质、按量、按期完成合同约定的全部任务。</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7.3保证所完成的设计将完全符合国家相关规范要求，符合或优于招标文件、技术条件、合同条款的要求。若我司完成的设计方案未能达到招标人（或相关政府部门）的要求，我司将无条件根据要求进行修改设计方案，直至得到招标人（及相关政府部门）的认可为止。</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7.4保证尽一切力量确保投标承诺的竣工日期，若我司未能按投标承诺的工期完成本项目，除承担合同约定的违约责任外，招标人有权解除合同，我司承担由于违约解除合同退场造成的对招标人的一切损失。</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7.5保证投标所报的项目负责人、设计负责人在本项目合同签订后7日内到职，全过程服务于本项目，在过程中非不可抗力或招标人要求不得更换。我司违反以上承诺的，同意按合同条款的规定承担违约责任。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7.6保证所投入本项目的主要材料、设备质量符合或优于招标文件要求，所投入本项目的辅助设备、材料与主要材料、设备质量一致并有良好的配套性。</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7.7保证按照招标文件的要求确保安全生产及文明施工，如有违反，我司愿意按合同约定承担违约责任，并为此负相关的法律责任。</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7.8保证按国家的有关规定制订保证民工工资支付的方案及保证措施，否则，我司愿按合同条款规定承担违约责任并赔偿招标人的全部损失。</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7.9保证按施工期间做好安全文明和交通保证措施，施工区全封闭围挡，根据工程进度计划分段施工分期围挡。最大限度满足交通和市民出行方便，施工行为做到便民，不扰民。</w:t>
      </w: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7.10保证按发包方工期要求编制施工进度计划，计划内容全面详实，根据项目特点合理组织分段施工，分段逐步移交。</w:t>
      </w:r>
    </w:p>
    <w:p>
      <w:pPr>
        <w:shd w:val="clear"/>
        <w:spacing w:line="360" w:lineRule="auto"/>
        <w:ind w:firstLine="3360"/>
        <w:rPr>
          <w:rFonts w:ascii="宋体" w:hAnsi="宋体" w:cs="宋体"/>
          <w:color w:val="000000" w:themeColor="text1"/>
          <w:kern w:val="1"/>
          <w:szCs w:val="21"/>
          <w:highlight w:val="none"/>
          <w14:textFill>
            <w14:solidFill>
              <w14:schemeClr w14:val="tx1"/>
            </w14:solidFill>
          </w14:textFill>
        </w:rPr>
      </w:pPr>
    </w:p>
    <w:p>
      <w:pPr>
        <w:shd w:val="clea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投标人：</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（盖章）</w:t>
      </w:r>
    </w:p>
    <w:p>
      <w:pPr>
        <w:shd w:val="clear"/>
        <w:wordWrap w:val="0"/>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法定代表人或其授权代理人(签名或盖章)：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项目负责人（签名或盖章）：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p>
    <w:p>
      <w:pPr>
        <w:shd w:val="clear"/>
        <w:spacing w:line="360" w:lineRule="auto"/>
        <w:ind w:firstLine="4830" w:firstLineChars="23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设计负责人（签名或盖章）：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4410" w:firstLineChars="21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项目技术负责人（签名或盖章）：</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ind w:firstLine="3360"/>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日   期：</w:t>
      </w:r>
      <w:r>
        <w:rPr>
          <w:rFonts w:hint="eastAsia" w:ascii="宋体" w:hAnsi="宋体" w:cs="宋体"/>
          <w:color w:val="000000" w:themeColor="text1"/>
          <w:kern w:val="1"/>
          <w:szCs w:val="21"/>
          <w:highlight w:val="none"/>
          <w:u w:val="single"/>
          <w14:textFill>
            <w14:solidFill>
              <w14:schemeClr w14:val="tx1"/>
            </w14:solidFill>
          </w14:textFill>
        </w:rPr>
        <w:t xml:space="preserve">    年    月    日</w:t>
      </w:r>
    </w:p>
    <w:p>
      <w:pPr>
        <w:pStyle w:val="2"/>
        <w:shd w:val="clear"/>
        <w:spacing w:line="360" w:lineRule="auto"/>
        <w:rPr>
          <w:rFonts w:cs="宋体"/>
          <w:b/>
          <w:color w:val="000000" w:themeColor="text1"/>
          <w:kern w:val="1"/>
          <w:sz w:val="24"/>
          <w:highlight w:val="none"/>
          <w14:textFill>
            <w14:solidFill>
              <w14:schemeClr w14:val="tx1"/>
            </w14:solidFill>
          </w14:textFill>
        </w:rPr>
      </w:pPr>
    </w:p>
    <w:p>
      <w:pPr>
        <w:shd w:val="clear"/>
        <w:spacing w:line="360" w:lineRule="auto"/>
        <w:ind w:firstLine="420"/>
        <w:rPr>
          <w:rFonts w:ascii="宋体" w:hAnsi="宋体" w:cs="宋体"/>
          <w:color w:val="000000" w:themeColor="text1"/>
          <w:kern w:val="1"/>
          <w:szCs w:val="21"/>
          <w:highlight w:val="none"/>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5</w:t>
      </w:r>
      <w:r>
        <w:rPr>
          <w:rFonts w:hint="eastAsia" w:ascii="宋体" w:hAnsi="宋体" w:cs="宋体"/>
          <w:b/>
          <w:color w:val="000000" w:themeColor="text1"/>
          <w:kern w:val="1"/>
          <w:sz w:val="24"/>
          <w:highlight w:val="none"/>
          <w:lang w:val="zh-CN"/>
          <w14:textFill>
            <w14:solidFill>
              <w14:schemeClr w14:val="tx1"/>
            </w14:solidFill>
          </w14:textFill>
        </w:rPr>
        <w:t>：</w:t>
      </w: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法定代表人证明书、授权委托书</w:t>
      </w:r>
    </w:p>
    <w:p>
      <w:pPr>
        <w:shd w:val="clear"/>
        <w:spacing w:line="360" w:lineRule="auto"/>
        <w:jc w:val="center"/>
        <w:rPr>
          <w:rFonts w:ascii="宋体" w:hAnsi="宋体" w:cs="宋体"/>
          <w:b/>
          <w:color w:val="000000" w:themeColor="text1"/>
          <w:kern w:val="1"/>
          <w:sz w:val="28"/>
          <w:highlight w:val="none"/>
          <w14:textFill>
            <w14:solidFill>
              <w14:schemeClr w14:val="tx1"/>
            </w14:solidFill>
          </w14:textFill>
        </w:rPr>
      </w:pPr>
      <w:r>
        <w:rPr>
          <w:rFonts w:hint="eastAsia" w:ascii="宋体" w:hAnsi="宋体" w:cs="宋体"/>
          <w:b/>
          <w:color w:val="000000" w:themeColor="text1"/>
          <w:kern w:val="1"/>
          <w:sz w:val="28"/>
          <w:highlight w:val="none"/>
          <w14:textFill>
            <w14:solidFill>
              <w14:schemeClr w14:val="tx1"/>
            </w14:solidFill>
          </w14:textFill>
        </w:rPr>
        <w:t>法定代表人证明书</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4"/>
        <w:tblW w:w="9455" w:type="dxa"/>
        <w:tblInd w:w="0" w:type="dxa"/>
        <w:tblLayout w:type="fixed"/>
        <w:tblCellMar>
          <w:top w:w="0" w:type="dxa"/>
          <w:left w:w="108" w:type="dxa"/>
          <w:bottom w:w="0" w:type="dxa"/>
          <w:right w:w="108" w:type="dxa"/>
        </w:tblCellMar>
      </w:tblPr>
      <w:tblGrid>
        <w:gridCol w:w="9455"/>
      </w:tblGrid>
      <w:tr>
        <w:tblPrEx>
          <w:tblCellMar>
            <w:top w:w="0" w:type="dxa"/>
            <w:left w:w="108" w:type="dxa"/>
            <w:bottom w:w="0" w:type="dxa"/>
            <w:right w:w="108" w:type="dxa"/>
          </w:tblCellMar>
        </w:tblPrEx>
        <w:tc>
          <w:tcPr>
            <w:tcW w:w="9455"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现任我单位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职务，为法定代表人，特此证明。</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有效期限： </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附：法定代表人性别：</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注册号码：</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企业类型：</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xml:space="preserve">　　　　　　　　　　                                                 </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shd w:val="clear"/>
              <w:spacing w:line="360" w:lineRule="auto"/>
              <w:ind w:firstLine="3360" w:firstLineChars="160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年　 月　　日</w:t>
            </w: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注：1、法定代表人证明书也可以采用工商行政管理局统一印制的格式。</w:t>
      </w:r>
    </w:p>
    <w:p>
      <w:pPr>
        <w:shd w:val="clea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2、联合体投标的，本证明书由联合体牵头方出具。</w:t>
      </w:r>
    </w:p>
    <w:p>
      <w:pPr>
        <w:shd w:val="clear"/>
        <w:spacing w:line="360" w:lineRule="auto"/>
        <w:ind w:firstLine="424" w:firstLineChars="202"/>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3、附法定代表人身份证原件扫描件。</w:t>
      </w:r>
    </w:p>
    <w:p>
      <w:pPr>
        <w:shd w:val="clear"/>
        <w:spacing w:line="360" w:lineRule="auto"/>
        <w:jc w:val="cente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法定代表人授权委托书</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）第　号</w:t>
      </w:r>
    </w:p>
    <w:tbl>
      <w:tblPr>
        <w:tblStyle w:val="34"/>
        <w:tblW w:w="9243" w:type="dxa"/>
        <w:tblInd w:w="0" w:type="dxa"/>
        <w:tblLayout w:type="fixed"/>
        <w:tblCellMar>
          <w:top w:w="0" w:type="dxa"/>
          <w:left w:w="108" w:type="dxa"/>
          <w:bottom w:w="0" w:type="dxa"/>
          <w:right w:w="108" w:type="dxa"/>
        </w:tblCellMar>
      </w:tblPr>
      <w:tblGrid>
        <w:gridCol w:w="9243"/>
      </w:tblGrid>
      <w:tr>
        <w:tblPrEx>
          <w:tblCellMar>
            <w:top w:w="0" w:type="dxa"/>
            <w:left w:w="108" w:type="dxa"/>
            <w:bottom w:w="0" w:type="dxa"/>
            <w:right w:w="108" w:type="dxa"/>
          </w:tblCellMar>
        </w:tblPrEx>
        <w:tc>
          <w:tcPr>
            <w:tcW w:w="9243" w:type="dxa"/>
            <w:tcBorders>
              <w:top w:val="single" w:color="000000" w:sz="4" w:space="0"/>
              <w:left w:val="single" w:color="000000" w:sz="4" w:space="0"/>
              <w:bottom w:val="single" w:color="000000" w:sz="4" w:space="0"/>
              <w:right w:val="single" w:color="000000" w:sz="4" w:space="0"/>
            </w:tcBorders>
          </w:tcPr>
          <w:p>
            <w:pPr>
              <w:shd w:val="clear"/>
              <w:spacing w:line="360" w:lineRule="auto"/>
              <w:ind w:firstLine="480"/>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兹授权</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为我方委托代理人，其权限是：</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有效期限：</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附：代理人性别：</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年龄：</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 身份证号码：</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注册号码： </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 xml:space="preserve">  企业类型：</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u w:val="singl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经营范围：</w:t>
            </w:r>
            <w:r>
              <w:rPr>
                <w:rFonts w:hint="eastAsia" w:ascii="宋体" w:hAnsi="宋体" w:cs="宋体"/>
                <w:color w:val="000000" w:themeColor="text1"/>
                <w:kern w:val="1"/>
                <w:szCs w:val="21"/>
                <w:highlight w:val="none"/>
                <w:u w:val="single"/>
                <w14:textFill>
                  <w14:solidFill>
                    <w14:schemeClr w14:val="tx1"/>
                  </w14:solidFill>
                </w14:textFill>
              </w:rPr>
              <w:t>　　　　　　　　                                        　　</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法定代表人：</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（签名或盖章）</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授权单位：</w:t>
            </w:r>
            <w:r>
              <w:rPr>
                <w:rFonts w:hint="eastAsia" w:ascii="宋体" w:hAnsi="宋体" w:cs="宋体"/>
                <w:color w:val="000000" w:themeColor="text1"/>
                <w:kern w:val="1"/>
                <w:szCs w:val="21"/>
                <w:highlight w:val="none"/>
                <w:u w:val="single"/>
                <w14:textFill>
                  <w14:solidFill>
                    <w14:schemeClr w14:val="tx1"/>
                  </w14:solidFill>
                </w14:textFill>
              </w:rPr>
              <w:t>　　　　　　　　　　</w:t>
            </w:r>
            <w:r>
              <w:rPr>
                <w:rFonts w:hint="eastAsia" w:ascii="宋体" w:hAnsi="宋体" w:cs="宋体"/>
                <w:color w:val="000000" w:themeColor="text1"/>
                <w:kern w:val="1"/>
                <w:szCs w:val="21"/>
                <w:highlight w:val="none"/>
                <w14:textFill>
                  <w14:solidFill>
                    <w14:schemeClr w14:val="tx1"/>
                  </w14:solidFill>
                </w14:textFill>
              </w:rPr>
              <w:t>（盖章）</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 xml:space="preserve">年  </w:t>
            </w:r>
            <w:r>
              <w:rPr>
                <w:rFonts w:ascii="宋体" w:hAnsi="宋体" w:cs="宋体"/>
                <w:color w:val="000000" w:themeColor="text1"/>
                <w:kern w:val="1"/>
                <w:szCs w:val="21"/>
                <w:highlight w:val="none"/>
                <w14:textFill>
                  <w14:solidFill>
                    <w14:schemeClr w14:val="tx1"/>
                  </w14:solidFill>
                </w14:textFill>
              </w:rPr>
              <w:t xml:space="preserve"> </w:t>
            </w:r>
            <w:r>
              <w:rPr>
                <w:rFonts w:hint="eastAsia" w:ascii="宋体" w:hAnsi="宋体" w:cs="宋体"/>
                <w:color w:val="000000" w:themeColor="text1"/>
                <w:kern w:val="1"/>
                <w:szCs w:val="21"/>
                <w:highlight w:val="none"/>
                <w14:textFill>
                  <w14:solidFill>
                    <w14:schemeClr w14:val="tx1"/>
                  </w14:solidFill>
                </w14:textFill>
              </w:rPr>
              <w:t>月   日</w:t>
            </w:r>
          </w:p>
        </w:tc>
      </w:tr>
    </w:tbl>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注：1、法定代表人授权委托书也可以采用工商行政管理局统一印制的格式。</w:t>
      </w:r>
    </w:p>
    <w:p>
      <w:pPr>
        <w:numPr>
          <w:ilvl w:val="0"/>
          <w:numId w:val="6"/>
        </w:numPr>
        <w:shd w:val="clear"/>
        <w:spacing w:line="360" w:lineRule="auto"/>
        <w:ind w:firstLine="426"/>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联合体投标的，本授权书由联合体牵头方出具，并由联合体牵头方签字、盖章即可。</w:t>
      </w:r>
    </w:p>
    <w:p>
      <w:pPr>
        <w:pStyle w:val="2"/>
        <w:shd w:val="clea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kern w:val="1"/>
          <w:sz w:val="21"/>
          <w:szCs w:val="21"/>
          <w:highlight w:val="none"/>
          <w:lang w:val="en-US"/>
          <w14:textFill>
            <w14:solidFill>
              <w14:schemeClr w14:val="tx1"/>
            </w14:solidFill>
          </w14:textFill>
        </w:rPr>
        <w:t>3、附委托代理人身份证原件扫描件。</w:t>
      </w:r>
    </w:p>
    <w:p>
      <w:pPr>
        <w:shd w:val="clear"/>
        <w:spacing w:line="360" w:lineRule="auto"/>
        <w:rPr>
          <w:rFonts w:ascii="宋体" w:hAnsi="宋体" w:cs="宋体"/>
          <w:b/>
          <w:color w:val="000000" w:themeColor="text1"/>
          <w:kern w:val="1"/>
          <w:sz w:val="24"/>
          <w:highlight w:val="none"/>
          <w14:textFill>
            <w14:solidFill>
              <w14:schemeClr w14:val="tx1"/>
            </w14:solidFill>
          </w14:textFill>
        </w:rPr>
      </w:pPr>
      <w:r>
        <w:rPr>
          <w:rFonts w:ascii="宋体" w:hAnsi="宋体" w:cs="宋体"/>
          <w:b/>
          <w:color w:val="000000" w:themeColor="text1"/>
          <w:kern w:val="1"/>
          <w:sz w:val="24"/>
          <w:highlight w:val="none"/>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 xml:space="preserve"> 格式</w:t>
      </w:r>
      <w:r>
        <w:rPr>
          <w:rFonts w:ascii="宋体" w:hAnsi="宋体" w:cs="宋体"/>
          <w:b/>
          <w:color w:val="000000" w:themeColor="text1"/>
          <w:kern w:val="1"/>
          <w:sz w:val="24"/>
          <w:highlight w:val="none"/>
          <w14:textFill>
            <w14:solidFill>
              <w14:schemeClr w14:val="tx1"/>
            </w14:solidFill>
          </w14:textFill>
        </w:rPr>
        <w:t>6</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bookmarkStart w:id="402" w:name="_Toc31552"/>
      <w:bookmarkEnd w:id="402"/>
      <w:bookmarkStart w:id="403" w:name="_Toc17417"/>
      <w:bookmarkEnd w:id="403"/>
      <w:bookmarkStart w:id="404" w:name="_Toc5620363"/>
      <w:r>
        <w:rPr>
          <w:rFonts w:hint="eastAsia" w:ascii="宋体" w:hAnsi="宋体" w:cs="宋体"/>
          <w:b/>
          <w:color w:val="000000" w:themeColor="text1"/>
          <w:kern w:val="1"/>
          <w:sz w:val="28"/>
          <w:szCs w:val="28"/>
          <w:highlight w:val="none"/>
          <w:lang w:val="zh-CN"/>
          <w14:textFill>
            <w14:solidFill>
              <w14:schemeClr w14:val="tx1"/>
            </w14:solidFill>
          </w14:textFill>
        </w:rPr>
        <w:t>设计主要负责人配备</w:t>
      </w:r>
      <w:bookmarkEnd w:id="404"/>
      <w:r>
        <w:rPr>
          <w:rFonts w:hint="eastAsia" w:ascii="宋体" w:hAnsi="宋体" w:cs="宋体"/>
          <w:b/>
          <w:color w:val="000000" w:themeColor="text1"/>
          <w:kern w:val="1"/>
          <w:sz w:val="28"/>
          <w:szCs w:val="28"/>
          <w:highlight w:val="none"/>
          <w:lang w:val="zh-CN"/>
          <w14:textFill>
            <w14:solidFill>
              <w14:schemeClr w14:val="tx1"/>
            </w14:solidFill>
          </w14:textFill>
        </w:rPr>
        <w:t>表</w:t>
      </w:r>
    </w:p>
    <w:tbl>
      <w:tblPr>
        <w:tblStyle w:val="34"/>
        <w:tblW w:w="9420" w:type="dxa"/>
        <w:jc w:val="center"/>
        <w:tblLayout w:type="fixed"/>
        <w:tblCellMar>
          <w:top w:w="0" w:type="dxa"/>
          <w:left w:w="108" w:type="dxa"/>
          <w:bottom w:w="0" w:type="dxa"/>
          <w:right w:w="108" w:type="dxa"/>
        </w:tblCellMar>
      </w:tblPr>
      <w:tblGrid>
        <w:gridCol w:w="1242"/>
        <w:gridCol w:w="1134"/>
        <w:gridCol w:w="1276"/>
        <w:gridCol w:w="1418"/>
        <w:gridCol w:w="1275"/>
        <w:gridCol w:w="3075"/>
      </w:tblGrid>
      <w:tr>
        <w:tblPrEx>
          <w:tblCellMar>
            <w:top w:w="0" w:type="dxa"/>
            <w:left w:w="108" w:type="dxa"/>
            <w:bottom w:w="0" w:type="dxa"/>
            <w:right w:w="108" w:type="dxa"/>
          </w:tblCellMar>
        </w:tblPrEx>
        <w:trPr>
          <w:trHeight w:val="1082"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专业分工</w:t>
            </w: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本项目拟任职务</w:t>
            </w: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专业职称</w:t>
            </w: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执业资格</w:t>
            </w: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r>
              <w:rPr>
                <w:rFonts w:hint="eastAsia" w:ascii="宋体" w:hAnsi="宋体" w:cs="宋体"/>
                <w:color w:val="000000" w:themeColor="text1"/>
                <w:kern w:val="1"/>
                <w:highlight w:val="none"/>
                <w14:textFill>
                  <w14:solidFill>
                    <w14:schemeClr w14:val="tx1"/>
                  </w14:solidFill>
                </w14:textFill>
              </w:rPr>
              <w:t>获奖奖项</w:t>
            </w: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824" w:hRule="atLeast"/>
          <w:jc w:val="center"/>
        </w:trPr>
        <w:tc>
          <w:tcPr>
            <w:tcW w:w="124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ascii="宋体" w:hAnsi="宋体" w:cs="宋体"/>
                <w:color w:val="000000" w:themeColor="text1"/>
                <w:kern w:val="1"/>
                <w:szCs w:val="21"/>
                <w:highlight w:val="none"/>
                <w14:textFill>
                  <w14:solidFill>
                    <w14:schemeClr w14:val="tx1"/>
                  </w14:solidFill>
                </w14:textFill>
              </w:rPr>
              <w:t>……</w:t>
            </w:r>
          </w:p>
        </w:tc>
        <w:tc>
          <w:tcPr>
            <w:tcW w:w="141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07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pStyle w:val="2"/>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注：投标人应根据招标文件第三章《评标办法》“工程总承包实施方案技术部分评分表”要求在本表后附对应的相关证明材料。</w:t>
      </w:r>
    </w:p>
    <w:p>
      <w:pPr>
        <w:pStyle w:val="2"/>
        <w:shd w:val="clear"/>
        <w:spacing w:line="360" w:lineRule="auto"/>
        <w:jc w:val="right"/>
        <w:rPr>
          <w:rFonts w:cs="宋体"/>
          <w:color w:val="000000" w:themeColor="text1"/>
          <w:kern w:val="1"/>
          <w:sz w:val="21"/>
          <w:szCs w:val="21"/>
          <w:highlight w:val="none"/>
          <w14:textFill>
            <w14:solidFill>
              <w14:schemeClr w14:val="tx1"/>
            </w14:solidFill>
          </w14:textFill>
        </w:rPr>
      </w:pPr>
      <w:r>
        <w:rPr>
          <w:rFonts w:hint="eastAsia" w:cs="宋体"/>
          <w:color w:val="000000" w:themeColor="text1"/>
          <w:spacing w:val="18"/>
          <w:kern w:val="1"/>
          <w:sz w:val="21"/>
          <w:szCs w:val="21"/>
          <w:highlight w:val="none"/>
          <w14:textFill>
            <w14:solidFill>
              <w14:schemeClr w14:val="tx1"/>
            </w14:solidFill>
          </w14:textFill>
        </w:rPr>
        <w:t>投标人：</w:t>
      </w:r>
      <w:r>
        <w:rPr>
          <w:rFonts w:hint="eastAsia" w:cs="宋体"/>
          <w:color w:val="000000" w:themeColor="text1"/>
          <w:spacing w:val="18"/>
          <w:kern w:val="1"/>
          <w:sz w:val="21"/>
          <w:szCs w:val="21"/>
          <w:highlight w:val="none"/>
          <w:u w:val="single"/>
          <w:lang w:val="en-US"/>
          <w14:textFill>
            <w14:solidFill>
              <w14:schemeClr w14:val="tx1"/>
            </w14:solidFill>
          </w14:textFill>
        </w:rPr>
        <w:t xml:space="preserve">      </w:t>
      </w:r>
      <w:r>
        <w:rPr>
          <w:rFonts w:hint="eastAsia" w:cs="宋体"/>
          <w:color w:val="000000" w:themeColor="text1"/>
          <w:spacing w:val="18"/>
          <w:kern w:val="1"/>
          <w:sz w:val="21"/>
          <w:szCs w:val="21"/>
          <w:highlight w:val="none"/>
          <w14:textFill>
            <w14:solidFill>
              <w14:schemeClr w14:val="tx1"/>
            </w14:solidFill>
          </w14:textFill>
        </w:rPr>
        <w:t xml:space="preserve">(盖章)  </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 xml:space="preserve">               日期：   年   月   日</w:t>
      </w:r>
    </w:p>
    <w:p>
      <w:pPr>
        <w:pStyle w:val="2"/>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tabs>
          <w:tab w:val="left" w:pos="7655"/>
        </w:tabs>
        <w:spacing w:line="360" w:lineRule="auto"/>
        <w:rPr>
          <w:rFonts w:ascii="宋体" w:hAnsi="宋体" w:cs="宋体"/>
          <w:b/>
          <w:bCs/>
          <w:color w:val="000000" w:themeColor="text1"/>
          <w:spacing w:val="4"/>
          <w:sz w:val="24"/>
          <w:szCs w:val="24"/>
          <w:highlight w:val="none"/>
          <w:lang w:val="zh-CN"/>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7</w:t>
      </w:r>
      <w:r>
        <w:rPr>
          <w:rFonts w:hint="eastAsia" w:ascii="宋体" w:hAnsi="宋体" w:cs="宋体"/>
          <w:b/>
          <w:color w:val="000000" w:themeColor="text1"/>
          <w:kern w:val="1"/>
          <w:sz w:val="24"/>
          <w:highlight w:val="none"/>
          <w14:textFill>
            <w14:solidFill>
              <w14:schemeClr w14:val="tx1"/>
            </w14:solidFill>
          </w14:textFill>
        </w:rPr>
        <w:t>：</w:t>
      </w:r>
    </w:p>
    <w:p>
      <w:pPr>
        <w:shd w:val="clear"/>
        <w:tabs>
          <w:tab w:val="left" w:pos="7655"/>
        </w:tabs>
        <w:spacing w:line="360" w:lineRule="auto"/>
        <w:jc w:val="center"/>
        <w:rPr>
          <w:rFonts w:ascii="宋体" w:hAnsi="宋体" w:cs="宋体"/>
          <w:b/>
          <w:color w:val="000000" w:themeColor="text1"/>
          <w:spacing w:val="20"/>
          <w:kern w:val="1"/>
          <w:sz w:val="36"/>
          <w:szCs w:val="36"/>
          <w:highlight w:val="none"/>
          <w14:textFill>
            <w14:solidFill>
              <w14:schemeClr w14:val="tx1"/>
            </w14:solidFill>
          </w14:textFill>
        </w:rPr>
      </w:pPr>
      <w:r>
        <w:rPr>
          <w:rFonts w:hint="eastAsia" w:ascii="宋体" w:hAnsi="宋体" w:cs="宋体"/>
          <w:b/>
          <w:bCs/>
          <w:color w:val="000000" w:themeColor="text1"/>
          <w:spacing w:val="4"/>
          <w:sz w:val="32"/>
          <w:szCs w:val="32"/>
          <w:highlight w:val="none"/>
          <w:lang w:val="zh-CN"/>
          <w14:textFill>
            <w14:solidFill>
              <w14:schemeClr w14:val="tx1"/>
            </w14:solidFill>
          </w14:textFill>
        </w:rPr>
        <w:t>拟投入本项目施工主要负责人员简历表</w:t>
      </w:r>
    </w:p>
    <w:tbl>
      <w:tblPr>
        <w:tblStyle w:val="34"/>
        <w:tblW w:w="9663" w:type="dxa"/>
        <w:tblInd w:w="0" w:type="dxa"/>
        <w:tblLayout w:type="fixed"/>
        <w:tblCellMar>
          <w:top w:w="0" w:type="dxa"/>
          <w:left w:w="108" w:type="dxa"/>
          <w:bottom w:w="0" w:type="dxa"/>
          <w:right w:w="108" w:type="dxa"/>
        </w:tblCellMar>
      </w:tblPr>
      <w:tblGrid>
        <w:gridCol w:w="1576"/>
        <w:gridCol w:w="1469"/>
        <w:gridCol w:w="1316"/>
        <w:gridCol w:w="869"/>
        <w:gridCol w:w="19"/>
        <w:gridCol w:w="832"/>
        <w:gridCol w:w="708"/>
        <w:gridCol w:w="1134"/>
        <w:gridCol w:w="900"/>
        <w:gridCol w:w="840"/>
      </w:tblGrid>
      <w:tr>
        <w:tblPrEx>
          <w:tblCellMar>
            <w:top w:w="0" w:type="dxa"/>
            <w:left w:w="108" w:type="dxa"/>
            <w:bottom w:w="0" w:type="dxa"/>
            <w:right w:w="108" w:type="dxa"/>
          </w:tblCellMar>
        </w:tblPrEx>
        <w:trPr>
          <w:trHeight w:val="749" w:hRule="exact"/>
        </w:trPr>
        <w:tc>
          <w:tcPr>
            <w:tcW w:w="1576" w:type="dxa"/>
            <w:tcBorders>
              <w:top w:val="single" w:color="000000" w:sz="12" w:space="0"/>
              <w:left w:val="single" w:color="000000" w:sz="12"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姓名</w:t>
            </w:r>
          </w:p>
        </w:tc>
        <w:tc>
          <w:tcPr>
            <w:tcW w:w="1469" w:type="dxa"/>
            <w:tcBorders>
              <w:top w:val="single" w:color="000000" w:sz="12"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12"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性别</w:t>
            </w:r>
          </w:p>
        </w:tc>
        <w:tc>
          <w:tcPr>
            <w:tcW w:w="888" w:type="dxa"/>
            <w:gridSpan w:val="2"/>
            <w:tcBorders>
              <w:top w:val="single" w:color="000000" w:sz="12"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832" w:type="dxa"/>
            <w:tcBorders>
              <w:top w:val="single" w:color="000000" w:sz="12"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出生年月</w:t>
            </w:r>
          </w:p>
        </w:tc>
        <w:tc>
          <w:tcPr>
            <w:tcW w:w="1842" w:type="dxa"/>
            <w:gridSpan w:val="2"/>
            <w:tcBorders>
              <w:top w:val="single" w:color="000000" w:sz="12"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12" w:space="0"/>
              <w:left w:val="single" w:color="000000" w:sz="4"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lang w:val="zh-CN"/>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文化</w:t>
            </w:r>
          </w:p>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程度</w:t>
            </w:r>
          </w:p>
        </w:tc>
        <w:tc>
          <w:tcPr>
            <w:tcW w:w="840" w:type="dxa"/>
            <w:tcBorders>
              <w:top w:val="single" w:color="000000" w:sz="12" w:space="0"/>
              <w:left w:val="single" w:color="000000" w:sz="4" w:space="0"/>
              <w:bottom w:val="single" w:color="000000" w:sz="6" w:space="0"/>
              <w:right w:val="single" w:color="000000" w:sz="12"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57"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毕业院校</w:t>
            </w:r>
          </w:p>
        </w:tc>
        <w:tc>
          <w:tcPr>
            <w:tcW w:w="1469"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专业</w:t>
            </w:r>
          </w:p>
        </w:tc>
        <w:tc>
          <w:tcPr>
            <w:tcW w:w="1720" w:type="dxa"/>
            <w:gridSpan w:val="3"/>
            <w:tcBorders>
              <w:top w:val="single" w:color="000000" w:sz="6" w:space="0"/>
              <w:left w:val="single" w:color="000000" w:sz="6"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708"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毕业</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1134" w:type="dxa"/>
            <w:tcBorders>
              <w:top w:val="single" w:color="000000" w:sz="6" w:space="0"/>
              <w:left w:val="single" w:color="000000" w:sz="4" w:space="0"/>
              <w:bottom w:val="single" w:color="000000" w:sz="6" w:space="0"/>
              <w:right w:val="single" w:color="000000" w:sz="6"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技术</w:t>
            </w:r>
          </w:p>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职称</w:t>
            </w:r>
          </w:p>
        </w:tc>
        <w:tc>
          <w:tcPr>
            <w:tcW w:w="840" w:type="dxa"/>
            <w:tcBorders>
              <w:top w:val="single" w:color="000000" w:sz="6" w:space="0"/>
              <w:left w:val="single" w:color="000000" w:sz="4" w:space="0"/>
              <w:bottom w:val="single" w:color="000000" w:sz="6" w:space="0"/>
              <w:right w:val="single" w:color="000000" w:sz="12"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2324"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拟在本项目担任的职务</w:t>
            </w:r>
          </w:p>
        </w:tc>
        <w:tc>
          <w:tcPr>
            <w:tcW w:w="1469"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1316"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ind w:left="-80" w:right="-116"/>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取得职称或资格证年限</w:t>
            </w:r>
          </w:p>
        </w:tc>
        <w:tc>
          <w:tcPr>
            <w:tcW w:w="869" w:type="dxa"/>
            <w:tcBorders>
              <w:top w:val="single" w:color="000000" w:sz="6" w:space="0"/>
              <w:left w:val="single" w:color="000000" w:sz="6" w:space="0"/>
              <w:bottom w:val="single" w:color="000000" w:sz="6" w:space="0"/>
              <w:right w:val="single" w:color="000000" w:sz="6" w:space="0"/>
            </w:tcBorders>
            <w:vAlign w:val="center"/>
          </w:tcPr>
          <w:p>
            <w:pPr>
              <w:shd w:val="clear"/>
              <w:spacing w:line="360" w:lineRule="auto"/>
              <w:rPr>
                <w:rFonts w:ascii="宋体" w:hAnsi="宋体" w:cs="宋体"/>
                <w:color w:val="000000" w:themeColor="text1"/>
                <w:kern w:val="1"/>
                <w:szCs w:val="21"/>
                <w:highlight w:val="none"/>
                <w14:textFill>
                  <w14:solidFill>
                    <w14:schemeClr w14:val="tx1"/>
                  </w14:solidFill>
                </w14:textFill>
              </w:rPr>
            </w:pPr>
          </w:p>
        </w:tc>
        <w:tc>
          <w:tcPr>
            <w:tcW w:w="851" w:type="dxa"/>
            <w:gridSpan w:val="2"/>
            <w:tcBorders>
              <w:top w:val="single" w:color="000000" w:sz="6"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现任</w:t>
            </w:r>
          </w:p>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职务</w:t>
            </w:r>
          </w:p>
        </w:tc>
        <w:tc>
          <w:tcPr>
            <w:tcW w:w="1842" w:type="dxa"/>
            <w:gridSpan w:val="2"/>
            <w:tcBorders>
              <w:top w:val="single" w:color="000000" w:sz="6" w:space="0"/>
              <w:left w:val="single" w:color="000000" w:sz="4"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联系</w:t>
            </w:r>
          </w:p>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电话</w:t>
            </w:r>
          </w:p>
        </w:tc>
        <w:tc>
          <w:tcPr>
            <w:tcW w:w="840" w:type="dxa"/>
            <w:tcBorders>
              <w:top w:val="single" w:color="000000" w:sz="6" w:space="0"/>
              <w:left w:val="single" w:color="000000" w:sz="4" w:space="0"/>
              <w:bottom w:val="single" w:color="000000" w:sz="6" w:space="0"/>
              <w:right w:val="single" w:color="000000" w:sz="12"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1289" w:hRule="exact"/>
        </w:trPr>
        <w:tc>
          <w:tcPr>
            <w:tcW w:w="1576" w:type="dxa"/>
            <w:tcBorders>
              <w:top w:val="single" w:color="000000" w:sz="6" w:space="0"/>
              <w:left w:val="single" w:color="000000" w:sz="12" w:space="0"/>
              <w:bottom w:val="single" w:color="000000" w:sz="6"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资格证号</w:t>
            </w:r>
          </w:p>
        </w:tc>
        <w:tc>
          <w:tcPr>
            <w:tcW w:w="6347" w:type="dxa"/>
            <w:gridSpan w:val="7"/>
            <w:tcBorders>
              <w:top w:val="single" w:color="000000" w:sz="6" w:space="0"/>
              <w:left w:val="single" w:color="000000" w:sz="6"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00" w:type="dxa"/>
            <w:tcBorders>
              <w:top w:val="single" w:color="000000" w:sz="6" w:space="0"/>
              <w:left w:val="single" w:color="000000" w:sz="4" w:space="0"/>
              <w:bottom w:val="single" w:color="000000" w:sz="6"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在册/外聘</w:t>
            </w:r>
          </w:p>
        </w:tc>
        <w:tc>
          <w:tcPr>
            <w:tcW w:w="840" w:type="dxa"/>
            <w:tcBorders>
              <w:top w:val="single" w:color="000000" w:sz="6" w:space="0"/>
              <w:left w:val="single" w:color="000000" w:sz="4" w:space="0"/>
              <w:bottom w:val="single" w:color="000000" w:sz="6" w:space="0"/>
              <w:right w:val="single" w:color="000000" w:sz="12"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8" w:hRule="exact"/>
        </w:trPr>
        <w:tc>
          <w:tcPr>
            <w:tcW w:w="1576" w:type="dxa"/>
            <w:vMerge w:val="restart"/>
            <w:tcBorders>
              <w:top w:val="single" w:color="000000" w:sz="6" w:space="0"/>
              <w:left w:val="single" w:color="000000" w:sz="12" w:space="0"/>
              <w:bottom w:val="single" w:color="000000" w:sz="12" w:space="0"/>
              <w:right w:val="single" w:color="000000" w:sz="6"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主要</w:t>
            </w:r>
          </w:p>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获奖</w:t>
            </w:r>
          </w:p>
        </w:tc>
        <w:tc>
          <w:tcPr>
            <w:tcW w:w="1469" w:type="dxa"/>
            <w:tcBorders>
              <w:top w:val="single" w:color="000000" w:sz="6" w:space="0"/>
              <w:left w:val="single" w:color="000000" w:sz="6"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时间</w:t>
            </w:r>
          </w:p>
        </w:tc>
        <w:tc>
          <w:tcPr>
            <w:tcW w:w="3744" w:type="dxa"/>
            <w:gridSpan w:val="5"/>
            <w:tcBorders>
              <w:top w:val="single" w:color="000000" w:sz="6"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134" w:type="dxa"/>
            <w:tcBorders>
              <w:top w:val="single" w:color="000000" w:sz="6"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任职</w:t>
            </w:r>
          </w:p>
        </w:tc>
        <w:tc>
          <w:tcPr>
            <w:tcW w:w="1740" w:type="dxa"/>
            <w:gridSpan w:val="2"/>
            <w:tcBorders>
              <w:top w:val="single" w:color="000000" w:sz="6" w:space="0"/>
              <w:left w:val="single" w:color="000000" w:sz="4" w:space="0"/>
              <w:bottom w:val="single" w:color="000000" w:sz="4" w:space="0"/>
              <w:right w:val="single" w:color="000000" w:sz="12"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r>
      <w:tr>
        <w:tblPrEx>
          <w:tblCellMar>
            <w:top w:w="0" w:type="dxa"/>
            <w:left w:w="108" w:type="dxa"/>
            <w:bottom w:w="0" w:type="dxa"/>
            <w:right w:w="108" w:type="dxa"/>
          </w:tblCellMar>
        </w:tblPrEx>
        <w:trPr>
          <w:trHeight w:val="1913" w:hRule="atLeast"/>
        </w:trPr>
        <w:tc>
          <w:tcPr>
            <w:tcW w:w="1576" w:type="dxa"/>
            <w:vMerge w:val="continue"/>
            <w:tcBorders>
              <w:top w:val="single" w:color="000000" w:sz="6" w:space="0"/>
              <w:left w:val="single" w:color="000000" w:sz="12" w:space="0"/>
              <w:bottom w:val="single" w:color="000000" w:sz="12" w:space="0"/>
              <w:right w:val="single" w:color="000000" w:sz="6" w:space="0"/>
            </w:tcBorders>
            <w:vAlign w:val="center"/>
          </w:tcPr>
          <w:p>
            <w:pPr>
              <w:shd w:val="clear"/>
              <w:spacing w:line="360" w:lineRule="auto"/>
              <w:jc w:val="left"/>
              <w:rPr>
                <w:rFonts w:ascii="宋体" w:hAnsi="宋体" w:cs="宋体"/>
                <w:color w:val="000000" w:themeColor="text1"/>
                <w:kern w:val="1"/>
                <w:szCs w:val="21"/>
                <w:highlight w:val="none"/>
                <w14:textFill>
                  <w14:solidFill>
                    <w14:schemeClr w14:val="tx1"/>
                  </w14:solidFill>
                </w14:textFill>
              </w:rPr>
            </w:pPr>
          </w:p>
        </w:tc>
        <w:tc>
          <w:tcPr>
            <w:tcW w:w="1469" w:type="dxa"/>
            <w:tcBorders>
              <w:top w:val="single" w:color="000000" w:sz="6" w:space="0"/>
              <w:left w:val="single" w:color="000000" w:sz="6" w:space="0"/>
              <w:bottom w:val="single" w:color="000000" w:sz="12"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744" w:type="dxa"/>
            <w:gridSpan w:val="5"/>
            <w:tcBorders>
              <w:top w:val="single" w:color="000000" w:sz="6" w:space="0"/>
              <w:bottom w:val="single" w:color="000000" w:sz="12"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134" w:type="dxa"/>
            <w:tcBorders>
              <w:top w:val="single" w:color="000000" w:sz="6" w:space="0"/>
              <w:bottom w:val="single" w:color="000000" w:sz="12"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740" w:type="dxa"/>
            <w:gridSpan w:val="2"/>
            <w:tcBorders>
              <w:top w:val="single" w:color="000000" w:sz="6" w:space="0"/>
              <w:left w:val="single" w:color="000000" w:sz="4" w:space="0"/>
              <w:bottom w:val="single" w:color="000000" w:sz="12" w:space="0"/>
              <w:right w:val="single" w:color="000000" w:sz="12"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备注：</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1、项目负责人、技术负责人应附本简历表，其余人员无需本表。</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2、投标人应根据招标文件第三章《评标办法》“工程总承包实施方案技术部分评分表”要求在本表后附对应的相关证明材料。</w:t>
      </w:r>
    </w:p>
    <w:p>
      <w:pPr>
        <w:shd w:val="clear"/>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lang w:val="zh-CN"/>
          <w14:textFill>
            <w14:solidFill>
              <w14:schemeClr w14:val="tx1"/>
            </w14:solidFill>
          </w14:textFill>
        </w:rPr>
        <w:t>3、所报人员在获得资格证后，技术职称有变化的，应附相应证明文件。</w:t>
      </w:r>
    </w:p>
    <w:p>
      <w:pPr>
        <w:shd w:val="clear"/>
        <w:spacing w:line="360" w:lineRule="auto"/>
        <w:ind w:right="-624" w:firstLine="520"/>
        <w:rPr>
          <w:rFonts w:ascii="宋体" w:hAnsi="宋体" w:cs="宋体"/>
          <w:color w:val="000000" w:themeColor="text1"/>
          <w:spacing w:val="-10"/>
          <w:kern w:val="1"/>
          <w:szCs w:val="21"/>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spacing w:line="360" w:lineRule="auto"/>
        <w:jc w:val="right"/>
        <w:rPr>
          <w:rFonts w:ascii="宋体" w:hAnsi="宋体" w:cs="宋体"/>
          <w:color w:val="000000" w:themeColor="text1"/>
          <w:kern w:val="1"/>
          <w:szCs w:val="21"/>
          <w:highlight w:val="none"/>
          <w14:textFill>
            <w14:solidFill>
              <w14:schemeClr w14:val="tx1"/>
            </w14:solidFill>
          </w14:textFill>
        </w:rPr>
      </w:pPr>
    </w:p>
    <w:p>
      <w:pPr>
        <w:pStyle w:val="67"/>
        <w:shd w:val="clear"/>
        <w:ind w:firstLine="0"/>
        <w:rPr>
          <w:rFonts w:ascii="宋体" w:hAnsi="宋体" w:cs="宋体"/>
          <w:b/>
          <w:color w:val="000000" w:themeColor="text1"/>
          <w:kern w:val="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color w:val="000000" w:themeColor="text1"/>
          <w:kern w:val="1"/>
          <w:highlight w:val="none"/>
          <w14:textFill>
            <w14:solidFill>
              <w14:schemeClr w14:val="tx1"/>
            </w14:solidFill>
          </w14:textFill>
        </w:rPr>
        <w:t>格式</w:t>
      </w:r>
      <w:r>
        <w:rPr>
          <w:rFonts w:ascii="宋体" w:hAnsi="宋体" w:cs="宋体"/>
          <w:b/>
          <w:color w:val="000000" w:themeColor="text1"/>
          <w:kern w:val="1"/>
          <w:highlight w:val="none"/>
          <w14:textFill>
            <w14:solidFill>
              <w14:schemeClr w14:val="tx1"/>
            </w14:solidFill>
          </w14:textFill>
        </w:rPr>
        <w:t>8</w:t>
      </w:r>
      <w:r>
        <w:rPr>
          <w:rFonts w:hint="eastAsia" w:ascii="宋体" w:hAnsi="宋体" w:cs="宋体"/>
          <w:b/>
          <w:color w:val="000000" w:themeColor="text1"/>
          <w:kern w:val="1"/>
          <w:highlight w:val="none"/>
          <w14:textFill>
            <w14:solidFill>
              <w14:schemeClr w14:val="tx1"/>
            </w14:solidFill>
          </w14:textFill>
        </w:rPr>
        <w:t>：</w:t>
      </w:r>
    </w:p>
    <w:p>
      <w:pPr>
        <w:pStyle w:val="67"/>
        <w:shd w:val="clear"/>
        <w:ind w:firstLine="198"/>
        <w:jc w:val="center"/>
        <w:rPr>
          <w:rFonts w:ascii="宋体" w:hAnsi="宋体" w:cs="宋体"/>
          <w:b/>
          <w:bCs/>
          <w:color w:val="000000" w:themeColor="text1"/>
          <w:highlight w:val="none"/>
          <w14:textFill>
            <w14:solidFill>
              <w14:schemeClr w14:val="tx1"/>
            </w14:solidFill>
          </w14:textFill>
        </w:rPr>
      </w:pPr>
      <w:bookmarkStart w:id="405" w:name="_Hlk55921181"/>
      <w:r>
        <w:rPr>
          <w:rFonts w:hint="eastAsia" w:ascii="宋体" w:hAnsi="宋体" w:cs="宋体"/>
          <w:b/>
          <w:bCs/>
          <w:color w:val="000000" w:themeColor="text1"/>
          <w:sz w:val="32"/>
          <w:szCs w:val="32"/>
          <w:highlight w:val="none"/>
          <w:lang w:val="zh-CN"/>
          <w14:textFill>
            <w14:solidFill>
              <w14:schemeClr w14:val="tx1"/>
            </w14:solidFill>
          </w14:textFill>
        </w:rPr>
        <w:t>拟投入本项目施工人员一览表</w:t>
      </w:r>
      <w:bookmarkEnd w:id="405"/>
    </w:p>
    <w:tbl>
      <w:tblPr>
        <w:tblStyle w:val="34"/>
        <w:tblW w:w="9514" w:type="dxa"/>
        <w:tblInd w:w="0" w:type="dxa"/>
        <w:tblLayout w:type="fixed"/>
        <w:tblCellMar>
          <w:top w:w="0" w:type="dxa"/>
          <w:left w:w="108" w:type="dxa"/>
          <w:bottom w:w="0" w:type="dxa"/>
          <w:right w:w="108" w:type="dxa"/>
        </w:tblCellMar>
      </w:tblPr>
      <w:tblGrid>
        <w:gridCol w:w="599"/>
        <w:gridCol w:w="600"/>
        <w:gridCol w:w="600"/>
        <w:gridCol w:w="600"/>
        <w:gridCol w:w="801"/>
        <w:gridCol w:w="717"/>
        <w:gridCol w:w="684"/>
        <w:gridCol w:w="600"/>
        <w:gridCol w:w="1103"/>
        <w:gridCol w:w="1003"/>
        <w:gridCol w:w="1607"/>
        <w:gridCol w:w="600"/>
      </w:tblGrid>
      <w:tr>
        <w:tblPrEx>
          <w:tblCellMar>
            <w:top w:w="0" w:type="dxa"/>
            <w:left w:w="108" w:type="dxa"/>
            <w:bottom w:w="0" w:type="dxa"/>
            <w:right w:w="108" w:type="dxa"/>
          </w:tblCellMar>
        </w:tblPrEx>
        <w:trPr>
          <w:trHeight w:val="76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序号</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姓名</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性别</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年龄</w:t>
            </w: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技术职称</w:t>
            </w: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所在</w:t>
            </w:r>
          </w:p>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w:t>
            </w: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单位职务</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专业</w:t>
            </w: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本项目拟任职务</w:t>
            </w: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资格证书证号</w:t>
            </w: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spacing w:val="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目前正承担的其它项目情况</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
                <w:kern w:val="1"/>
                <w:szCs w:val="21"/>
                <w:highlight w:val="none"/>
                <w:lang w:val="zh-CN"/>
                <w14:textFill>
                  <w14:solidFill>
                    <w14:schemeClr w14:val="tx1"/>
                  </w14:solidFill>
                </w14:textFill>
              </w:rPr>
              <w:t>备注</w:t>
            </w:r>
          </w:p>
        </w:tc>
      </w:tr>
      <w:tr>
        <w:tblPrEx>
          <w:tblCellMar>
            <w:top w:w="0" w:type="dxa"/>
            <w:left w:w="108" w:type="dxa"/>
            <w:bottom w:w="0" w:type="dxa"/>
            <w:right w:w="108" w:type="dxa"/>
          </w:tblCellMar>
        </w:tblPrEx>
        <w:trPr>
          <w:trHeight w:val="43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3"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2</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8"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3</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4</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5</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6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6</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7</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8</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9</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10</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r>
        <w:tblPrEx>
          <w:tblCellMar>
            <w:top w:w="0" w:type="dxa"/>
            <w:left w:w="108" w:type="dxa"/>
            <w:bottom w:w="0" w:type="dxa"/>
            <w:right w:w="108" w:type="dxa"/>
          </w:tblCellMar>
        </w:tblPrEx>
        <w:trPr>
          <w:trHeight w:val="444" w:hRule="atLeast"/>
        </w:trPr>
        <w:tc>
          <w:tcPr>
            <w:tcW w:w="599"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lang w:val="zh-CN"/>
                <w14:textFill>
                  <w14:solidFill>
                    <w14:schemeClr w14:val="tx1"/>
                  </w14:solidFill>
                </w14:textFill>
              </w:rPr>
            </w:pPr>
            <w:r>
              <w:rPr>
                <w:rFonts w:ascii="宋体" w:hAnsi="宋体" w:cs="宋体"/>
                <w:color w:val="000000" w:themeColor="text1"/>
                <w:kern w:val="1"/>
                <w:szCs w:val="21"/>
                <w:highlight w:val="none"/>
                <w:lang w:val="zh-CN"/>
                <w14:textFill>
                  <w14:solidFill>
                    <w14:schemeClr w14:val="tx1"/>
                  </w14:solidFill>
                </w14:textFill>
              </w:rPr>
              <w:t>…</w:t>
            </w: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801"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Cs w:val="21"/>
                <w:highlight w:val="none"/>
                <w14:textFill>
                  <w14:solidFill>
                    <w14:schemeClr w14:val="tx1"/>
                  </w14:solidFill>
                </w14:textFill>
              </w:rPr>
            </w:pPr>
          </w:p>
        </w:tc>
        <w:tc>
          <w:tcPr>
            <w:tcW w:w="71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1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003"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1607"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c>
          <w:tcPr>
            <w:tcW w:w="600" w:type="dxa"/>
            <w:tcBorders>
              <w:top w:val="single" w:color="000000" w:sz="6" w:space="0"/>
              <w:left w:val="single" w:color="000000" w:sz="6" w:space="0"/>
              <w:bottom w:val="single" w:color="000000" w:sz="6" w:space="0"/>
              <w:right w:val="single" w:color="000000" w:sz="6" w:space="0"/>
            </w:tcBorders>
            <w:vAlign w:val="center"/>
          </w:tcPr>
          <w:p>
            <w:pPr>
              <w:shd w:val="clear"/>
              <w:tabs>
                <w:tab w:val="left" w:pos="9297"/>
              </w:tabs>
              <w:spacing w:line="360" w:lineRule="auto"/>
              <w:ind w:left="-90"/>
              <w:jc w:val="center"/>
              <w:rPr>
                <w:rFonts w:ascii="宋体" w:hAnsi="宋体" w:cs="宋体"/>
                <w:color w:val="000000" w:themeColor="text1"/>
                <w:kern w:val="1"/>
                <w:sz w:val="28"/>
                <w:szCs w:val="28"/>
                <w:highlight w:val="none"/>
                <w14:textFill>
                  <w14:solidFill>
                    <w14:schemeClr w14:val="tx1"/>
                  </w14:solidFill>
                </w14:textFill>
              </w:rPr>
            </w:pPr>
          </w:p>
        </w:tc>
      </w:tr>
    </w:tbl>
    <w:p>
      <w:pPr>
        <w:shd w:val="clear"/>
        <w:spacing w:line="360" w:lineRule="auto"/>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注：表中人员为项目施工团队所有人员。</w:t>
      </w:r>
    </w:p>
    <w:p>
      <w:pPr>
        <w:shd w:val="clear"/>
        <w:spacing w:line="360" w:lineRule="auto"/>
        <w:ind w:firstLine="3600"/>
        <w:rPr>
          <w:rFonts w:ascii="宋体" w:hAnsi="宋体" w:cs="宋体"/>
          <w:color w:val="000000" w:themeColor="text1"/>
          <w:kern w:val="1"/>
          <w:sz w:val="28"/>
          <w:szCs w:val="28"/>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ind w:firstLine="6888" w:firstLineChars="2800"/>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tabs>
          <w:tab w:val="left" w:pos="7655"/>
        </w:tabs>
        <w:spacing w:line="360" w:lineRule="auto"/>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color w:val="000000" w:themeColor="text1"/>
          <w:spacing w:val="18"/>
          <w:kern w:val="1"/>
          <w:sz w:val="28"/>
          <w:szCs w:val="28"/>
          <w:highlight w:val="none"/>
          <w:lang w:val="zh-CN"/>
          <w14:textFill>
            <w14:solidFill>
              <w14:schemeClr w14:val="tx1"/>
            </w14:solidFill>
          </w14:textFill>
        </w:rPr>
        <w:br w:type="page"/>
      </w: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9</w:t>
      </w:r>
      <w:r>
        <w:rPr>
          <w:rFonts w:hint="eastAsia" w:ascii="宋体" w:hAnsi="宋体" w:cs="宋体"/>
          <w:b/>
          <w:color w:val="000000" w:themeColor="text1"/>
          <w:kern w:val="1"/>
          <w:sz w:val="24"/>
          <w:highlight w:val="none"/>
          <w14:textFill>
            <w14:solidFill>
              <w14:schemeClr w14:val="tx1"/>
            </w14:solidFill>
          </w14:textFill>
        </w:rPr>
        <w:t>：</w:t>
      </w:r>
    </w:p>
    <w:p>
      <w:pPr>
        <w:pStyle w:val="83"/>
        <w:shd w:val="clear"/>
        <w:rPr>
          <w:rFonts w:ascii="宋体" w:hAnsi="宋体" w:eastAsia="宋体" w:cs="宋体"/>
          <w:color w:val="000000" w:themeColor="text1"/>
          <w:sz w:val="32"/>
          <w:szCs w:val="32"/>
          <w:highlight w:val="none"/>
          <w14:textFill>
            <w14:solidFill>
              <w14:schemeClr w14:val="tx1"/>
            </w14:solidFill>
          </w14:textFill>
        </w:rPr>
      </w:pPr>
      <w:bookmarkStart w:id="406" w:name="_Hlk49259541"/>
      <w:r>
        <w:rPr>
          <w:rFonts w:hint="eastAsia" w:ascii="宋体" w:hAnsi="宋体" w:eastAsia="宋体" w:cs="宋体"/>
          <w:color w:val="000000" w:themeColor="text1"/>
          <w:sz w:val="32"/>
          <w:szCs w:val="32"/>
          <w:highlight w:val="none"/>
          <w14:textFill>
            <w14:solidFill>
              <w14:schemeClr w14:val="tx1"/>
            </w14:solidFill>
          </w14:textFill>
        </w:rPr>
        <w:t>设计工程业绩</w:t>
      </w:r>
      <w:bookmarkEnd w:id="406"/>
      <w:r>
        <w:rPr>
          <w:rFonts w:hint="eastAsia" w:ascii="宋体" w:hAnsi="宋体" w:eastAsia="宋体" w:cs="宋体"/>
          <w:color w:val="000000" w:themeColor="text1"/>
          <w:sz w:val="32"/>
          <w:szCs w:val="32"/>
          <w:highlight w:val="none"/>
          <w14:textFill>
            <w14:solidFill>
              <w14:schemeClr w14:val="tx1"/>
            </w14:solidFill>
          </w14:textFill>
        </w:rPr>
        <w:t>表（如有）</w:t>
      </w:r>
    </w:p>
    <w:tbl>
      <w:tblPr>
        <w:tblStyle w:val="34"/>
        <w:tblW w:w="9380" w:type="dxa"/>
        <w:tblInd w:w="0" w:type="dxa"/>
        <w:tblLayout w:type="fixed"/>
        <w:tblCellMar>
          <w:top w:w="0" w:type="dxa"/>
          <w:left w:w="108" w:type="dxa"/>
          <w:bottom w:w="0" w:type="dxa"/>
          <w:right w:w="108" w:type="dxa"/>
        </w:tblCellMar>
      </w:tblPr>
      <w:tblGrid>
        <w:gridCol w:w="905"/>
        <w:gridCol w:w="904"/>
        <w:gridCol w:w="2722"/>
        <w:gridCol w:w="1134"/>
        <w:gridCol w:w="1134"/>
        <w:gridCol w:w="1276"/>
        <w:gridCol w:w="1305"/>
      </w:tblGrid>
      <w:tr>
        <w:tblPrEx>
          <w:tblCellMar>
            <w:top w:w="0" w:type="dxa"/>
            <w:left w:w="108" w:type="dxa"/>
            <w:bottom w:w="0" w:type="dxa"/>
            <w:right w:w="108" w:type="dxa"/>
          </w:tblCellMar>
        </w:tblPrEx>
        <w:trPr>
          <w:trHeight w:val="881"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序号</w:t>
            </w:r>
          </w:p>
        </w:tc>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类别</w:t>
            </w:r>
          </w:p>
        </w:tc>
        <w:tc>
          <w:tcPr>
            <w:tcW w:w="272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工程</w:t>
            </w:r>
          </w:p>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地址</w:t>
            </w: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建设</w:t>
            </w:r>
          </w:p>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建筑面积</w:t>
            </w:r>
          </w:p>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lang w:val="zh-CN"/>
                <w14:textFill>
                  <w14:solidFill>
                    <w14:schemeClr w14:val="tx1"/>
                  </w14:solidFill>
                </w14:textFill>
              </w:rPr>
              <w:t>（㎡）</w:t>
            </w:r>
          </w:p>
        </w:tc>
        <w:tc>
          <w:tcPr>
            <w:tcW w:w="13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r>
              <w:rPr>
                <w:rFonts w:hint="eastAsia" w:ascii="宋体" w:hAnsi="宋体" w:cs="宋体"/>
                <w:color w:val="000000" w:themeColor="text1"/>
                <w:kern w:val="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0"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89" w:hRule="atLeast"/>
        </w:trPr>
        <w:tc>
          <w:tcPr>
            <w:tcW w:w="9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90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2722"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c>
          <w:tcPr>
            <w:tcW w:w="130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 w:val="24"/>
                <w:szCs w:val="24"/>
                <w:highlight w:val="none"/>
                <w14:textFill>
                  <w14:solidFill>
                    <w14:schemeClr w14:val="tx1"/>
                  </w14:solidFill>
                </w14:textFill>
              </w:rPr>
            </w:pPr>
          </w:p>
        </w:tc>
      </w:tr>
    </w:tbl>
    <w:p>
      <w:pPr>
        <w:pStyle w:val="2"/>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注：招标文件第三章《评标办法》“工程总承包实施方案技术部分评分表”如有要求，则在本表后附对应的相关证明材料。</w:t>
      </w:r>
    </w:p>
    <w:p>
      <w:pPr>
        <w:shd w:val="clear"/>
        <w:tabs>
          <w:tab w:val="left" w:pos="7655"/>
        </w:tabs>
        <w:spacing w:line="360" w:lineRule="auto"/>
        <w:ind w:right="492"/>
        <w:jc w:val="right"/>
        <w:rPr>
          <w:rFonts w:ascii="宋体" w:hAnsi="宋体" w:cs="宋体"/>
          <w:color w:val="000000" w:themeColor="text1"/>
          <w:spacing w:val="18"/>
          <w:kern w:val="1"/>
          <w:szCs w:val="21"/>
          <w:highlight w:val="none"/>
          <w:lang w:val="zh-CN"/>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 w:val="28"/>
          <w:szCs w:val="28"/>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spacing w:line="360" w:lineRule="auto"/>
        <w:jc w:val="center"/>
        <w:rPr>
          <w:rFonts w:ascii="宋体" w:hAnsi="宋体" w:cs="宋体"/>
          <w:color w:val="000000" w:themeColor="text1"/>
          <w:spacing w:val="18"/>
          <w:kern w:val="1"/>
          <w:szCs w:val="21"/>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w:t>
      </w:r>
      <w:r>
        <w:rPr>
          <w:rFonts w:ascii="宋体" w:hAnsi="宋体" w:cs="宋体"/>
          <w:color w:val="000000" w:themeColor="text1"/>
          <w:spacing w:val="18"/>
          <w:kern w:val="1"/>
          <w:szCs w:val="21"/>
          <w:highlight w:val="none"/>
          <w:lang w:val="zh-CN"/>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日期：</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年</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月</w:t>
      </w:r>
      <w:r>
        <w:rPr>
          <w:rFonts w:hint="eastAsia" w:ascii="宋体" w:hAnsi="宋体" w:cs="宋体"/>
          <w:color w:val="000000" w:themeColor="text1"/>
          <w:spacing w:val="18"/>
          <w:kern w:val="1"/>
          <w:szCs w:val="21"/>
          <w:highlight w:val="non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日</w:t>
      </w:r>
    </w:p>
    <w:p>
      <w:pPr>
        <w:shd w:val="clear"/>
        <w:spacing w:line="360" w:lineRule="auto"/>
        <w:jc w:val="center"/>
        <w:rPr>
          <w:rFonts w:ascii="宋体" w:hAnsi="宋体" w:cs="宋体"/>
          <w:b/>
          <w:bCs/>
          <w:color w:val="000000" w:themeColor="text1"/>
          <w:kern w:val="1"/>
          <w:sz w:val="28"/>
          <w:szCs w:val="28"/>
          <w:highlight w:val="none"/>
          <w:lang w:val="zh-CN"/>
          <w14:textFill>
            <w14:solidFill>
              <w14:schemeClr w14:val="tx1"/>
            </w14:solidFill>
          </w14:textFill>
        </w:rPr>
      </w:pPr>
      <w:bookmarkStart w:id="407" w:name="_Hlk56526643"/>
    </w:p>
    <w:p>
      <w:pPr>
        <w:widowControl/>
        <w:shd w:val="clear"/>
        <w:jc w:val="left"/>
        <w:rPr>
          <w:rFonts w:ascii="宋体" w:hAnsi="宋体" w:cs="宋体"/>
          <w:b/>
          <w:bCs/>
          <w:color w:val="000000" w:themeColor="text1"/>
          <w:kern w:val="1"/>
          <w:sz w:val="28"/>
          <w:szCs w:val="28"/>
          <w:highlight w:val="none"/>
          <w:lang w:val="zh-CN"/>
          <w14:textFill>
            <w14:solidFill>
              <w14:schemeClr w14:val="tx1"/>
            </w14:solidFill>
          </w14:textFill>
        </w:rPr>
      </w:pPr>
      <w:r>
        <w:rPr>
          <w:rFonts w:ascii="宋体" w:hAnsi="宋体" w:cs="宋体"/>
          <w:b/>
          <w:bCs/>
          <w:color w:val="000000" w:themeColor="text1"/>
          <w:kern w:val="1"/>
          <w:sz w:val="28"/>
          <w:szCs w:val="28"/>
          <w:highlight w:val="none"/>
          <w:lang w:val="zh-CN"/>
          <w14:textFill>
            <w14:solidFill>
              <w14:schemeClr w14:val="tx1"/>
            </w14:solidFill>
          </w14:textFill>
        </w:rPr>
        <w:br w:type="page"/>
      </w:r>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b/>
          <w:bCs/>
          <w:color w:val="000000" w:themeColor="text1"/>
          <w:kern w:val="1"/>
          <w:sz w:val="28"/>
          <w:szCs w:val="28"/>
          <w:highlight w:val="none"/>
          <w:lang w:val="zh-CN"/>
          <w14:textFill>
            <w14:solidFill>
              <w14:schemeClr w14:val="tx1"/>
            </w14:solidFill>
          </w14:textFill>
        </w:rPr>
        <w:t>投标人设计工程业绩获奖情况表</w:t>
      </w:r>
      <w:bookmarkEnd w:id="407"/>
      <w:r>
        <w:rPr>
          <w:rFonts w:hint="eastAsia" w:ascii="宋体" w:hAnsi="宋体" w:cs="宋体"/>
          <w:b/>
          <w:bCs/>
          <w:color w:val="000000" w:themeColor="text1"/>
          <w:kern w:val="1"/>
          <w:sz w:val="28"/>
          <w:szCs w:val="28"/>
          <w:highlight w:val="none"/>
          <w:lang w:val="zh-CN"/>
          <w14:textFill>
            <w14:solidFill>
              <w14:schemeClr w14:val="tx1"/>
            </w14:solidFill>
          </w14:textFill>
        </w:rPr>
        <w:t>（如有）</w:t>
      </w:r>
    </w:p>
    <w:tbl>
      <w:tblPr>
        <w:tblStyle w:val="34"/>
        <w:tblW w:w="9515" w:type="dxa"/>
        <w:tblInd w:w="0" w:type="dxa"/>
        <w:tblLayout w:type="fixed"/>
        <w:tblCellMar>
          <w:top w:w="0" w:type="dxa"/>
          <w:left w:w="108" w:type="dxa"/>
          <w:bottom w:w="0" w:type="dxa"/>
          <w:right w:w="108" w:type="dxa"/>
        </w:tblCellMar>
      </w:tblPr>
      <w:tblGrid>
        <w:gridCol w:w="1192"/>
        <w:gridCol w:w="1192"/>
        <w:gridCol w:w="1192"/>
        <w:gridCol w:w="1980"/>
        <w:gridCol w:w="1980"/>
        <w:gridCol w:w="1979"/>
      </w:tblGrid>
      <w:tr>
        <w:tblPrEx>
          <w:tblCellMar>
            <w:top w:w="0" w:type="dxa"/>
            <w:left w:w="108" w:type="dxa"/>
            <w:bottom w:w="0" w:type="dxa"/>
            <w:right w:w="108" w:type="dxa"/>
          </w:tblCellMar>
        </w:tblPrEx>
        <w:trPr>
          <w:trHeight w:val="13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序号</w:t>
            </w: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w:t>
            </w:r>
          </w:p>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类别</w:t>
            </w: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w:t>
            </w:r>
          </w:p>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名称</w:t>
            </w: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工程地址</w:t>
            </w: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建设单位</w:t>
            </w:r>
          </w:p>
        </w:tc>
        <w:tc>
          <w:tcPr>
            <w:tcW w:w="1979" w:type="dxa"/>
            <w:tcBorders>
              <w:top w:val="single" w:color="000000" w:sz="4" w:space="0"/>
              <w:left w:val="single" w:color="000000" w:sz="4" w:space="0"/>
              <w:bottom w:val="single" w:color="000000" w:sz="4" w:space="0"/>
              <w:right w:val="single" w:color="000000" w:sz="4" w:space="0"/>
            </w:tcBorders>
            <w:vAlign w:val="center"/>
          </w:tcPr>
          <w:p>
            <w:pPr>
              <w:shd w:val="clear"/>
              <w:spacing w:line="440" w:lineRule="exact"/>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获奖情况</w:t>
            </w: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3" w:hRule="atLeast"/>
        </w:trPr>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192"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vAlign w:val="center"/>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c>
          <w:tcPr>
            <w:tcW w:w="1979" w:type="dxa"/>
            <w:tcBorders>
              <w:top w:val="single" w:color="000000" w:sz="4" w:space="0"/>
              <w:left w:val="single" w:color="000000" w:sz="4" w:space="0"/>
              <w:bottom w:val="single" w:color="000000" w:sz="4" w:space="0"/>
              <w:right w:val="single" w:color="000000" w:sz="4" w:space="0"/>
            </w:tcBorders>
          </w:tcPr>
          <w:p>
            <w:pPr>
              <w:shd w:val="clear"/>
              <w:spacing w:line="480" w:lineRule="auto"/>
              <w:jc w:val="center"/>
              <w:rPr>
                <w:rFonts w:ascii="宋体" w:hAnsi="宋体" w:cs="宋体"/>
                <w:color w:val="000000" w:themeColor="text1"/>
                <w:kern w:val="1"/>
                <w:szCs w:val="21"/>
                <w:highlight w:val="none"/>
                <w14:textFill>
                  <w14:solidFill>
                    <w14:schemeClr w14:val="tx1"/>
                  </w14:solidFill>
                </w14:textFill>
              </w:rPr>
            </w:pPr>
          </w:p>
        </w:tc>
      </w:tr>
    </w:tbl>
    <w:p>
      <w:pPr>
        <w:pStyle w:val="2"/>
        <w:shd w:val="clear"/>
        <w:spacing w:line="360" w:lineRule="auto"/>
        <w:rPr>
          <w:rFonts w:cs="宋体"/>
          <w:color w:val="000000" w:themeColor="text1"/>
          <w:kern w:val="1"/>
          <w:sz w:val="18"/>
          <w:szCs w:val="18"/>
          <w:highlight w:val="none"/>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注：招标文件第三章《评标办法》“工程总承包实施方案技术部分评分表”如有要求，则在本表后附对应的相关证明材料。</w:t>
      </w:r>
    </w:p>
    <w:p>
      <w:pPr>
        <w:pStyle w:val="2"/>
        <w:shd w:val="clear"/>
        <w:rPr>
          <w:color w:val="000000" w:themeColor="text1"/>
          <w:highlight w:val="none"/>
          <w14:textFill>
            <w14:solidFill>
              <w14:schemeClr w14:val="tx1"/>
            </w14:solidFill>
          </w14:textFill>
        </w:rPr>
      </w:pPr>
    </w:p>
    <w:p>
      <w:pPr>
        <w:pStyle w:val="2"/>
        <w:shd w:val="clear"/>
        <w:rPr>
          <w:color w:val="000000" w:themeColor="text1"/>
          <w:highlight w:val="none"/>
          <w14:textFill>
            <w14:solidFill>
              <w14:schemeClr w14:val="tx1"/>
            </w14:solidFill>
          </w14:textFill>
        </w:rPr>
      </w:pPr>
    </w:p>
    <w:p>
      <w:pPr>
        <w:shd w:val="clear"/>
        <w:tabs>
          <w:tab w:val="left" w:pos="7655"/>
        </w:tabs>
        <w:spacing w:line="360" w:lineRule="auto"/>
        <w:ind w:right="492"/>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投标人：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 xml:space="preserve">(盖章) </w:t>
      </w:r>
    </w:p>
    <w:p>
      <w:pPr>
        <w:shd w:val="clear"/>
        <w:tabs>
          <w:tab w:val="left" w:pos="7655"/>
        </w:tabs>
        <w:spacing w:line="360" w:lineRule="auto"/>
        <w:jc w:val="right"/>
        <w:rPr>
          <w:rFonts w:ascii="宋体" w:hAnsi="宋体" w:cs="宋体"/>
          <w:color w:val="000000" w:themeColor="text1"/>
          <w:spacing w:val="18"/>
          <w:kern w:val="1"/>
          <w:szCs w:val="21"/>
          <w:highlight w:val="none"/>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 xml:space="preserve"> </w:t>
      </w:r>
      <w:r>
        <w:rPr>
          <w:rFonts w:ascii="宋体" w:hAnsi="宋体" w:cs="宋体"/>
          <w:color w:val="000000" w:themeColor="text1"/>
          <w:spacing w:val="18"/>
          <w:kern w:val="1"/>
          <w:szCs w:val="21"/>
          <w:highlight w:val="none"/>
          <w:lang w:val="zh-CN"/>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u w:val="single"/>
          <w14:textFill>
            <w14:solidFill>
              <w14:schemeClr w14:val="tx1"/>
            </w14:solidFill>
          </w14:textFill>
        </w:rPr>
        <w:t xml:space="preserve">      </w:t>
      </w:r>
      <w:r>
        <w:rPr>
          <w:rFonts w:hint="eastAsia" w:ascii="宋体" w:hAnsi="宋体" w:cs="宋体"/>
          <w:color w:val="000000" w:themeColor="text1"/>
          <w:spacing w:val="18"/>
          <w:kern w:val="1"/>
          <w:szCs w:val="21"/>
          <w:highlight w:val="none"/>
          <w:lang w:val="zh-CN"/>
          <w14:textFill>
            <w14:solidFill>
              <w14:schemeClr w14:val="tx1"/>
            </w14:solidFill>
          </w14:textFill>
        </w:rPr>
        <w:t>（签字或盖章）</w:t>
      </w:r>
    </w:p>
    <w:p>
      <w:pPr>
        <w:shd w:val="clear"/>
        <w:tabs>
          <w:tab w:val="left" w:pos="7655"/>
        </w:tabs>
        <w:spacing w:line="360" w:lineRule="auto"/>
        <w:ind w:right="492"/>
        <w:jc w:val="right"/>
        <w:rPr>
          <w:rFonts w:ascii="宋体" w:hAnsi="宋体" w:cs="宋体"/>
          <w:color w:val="000000" w:themeColor="text1"/>
          <w:spacing w:val="18"/>
          <w:kern w:val="1"/>
          <w:szCs w:val="21"/>
          <w:highlight w:val="none"/>
          <w:lang w:val="zh-CN"/>
          <w14:textFill>
            <w14:solidFill>
              <w14:schemeClr w14:val="tx1"/>
            </w14:solidFill>
          </w14:textFill>
        </w:rPr>
      </w:pPr>
      <w:r>
        <w:rPr>
          <w:rFonts w:hint="eastAsia" w:ascii="宋体" w:hAnsi="宋体" w:cs="宋体"/>
          <w:color w:val="000000" w:themeColor="text1"/>
          <w:spacing w:val="18"/>
          <w:kern w:val="1"/>
          <w:szCs w:val="21"/>
          <w:highlight w:val="none"/>
          <w:lang w:val="zh-CN"/>
          <w14:textFill>
            <w14:solidFill>
              <w14:schemeClr w14:val="tx1"/>
            </w14:solidFill>
          </w14:textFill>
        </w:rPr>
        <w:t>日期：  年  月  日</w:t>
      </w:r>
    </w:p>
    <w:p>
      <w:pPr>
        <w:shd w:val="clear"/>
        <w:spacing w:line="360" w:lineRule="auto"/>
        <w:jc w:val="center"/>
        <w:rPr>
          <w:rFonts w:ascii="宋体" w:hAnsi="宋体" w:cs="宋体"/>
          <w:color w:val="000000" w:themeColor="text1"/>
          <w:spacing w:val="18"/>
          <w:kern w:val="1"/>
          <w:szCs w:val="21"/>
          <w:highlight w:val="none"/>
          <w:lang w:val="zh-CN"/>
          <w14:textFill>
            <w14:solidFill>
              <w14:schemeClr w14:val="tx1"/>
            </w14:solidFill>
          </w14:textFill>
        </w:rPr>
      </w:pPr>
      <w:r>
        <w:rPr>
          <w:color w:val="000000" w:themeColor="text1"/>
          <w:highlight w:val="none"/>
          <w14:textFill>
            <w14:solidFill>
              <w14:schemeClr w14:val="tx1"/>
            </w14:solidFill>
          </w14:textFill>
        </w:rPr>
        <w:br w:type="page"/>
      </w:r>
    </w:p>
    <w:p>
      <w:pPr>
        <w:pStyle w:val="2"/>
        <w:shd w:val="clear"/>
        <w:spacing w:line="360" w:lineRule="auto"/>
        <w:rPr>
          <w:rFonts w:cs="宋体"/>
          <w:b/>
          <w:color w:val="000000" w:themeColor="text1"/>
          <w:kern w:val="1"/>
          <w:sz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10</w:t>
      </w:r>
      <w:r>
        <w:rPr>
          <w:rFonts w:hint="eastAsia"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spacing w:val="4"/>
          <w:sz w:val="32"/>
          <w:szCs w:val="32"/>
          <w:highlight w:val="none"/>
          <w14:textFill>
            <w14:solidFill>
              <w14:schemeClr w14:val="tx1"/>
            </w14:solidFill>
          </w14:textFill>
        </w:rPr>
      </w:pPr>
      <w:r>
        <w:rPr>
          <w:rFonts w:hint="eastAsia" w:ascii="宋体" w:hAnsi="宋体" w:cs="宋体"/>
          <w:b/>
          <w:color w:val="000000" w:themeColor="text1"/>
          <w:spacing w:val="4"/>
          <w:sz w:val="32"/>
          <w:szCs w:val="32"/>
          <w:highlight w:val="none"/>
          <w14:textFill>
            <w14:solidFill>
              <w14:schemeClr w14:val="tx1"/>
            </w14:solidFill>
          </w14:textFill>
        </w:rPr>
        <w:t>施工工程业绩表</w:t>
      </w:r>
    </w:p>
    <w:tbl>
      <w:tblPr>
        <w:tblStyle w:val="34"/>
        <w:tblW w:w="9453" w:type="dxa"/>
        <w:tblInd w:w="0" w:type="dxa"/>
        <w:tblLayout w:type="fixed"/>
        <w:tblCellMar>
          <w:top w:w="0" w:type="dxa"/>
          <w:left w:w="108" w:type="dxa"/>
          <w:bottom w:w="0" w:type="dxa"/>
          <w:right w:w="108" w:type="dxa"/>
        </w:tblCellMar>
      </w:tblPr>
      <w:tblGrid>
        <w:gridCol w:w="1683"/>
        <w:gridCol w:w="1470"/>
        <w:gridCol w:w="2205"/>
        <w:gridCol w:w="2100"/>
        <w:gridCol w:w="1995"/>
      </w:tblGrid>
      <w:tr>
        <w:tblPrEx>
          <w:tblCellMar>
            <w:top w:w="0" w:type="dxa"/>
            <w:left w:w="108" w:type="dxa"/>
            <w:bottom w:w="0" w:type="dxa"/>
            <w:right w:w="108" w:type="dxa"/>
          </w:tblCellMar>
        </w:tblPrEx>
        <w:trPr>
          <w:cantSplit/>
          <w:trHeight w:val="540" w:hRule="atLeast"/>
        </w:trPr>
        <w:tc>
          <w:tcPr>
            <w:tcW w:w="3153" w:type="dxa"/>
            <w:gridSpan w:val="2"/>
            <w:tcBorders>
              <w:top w:val="single" w:color="000000" w:sz="4" w:space="0"/>
              <w:left w:val="single" w:color="000000" w:sz="4" w:space="0"/>
              <w:bottom w:val="single" w:color="000000" w:sz="4" w:space="0"/>
              <w:right w:val="single" w:color="000000" w:sz="4" w:space="0"/>
            </w:tcBorders>
            <w:vAlign w:val="center"/>
          </w:tcPr>
          <w:p>
            <w:pPr>
              <w:pStyle w:val="80"/>
              <w:shd w:val="clea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w:t>
            </w:r>
          </w:p>
        </w:tc>
        <w:tc>
          <w:tcPr>
            <w:tcW w:w="2205" w:type="dxa"/>
            <w:tcBorders>
              <w:top w:val="single" w:color="000000" w:sz="4" w:space="0"/>
              <w:left w:val="single" w:color="000000" w:sz="4" w:space="0"/>
              <w:bottom w:val="single" w:color="000000" w:sz="4" w:space="0"/>
              <w:right w:val="single" w:color="000000" w:sz="4" w:space="0"/>
            </w:tcBorders>
            <w:vAlign w:val="center"/>
          </w:tcPr>
          <w:p>
            <w:pPr>
              <w:pStyle w:val="80"/>
              <w:shd w:val="clea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w:t>
            </w:r>
          </w:p>
        </w:tc>
        <w:tc>
          <w:tcPr>
            <w:tcW w:w="2100" w:type="dxa"/>
            <w:tcBorders>
              <w:top w:val="single" w:color="000000" w:sz="4" w:space="0"/>
              <w:left w:val="single" w:color="000000" w:sz="4" w:space="0"/>
              <w:bottom w:val="single" w:color="000000" w:sz="4" w:space="0"/>
              <w:right w:val="single" w:color="000000" w:sz="4" w:space="0"/>
            </w:tcBorders>
            <w:vAlign w:val="center"/>
          </w:tcPr>
          <w:p>
            <w:pPr>
              <w:pStyle w:val="80"/>
              <w:shd w:val="clea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80"/>
              <w:shd w:val="clear"/>
              <w:spacing w:line="360" w:lineRule="auto"/>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工程名称</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工程对应的企业资质</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项目地点</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所包含的子项内容</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Pr>
        <w:tc>
          <w:tcPr>
            <w:tcW w:w="1683" w:type="dxa"/>
            <w:vMerge w:val="restart"/>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总价(人民币：万元)</w:t>
            </w:r>
          </w:p>
        </w:tc>
        <w:tc>
          <w:tcPr>
            <w:tcW w:w="147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合同造价</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Pr>
        <w:tc>
          <w:tcPr>
            <w:tcW w:w="1683" w:type="dxa"/>
            <w:vMerge w:val="continue"/>
            <w:tcBorders>
              <w:top w:val="single" w:color="000000" w:sz="4" w:space="0"/>
              <w:left w:val="single" w:color="000000" w:sz="4" w:space="0"/>
              <w:bottom w:val="single" w:color="000000" w:sz="4" w:space="0"/>
              <w:right w:val="single" w:color="000000" w:sz="4" w:space="0"/>
            </w:tcBorders>
          </w:tcPr>
          <w:p>
            <w:pPr>
              <w:shd w:val="clear"/>
              <w:spacing w:line="360" w:lineRule="auto"/>
              <w:jc w:val="left"/>
              <w:rPr>
                <w:rFonts w:ascii="宋体" w:hAnsi="宋体" w:cs="宋体"/>
                <w:color w:val="000000" w:themeColor="text1"/>
                <w:sz w:val="24"/>
                <w:szCs w:val="24"/>
                <w:highlight w:val="none"/>
                <w14:textFill>
                  <w14:solidFill>
                    <w14:schemeClr w14:val="tx1"/>
                  </w14:solidFill>
                </w14:textFill>
              </w:rPr>
            </w:pPr>
          </w:p>
        </w:tc>
        <w:tc>
          <w:tcPr>
            <w:tcW w:w="147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结算造价</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竣工日期（如竣工则填写）</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贵公司所占比例</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项目负责人姓名</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76" w:hRule="atLeast"/>
        </w:trPr>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项目业主名称</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c>
          <w:tcPr>
            <w:tcW w:w="3153" w:type="dxa"/>
            <w:gridSpan w:val="2"/>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项目监理名称</w:t>
            </w:r>
          </w:p>
        </w:tc>
        <w:tc>
          <w:tcPr>
            <w:tcW w:w="220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2100"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c>
          <w:tcPr>
            <w:tcW w:w="1995" w:type="dxa"/>
            <w:tcBorders>
              <w:top w:val="single" w:color="000000" w:sz="4" w:space="0"/>
              <w:left w:val="single" w:color="000000" w:sz="4" w:space="0"/>
              <w:bottom w:val="single" w:color="000000" w:sz="4" w:space="0"/>
              <w:right w:val="single" w:color="000000" w:sz="4" w:space="0"/>
            </w:tcBorders>
          </w:tcPr>
          <w:p>
            <w:pPr>
              <w:pStyle w:val="80"/>
              <w:shd w:val="clear"/>
              <w:spacing w:line="360" w:lineRule="auto"/>
              <w:rPr>
                <w:color w:val="000000" w:themeColor="text1"/>
                <w:sz w:val="24"/>
                <w:szCs w:val="24"/>
                <w:highlight w:val="none"/>
                <w14:textFill>
                  <w14:solidFill>
                    <w14:schemeClr w14:val="tx1"/>
                  </w14:solidFill>
                </w14:textFill>
              </w:rPr>
            </w:pPr>
          </w:p>
        </w:tc>
      </w:tr>
    </w:tbl>
    <w:p>
      <w:pPr>
        <w:pStyle w:val="2"/>
        <w:shd w:val="clear"/>
        <w:spacing w:line="360" w:lineRule="auto"/>
        <w:rPr>
          <w:b/>
          <w:color w:val="000000" w:themeColor="text1"/>
          <w:highlight w:val="none"/>
          <w:lang w:val="en-US"/>
          <w14:textFill>
            <w14:solidFill>
              <w14:schemeClr w14:val="tx1"/>
            </w14:solidFill>
          </w14:textFill>
        </w:rPr>
      </w:pPr>
      <w:r>
        <w:rPr>
          <w:rFonts w:hint="eastAsia"/>
          <w:color w:val="000000" w:themeColor="text1"/>
          <w:sz w:val="18"/>
          <w:szCs w:val="18"/>
          <w:highlight w:val="none"/>
          <w14:textFill>
            <w14:solidFill>
              <w14:schemeClr w14:val="tx1"/>
            </w14:solidFill>
          </w14:textFill>
        </w:rPr>
        <w:t>注：</w:t>
      </w:r>
      <w:r>
        <w:rPr>
          <w:rFonts w:hint="eastAsia" w:cs="宋体"/>
          <w:color w:val="000000" w:themeColor="text1"/>
          <w:kern w:val="1"/>
          <w:sz w:val="18"/>
          <w:szCs w:val="18"/>
          <w:highlight w:val="none"/>
          <w14:textFill>
            <w14:solidFill>
              <w14:schemeClr w14:val="tx1"/>
            </w14:solidFill>
          </w14:textFill>
        </w:rPr>
        <w:t>投标人应根据招标文件第三章《评标办法》“工程总承包实施方案技术部分评分表”要求在本表后附对应的相关证明材料。</w:t>
      </w:r>
    </w:p>
    <w:p>
      <w:pPr>
        <w:pStyle w:val="80"/>
        <w:shd w:val="clear"/>
        <w:spacing w:line="360" w:lineRule="auto"/>
        <w:rPr>
          <w:color w:val="000000" w:themeColor="text1"/>
          <w:highlight w:val="none"/>
          <w14:textFill>
            <w14:solidFill>
              <w14:schemeClr w14:val="tx1"/>
            </w14:solidFill>
          </w14:textFill>
        </w:rPr>
      </w:pPr>
    </w:p>
    <w:p>
      <w:pPr>
        <w:pStyle w:val="67"/>
        <w:shd w:val="clear"/>
        <w:ind w:firstLine="5166" w:firstLineChars="2100"/>
        <w:rPr>
          <w:rFonts w:ascii="宋体" w:hAnsi="宋体" w:cs="宋体"/>
          <w:color w:val="000000" w:themeColor="text1"/>
          <w:spacing w:val="18"/>
          <w:kern w:val="1"/>
          <w:sz w:val="21"/>
          <w:szCs w:val="21"/>
          <w:highlight w:val="none"/>
          <w:lang w:val="zh-CN"/>
          <w14:textFill>
            <w14:solidFill>
              <w14:schemeClr w14:val="tx1"/>
            </w14:solidFill>
          </w14:textFill>
        </w:rPr>
      </w:pPr>
      <w:r>
        <w:rPr>
          <w:rFonts w:hint="eastAsia" w:ascii="宋体" w:hAnsi="宋体" w:cs="宋体"/>
          <w:color w:val="000000" w:themeColor="text1"/>
          <w:spacing w:val="18"/>
          <w:kern w:val="1"/>
          <w:sz w:val="21"/>
          <w:szCs w:val="21"/>
          <w:highlight w:val="none"/>
          <w:lang w:val="zh-CN"/>
          <w14:textFill>
            <w14:solidFill>
              <w14:schemeClr w14:val="tx1"/>
            </w14:solidFill>
          </w14:textFill>
        </w:rPr>
        <w:t>投标人：</w:t>
      </w:r>
      <w:r>
        <w:rPr>
          <w:rFonts w:hint="eastAsia"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pacing w:val="18"/>
          <w:kern w:val="1"/>
          <w:sz w:val="21"/>
          <w:szCs w:val="21"/>
          <w:highlight w:val="none"/>
          <w:lang w:val="zh-CN"/>
          <w14:textFill>
            <w14:solidFill>
              <w14:schemeClr w14:val="tx1"/>
            </w14:solidFill>
          </w14:textFill>
        </w:rPr>
        <w:t>（盖章）</w:t>
      </w:r>
    </w:p>
    <w:p>
      <w:pPr>
        <w:pStyle w:val="67"/>
        <w:shd w:val="clear"/>
        <w:ind w:firstLine="3198" w:firstLineChars="1300"/>
        <w:rPr>
          <w:rFonts w:ascii="宋体" w:hAnsi="宋体" w:cs="宋体"/>
          <w:color w:val="000000" w:themeColor="text1"/>
          <w:spacing w:val="18"/>
          <w:kern w:val="1"/>
          <w:sz w:val="21"/>
          <w:szCs w:val="21"/>
          <w:highlight w:val="none"/>
          <w:lang w:val="zh-CN"/>
          <w14:textFill>
            <w14:solidFill>
              <w14:schemeClr w14:val="tx1"/>
            </w14:solidFill>
          </w14:textFill>
        </w:rPr>
      </w:pPr>
      <w:r>
        <w:rPr>
          <w:rFonts w:hint="eastAsia" w:ascii="宋体" w:hAnsi="宋体" w:cs="宋体"/>
          <w:color w:val="000000" w:themeColor="text1"/>
          <w:spacing w:val="18"/>
          <w:kern w:val="1"/>
          <w:sz w:val="21"/>
          <w:szCs w:val="21"/>
          <w:highlight w:val="none"/>
          <w:lang w:val="zh-CN"/>
          <w14:textFill>
            <w14:solidFill>
              <w14:schemeClr w14:val="tx1"/>
            </w14:solidFill>
          </w14:textFill>
        </w:rPr>
        <w:t>法定代表人或授权代理人：</w:t>
      </w:r>
      <w:r>
        <w:rPr>
          <w:rFonts w:hint="eastAsia"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ascii="宋体" w:hAnsi="宋体" w:cs="宋体"/>
          <w:color w:val="000000" w:themeColor="text1"/>
          <w:spacing w:val="18"/>
          <w:kern w:val="1"/>
          <w:sz w:val="21"/>
          <w:szCs w:val="21"/>
          <w:highlight w:val="none"/>
          <w:u w:val="single"/>
          <w:lang w:val="zh-CN"/>
          <w14:textFill>
            <w14:solidFill>
              <w14:schemeClr w14:val="tx1"/>
            </w14:solidFill>
          </w14:textFill>
        </w:rPr>
        <w:t xml:space="preserve">      </w:t>
      </w:r>
      <w:r>
        <w:rPr>
          <w:rFonts w:hint="eastAsia" w:ascii="宋体" w:hAnsi="宋体" w:cs="宋体"/>
          <w:color w:val="000000" w:themeColor="text1"/>
          <w:spacing w:val="18"/>
          <w:kern w:val="1"/>
          <w:sz w:val="21"/>
          <w:szCs w:val="21"/>
          <w:highlight w:val="none"/>
          <w:lang w:val="zh-CN"/>
          <w14:textFill>
            <w14:solidFill>
              <w14:schemeClr w14:val="tx1"/>
            </w14:solidFill>
          </w14:textFill>
        </w:rPr>
        <w:t>(签字或盖章)</w:t>
      </w:r>
      <w:r>
        <w:rPr>
          <w:rFonts w:ascii="宋体" w:hAnsi="宋体" w:cs="宋体"/>
          <w:color w:val="000000" w:themeColor="text1"/>
          <w:spacing w:val="18"/>
          <w:kern w:val="1"/>
          <w:sz w:val="21"/>
          <w:szCs w:val="21"/>
          <w:highlight w:val="none"/>
          <w:lang w:val="zh-CN"/>
          <w14:textFill>
            <w14:solidFill>
              <w14:schemeClr w14:val="tx1"/>
            </w14:solidFill>
          </w14:textFill>
        </w:rPr>
        <w:t xml:space="preserve"> </w:t>
      </w:r>
    </w:p>
    <w:p>
      <w:pPr>
        <w:pStyle w:val="2"/>
        <w:shd w:val="clear"/>
        <w:spacing w:line="360" w:lineRule="auto"/>
        <w:ind w:firstLine="4920" w:firstLineChars="2000"/>
        <w:rPr>
          <w:rFonts w:cs="宋体"/>
          <w:color w:val="000000" w:themeColor="text1"/>
          <w:spacing w:val="18"/>
          <w:kern w:val="1"/>
          <w:sz w:val="21"/>
          <w:szCs w:val="21"/>
          <w:highlight w:val="none"/>
          <w14:textFill>
            <w14:solidFill>
              <w14:schemeClr w14:val="tx1"/>
            </w14:solidFill>
          </w14:textFill>
        </w:rPr>
      </w:pPr>
      <w:r>
        <w:rPr>
          <w:rFonts w:hint="eastAsia" w:cs="宋体"/>
          <w:color w:val="000000" w:themeColor="text1"/>
          <w:spacing w:val="18"/>
          <w:kern w:val="1"/>
          <w:sz w:val="21"/>
          <w:szCs w:val="21"/>
          <w:highlight w:val="none"/>
          <w14:textFill>
            <w14:solidFill>
              <w14:schemeClr w14:val="tx1"/>
            </w14:solidFill>
          </w14:textFill>
        </w:rPr>
        <w:t>日   期：    年    月    日</w:t>
      </w:r>
    </w:p>
    <w:p>
      <w:pPr>
        <w:shd w:val="clear"/>
        <w:spacing w:line="360" w:lineRule="auto"/>
        <w:jc w:val="center"/>
        <w:rPr>
          <w:rFonts w:ascii="宋体" w:hAnsi="宋体" w:cs="宋体"/>
          <w:color w:val="000000" w:themeColor="text1"/>
          <w:kern w:val="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08" w:name="_Hlk56526665"/>
      <w:r>
        <w:rPr>
          <w:rFonts w:hint="eastAsia" w:ascii="宋体" w:hAnsi="宋体" w:cs="宋体"/>
          <w:b/>
          <w:bCs/>
          <w:color w:val="000000" w:themeColor="text1"/>
          <w:kern w:val="1"/>
          <w:sz w:val="28"/>
          <w:szCs w:val="28"/>
          <w:highlight w:val="none"/>
          <w:lang w:val="zh-CN"/>
          <w14:textFill>
            <w14:solidFill>
              <w14:schemeClr w14:val="tx1"/>
            </w14:solidFill>
          </w14:textFill>
        </w:rPr>
        <w:t>投标人施工工程业绩获奖情况表</w:t>
      </w:r>
      <w:bookmarkEnd w:id="408"/>
    </w:p>
    <w:tbl>
      <w:tblPr>
        <w:tblStyle w:val="34"/>
        <w:tblW w:w="9515" w:type="dxa"/>
        <w:tblInd w:w="0" w:type="dxa"/>
        <w:tblLayout w:type="fixed"/>
        <w:tblCellMar>
          <w:top w:w="0" w:type="dxa"/>
          <w:left w:w="108" w:type="dxa"/>
          <w:bottom w:w="0" w:type="dxa"/>
          <w:right w:w="108" w:type="dxa"/>
        </w:tblCellMar>
      </w:tblPr>
      <w:tblGrid>
        <w:gridCol w:w="933"/>
        <w:gridCol w:w="935"/>
        <w:gridCol w:w="2228"/>
        <w:gridCol w:w="1311"/>
        <w:gridCol w:w="1311"/>
        <w:gridCol w:w="1311"/>
        <w:gridCol w:w="1486"/>
      </w:tblGrid>
      <w:tr>
        <w:tblPrEx>
          <w:tblCellMar>
            <w:top w:w="0" w:type="dxa"/>
            <w:left w:w="108" w:type="dxa"/>
            <w:bottom w:w="0" w:type="dxa"/>
            <w:right w:w="108" w:type="dxa"/>
          </w:tblCellMar>
        </w:tblPrEx>
        <w:trPr>
          <w:trHeight w:val="13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序号</w:t>
            </w:r>
          </w:p>
        </w:tc>
        <w:tc>
          <w:tcPr>
            <w:tcW w:w="93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工程类别</w:t>
            </w:r>
          </w:p>
        </w:tc>
        <w:tc>
          <w:tcPr>
            <w:tcW w:w="222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工程名称</w:t>
            </w: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工程地址</w:t>
            </w: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建设单位</w:t>
            </w: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奖项类型</w:t>
            </w:r>
          </w:p>
        </w:tc>
        <w:tc>
          <w:tcPr>
            <w:tcW w:w="1486"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lang w:val="zh-CN"/>
                <w14:textFill>
                  <w14:solidFill>
                    <w14:schemeClr w14:val="tx1"/>
                  </w14:solidFill>
                </w14:textFill>
              </w:rPr>
              <w:t>获奖情况</w:t>
            </w: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04"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613" w:hRule="atLeast"/>
        </w:trPr>
        <w:tc>
          <w:tcPr>
            <w:tcW w:w="933"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22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486" w:type="dxa"/>
            <w:tcBorders>
              <w:top w:val="single" w:color="000000" w:sz="4" w:space="0"/>
              <w:left w:val="single" w:color="000000" w:sz="4" w:space="0"/>
              <w:bottom w:val="single" w:color="000000" w:sz="4" w:space="0"/>
              <w:right w:val="single" w:color="000000" w:sz="4" w:space="0"/>
            </w:tcBorders>
          </w:tcPr>
          <w:p>
            <w:pPr>
              <w:shd w:val="clear"/>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pStyle w:val="2"/>
        <w:shd w:val="clear"/>
        <w:spacing w:line="360" w:lineRule="auto"/>
        <w:rPr>
          <w:color w:val="000000" w:themeColor="text1"/>
          <w:highlight w:val="none"/>
          <w:lang w:val="en-US"/>
          <w14:textFill>
            <w14:solidFill>
              <w14:schemeClr w14:val="tx1"/>
            </w14:solidFill>
          </w14:textFill>
        </w:rPr>
      </w:pPr>
      <w:r>
        <w:rPr>
          <w:rFonts w:hint="eastAsia" w:cs="宋体"/>
          <w:color w:val="000000" w:themeColor="text1"/>
          <w:kern w:val="1"/>
          <w:sz w:val="18"/>
          <w:szCs w:val="18"/>
          <w:highlight w:val="none"/>
          <w14:textFill>
            <w14:solidFill>
              <w14:schemeClr w14:val="tx1"/>
            </w14:solidFill>
          </w14:textFill>
        </w:rPr>
        <w:t>注： 投标人应根据招标文件第三章《评标办法》“工程总承包实施方案技术部分评分表”要求在本表后附对应的相关证明材料。</w:t>
      </w:r>
    </w:p>
    <w:p>
      <w:pPr>
        <w:pStyle w:val="2"/>
        <w:shd w:val="clear"/>
        <w:spacing w:line="360" w:lineRule="auto"/>
        <w:rPr>
          <w:rFonts w:cs="宋体"/>
          <w:b/>
          <w:color w:val="000000" w:themeColor="text1"/>
          <w:kern w:val="1"/>
          <w:sz w:val="24"/>
          <w:highlight w:val="none"/>
          <w14:textFill>
            <w14:solidFill>
              <w14:schemeClr w14:val="tx1"/>
            </w14:solidFill>
          </w14:textFill>
        </w:rPr>
      </w:pPr>
      <w:r>
        <w:rPr>
          <w:rFonts w:cs="宋体"/>
          <w:b/>
          <w:color w:val="000000" w:themeColor="text1"/>
          <w:sz w:val="28"/>
          <w:szCs w:val="28"/>
          <w:highlight w:val="none"/>
          <w14:textFill>
            <w14:solidFill>
              <w14:schemeClr w14:val="tx1"/>
            </w14:solidFill>
          </w14:textFill>
        </w:rPr>
        <w:br w:type="page"/>
      </w: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11</w:t>
      </w:r>
      <w:r>
        <w:rPr>
          <w:rFonts w:hint="eastAsia"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spacing w:val="4"/>
          <w:sz w:val="32"/>
          <w:szCs w:val="32"/>
          <w:highlight w:val="none"/>
          <w14:textFill>
            <w14:solidFill>
              <w14:schemeClr w14:val="tx1"/>
            </w14:solidFill>
          </w14:textFill>
        </w:rPr>
        <w:t>施工组织设计方案</w:t>
      </w:r>
    </w:p>
    <w:p>
      <w:pPr>
        <w:pStyle w:val="2"/>
        <w:shd w:val="clea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注：按照《工程总承包实施方案</w:t>
      </w:r>
      <w:bookmarkStart w:id="409" w:name="_Hlk69827759"/>
      <w:r>
        <w:rPr>
          <w:rFonts w:hint="eastAsia"/>
          <w:color w:val="000000" w:themeColor="text1"/>
          <w:sz w:val="24"/>
          <w:szCs w:val="24"/>
          <w:highlight w:val="none"/>
          <w14:textFill>
            <w14:solidFill>
              <w14:schemeClr w14:val="tx1"/>
            </w14:solidFill>
          </w14:textFill>
        </w:rPr>
        <w:t>技术部分评分</w:t>
      </w:r>
      <w:bookmarkEnd w:id="409"/>
      <w:r>
        <w:rPr>
          <w:rFonts w:hint="eastAsia"/>
          <w:color w:val="000000" w:themeColor="text1"/>
          <w:sz w:val="24"/>
          <w:szCs w:val="24"/>
          <w:highlight w:val="none"/>
          <w14:textFill>
            <w14:solidFill>
              <w14:schemeClr w14:val="tx1"/>
            </w14:solidFill>
          </w14:textFill>
        </w:rPr>
        <w:t>表》评审内容提交，格式自拟。</w:t>
      </w:r>
    </w:p>
    <w:p>
      <w:pPr>
        <w:pStyle w:val="32"/>
        <w:shd w:val="clear"/>
        <w:spacing w:line="360" w:lineRule="auto"/>
        <w:ind w:firstLine="422" w:firstLineChars="200"/>
        <w:rPr>
          <w:rFonts w:ascii="宋体" w:hAnsi="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在编制工程总承包实施方案时应按照招标文件要求，施工组织设计部分针对本项目的关键技术、工艺、重点、难点以及拟在本项目采用的新工艺、新技术、新材料编制，应突出重点，标准、规范中已有的内容无需赘述，不宜超过200页（不含人员配备情况）。超过部分不予评审。</w:t>
      </w:r>
    </w:p>
    <w:p>
      <w:pPr>
        <w:shd w:val="clear"/>
        <w:spacing w:line="360" w:lineRule="auto"/>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 w:val="30"/>
          <w:szCs w:val="30"/>
          <w:highlight w:val="none"/>
          <w14:textFill>
            <w14:solidFill>
              <w14:schemeClr w14:val="tx1"/>
            </w14:solidFill>
          </w14:textFill>
        </w:rPr>
        <w:br w:type="page"/>
      </w: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12</w:t>
      </w:r>
      <w:r>
        <w:rPr>
          <w:rFonts w:hint="eastAsia" w:ascii="宋体" w:hAnsi="宋体" w:cs="宋体"/>
          <w:b/>
          <w:color w:val="000000" w:themeColor="text1"/>
          <w:kern w:val="1"/>
          <w:sz w:val="24"/>
          <w:highlight w:val="none"/>
          <w:lang w:val="zh-CN"/>
          <w14:textFill>
            <w14:solidFill>
              <w14:schemeClr w14:val="tx1"/>
            </w14:solidFill>
          </w14:textFill>
        </w:rPr>
        <w:t>：</w:t>
      </w: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10" w:name="_Hlk56417686"/>
      <w:r>
        <w:rPr>
          <w:rFonts w:hint="eastAsia" w:ascii="宋体" w:hAnsi="宋体" w:cs="宋体"/>
          <w:b/>
          <w:bCs/>
          <w:color w:val="000000" w:themeColor="text1"/>
          <w:sz w:val="28"/>
          <w:szCs w:val="28"/>
          <w:highlight w:val="none"/>
          <w:lang w:val="zh-CN"/>
          <w14:textFill>
            <w14:solidFill>
              <w14:schemeClr w14:val="tx1"/>
            </w14:solidFill>
          </w14:textFill>
        </w:rPr>
        <w:t>工程总承包实施方案</w:t>
      </w:r>
      <w:bookmarkStart w:id="411" w:name="_Hlk56417741"/>
      <w:r>
        <w:rPr>
          <w:rFonts w:hint="eastAsia" w:ascii="宋体" w:hAnsi="宋体" w:cs="宋体"/>
          <w:b/>
          <w:bCs/>
          <w:color w:val="000000" w:themeColor="text1"/>
          <w:sz w:val="28"/>
          <w:szCs w:val="28"/>
          <w:highlight w:val="none"/>
          <w:lang w:val="zh-CN"/>
          <w14:textFill>
            <w14:solidFill>
              <w14:schemeClr w14:val="tx1"/>
            </w14:solidFill>
          </w14:textFill>
        </w:rPr>
        <w:t>技术投标文件</w:t>
      </w:r>
      <w:bookmarkEnd w:id="410"/>
      <w:bookmarkEnd w:id="411"/>
      <w:r>
        <w:rPr>
          <w:rFonts w:hint="eastAsia" w:ascii="宋体" w:hAnsi="宋体" w:cs="宋体"/>
          <w:b/>
          <w:bCs/>
          <w:color w:val="000000" w:themeColor="text1"/>
          <w:sz w:val="28"/>
          <w:szCs w:val="28"/>
          <w:highlight w:val="none"/>
          <w:lang w:val="zh-CN"/>
          <w14:textFill>
            <w14:solidFill>
              <w14:schemeClr w14:val="tx1"/>
            </w14:solidFill>
          </w14:textFill>
        </w:rPr>
        <w:t>人员名单</w:t>
      </w:r>
    </w:p>
    <w:tbl>
      <w:tblPr>
        <w:tblStyle w:val="34"/>
        <w:tblW w:w="9385" w:type="dxa"/>
        <w:tblInd w:w="0" w:type="dxa"/>
        <w:tblLayout w:type="fixed"/>
        <w:tblCellMar>
          <w:top w:w="0" w:type="dxa"/>
          <w:left w:w="108" w:type="dxa"/>
          <w:bottom w:w="0" w:type="dxa"/>
          <w:right w:w="108" w:type="dxa"/>
        </w:tblCellMar>
      </w:tblPr>
      <w:tblGrid>
        <w:gridCol w:w="1621"/>
        <w:gridCol w:w="1311"/>
        <w:gridCol w:w="2320"/>
        <w:gridCol w:w="2449"/>
        <w:gridCol w:w="1684"/>
      </w:tblGrid>
      <w:tr>
        <w:tblPrEx>
          <w:tblCellMar>
            <w:top w:w="0" w:type="dxa"/>
            <w:left w:w="108" w:type="dxa"/>
            <w:bottom w:w="0" w:type="dxa"/>
            <w:right w:w="108" w:type="dxa"/>
          </w:tblCellMar>
        </w:tblPrEx>
        <w:trPr>
          <w:trHeight w:val="462" w:hRule="atLeast"/>
        </w:trPr>
        <w:tc>
          <w:tcPr>
            <w:tcW w:w="1621" w:type="dxa"/>
            <w:tcBorders>
              <w:top w:val="single" w:color="000000" w:sz="4"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11" w:type="dxa"/>
            <w:tcBorders>
              <w:top w:val="single" w:color="000000" w:sz="4"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2320" w:type="dxa"/>
            <w:tcBorders>
              <w:top w:val="single" w:color="000000" w:sz="4"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2449" w:type="dxa"/>
            <w:tcBorders>
              <w:top w:val="single" w:color="000000" w:sz="4"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身份证号码</w:t>
            </w:r>
          </w:p>
        </w:tc>
        <w:tc>
          <w:tcPr>
            <w:tcW w:w="1684" w:type="dxa"/>
            <w:tcBorders>
              <w:top w:val="single" w:color="000000" w:sz="4"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621"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1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320"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2449"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684"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hd w:val="clear"/>
        <w:spacing w:line="360" w:lineRule="auto"/>
        <w:ind w:left="1" w:right="-191"/>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注：参与编制文件人员名单应包括如编制</w:t>
      </w:r>
      <w:bookmarkStart w:id="412" w:name="_Hlk69827854"/>
      <w:r>
        <w:rPr>
          <w:rFonts w:hint="eastAsia" w:ascii="宋体" w:hAnsi="宋体" w:cs="宋体"/>
          <w:color w:val="000000" w:themeColor="text1"/>
          <w:kern w:val="1"/>
          <w:sz w:val="18"/>
          <w:szCs w:val="18"/>
          <w:highlight w:val="none"/>
          <w14:textFill>
            <w14:solidFill>
              <w14:schemeClr w14:val="tx1"/>
            </w14:solidFill>
          </w14:textFill>
        </w:rPr>
        <w:t>工程总承包实施方案技术投标文件、</w:t>
      </w:r>
      <w:bookmarkEnd w:id="412"/>
      <w:r>
        <w:rPr>
          <w:rFonts w:hint="eastAsia" w:ascii="宋体" w:hAnsi="宋体" w:cs="宋体"/>
          <w:color w:val="000000" w:themeColor="text1"/>
          <w:kern w:val="1"/>
          <w:sz w:val="18"/>
          <w:szCs w:val="18"/>
          <w:highlight w:val="none"/>
          <w14:textFill>
            <w14:solidFill>
              <w14:schemeClr w14:val="tx1"/>
            </w14:solidFill>
          </w14:textFill>
        </w:rPr>
        <w:t>负责清样校对、负责打印及复印等所有人员在内的人员名单。</w:t>
      </w:r>
    </w:p>
    <w:p>
      <w:pPr>
        <w:pStyle w:val="2"/>
        <w:shd w:val="clear"/>
        <w:spacing w:line="360" w:lineRule="auto"/>
        <w:rPr>
          <w:color w:val="000000" w:themeColor="text1"/>
          <w:highlight w:val="none"/>
          <w:lang w:val="en-US"/>
          <w14:textFill>
            <w14:solidFill>
              <w14:schemeClr w14:val="tx1"/>
            </w14:solidFill>
          </w14:textFill>
        </w:rPr>
      </w:pPr>
    </w:p>
    <w:p>
      <w:pPr>
        <w:pStyle w:val="2"/>
        <w:shd w:val="clear"/>
        <w:spacing w:line="360" w:lineRule="auto"/>
        <w:jc w:val="center"/>
        <w:rPr>
          <w:color w:val="000000" w:themeColor="text1"/>
          <w:highlight w:val="none"/>
          <w:lang w:val="en-US"/>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shd w:val="clear"/>
        <w:spacing w:line="360" w:lineRule="auto"/>
        <w:rPr>
          <w:rFonts w:cs="宋体"/>
          <w:b/>
          <w:color w:val="000000" w:themeColor="text1"/>
          <w:kern w:val="1"/>
          <w:sz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格式13：</w:t>
      </w:r>
    </w:p>
    <w:p>
      <w:pPr>
        <w:pStyle w:val="2"/>
        <w:shd w:val="clear"/>
        <w:spacing w:line="360" w:lineRule="auto"/>
        <w:jc w:val="center"/>
        <w:rPr>
          <w:rFonts w:cs="宋体"/>
          <w:b/>
          <w:bCs/>
          <w:color w:val="000000" w:themeColor="text1"/>
          <w:sz w:val="28"/>
          <w:szCs w:val="28"/>
          <w:highlight w:val="none"/>
          <w14:textFill>
            <w14:solidFill>
              <w14:schemeClr w14:val="tx1"/>
            </w14:solidFill>
          </w14:textFill>
        </w:rPr>
      </w:pPr>
      <w:bookmarkStart w:id="413" w:name="_Hlk69828306"/>
      <w:r>
        <w:rPr>
          <w:rFonts w:hint="eastAsia" w:cs="宋体"/>
          <w:b/>
          <w:bCs/>
          <w:color w:val="000000" w:themeColor="text1"/>
          <w:sz w:val="28"/>
          <w:szCs w:val="28"/>
          <w:highlight w:val="none"/>
          <w14:textFill>
            <w14:solidFill>
              <w14:schemeClr w14:val="tx1"/>
            </w14:solidFill>
          </w14:textFill>
        </w:rPr>
        <w:t>投标保证金</w:t>
      </w:r>
    </w:p>
    <w:p>
      <w:pPr>
        <w:pStyle w:val="2"/>
        <w:shd w:val="clear"/>
        <w:spacing w:line="360" w:lineRule="auto"/>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注：如采用现金或者支票形式提交由广州交易集团有限公司（广州公共资源交易中心）代收的，或采用广州交易集团有限公司（广州公共资源交易中心）电子形式的保函、担保或保证保险提交的，以投标文件递交截止时间后在广州交易集团有限公司（广州公共资源交易中心）数据库查询的投标保证金递交情况为准，投标人不需另外提供凭证；</w:t>
      </w:r>
    </w:p>
    <w:p>
      <w:pPr>
        <w:pStyle w:val="2"/>
        <w:shd w:val="clear"/>
        <w:spacing w:line="360" w:lineRule="auto"/>
        <w:ind w:firstLine="480" w:firstLineChars="200"/>
        <w:jc w:val="left"/>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如采用非电子形式的银行保函、保证保险、专业工程担保公司担保提交的，投标人应在此处提供银行保函、保证保险、专业工程担保公司担保等的原件扫描件并加盖投标人（或联合体牵头方）电子印章。</w:t>
      </w:r>
      <w:bookmarkEnd w:id="413"/>
    </w:p>
    <w:p>
      <w:pPr>
        <w:widowControl/>
        <w:shd w:val="clear"/>
        <w:jc w:val="left"/>
        <w:rPr>
          <w:rFonts w:ascii="宋体" w:hAnsi="宋体" w:cs="Courier New"/>
          <w:color w:val="000000" w:themeColor="text1"/>
          <w:sz w:val="20"/>
          <w:szCs w:val="20"/>
          <w:highlight w:val="none"/>
          <w:lang w:val="zh-CN"/>
          <w14:textFill>
            <w14:solidFill>
              <w14:schemeClr w14:val="tx1"/>
            </w14:solidFill>
          </w14:textFill>
        </w:rPr>
      </w:pPr>
      <w:r>
        <w:rPr>
          <w:color w:val="000000" w:themeColor="text1"/>
          <w:highlight w:val="none"/>
          <w14:textFill>
            <w14:solidFill>
              <w14:schemeClr w14:val="tx1"/>
            </w14:solidFill>
          </w14:textFill>
        </w:rPr>
        <w:br w:type="page"/>
      </w:r>
    </w:p>
    <w:p>
      <w:pPr>
        <w:pStyle w:val="2"/>
        <w:shd w:val="clear"/>
        <w:rPr>
          <w:color w:val="000000" w:themeColor="text1"/>
          <w:spacing w:val="2"/>
          <w:position w:val="-1"/>
          <w:sz w:val="32"/>
          <w:szCs w:val="32"/>
          <w:highlight w:val="none"/>
          <w14:textFill>
            <w14:solidFill>
              <w14:schemeClr w14:val="tx1"/>
            </w14:solidFill>
          </w14:textFill>
        </w:rPr>
      </w:pPr>
      <w:bookmarkStart w:id="414" w:name="_Toc50480839"/>
      <w:bookmarkStart w:id="415" w:name="_Toc10571"/>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14</w:t>
      </w:r>
      <w:r>
        <w:rPr>
          <w:rFonts w:hint="eastAsia" w:cs="宋体"/>
          <w:b/>
          <w:color w:val="000000" w:themeColor="text1"/>
          <w:kern w:val="1"/>
          <w:sz w:val="24"/>
          <w:highlight w:val="none"/>
          <w14:textFill>
            <w14:solidFill>
              <w14:schemeClr w14:val="tx1"/>
            </w14:solidFill>
          </w14:textFill>
        </w:rPr>
        <w:t>：合作设计协议书（适用于合作设计，否则可不提供）</w:t>
      </w:r>
      <w:bookmarkEnd w:id="414"/>
      <w:bookmarkEnd w:id="415"/>
    </w:p>
    <w:p>
      <w:pPr>
        <w:shd w:val="clear"/>
        <w:jc w:val="center"/>
        <w:rPr>
          <w:rFonts w:ascii="宋体"/>
          <w:b/>
          <w:bCs/>
          <w:color w:val="000000" w:themeColor="text1"/>
          <w:sz w:val="32"/>
          <w:szCs w:val="32"/>
          <w:highlight w:val="none"/>
          <w14:textFill>
            <w14:solidFill>
              <w14:schemeClr w14:val="tx1"/>
            </w14:solidFill>
          </w14:textFill>
        </w:rPr>
      </w:pPr>
    </w:p>
    <w:p>
      <w:pPr>
        <w:shd w:val="clear"/>
        <w:jc w:val="center"/>
        <w:rPr>
          <w:rFonts w:asci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合作设计协议书</w:t>
      </w:r>
    </w:p>
    <w:p>
      <w:pPr>
        <w:shd w:val="clear"/>
        <w:rPr>
          <w:rFonts w:ascii="宋体"/>
          <w:b/>
          <w:bCs/>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w:t>
      </w:r>
    </w:p>
    <w:p>
      <w:pPr>
        <w:shd w:val="clea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pPr>
        <w:shd w:val="clear"/>
        <w:spacing w:line="360" w:lineRule="auto"/>
        <w:jc w:val="left"/>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投标项目名称：</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致：</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（招标人、招标代理机构名称）</w:t>
      </w:r>
    </w:p>
    <w:p>
      <w:pPr>
        <w:shd w:val="clear"/>
        <w:spacing w:line="360" w:lineRule="auto"/>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pPr>
        <w:pStyle w:val="2"/>
        <w:shd w:val="clear"/>
        <w:spacing w:line="360" w:lineRule="auto"/>
        <w:ind w:firstLine="42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按照招标公告的规定，</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（外国或澳门、台湾的设计企业</w:t>
      </w:r>
      <w:r>
        <w:rPr>
          <w:rFonts w:hint="eastAsia"/>
          <w:color w:val="000000" w:themeColor="text1"/>
          <w:sz w:val="24"/>
          <w:szCs w:val="24"/>
          <w:highlight w:val="none"/>
          <w:u w:val="single"/>
          <w14:textFill>
            <w14:solidFill>
              <w14:schemeClr w14:val="tx1"/>
            </w14:solidFill>
          </w14:textFill>
        </w:rPr>
        <w:t>和香港不单独参加设计部分投标的设计企业</w:t>
      </w:r>
      <w:r>
        <w:rPr>
          <w:rFonts w:hint="eastAsia"/>
          <w:color w:val="000000" w:themeColor="text1"/>
          <w:sz w:val="24"/>
          <w:szCs w:val="24"/>
          <w:highlight w:val="none"/>
          <w14:textFill>
            <w14:solidFill>
              <w14:schemeClr w14:val="tx1"/>
            </w14:solidFill>
          </w14:textFill>
        </w:rPr>
        <w:t>）作为投标人（即“申请人”，下同）</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（符合招标公告投标人合格条件的设计企业）的合作设计方，参与本项目进行合作设计。若中标，各成员向招标人承担连带责任。合作设计方授权委托</w:t>
      </w:r>
      <w:r>
        <w:rPr>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（符合招标公告投标人合格条件的设计企业）代表所有合作成员参加投标、提交投标文件，以及与招标人签订合同，负责整个合同实施阶段的协调工作。</w:t>
      </w:r>
    </w:p>
    <w:p>
      <w:pPr>
        <w:shd w:val="clea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2"/>
        <w:shd w:val="clear"/>
        <w:spacing w:line="360" w:lineRule="auto"/>
        <w:ind w:firstLine="240" w:firstLineChars="1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合作设计方：（盖章）</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代表人：（签字或盖章）</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分工内容：</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投标人：（盖章）</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法定代表人：（签字或盖章）</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分工内容：</w:t>
      </w:r>
      <w:r>
        <w:rPr>
          <w:color w:val="000000" w:themeColor="text1"/>
          <w:sz w:val="24"/>
          <w:szCs w:val="24"/>
          <w:highlight w:val="none"/>
          <w:u w:val="single"/>
          <w14:textFill>
            <w14:solidFill>
              <w14:schemeClr w14:val="tx1"/>
            </w14:solidFill>
          </w14:textFill>
        </w:rPr>
        <w:t xml:space="preserve">                                                  </w:t>
      </w:r>
    </w:p>
    <w:p>
      <w:pPr>
        <w:pStyle w:val="2"/>
        <w:shd w:val="clear"/>
        <w:spacing w:line="360" w:lineRule="auto"/>
        <w:rPr>
          <w:color w:val="000000" w:themeColor="text1"/>
          <w:highlight w:val="none"/>
          <w14:textFill>
            <w14:solidFill>
              <w14:schemeClr w14:val="tx1"/>
            </w14:solidFill>
          </w14:textFill>
        </w:rPr>
      </w:pPr>
    </w:p>
    <w:p>
      <w:pPr>
        <w:pStyle w:val="2"/>
        <w:shd w:val="clea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2"/>
        <w:shd w:val="clear"/>
        <w:spacing w:line="360" w:lineRule="auto"/>
        <w:jc w:val="left"/>
        <w:rPr>
          <w:color w:val="000000" w:themeColor="text1"/>
          <w:sz w:val="24"/>
          <w:szCs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cs="宋体"/>
          <w:b/>
          <w:color w:val="000000" w:themeColor="text1"/>
          <w:kern w:val="1"/>
          <w:sz w:val="24"/>
          <w:highlight w:val="none"/>
          <w14:textFill>
            <w14:solidFill>
              <w14:schemeClr w14:val="tx1"/>
            </w14:solidFill>
          </w14:textFill>
        </w:rPr>
        <w:t>15</w:t>
      </w:r>
      <w:r>
        <w:rPr>
          <w:rFonts w:hint="eastAsia" w:cs="宋体"/>
          <w:b/>
          <w:color w:val="000000" w:themeColor="text1"/>
          <w:kern w:val="1"/>
          <w:sz w:val="24"/>
          <w:highlight w:val="none"/>
          <w14:textFill>
            <w14:solidFill>
              <w14:schemeClr w14:val="tx1"/>
            </w14:solidFill>
          </w14:textFill>
        </w:rPr>
        <w:t>：</w:t>
      </w:r>
    </w:p>
    <w:p>
      <w:pPr>
        <w:pStyle w:val="2"/>
        <w:shd w:val="clear"/>
        <w:spacing w:line="360" w:lineRule="auto"/>
        <w:jc w:val="center"/>
        <w:rPr>
          <w:rFonts w:cs="宋体"/>
          <w:b/>
          <w:bCs/>
          <w:color w:val="000000" w:themeColor="text1"/>
          <w:sz w:val="28"/>
          <w:szCs w:val="28"/>
          <w:highlight w:val="none"/>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投标人认为应该提供的其他资料</w:t>
      </w:r>
    </w:p>
    <w:p>
      <w:pPr>
        <w:pStyle w:val="2"/>
        <w:shd w:val="clear"/>
        <w:spacing w:line="360" w:lineRule="auto"/>
        <w:jc w:val="center"/>
        <w:rPr>
          <w:color w:val="000000" w:themeColor="text1"/>
          <w:highlight w:val="none"/>
          <w:lang w:val="en-US"/>
          <w14:textFill>
            <w14:solidFill>
              <w14:schemeClr w14:val="tx1"/>
            </w14:solidFill>
          </w14:textFill>
        </w:rPr>
      </w:pPr>
      <w:r>
        <w:rPr>
          <w:rFonts w:hint="eastAsia" w:cs="宋体"/>
          <w:b/>
          <w:bCs/>
          <w:color w:val="000000" w:themeColor="text1"/>
          <w:sz w:val="28"/>
          <w:szCs w:val="28"/>
          <w:highlight w:val="none"/>
          <w14:textFill>
            <w14:solidFill>
              <w14:schemeClr w14:val="tx1"/>
            </w14:solidFill>
          </w14:textFill>
        </w:rPr>
        <w:t>（包括招标文件评审或评分要求需要提供的相关资料）</w:t>
      </w:r>
    </w:p>
    <w:p>
      <w:pPr>
        <w:widowControl/>
        <w:shd w:val="clear"/>
        <w:jc w:val="left"/>
        <w:rPr>
          <w:rFonts w:ascii="宋体" w:hAnsi="宋体" w:cs="宋体"/>
          <w:b/>
          <w:color w:val="000000" w:themeColor="text1"/>
          <w:kern w:val="1"/>
          <w:sz w:val="36"/>
          <w:szCs w:val="36"/>
          <w:highlight w:val="none"/>
          <w:lang w:val="zh-CN"/>
          <w14:textFill>
            <w14:solidFill>
              <w14:schemeClr w14:val="tx1"/>
            </w14:solidFill>
          </w14:textFill>
        </w:rPr>
      </w:pPr>
      <w:r>
        <w:rPr>
          <w:rFonts w:cs="宋体"/>
          <w:b/>
          <w:color w:val="000000" w:themeColor="text1"/>
          <w:kern w:val="1"/>
          <w:sz w:val="36"/>
          <w:szCs w:val="36"/>
          <w:highlight w:val="none"/>
          <w14:textFill>
            <w14:solidFill>
              <w14:schemeClr w14:val="tx1"/>
            </w14:solidFill>
          </w14:textFill>
        </w:rPr>
        <w:br w:type="page"/>
      </w:r>
    </w:p>
    <w:p>
      <w:pPr>
        <w:pStyle w:val="2"/>
        <w:shd w:val="clear"/>
        <w:spacing w:line="360" w:lineRule="auto"/>
        <w:jc w:val="center"/>
        <w:rPr>
          <w:rFonts w:cs="宋体"/>
          <w:b/>
          <w:color w:val="000000" w:themeColor="text1"/>
          <w:kern w:val="1"/>
          <w:sz w:val="36"/>
          <w:szCs w:val="36"/>
          <w:highlight w:val="none"/>
          <w14:textFill>
            <w14:solidFill>
              <w14:schemeClr w14:val="tx1"/>
            </w14:solidFill>
          </w14:textFill>
        </w:rPr>
      </w:pPr>
      <w:r>
        <w:rPr>
          <w:rFonts w:hint="eastAsia" w:cs="宋体"/>
          <w:b/>
          <w:color w:val="000000" w:themeColor="text1"/>
          <w:kern w:val="1"/>
          <w:sz w:val="36"/>
          <w:szCs w:val="36"/>
          <w:highlight w:val="none"/>
          <w14:textFill>
            <w14:solidFill>
              <w14:schemeClr w14:val="tx1"/>
            </w14:solidFill>
          </w14:textFill>
        </w:rPr>
        <w:t xml:space="preserve">第二部分  </w:t>
      </w:r>
      <w:bookmarkStart w:id="416" w:name="_Hlk69828514"/>
      <w:r>
        <w:rPr>
          <w:rFonts w:hint="eastAsia" w:cs="宋体"/>
          <w:b/>
          <w:color w:val="000000" w:themeColor="text1"/>
          <w:kern w:val="1"/>
          <w:sz w:val="36"/>
          <w:szCs w:val="36"/>
          <w:highlight w:val="none"/>
          <w14:textFill>
            <w14:solidFill>
              <w14:schemeClr w14:val="tx1"/>
            </w14:solidFill>
          </w14:textFill>
        </w:rPr>
        <w:t>工程总承包实施方案经济投标文件格式</w:t>
      </w:r>
      <w:bookmarkEnd w:id="416"/>
    </w:p>
    <w:p>
      <w:pPr>
        <w:shd w:val="clear"/>
        <w:spacing w:line="360" w:lineRule="auto"/>
        <w:jc w:val="center"/>
        <w:rPr>
          <w:rFonts w:ascii="宋体" w:hAnsi="宋体" w:cs="宋体"/>
          <w:b/>
          <w:color w:val="000000" w:themeColor="text1"/>
          <w:kern w:val="1"/>
          <w:sz w:val="30"/>
          <w:szCs w:val="30"/>
          <w:highlight w:val="none"/>
          <w14:textFill>
            <w14:solidFill>
              <w14:schemeClr w14:val="tx1"/>
            </w14:solidFill>
          </w14:textFill>
        </w:rPr>
      </w:pPr>
    </w:p>
    <w:p>
      <w:pPr>
        <w:shd w:val="clear"/>
        <w:spacing w:line="360" w:lineRule="auto"/>
        <w:rPr>
          <w:rFonts w:ascii="宋体" w:hAnsi="宋体" w:cs="宋体"/>
          <w:b/>
          <w:color w:val="000000" w:themeColor="text1"/>
          <w:kern w:val="1"/>
          <w:sz w:val="24"/>
          <w:highlight w:val="none"/>
          <w:lang w:val="zh-CN"/>
          <w14:textFill>
            <w14:solidFill>
              <w14:schemeClr w14:val="tx1"/>
            </w14:solidFill>
          </w14:textFill>
        </w:rPr>
      </w:pPr>
      <w:r>
        <w:rPr>
          <w:rFonts w:ascii="宋体" w:hAnsi="宋体" w:cs="Courier New"/>
          <w:color w:val="000000" w:themeColor="text1"/>
          <w:sz w:val="20"/>
          <w:szCs w:val="20"/>
          <w:highlight w:val="none"/>
          <w:lang w:val="zh-CN"/>
          <w14:textFill>
            <w14:solidFill>
              <w14:schemeClr w14:val="tx1"/>
            </w14:solidFill>
          </w14:textFill>
        </w:rPr>
        <w:br w:type="page"/>
      </w:r>
      <w:r>
        <w:rPr>
          <w:rFonts w:hint="eastAsia" w:ascii="宋体" w:hAnsi="宋体" w:cs="宋体"/>
          <w:b/>
          <w:color w:val="000000" w:themeColor="text1"/>
          <w:kern w:val="1"/>
          <w:sz w:val="24"/>
          <w:highlight w:val="none"/>
          <w:lang w:val="zh-CN"/>
          <w14:textFill>
            <w14:solidFill>
              <w14:schemeClr w14:val="tx1"/>
            </w14:solidFill>
          </w14:textFill>
        </w:rPr>
        <w:t>格式</w:t>
      </w:r>
      <w:r>
        <w:rPr>
          <w:rFonts w:ascii="宋体" w:hAnsi="宋体" w:cs="宋体"/>
          <w:b/>
          <w:color w:val="000000" w:themeColor="text1"/>
          <w:kern w:val="1"/>
          <w:sz w:val="24"/>
          <w:highlight w:val="none"/>
          <w:lang w:val="zh-CN"/>
          <w14:textFill>
            <w14:solidFill>
              <w14:schemeClr w14:val="tx1"/>
            </w14:solidFill>
          </w14:textFill>
        </w:rPr>
        <w:t>1</w:t>
      </w:r>
      <w:r>
        <w:rPr>
          <w:rFonts w:hint="eastAsia" w:ascii="宋体" w:hAnsi="宋体" w:cs="宋体"/>
          <w:b/>
          <w:color w:val="000000" w:themeColor="text1"/>
          <w:kern w:val="1"/>
          <w:sz w:val="24"/>
          <w:highlight w:val="none"/>
          <w:lang w:val="zh-CN"/>
          <w14:textFill>
            <w14:solidFill>
              <w14:schemeClr w14:val="tx1"/>
            </w14:solidFill>
          </w14:textFill>
        </w:rPr>
        <w:t>：</w:t>
      </w:r>
    </w:p>
    <w:p>
      <w:pPr>
        <w:pStyle w:val="32"/>
        <w:shd w:val="clear"/>
        <w:spacing w:line="360" w:lineRule="auto"/>
        <w:ind w:left="-2" w:firstLine="3830"/>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经济标投标书</w:t>
      </w:r>
    </w:p>
    <w:p>
      <w:pPr>
        <w:shd w:val="clear"/>
        <w:spacing w:line="360" w:lineRule="auto"/>
        <w:jc w:val="right"/>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 xml:space="preserve"> 投标日期：   </w:t>
      </w:r>
      <w:r>
        <w:rPr>
          <w:rFonts w:ascii="宋体" w:hAnsi="宋体" w:cs="宋体"/>
          <w:b/>
          <w:color w:val="000000" w:themeColor="text1"/>
          <w:kern w:val="1"/>
          <w:szCs w:val="21"/>
          <w:highlight w:val="non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年  月  日</w:t>
      </w:r>
    </w:p>
    <w:tbl>
      <w:tblPr>
        <w:tblStyle w:val="34"/>
        <w:tblW w:w="9257" w:type="dxa"/>
        <w:tblInd w:w="0" w:type="dxa"/>
        <w:tblLayout w:type="fixed"/>
        <w:tblCellMar>
          <w:top w:w="0" w:type="dxa"/>
          <w:left w:w="108" w:type="dxa"/>
          <w:bottom w:w="0" w:type="dxa"/>
          <w:right w:w="108" w:type="dxa"/>
        </w:tblCellMar>
      </w:tblPr>
      <w:tblGrid>
        <w:gridCol w:w="2307"/>
        <w:gridCol w:w="6950"/>
      </w:tblGrid>
      <w:tr>
        <w:tblPrEx>
          <w:tblCellMar>
            <w:top w:w="0" w:type="dxa"/>
            <w:left w:w="108" w:type="dxa"/>
            <w:bottom w:w="0" w:type="dxa"/>
            <w:right w:w="108" w:type="dxa"/>
          </w:tblCellMar>
        </w:tblPrEx>
        <w:trPr>
          <w:trHeight w:val="567"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项 目 名 称</w:t>
            </w:r>
          </w:p>
        </w:tc>
        <w:tc>
          <w:tcPr>
            <w:tcW w:w="6950"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投标总报价</w:t>
            </w:r>
          </w:p>
        </w:tc>
        <w:tc>
          <w:tcPr>
            <w:tcW w:w="695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b/>
                <w:color w:val="000000" w:themeColor="text1"/>
                <w:kern w:val="1"/>
                <w:szCs w:val="21"/>
                <w:highlight w:val="none"/>
                <w:u w:val="singl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大写：</w:t>
            </w:r>
            <w:r>
              <w:rPr>
                <w:rFonts w:hint="eastAsia" w:ascii="宋体" w:hAnsi="宋体" w:cs="宋体"/>
                <w:b/>
                <w:color w:val="000000" w:themeColor="text1"/>
                <w:kern w:val="1"/>
                <w:szCs w:val="21"/>
                <w:highlight w:val="none"/>
                <w:u w:val="single"/>
                <w14:textFill>
                  <w14:solidFill>
                    <w14:schemeClr w14:val="tx1"/>
                  </w14:solidFill>
                </w14:textFill>
              </w:rPr>
              <w:t xml:space="preserve">                     </w:t>
            </w: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小写：</w:t>
            </w: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万</w:t>
            </w:r>
            <w:r>
              <w:rPr>
                <w:rFonts w:hint="eastAsia" w:ascii="宋体" w:hAnsi="宋体" w:cs="宋体"/>
                <w:b/>
                <w:color w:val="000000" w:themeColor="text1"/>
                <w:kern w:val="1"/>
                <w:szCs w:val="21"/>
                <w:highlight w:val="none"/>
                <w:lang w:val="zh-CN"/>
                <w14:textFill>
                  <w14:solidFill>
                    <w14:schemeClr w14:val="tx1"/>
                  </w14:solidFill>
                </w14:textFill>
              </w:rPr>
              <w:t>元</w:t>
            </w:r>
            <w:r>
              <w:rPr>
                <w:rFonts w:hint="eastAsia" w:ascii="宋体" w:hAnsi="宋体" w:cs="宋体"/>
                <w:b/>
                <w:color w:val="000000" w:themeColor="text1"/>
                <w:kern w:val="1"/>
                <w:szCs w:val="21"/>
                <w:highlight w:val="none"/>
                <w14:textFill>
                  <w14:solidFill>
                    <w14:schemeClr w14:val="tx1"/>
                  </w14:solidFill>
                </w14:textFill>
              </w:rPr>
              <w:t xml:space="preserve">                </w:t>
            </w: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79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其中：勘察费</w:t>
            </w:r>
          </w:p>
        </w:tc>
        <w:tc>
          <w:tcPr>
            <w:tcW w:w="695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万元</w:t>
            </w:r>
          </w:p>
          <w:p>
            <w:pPr>
              <w:shd w:val="clear"/>
              <w:spacing w:line="360" w:lineRule="auto"/>
              <w:ind w:left="207" w:hanging="207"/>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注：下浮率=【1-（勘察费投标报价/勘察费最高投标限价）】</w:t>
            </w:r>
            <w:r>
              <w:rPr>
                <w:rFonts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p>
        </w:tc>
      </w:tr>
      <w:tr>
        <w:tblPrEx>
          <w:tblCellMar>
            <w:top w:w="0" w:type="dxa"/>
            <w:left w:w="108" w:type="dxa"/>
            <w:bottom w:w="0" w:type="dxa"/>
            <w:right w:w="108" w:type="dxa"/>
          </w:tblCellMar>
        </w:tblPrEx>
        <w:trPr>
          <w:trHeight w:val="499"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其中：设计费</w:t>
            </w:r>
          </w:p>
        </w:tc>
        <w:tc>
          <w:tcPr>
            <w:tcW w:w="695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万元</w:t>
            </w:r>
          </w:p>
          <w:p>
            <w:pPr>
              <w:shd w:val="clear"/>
              <w:spacing w:line="360" w:lineRule="auto"/>
              <w:ind w:left="207" w:hanging="207"/>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注：下浮率=【1-（设计费投标报价/设计费最高投标限价）】</w:t>
            </w:r>
            <w:r>
              <w:rPr>
                <w:rFonts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p>
        </w:tc>
      </w:tr>
      <w:tr>
        <w:tblPrEx>
          <w:tblCellMar>
            <w:top w:w="0" w:type="dxa"/>
            <w:left w:w="108" w:type="dxa"/>
            <w:bottom w:w="0" w:type="dxa"/>
            <w:right w:w="108" w:type="dxa"/>
          </w:tblCellMar>
        </w:tblPrEx>
        <w:trPr>
          <w:trHeight w:val="1055"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其中：</w:t>
            </w:r>
            <w:r>
              <w:rPr>
                <w:rFonts w:hint="eastAsia" w:ascii="宋体" w:hAnsi="宋体" w:cs="宋体"/>
                <w:b/>
                <w:color w:val="000000" w:themeColor="text1"/>
                <w:kern w:val="1"/>
                <w:szCs w:val="21"/>
                <w:highlight w:val="none"/>
                <w14:textFill>
                  <w14:solidFill>
                    <w14:schemeClr w14:val="tx1"/>
                  </w14:solidFill>
                </w14:textFill>
              </w:rPr>
              <w:t>工程</w:t>
            </w:r>
            <w:r>
              <w:rPr>
                <w:rFonts w:hint="eastAsia" w:ascii="宋体" w:hAnsi="宋体" w:cs="宋体"/>
                <w:b/>
                <w:color w:val="000000" w:themeColor="text1"/>
                <w:kern w:val="1"/>
                <w:szCs w:val="21"/>
                <w:highlight w:val="none"/>
                <w:lang w:val="zh-CN"/>
                <w14:textFill>
                  <w14:solidFill>
                    <w14:schemeClr w14:val="tx1"/>
                  </w14:solidFill>
                </w14:textFill>
              </w:rPr>
              <w:t>费</w:t>
            </w:r>
          </w:p>
        </w:tc>
        <w:tc>
          <w:tcPr>
            <w:tcW w:w="6950"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u w:val="single"/>
                <w14:textFill>
                  <w14:solidFill>
                    <w14:schemeClr w14:val="tx1"/>
                  </w14:solidFill>
                </w14:textFill>
              </w:rPr>
              <w:t xml:space="preserve">      </w:t>
            </w:r>
            <w:r>
              <w:rPr>
                <w:rFonts w:hint="eastAsia" w:ascii="宋体" w:hAnsi="宋体" w:cs="宋体"/>
                <w:b/>
                <w:color w:val="000000" w:themeColor="text1"/>
                <w:kern w:val="1"/>
                <w:szCs w:val="21"/>
                <w:highlight w:val="none"/>
                <w14:textFill>
                  <w14:solidFill>
                    <w14:schemeClr w14:val="tx1"/>
                  </w14:solidFill>
                </w14:textFill>
              </w:rPr>
              <w:t>万元</w:t>
            </w:r>
          </w:p>
          <w:p>
            <w:pPr>
              <w:shd w:val="clear"/>
              <w:spacing w:line="360" w:lineRule="auto"/>
              <w:ind w:left="207" w:hanging="207"/>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下浮率</w:t>
            </w:r>
            <w:r>
              <w:rPr>
                <w:rFonts w:hint="eastAsia" w:ascii="宋体" w:hAnsi="宋体" w:cs="宋体"/>
                <w:b/>
                <w:color w:val="000000" w:themeColor="text1"/>
                <w:kern w:val="1"/>
                <w:szCs w:val="21"/>
                <w:highlight w:val="none"/>
                <w:u w:val="single"/>
                <w:lang w:val="zh-CN"/>
                <w14:textFill>
                  <w14:solidFill>
                    <w14:schemeClr w14:val="tx1"/>
                  </w14:solidFill>
                </w14:textFill>
              </w:rPr>
              <w:t xml:space="preserve"> </w:t>
            </w:r>
            <w:r>
              <w:rPr>
                <w:rFonts w:ascii="宋体" w:hAnsi="宋体" w:cs="宋体"/>
                <w:b/>
                <w:color w:val="000000" w:themeColor="text1"/>
                <w:kern w:val="1"/>
                <w:szCs w:val="21"/>
                <w:highlight w:val="none"/>
                <w:u w:val="single"/>
                <w:lang w:val="zh-CN"/>
                <w14:textFill>
                  <w14:solidFill>
                    <w14:schemeClr w14:val="tx1"/>
                  </w14:solidFill>
                </w14:textFill>
              </w:rPr>
              <w:t xml:space="preserve">    </w:t>
            </w:r>
            <w:r>
              <w:rPr>
                <w:rFonts w:hint="eastAsia" w:ascii="宋体" w:hAnsi="宋体" w:cs="宋体"/>
                <w:b/>
                <w:color w:val="000000" w:themeColor="text1"/>
                <w:kern w:val="1"/>
                <w:szCs w:val="21"/>
                <w:highlight w:val="none"/>
                <w:lang w:val="zh-CN"/>
                <w14:textFill>
                  <w14:solidFill>
                    <w14:schemeClr w14:val="tx1"/>
                  </w14:solidFill>
                </w14:textFill>
              </w:rPr>
              <w:t>%</w:t>
            </w:r>
          </w:p>
          <w:p>
            <w:pPr>
              <w:shd w:val="clear"/>
              <w:spacing w:line="360" w:lineRule="auto"/>
              <w:jc w:val="left"/>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bCs/>
                <w:color w:val="000000" w:themeColor="text1"/>
                <w:kern w:val="1"/>
                <w:szCs w:val="21"/>
                <w:highlight w:val="none"/>
                <w:lang w:val="zh-CN"/>
                <w14:textFill>
                  <w14:solidFill>
                    <w14:schemeClr w14:val="tx1"/>
                  </w14:solidFill>
                </w14:textFill>
              </w:rPr>
              <w:t>注：下浮率=【1-（工程费投标报价/</w:t>
            </w:r>
            <w:r>
              <w:rPr>
                <w:rFonts w:hint="eastAsia" w:ascii="宋体" w:hAnsi="宋体" w:cs="宋体"/>
                <w:b/>
                <w:bCs/>
                <w:color w:val="000000" w:themeColor="text1"/>
                <w:kern w:val="1"/>
                <w:szCs w:val="21"/>
                <w:highlight w:val="none"/>
                <w14:textFill>
                  <w14:solidFill>
                    <w14:schemeClr w14:val="tx1"/>
                  </w14:solidFill>
                </w14:textFill>
              </w:rPr>
              <w:t>工程</w:t>
            </w:r>
            <w:r>
              <w:rPr>
                <w:rFonts w:hint="eastAsia" w:ascii="宋体" w:hAnsi="宋体" w:cs="宋体"/>
                <w:b/>
                <w:bCs/>
                <w:color w:val="000000" w:themeColor="text1"/>
                <w:kern w:val="1"/>
                <w:szCs w:val="21"/>
                <w:highlight w:val="none"/>
                <w:lang w:val="zh-CN"/>
                <w14:textFill>
                  <w14:solidFill>
                    <w14:schemeClr w14:val="tx1"/>
                  </w14:solidFill>
                </w14:textFill>
              </w:rPr>
              <w:t>费最高投标限价）】</w:t>
            </w:r>
            <w:r>
              <w:rPr>
                <w:rFonts w:ascii="宋体" w:hAnsi="宋体" w:cs="宋体"/>
                <w:b/>
                <w:bCs/>
                <w:color w:val="000000" w:themeColor="text1"/>
                <w:kern w:val="1"/>
                <w:szCs w:val="21"/>
                <w:highlight w:val="none"/>
                <w:lang w:val="zh-CN"/>
                <w14:textFill>
                  <w14:solidFill>
                    <w14:schemeClr w14:val="tx1"/>
                  </w14:solidFill>
                </w14:textFill>
              </w:rPr>
              <w:t>×100</w:t>
            </w:r>
            <w:r>
              <w:rPr>
                <w:rFonts w:hint="eastAsia" w:ascii="宋体" w:hAnsi="宋体" w:cs="宋体"/>
                <w:b/>
                <w:bCs/>
                <w:color w:val="000000" w:themeColor="text1"/>
                <w:kern w:val="1"/>
                <w:szCs w:val="21"/>
                <w:highlight w:val="none"/>
                <w:lang w:val="zh-CN"/>
                <w14:textFill>
                  <w14:solidFill>
                    <w14:schemeClr w14:val="tx1"/>
                  </w14:solidFill>
                </w14:textFill>
              </w:rPr>
              <w:t>%</w:t>
            </w:r>
            <w:r>
              <w:rPr>
                <w:rFonts w:hint="eastAsia" w:ascii="宋体" w:hAnsi="宋体" w:cs="宋体"/>
                <w:b/>
                <w:color w:val="000000" w:themeColor="text1"/>
                <w:kern w:val="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756"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法 定 代 表 人</w:t>
            </w:r>
          </w:p>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53"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授 权 委 托 人</w:t>
            </w:r>
          </w:p>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14:textFill>
                  <w14:solidFill>
                    <w14:schemeClr w14:val="tx1"/>
                  </w14:solidFill>
                </w14:textFill>
              </w:rPr>
              <w:t>（签名或盖章）</w:t>
            </w:r>
          </w:p>
        </w:tc>
        <w:tc>
          <w:tcPr>
            <w:tcW w:w="6950"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902" w:hRule="atLeast"/>
        </w:trPr>
        <w:tc>
          <w:tcPr>
            <w:tcW w:w="2307"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投  标  单  位</w:t>
            </w:r>
          </w:p>
          <w:p>
            <w:pPr>
              <w:shd w:val="clear"/>
              <w:spacing w:line="360" w:lineRule="auto"/>
              <w:jc w:val="center"/>
              <w:rPr>
                <w:rFonts w:ascii="宋体" w:hAnsi="宋体" w:cs="宋体"/>
                <w:b/>
                <w:color w:val="000000" w:themeColor="text1"/>
                <w:kern w:val="1"/>
                <w:szCs w:val="21"/>
                <w:highlight w:val="none"/>
                <w:lang w:val="zh-CN"/>
                <w14:textFill>
                  <w14:solidFill>
                    <w14:schemeClr w14:val="tx1"/>
                  </w14:solidFill>
                </w14:textFill>
              </w:rPr>
            </w:pPr>
            <w:r>
              <w:rPr>
                <w:rFonts w:hint="eastAsia" w:ascii="宋体" w:hAnsi="宋体" w:cs="宋体"/>
                <w:b/>
                <w:color w:val="000000" w:themeColor="text1"/>
                <w:kern w:val="1"/>
                <w:szCs w:val="21"/>
                <w:highlight w:val="none"/>
                <w:lang w:val="zh-CN"/>
                <w14:textFill>
                  <w14:solidFill>
                    <w14:schemeClr w14:val="tx1"/>
                  </w14:solidFill>
                </w14:textFill>
              </w:rPr>
              <w:t>（盖章）</w:t>
            </w:r>
          </w:p>
        </w:tc>
        <w:tc>
          <w:tcPr>
            <w:tcW w:w="6950" w:type="dxa"/>
            <w:tcBorders>
              <w:top w:val="single" w:color="000000" w:sz="4" w:space="0"/>
              <w:left w:val="single" w:color="000000" w:sz="4" w:space="0"/>
              <w:bottom w:val="single" w:color="000000" w:sz="4" w:space="0"/>
              <w:right w:val="single" w:color="000000" w:sz="4" w:space="0"/>
            </w:tcBorders>
          </w:tcPr>
          <w:p>
            <w:pPr>
              <w:shd w:val="clear"/>
              <w:spacing w:line="360" w:lineRule="auto"/>
              <w:rPr>
                <w:rFonts w:ascii="宋体" w:hAnsi="宋体" w:cs="宋体"/>
                <w:b/>
                <w:color w:val="000000" w:themeColor="text1"/>
                <w:kern w:val="1"/>
                <w:szCs w:val="21"/>
                <w:highlight w:val="none"/>
                <w14:textFill>
                  <w14:solidFill>
                    <w14:schemeClr w14:val="tx1"/>
                  </w14:solidFill>
                </w14:textFill>
              </w:rPr>
            </w:pPr>
          </w:p>
        </w:tc>
      </w:tr>
    </w:tbl>
    <w:p>
      <w:pPr>
        <w:pStyle w:val="2"/>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注：</w:t>
      </w:r>
    </w:p>
    <w:p>
      <w:pPr>
        <w:pStyle w:val="2"/>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（1）联合体投标的，“投标单位”一栏需书写所有联合体成员的单位全称，可由牵头方签署、盖章。</w:t>
      </w:r>
    </w:p>
    <w:p>
      <w:pPr>
        <w:pStyle w:val="2"/>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2</w:t>
      </w:r>
      <w:r>
        <w:rPr>
          <w:rFonts w:hint="eastAsia" w:cs="宋体"/>
          <w:b/>
          <w:color w:val="000000" w:themeColor="text1"/>
          <w:sz w:val="21"/>
          <w:szCs w:val="21"/>
          <w:highlight w:val="none"/>
          <w14:textFill>
            <w14:solidFill>
              <w14:schemeClr w14:val="tx1"/>
            </w14:solidFill>
          </w14:textFill>
        </w:rPr>
        <w:t>）投标总报价的大写金额和小写金额不一致的，以大写金额为准。</w:t>
      </w:r>
    </w:p>
    <w:p>
      <w:pPr>
        <w:pStyle w:val="2"/>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3</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投标总报价为</w:t>
      </w:r>
      <w:r>
        <w:rPr>
          <w:rFonts w:hint="eastAsia" w:cs="宋体"/>
          <w:b/>
          <w:color w:val="000000" w:themeColor="text1"/>
          <w:sz w:val="21"/>
          <w:szCs w:val="21"/>
          <w:highlight w:val="none"/>
          <w14:textFill>
            <w14:solidFill>
              <w14:schemeClr w14:val="tx1"/>
            </w14:solidFill>
          </w14:textFill>
        </w:rPr>
        <w:t>完成本次招标内容及《勘察设计任务书》内的全部内容</w:t>
      </w:r>
      <w:r>
        <w:rPr>
          <w:rFonts w:hint="eastAsia" w:cs="宋体"/>
          <w:b/>
          <w:color w:val="000000" w:themeColor="text1"/>
          <w:sz w:val="21"/>
          <w:szCs w:val="21"/>
          <w:highlight w:val="none"/>
          <w:lang w:val="en-US"/>
          <w14:textFill>
            <w14:solidFill>
              <w14:schemeClr w14:val="tx1"/>
            </w14:solidFill>
          </w14:textFill>
        </w:rPr>
        <w:t>的</w:t>
      </w:r>
      <w:r>
        <w:rPr>
          <w:rFonts w:hint="eastAsia" w:cs="宋体"/>
          <w:b/>
          <w:color w:val="000000" w:themeColor="text1"/>
          <w:sz w:val="21"/>
          <w:szCs w:val="21"/>
          <w:highlight w:val="none"/>
          <w14:textFill>
            <w14:solidFill>
              <w14:schemeClr w14:val="tx1"/>
            </w14:solidFill>
          </w14:textFill>
        </w:rPr>
        <w:t>费用。</w:t>
      </w:r>
    </w:p>
    <w:p>
      <w:pPr>
        <w:pStyle w:val="2"/>
        <w:shd w:val="clear"/>
        <w:spacing w:line="360" w:lineRule="auto"/>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4</w:t>
      </w:r>
      <w:r>
        <w:rPr>
          <w:rFonts w:hint="eastAsia" w:cs="宋体"/>
          <w:b/>
          <w:color w:val="000000" w:themeColor="text1"/>
          <w:sz w:val="21"/>
          <w:szCs w:val="21"/>
          <w:highlight w:val="none"/>
          <w14:textFill>
            <w14:solidFill>
              <w14:schemeClr w14:val="tx1"/>
            </w14:solidFill>
          </w14:textFill>
        </w:rPr>
        <w:t>）</w:t>
      </w:r>
      <w:r>
        <w:rPr>
          <w:rFonts w:hint="eastAsia" w:cs="宋体"/>
          <w:b/>
          <w:color w:val="000000" w:themeColor="text1"/>
          <w:sz w:val="21"/>
          <w:szCs w:val="21"/>
          <w:highlight w:val="none"/>
          <w:lang w:val="en-US"/>
          <w14:textFill>
            <w14:solidFill>
              <w14:schemeClr w14:val="tx1"/>
            </w14:solidFill>
          </w14:textFill>
        </w:rPr>
        <w:t>投标人须按招标文件要求报价，且不超过最高投标限价，</w:t>
      </w:r>
      <w:r>
        <w:rPr>
          <w:rFonts w:hint="eastAsia" w:cs="宋体"/>
          <w:b/>
          <w:color w:val="000000" w:themeColor="text1"/>
          <w:sz w:val="21"/>
          <w:szCs w:val="21"/>
          <w:highlight w:val="none"/>
          <w14:textFill>
            <w14:solidFill>
              <w14:schemeClr w14:val="tx1"/>
            </w14:solidFill>
          </w14:textFill>
        </w:rPr>
        <w:t>否则视为无效标。</w:t>
      </w:r>
    </w:p>
    <w:p>
      <w:pPr>
        <w:pStyle w:val="2"/>
        <w:shd w:val="clear"/>
        <w:spacing w:line="360" w:lineRule="auto"/>
        <w:rPr>
          <w:rFonts w:cs="宋体"/>
          <w:b/>
          <w:color w:val="000000" w:themeColor="text1"/>
          <w:sz w:val="21"/>
          <w:szCs w:val="21"/>
          <w:highlight w:val="none"/>
          <w:lang w:val="en-US"/>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（5）本表中的报价以万元为单位，报价下浮率以百分比计，小数点后保留二位小数，第三位小数四舍五入。</w:t>
      </w:r>
    </w:p>
    <w:p>
      <w:pPr>
        <w:shd w:val="clear"/>
        <w:spacing w:line="360" w:lineRule="auto"/>
        <w:rPr>
          <w:rFonts w:ascii="宋体" w:hAnsi="宋体" w:cs="Cambria Math"/>
          <w:b/>
          <w:color w:val="000000" w:themeColor="text1"/>
          <w:kern w:val="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Cambria Math"/>
          <w:b/>
          <w:color w:val="000000" w:themeColor="text1"/>
          <w:kern w:val="1"/>
          <w:sz w:val="24"/>
          <w:highlight w:val="none"/>
          <w14:textFill>
            <w14:solidFill>
              <w14:schemeClr w14:val="tx1"/>
            </w14:solidFill>
          </w14:textFill>
        </w:rPr>
        <w:t>格式2：</w:t>
      </w:r>
    </w:p>
    <w:p>
      <w:pPr>
        <w:shd w:val="clear"/>
        <w:spacing w:line="480" w:lineRule="auto"/>
        <w:jc w:val="center"/>
        <w:rPr>
          <w:rFonts w:ascii="宋体" w:hAnsi="宋体" w:cs="Cambria Math"/>
          <w:b/>
          <w:color w:val="000000" w:themeColor="text1"/>
          <w:kern w:val="1"/>
          <w:sz w:val="28"/>
          <w:szCs w:val="28"/>
          <w:highlight w:val="none"/>
          <w:lang w:val="zh-CN"/>
          <w14:textFill>
            <w14:solidFill>
              <w14:schemeClr w14:val="tx1"/>
            </w14:solidFill>
          </w14:textFill>
        </w:rPr>
      </w:pPr>
      <w:r>
        <w:rPr>
          <w:rFonts w:hint="eastAsia" w:ascii="宋体" w:hAnsi="宋体" w:cs="Cambria Math"/>
          <w:b/>
          <w:color w:val="000000" w:themeColor="text1"/>
          <w:kern w:val="1"/>
          <w:sz w:val="28"/>
          <w:szCs w:val="28"/>
          <w:highlight w:val="none"/>
          <w:lang w:val="zh-CN"/>
          <w14:textFill>
            <w14:solidFill>
              <w14:schemeClr w14:val="tx1"/>
            </w14:solidFill>
          </w14:textFill>
        </w:rPr>
        <w:t>勘察费用明细表</w:t>
      </w:r>
    </w:p>
    <w:tbl>
      <w:tblPr>
        <w:tblStyle w:val="34"/>
        <w:tblW w:w="5115" w:type="pct"/>
        <w:tblInd w:w="0" w:type="dxa"/>
        <w:tblLayout w:type="autofit"/>
        <w:tblCellMar>
          <w:top w:w="0" w:type="dxa"/>
          <w:left w:w="108" w:type="dxa"/>
          <w:bottom w:w="0" w:type="dxa"/>
          <w:right w:w="108" w:type="dxa"/>
        </w:tblCellMar>
      </w:tblPr>
      <w:tblGrid>
        <w:gridCol w:w="701"/>
        <w:gridCol w:w="1174"/>
        <w:gridCol w:w="870"/>
        <w:gridCol w:w="791"/>
        <w:gridCol w:w="909"/>
        <w:gridCol w:w="1236"/>
        <w:gridCol w:w="4053"/>
      </w:tblGrid>
      <w:tr>
        <w:tblPrEx>
          <w:tblCellMar>
            <w:top w:w="0" w:type="dxa"/>
            <w:left w:w="108" w:type="dxa"/>
            <w:bottom w:w="0" w:type="dxa"/>
            <w:right w:w="108" w:type="dxa"/>
          </w:tblCellMar>
        </w:tblPrEx>
        <w:trPr>
          <w:trHeight w:val="94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序号</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项目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暂定</w:t>
            </w:r>
            <w:r>
              <w:rPr>
                <w:rFonts w:hint="eastAsia" w:ascii="宋体" w:hAnsi="宋体" w:cs="宋体"/>
                <w:b/>
                <w:bCs/>
                <w:color w:val="000000" w:themeColor="text1"/>
                <w:sz w:val="22"/>
                <w:highlight w:val="none"/>
                <w:lang w:bidi="ar"/>
                <w14:textFill>
                  <w14:solidFill>
                    <w14:schemeClr w14:val="tx1"/>
                  </w14:solidFill>
                </w14:textFill>
              </w:rPr>
              <w:br w:type="textWrapping"/>
            </w:r>
            <w:r>
              <w:rPr>
                <w:rFonts w:hint="eastAsia" w:ascii="宋体" w:hAnsi="宋体" w:cs="宋体"/>
                <w:b/>
                <w:bCs/>
                <w:color w:val="000000" w:themeColor="text1"/>
                <w:sz w:val="22"/>
                <w:highlight w:val="none"/>
                <w:lang w:bidi="ar"/>
                <w14:textFill>
                  <w14:solidFill>
                    <w14:schemeClr w14:val="tx1"/>
                  </w14:solidFill>
                </w14:textFill>
              </w:rPr>
              <w:t>工作量</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单位</w:t>
            </w:r>
            <w:r>
              <w:rPr>
                <w:rFonts w:hint="eastAsia" w:ascii="宋体" w:hAnsi="宋体" w:cs="宋体"/>
                <w:b/>
                <w:bCs/>
                <w:color w:val="000000" w:themeColor="text1"/>
                <w:sz w:val="22"/>
                <w:highlight w:val="none"/>
                <w:lang w:bidi="ar"/>
                <w14:textFill>
                  <w14:solidFill>
                    <w14:schemeClr w14:val="tx1"/>
                  </w14:solidFill>
                </w14:textFill>
              </w:rPr>
              <w:br w:type="textWrapping"/>
            </w:r>
            <w:r>
              <w:rPr>
                <w:rFonts w:hint="eastAsia" w:ascii="宋体" w:hAnsi="宋体" w:cs="宋体"/>
                <w:b/>
                <w:bCs/>
                <w:color w:val="000000" w:themeColor="text1"/>
                <w:sz w:val="22"/>
                <w:highlight w:val="none"/>
                <w:lang w:bidi="ar"/>
                <w14:textFill>
                  <w14:solidFill>
                    <w14:schemeClr w14:val="tx1"/>
                  </w14:solidFill>
                </w14:textFill>
              </w:rPr>
              <w:t>名称</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含税综合单价（元）</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勘察费总价</w:t>
            </w:r>
            <w:r>
              <w:rPr>
                <w:rFonts w:hint="eastAsia" w:ascii="宋体" w:hAnsi="宋体" w:cs="宋体"/>
                <w:b/>
                <w:bCs/>
                <w:color w:val="000000" w:themeColor="text1"/>
                <w:sz w:val="22"/>
                <w:highlight w:val="none"/>
                <w:lang w:bidi="ar"/>
                <w14:textFill>
                  <w14:solidFill>
                    <w14:schemeClr w14:val="tx1"/>
                  </w14:solidFill>
                </w14:textFill>
              </w:rPr>
              <w:br w:type="textWrapping"/>
            </w:r>
            <w:r>
              <w:rPr>
                <w:rFonts w:hint="eastAsia" w:ascii="宋体" w:hAnsi="宋体" w:cs="宋体"/>
                <w:b/>
                <w:bCs/>
                <w:color w:val="000000" w:themeColor="text1"/>
                <w:sz w:val="22"/>
                <w:highlight w:val="none"/>
                <w:lang w:bidi="ar"/>
                <w14:textFill>
                  <w14:solidFill>
                    <w14:schemeClr w14:val="tx1"/>
                  </w14:solidFill>
                </w14:textFill>
              </w:rPr>
              <w:t>（万元）</w:t>
            </w:r>
          </w:p>
        </w:tc>
        <w:tc>
          <w:tcPr>
            <w:tcW w:w="20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备注</w:t>
            </w:r>
          </w:p>
        </w:tc>
      </w:tr>
      <w:tr>
        <w:tblPrEx>
          <w:tblCellMar>
            <w:top w:w="0" w:type="dxa"/>
            <w:left w:w="108" w:type="dxa"/>
            <w:bottom w:w="0" w:type="dxa"/>
            <w:right w:w="108" w:type="dxa"/>
          </w:tblCellMar>
        </w:tblPrEx>
        <w:trPr>
          <w:trHeight w:val="100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1</w:t>
            </w:r>
          </w:p>
        </w:tc>
        <w:tc>
          <w:tcPr>
            <w:tcW w:w="603"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岩土工程勘察费</w:t>
            </w:r>
          </w:p>
        </w:tc>
        <w:tc>
          <w:tcPr>
            <w:tcW w:w="44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3000</w:t>
            </w:r>
          </w:p>
        </w:tc>
        <w:tc>
          <w:tcPr>
            <w:tcW w:w="40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szCs w:val="24"/>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467" w:type="pct"/>
            <w:tcBorders>
              <w:top w:val="nil"/>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nil"/>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20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包括初步勘察、详细勘察、施工阶段勘察及所有实物工作收费、技术工作收费、进退场费、税金等。</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综合包干单价投标报价应不高于</w:t>
            </w:r>
            <w:r>
              <w:rPr>
                <w:rFonts w:hint="eastAsia" w:ascii="宋体" w:hAnsi="宋体" w:eastAsia="宋体" w:cs="宋体"/>
                <w:b/>
                <w:i w:val="0"/>
                <w:color w:val="000000" w:themeColor="text1"/>
                <w:kern w:val="0"/>
                <w:sz w:val="22"/>
                <w:szCs w:val="22"/>
                <w:highlight w:val="none"/>
                <w:u w:val="single"/>
                <w:lang w:val="en-US" w:eastAsia="zh-CN" w:bidi="ar"/>
                <w14:textFill>
                  <w14:solidFill>
                    <w14:schemeClr w14:val="tx1"/>
                  </w14:solidFill>
                </w14:textFill>
              </w:rPr>
              <w:t>125</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元/m</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w:t>
            </w:r>
          </w:p>
        </w:tc>
      </w:tr>
      <w:tr>
        <w:tblPrEx>
          <w:tblCellMar>
            <w:top w:w="0" w:type="dxa"/>
            <w:left w:w="108" w:type="dxa"/>
            <w:bottom w:w="0" w:type="dxa"/>
            <w:right w:w="108" w:type="dxa"/>
          </w:tblCellMar>
        </w:tblPrEx>
        <w:trPr>
          <w:trHeight w:val="133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超前钻费用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15950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szCs w:val="24"/>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nil"/>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20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1.包括所有实物工作收费、技术工作收费、进退场费、税金等。综合包干单价投标报价应不高于</w:t>
            </w:r>
            <w:r>
              <w:rPr>
                <w:rFonts w:hint="eastAsia" w:ascii="宋体" w:hAnsi="宋体" w:eastAsia="宋体" w:cs="宋体"/>
                <w:i w:val="0"/>
                <w:color w:val="000000" w:themeColor="text1"/>
                <w:kern w:val="0"/>
                <w:sz w:val="22"/>
                <w:szCs w:val="22"/>
                <w:highlight w:val="none"/>
                <w:u w:val="single"/>
                <w:lang w:val="en-US" w:eastAsia="zh-CN" w:bidi="ar"/>
                <w14:textFill>
                  <w14:solidFill>
                    <w14:schemeClr w14:val="tx1"/>
                  </w14:solidFill>
                </w14:textFill>
              </w:rPr>
              <w:t>105</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元/m。</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2.本项费用如有发生则据实结算。</w:t>
            </w:r>
          </w:p>
        </w:tc>
      </w:tr>
      <w:tr>
        <w:tblPrEx>
          <w:tblCellMar>
            <w:top w:w="0" w:type="dxa"/>
            <w:left w:w="108" w:type="dxa"/>
            <w:bottom w:w="0" w:type="dxa"/>
            <w:right w:w="108" w:type="dxa"/>
          </w:tblCellMar>
        </w:tblPrEx>
        <w:trPr>
          <w:trHeight w:val="2055"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工程物探费</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30000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szCs w:val="24"/>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w:t>
            </w:r>
          </w:p>
        </w:tc>
        <w:tc>
          <w:tcPr>
            <w:tcW w:w="467" w:type="pct"/>
            <w:tcBorders>
              <w:top w:val="single" w:color="000000" w:sz="4" w:space="0"/>
              <w:left w:val="single" w:color="000000" w:sz="4" w:space="0"/>
              <w:bottom w:val="single" w:color="000000" w:sz="4" w:space="0"/>
              <w:right w:val="single" w:color="auto"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20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综合包干单价投标报价应不高于1.5元/㎡。</w:t>
            </w:r>
          </w:p>
        </w:tc>
      </w:tr>
      <w:tr>
        <w:tblPrEx>
          <w:tblCellMar>
            <w:top w:w="0" w:type="dxa"/>
            <w:left w:w="108" w:type="dxa"/>
            <w:bottom w:w="0" w:type="dxa"/>
            <w:right w:w="108" w:type="dxa"/>
          </w:tblCellMar>
        </w:tblPrEx>
        <w:trPr>
          <w:trHeight w:val="76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抽水试验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综合包干单价投标报价应不高于10000元/个。</w:t>
            </w:r>
          </w:p>
        </w:tc>
      </w:tr>
      <w:tr>
        <w:tblPrEx>
          <w:tblCellMar>
            <w:top w:w="0" w:type="dxa"/>
            <w:left w:w="108" w:type="dxa"/>
            <w:bottom w:w="0" w:type="dxa"/>
            <w:right w:w="108" w:type="dxa"/>
          </w:tblCellMar>
        </w:tblPrEx>
        <w:trPr>
          <w:trHeight w:val="66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5</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剪切波速</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综合包干单价投标报价应不高于2500元/个。</w:t>
            </w:r>
          </w:p>
        </w:tc>
      </w:tr>
      <w:tr>
        <w:tblPrEx>
          <w:tblCellMar>
            <w:top w:w="0" w:type="dxa"/>
            <w:left w:w="108" w:type="dxa"/>
            <w:bottom w:w="0" w:type="dxa"/>
            <w:right w:w="108" w:type="dxa"/>
          </w:tblCellMar>
        </w:tblPrEx>
        <w:trPr>
          <w:trHeight w:val="55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6</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土壤氡浓度测试</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点</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综合包干单价投标报价应不高于120元/点。</w:t>
            </w:r>
          </w:p>
        </w:tc>
      </w:tr>
      <w:tr>
        <w:tblPrEx>
          <w:tblCellMar>
            <w:top w:w="0" w:type="dxa"/>
            <w:left w:w="108" w:type="dxa"/>
            <w:bottom w:w="0" w:type="dxa"/>
            <w:right w:w="108" w:type="dxa"/>
          </w:tblCellMar>
        </w:tblPrEx>
        <w:trPr>
          <w:trHeight w:val="55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7</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噪声测试</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项</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综合包干单价投标报价应不高于3000元/项。</w:t>
            </w:r>
          </w:p>
        </w:tc>
      </w:tr>
      <w:tr>
        <w:tblPrEx>
          <w:tblCellMar>
            <w:top w:w="0" w:type="dxa"/>
            <w:left w:w="108" w:type="dxa"/>
            <w:bottom w:w="0" w:type="dxa"/>
            <w:right w:w="108" w:type="dxa"/>
          </w:tblCellMar>
        </w:tblPrEx>
        <w:trPr>
          <w:trHeight w:val="55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CT剖面</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综合包干单价投标报价应不高于33000元/个，已综合考虑钻探、管材、检测、检测等费用。</w:t>
            </w:r>
          </w:p>
        </w:tc>
      </w:tr>
      <w:tr>
        <w:tblPrEx>
          <w:tblCellMar>
            <w:top w:w="0" w:type="dxa"/>
            <w:left w:w="108" w:type="dxa"/>
            <w:bottom w:w="0" w:type="dxa"/>
            <w:right w:w="108" w:type="dxa"/>
          </w:tblCellMar>
        </w:tblPrEx>
        <w:trPr>
          <w:trHeight w:val="55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9</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PVC下管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综合包干单价投标报价应不高于35元/m。</w:t>
            </w:r>
          </w:p>
        </w:tc>
      </w:tr>
      <w:tr>
        <w:tblPrEx>
          <w:tblCellMar>
            <w:top w:w="0" w:type="dxa"/>
            <w:left w:w="108" w:type="dxa"/>
            <w:bottom w:w="0" w:type="dxa"/>
            <w:right w:w="108" w:type="dxa"/>
          </w:tblCellMar>
        </w:tblPrEx>
        <w:trPr>
          <w:trHeight w:val="55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default"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2"/>
                <w:szCs w:val="22"/>
                <w:highlight w:val="none"/>
                <w:u w:val="none"/>
                <w:lang w:val="en-US" w:eastAsia="zh-CN" w:bidi="ar"/>
                <w14:textFill>
                  <w14:solidFill>
                    <w14:schemeClr w14:val="tx1"/>
                  </w14:solidFill>
                </w14:textFill>
              </w:rPr>
              <w:t>10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管波探测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孔</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63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4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hd w:val="clear"/>
              <w:jc w:val="left"/>
              <w:textAlignment w:val="center"/>
              <w:rPr>
                <w:rFonts w:hint="eastAsia" w:ascii="宋体" w:hAnsi="宋体" w:cs="宋体"/>
                <w:color w:val="000000" w:themeColor="text1"/>
                <w:sz w:val="22"/>
                <w:highlight w:val="none"/>
                <w:lang w:bidi="ar"/>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w:t>
            </w:r>
            <w:r>
              <w:rPr>
                <w:rFonts w:hint="eastAsia" w:ascii="宋体" w:hAnsi="宋体" w:cs="宋体"/>
                <w:i w:val="0"/>
                <w:color w:val="000000" w:themeColor="text1"/>
                <w:kern w:val="0"/>
                <w:sz w:val="22"/>
                <w:szCs w:val="22"/>
                <w:highlight w:val="none"/>
                <w:u w:val="none"/>
                <w:lang w:val="en-US" w:eastAsia="zh-CN" w:bidi="ar"/>
                <w14:textFill>
                  <w14:solidFill>
                    <w14:schemeClr w14:val="tx1"/>
                  </w14:solidFill>
                </w14:textFill>
              </w:rPr>
              <w:t>干</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单价投标报价应不高于 2300元/孔。</w:t>
            </w:r>
          </w:p>
        </w:tc>
      </w:tr>
      <w:tr>
        <w:tblPrEx>
          <w:tblCellMar>
            <w:top w:w="0" w:type="dxa"/>
            <w:left w:w="108" w:type="dxa"/>
            <w:bottom w:w="0" w:type="dxa"/>
            <w:right w:w="108" w:type="dxa"/>
          </w:tblCellMar>
        </w:tblPrEx>
        <w:trPr>
          <w:trHeight w:val="559"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hint="default" w:ascii="宋体" w:hAnsi="宋体" w:eastAsia="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bidi="ar"/>
                <w14:textFill>
                  <w14:solidFill>
                    <w14:schemeClr w14:val="tx1"/>
                  </w14:solidFill>
                </w14:textFill>
              </w:rPr>
              <w:t>11</w:t>
            </w: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勘察费小计(万元)</w:t>
            </w:r>
          </w:p>
        </w:tc>
        <w:tc>
          <w:tcPr>
            <w:tcW w:w="31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hd w:val="clear"/>
              <w:jc w:val="center"/>
              <w:textAlignment w:val="center"/>
              <w:rPr>
                <w:rFonts w:ascii="宋体" w:hAnsi="宋体" w:cs="宋体"/>
                <w:b/>
                <w:bCs/>
                <w:color w:val="000000" w:themeColor="text1"/>
                <w:sz w:val="22"/>
                <w:highlight w:val="none"/>
                <w14:textFill>
                  <w14:solidFill>
                    <w14:schemeClr w14:val="tx1"/>
                  </w14:solidFill>
                </w14:textFill>
              </w:rPr>
            </w:pPr>
          </w:p>
        </w:tc>
      </w:tr>
    </w:tbl>
    <w:p>
      <w:pPr>
        <w:shd w:val="clear"/>
        <w:adjustRightInd w:val="0"/>
        <w:snapToGrid w:val="0"/>
        <w:ind w:right="-758" w:rightChars="-361" w:firstLine="420" w:firstLineChars="200"/>
        <w:jc w:val="left"/>
        <w:rPr>
          <w:rFonts w:ascii="宋体" w:hAnsi="宋体" w:cs="宋体"/>
          <w:color w:val="000000" w:themeColor="text1"/>
          <w:kern w:val="2"/>
          <w:szCs w:val="21"/>
          <w:highlight w:val="none"/>
          <w14:textFill>
            <w14:solidFill>
              <w14:schemeClr w14:val="tx1"/>
            </w14:solidFill>
          </w14:textFill>
        </w:rPr>
      </w:pPr>
    </w:p>
    <w:p>
      <w:pPr>
        <w:shd w:val="clear"/>
        <w:adjustRightInd w:val="0"/>
        <w:snapToGrid w:val="0"/>
        <w:ind w:right="-758" w:rightChars="-361" w:firstLine="420" w:firstLineChars="200"/>
        <w:jc w:val="left"/>
        <w:rPr>
          <w:rFonts w:ascii="宋体" w:hAnsi="宋体" w:cs="宋体"/>
          <w:color w:val="000000" w:themeColor="text1"/>
          <w:kern w:val="2"/>
          <w:szCs w:val="21"/>
          <w:highlight w:val="none"/>
          <w14:textFill>
            <w14:solidFill>
              <w14:schemeClr w14:val="tx1"/>
            </w14:solidFill>
          </w14:textFill>
        </w:rPr>
      </w:pPr>
    </w:p>
    <w:p>
      <w:pPr>
        <w:shd w:val="clear"/>
        <w:adjustRightInd w:val="0"/>
        <w:snapToGrid w:val="0"/>
        <w:ind w:right="-758" w:rightChars="-361"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注：</w:t>
      </w:r>
    </w:p>
    <w:p>
      <w:pPr>
        <w:shd w:val="clear"/>
        <w:adjustRightInd w:val="0"/>
        <w:snapToGrid w:val="0"/>
        <w:ind w:right="-50" w:rightChars="-24" w:firstLine="420" w:firstLineChars="20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lang w:val="en-US" w:eastAsia="zh-CN"/>
          <w14:textFill>
            <w14:solidFill>
              <w14:schemeClr w14:val="tx1"/>
            </w14:solidFill>
          </w14:textFill>
        </w:rPr>
        <w:t>1</w:t>
      </w:r>
      <w:r>
        <w:rPr>
          <w:rFonts w:hint="eastAsia" w:ascii="宋体" w:hAnsi="宋体" w:cs="宋体"/>
          <w:bCs/>
          <w:color w:val="000000" w:themeColor="text1"/>
          <w:kern w:val="2"/>
          <w:szCs w:val="21"/>
          <w:highlight w:val="none"/>
          <w14:textFill>
            <w14:solidFill>
              <w14:schemeClr w14:val="tx1"/>
            </w14:solidFill>
          </w14:textFill>
        </w:rPr>
        <w:t>、</w:t>
      </w:r>
      <w:r>
        <w:rPr>
          <w:rFonts w:hint="eastAsia" w:ascii="宋体" w:hAnsi="宋体" w:cs="Cambria Math"/>
          <w:bCs/>
          <w:color w:val="000000" w:themeColor="text1"/>
          <w:kern w:val="2"/>
          <w:szCs w:val="21"/>
          <w:highlight w:val="none"/>
          <w14:textFill>
            <w14:solidFill>
              <w14:schemeClr w14:val="tx1"/>
            </w14:solidFill>
          </w14:textFill>
        </w:rPr>
        <w:t>中标单位在进场开展工作之前，需编制勘察工作方案，报招标人审核同意后方可实施。</w:t>
      </w:r>
    </w:p>
    <w:p>
      <w:pPr>
        <w:shd w:val="clear"/>
        <w:adjustRightInd w:val="0"/>
        <w:snapToGrid w:val="0"/>
        <w:ind w:right="-50" w:rightChars="-24"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2"/>
          <w:szCs w:val="21"/>
          <w:highlight w:val="none"/>
          <w:lang w:val="en-US" w:eastAsia="zh-CN"/>
          <w14:textFill>
            <w14:solidFill>
              <w14:schemeClr w14:val="tx1"/>
            </w14:solidFill>
          </w14:textFill>
        </w:rPr>
        <w:t>2</w:t>
      </w:r>
      <w:r>
        <w:rPr>
          <w:rFonts w:hint="eastAsia" w:ascii="宋体" w:hAnsi="宋体" w:cs="宋体"/>
          <w:b/>
          <w:bCs/>
          <w:color w:val="000000" w:themeColor="text1"/>
          <w:kern w:val="2"/>
          <w:szCs w:val="21"/>
          <w:highlight w:val="none"/>
          <w14:textFill>
            <w14:solidFill>
              <w14:schemeClr w14:val="tx1"/>
            </w14:solidFill>
          </w14:textFill>
        </w:rPr>
        <w:t>、投标人须按招标文件要求进行投标报价，否则由评标委员按否决其投标处理。</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lang w:val="en-US" w:eastAsia="zh-CN"/>
          <w14:textFill>
            <w14:solidFill>
              <w14:schemeClr w14:val="tx1"/>
            </w14:solidFill>
          </w14:textFill>
        </w:rPr>
        <w:t>3</w:t>
      </w:r>
      <w:r>
        <w:rPr>
          <w:rFonts w:hint="eastAsia" w:ascii="宋体" w:hAnsi="宋体" w:cs="宋体"/>
          <w:bCs/>
          <w:color w:val="000000" w:themeColor="text1"/>
          <w:kern w:val="2"/>
          <w:szCs w:val="21"/>
          <w:highlight w:val="none"/>
          <w14:textFill>
            <w14:solidFill>
              <w14:schemeClr w14:val="tx1"/>
            </w14:solidFill>
          </w14:textFill>
        </w:rPr>
        <w:t>、勘察费合计金额应与经济标投标书中勘察费金额一致。</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lang w:val="en-US" w:eastAsia="zh-CN"/>
          <w14:textFill>
            <w14:solidFill>
              <w14:schemeClr w14:val="tx1"/>
            </w14:solidFill>
          </w14:textFill>
        </w:rPr>
        <w:t>4</w:t>
      </w:r>
      <w:r>
        <w:rPr>
          <w:rFonts w:ascii="宋体" w:hAnsi="宋体" w:cs="宋体"/>
          <w:bCs/>
          <w:color w:val="000000" w:themeColor="text1"/>
          <w:kern w:val="2"/>
          <w:szCs w:val="21"/>
          <w:highlight w:val="none"/>
          <w14:textFill>
            <w14:solidFill>
              <w14:schemeClr w14:val="tx1"/>
            </w14:solidFill>
          </w14:textFill>
        </w:rPr>
        <w:t>、勘察费</w:t>
      </w:r>
      <w:r>
        <w:rPr>
          <w:rFonts w:hint="eastAsia" w:ascii="宋体" w:hAnsi="宋体" w:cs="宋体"/>
          <w:bCs/>
          <w:color w:val="000000" w:themeColor="text1"/>
          <w:kern w:val="2"/>
          <w:szCs w:val="21"/>
          <w:highlight w:val="none"/>
          <w14:textFill>
            <w14:solidFill>
              <w14:schemeClr w14:val="tx1"/>
            </w14:solidFill>
          </w14:textFill>
        </w:rPr>
        <w:t>合计</w:t>
      </w:r>
      <w:r>
        <w:rPr>
          <w:rFonts w:ascii="宋体" w:hAnsi="宋体" w:cs="宋体"/>
          <w:bCs/>
          <w:color w:val="000000" w:themeColor="text1"/>
          <w:kern w:val="2"/>
          <w:szCs w:val="21"/>
          <w:highlight w:val="none"/>
          <w14:textFill>
            <w14:solidFill>
              <w14:schemeClr w14:val="tx1"/>
            </w14:solidFill>
          </w14:textFill>
        </w:rPr>
        <w:t>总报价以万元为单位，小数点后保留二位小数，第三位小数四舍五入。</w:t>
      </w:r>
    </w:p>
    <w:p>
      <w:pPr>
        <w:pStyle w:val="2"/>
        <w:shd w:val="clear"/>
        <w:rPr>
          <w:color w:val="000000" w:themeColor="text1"/>
          <w:highlight w:val="none"/>
          <w:lang w:val="en-US"/>
          <w14:textFill>
            <w14:solidFill>
              <w14:schemeClr w14:val="tx1"/>
            </w14:solidFill>
          </w14:textFill>
        </w:rPr>
      </w:pPr>
    </w:p>
    <w:p>
      <w:pPr>
        <w:shd w:val="clear"/>
        <w:rPr>
          <w:color w:val="000000" w:themeColor="text1"/>
          <w:highlight w:val="none"/>
          <w14:textFill>
            <w14:solidFill>
              <w14:schemeClr w14:val="tx1"/>
            </w14:solidFill>
          </w14:textFill>
        </w:rPr>
      </w:pPr>
    </w:p>
    <w:p>
      <w:pPr>
        <w:shd w:val="clear"/>
        <w:tabs>
          <w:tab w:val="left" w:pos="7655"/>
        </w:tabs>
        <w:spacing w:line="320" w:lineRule="exact"/>
        <w:ind w:right="85"/>
        <w:jc w:val="right"/>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投标人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盖公章</w:t>
      </w:r>
      <w:r>
        <w:rPr>
          <w:rFonts w:hint="eastAsia" w:ascii="宋体" w:hAnsi="宋体" w:cs="Cambria Math"/>
          <w:color w:val="000000" w:themeColor="text1"/>
          <w:spacing w:val="18"/>
          <w:kern w:val="1"/>
          <w:szCs w:val="21"/>
          <w:highlight w:val="none"/>
          <w14:textFill>
            <w14:solidFill>
              <w14:schemeClr w14:val="tx1"/>
            </w14:solidFill>
          </w14:textFill>
        </w:rPr>
        <w:t xml:space="preserve">)    </w:t>
      </w:r>
    </w:p>
    <w:p>
      <w:pPr>
        <w:shd w:val="clear"/>
        <w:tabs>
          <w:tab w:val="left" w:pos="7655"/>
        </w:tabs>
        <w:spacing w:line="320" w:lineRule="exact"/>
        <w:ind w:right="85"/>
        <w:jc w:val="right"/>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宋体"/>
          <w:color w:val="000000" w:themeColor="text1"/>
          <w:kern w:val="1"/>
          <w:szCs w:val="21"/>
          <w:highlight w:val="none"/>
          <w:u w:val="single"/>
          <w14:textFill>
            <w14:solidFill>
              <w14:schemeClr w14:val="tx1"/>
            </w14:solidFill>
          </w14:textFill>
        </w:rPr>
        <w:t xml:space="preserve"> </w:t>
      </w:r>
      <w:r>
        <w:rPr>
          <w:rFonts w:ascii="宋体" w:hAnsi="宋体" w:cs="宋体"/>
          <w:color w:val="000000" w:themeColor="text1"/>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签字或盖章</w:t>
      </w:r>
      <w:r>
        <w:rPr>
          <w:rFonts w:hint="eastAsia" w:ascii="宋体" w:hAnsi="宋体" w:cs="Cambria Math"/>
          <w:color w:val="000000" w:themeColor="text1"/>
          <w:spacing w:val="18"/>
          <w:kern w:val="1"/>
          <w:szCs w:val="21"/>
          <w:highlight w:val="none"/>
          <w14:textFill>
            <w14:solidFill>
              <w14:schemeClr w14:val="tx1"/>
            </w14:solidFill>
          </w14:textFill>
        </w:rPr>
        <w:t>）</w:t>
      </w:r>
    </w:p>
    <w:p>
      <w:pPr>
        <w:shd w:val="clear"/>
        <w:spacing w:line="360" w:lineRule="auto"/>
        <w:jc w:val="right"/>
        <w:rPr>
          <w:rFonts w:ascii="宋体" w:hAnsi="宋体" w:cs="Cambria Math"/>
          <w:b/>
          <w:color w:val="000000" w:themeColor="text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日期</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年</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月</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w:t>
      </w:r>
    </w:p>
    <w:p>
      <w:pPr>
        <w:shd w:val="clear"/>
        <w:rPr>
          <w:rFonts w:ascii="宋体" w:hAnsi="宋体" w:cs="宋体"/>
          <w:b/>
          <w:color w:val="000000" w:themeColor="text1"/>
          <w:kern w:val="1"/>
          <w:sz w:val="24"/>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br w:type="page"/>
      </w:r>
    </w:p>
    <w:p>
      <w:pPr>
        <w:shd w:val="clear"/>
        <w:spacing w:line="360" w:lineRule="auto"/>
        <w:rPr>
          <w:rFonts w:ascii="宋体" w:hAnsi="宋体" w:cs="宋体"/>
          <w:b/>
          <w:color w:val="000000" w:themeColor="text1"/>
          <w:kern w:val="1"/>
          <w:sz w:val="28"/>
          <w:szCs w:val="28"/>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w:t>
      </w:r>
      <w:r>
        <w:rPr>
          <w:rFonts w:ascii="宋体" w:hAnsi="宋体" w:cs="宋体"/>
          <w:b/>
          <w:color w:val="000000" w:themeColor="text1"/>
          <w:kern w:val="1"/>
          <w:sz w:val="24"/>
          <w:highlight w:val="none"/>
          <w14:textFill>
            <w14:solidFill>
              <w14:schemeClr w14:val="tx1"/>
            </w14:solidFill>
          </w14:textFill>
        </w:rPr>
        <w:t>3</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lang w:val="zh-CN"/>
          <w14:textFill>
            <w14:solidFill>
              <w14:schemeClr w14:val="tx1"/>
            </w14:solidFill>
          </w14:textFill>
        </w:rPr>
        <w:t>设计费用明细表</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88"/>
        <w:gridCol w:w="1375"/>
        <w:gridCol w:w="997"/>
        <w:gridCol w:w="1708"/>
        <w:gridCol w:w="3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序号</w:t>
            </w:r>
          </w:p>
        </w:tc>
        <w:tc>
          <w:tcPr>
            <w:tcW w:w="888"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项目</w:t>
            </w:r>
          </w:p>
        </w:tc>
        <w:tc>
          <w:tcPr>
            <w:tcW w:w="1375"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暂定建筑面积（m2）</w:t>
            </w:r>
          </w:p>
        </w:tc>
        <w:tc>
          <w:tcPr>
            <w:tcW w:w="997"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含税综合单价（元）</w:t>
            </w:r>
          </w:p>
        </w:tc>
        <w:tc>
          <w:tcPr>
            <w:tcW w:w="1708"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总价</w:t>
            </w:r>
          </w:p>
        </w:tc>
        <w:tc>
          <w:tcPr>
            <w:tcW w:w="3253"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51"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p>
        </w:tc>
        <w:tc>
          <w:tcPr>
            <w:tcW w:w="888"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设计费</w:t>
            </w:r>
          </w:p>
        </w:tc>
        <w:tc>
          <w:tcPr>
            <w:tcW w:w="1375" w:type="dxa"/>
            <w:shd w:val="clear" w:color="auto" w:fill="auto"/>
            <w:vAlign w:val="center"/>
          </w:tcPr>
          <w:p>
            <w:pPr>
              <w:widowControl/>
              <w:shd w:val="clear"/>
              <w:jc w:val="center"/>
              <w:textAlignment w:val="center"/>
              <w:rPr>
                <w:rFonts w:hint="eastAsia" w:ascii="宋体" w:hAnsi="宋体" w:eastAsia="宋体" w:cs="宋体"/>
                <w:color w:val="000000" w:themeColor="text1"/>
                <w:sz w:val="22"/>
                <w:highlight w:val="none"/>
                <w:lang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82361.70</w:t>
            </w:r>
          </w:p>
        </w:tc>
        <w:tc>
          <w:tcPr>
            <w:tcW w:w="997"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1708"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3253" w:type="dxa"/>
            <w:shd w:val="clear" w:color="auto" w:fill="auto"/>
            <w:vAlign w:val="center"/>
          </w:tcPr>
          <w:p>
            <w:pPr>
              <w:widowControl/>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综合包干单价投标报价应不高于89元/m2。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111" w:type="dxa"/>
            <w:gridSpan w:val="4"/>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设计费小计(万元)</w:t>
            </w:r>
          </w:p>
        </w:tc>
        <w:tc>
          <w:tcPr>
            <w:tcW w:w="1708"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p>
        </w:tc>
        <w:tc>
          <w:tcPr>
            <w:tcW w:w="3253" w:type="dxa"/>
            <w:shd w:val="clear" w:color="auto" w:fill="auto"/>
            <w:vAlign w:val="center"/>
          </w:tcPr>
          <w:p>
            <w:pPr>
              <w:widowControl/>
              <w:shd w:val="clear"/>
              <w:rPr>
                <w:rFonts w:ascii="宋体" w:hAnsi="宋体" w:cs="宋体"/>
                <w:color w:val="000000" w:themeColor="text1"/>
                <w:sz w:val="22"/>
                <w:highlight w:val="none"/>
                <w14:textFill>
                  <w14:solidFill>
                    <w14:schemeClr w14:val="tx1"/>
                  </w14:solidFill>
                </w14:textFill>
              </w:rPr>
            </w:pPr>
          </w:p>
        </w:tc>
      </w:tr>
    </w:tbl>
    <w:p>
      <w:pPr>
        <w:shd w:val="clear"/>
        <w:adjustRightInd w:val="0"/>
        <w:snapToGrid w:val="0"/>
        <w:ind w:right="-758" w:rightChars="-361" w:firstLine="420" w:firstLineChars="200"/>
        <w:jc w:val="left"/>
        <w:rPr>
          <w:rFonts w:ascii="宋体" w:hAnsi="宋体" w:cs="宋体"/>
          <w:color w:val="000000" w:themeColor="text1"/>
          <w:kern w:val="2"/>
          <w:szCs w:val="21"/>
          <w:highlight w:val="none"/>
          <w14:textFill>
            <w14:solidFill>
              <w14:schemeClr w14:val="tx1"/>
            </w14:solidFill>
          </w14:textFill>
        </w:rPr>
      </w:pPr>
    </w:p>
    <w:p>
      <w:pPr>
        <w:shd w:val="clear"/>
        <w:adjustRightInd w:val="0"/>
        <w:snapToGrid w:val="0"/>
        <w:ind w:right="-758" w:rightChars="-361"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注：</w:t>
      </w:r>
    </w:p>
    <w:p>
      <w:pPr>
        <w:shd w:val="clear"/>
        <w:adjustRightInd w:val="0"/>
        <w:snapToGrid w:val="0"/>
        <w:ind w:right="-758" w:rightChars="-361"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1、设计总包、现场服务费用等费用含在设计费投标报价中，不单独报价。</w:t>
      </w:r>
    </w:p>
    <w:p>
      <w:pPr>
        <w:shd w:val="clear"/>
        <w:adjustRightInd w:val="0"/>
        <w:snapToGrid w:val="0"/>
        <w:ind w:right="-50" w:rightChars="-24" w:firstLine="420" w:firstLineChars="200"/>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2、中标人需按总报价的金额完成本次招标内容及《设计任务书》内的全部内容，不得增加费用。</w:t>
      </w:r>
    </w:p>
    <w:p>
      <w:pPr>
        <w:shd w:val="clear"/>
        <w:adjustRightInd w:val="0"/>
        <w:snapToGrid w:val="0"/>
        <w:ind w:right="-50" w:rightChars="-24" w:firstLine="420" w:firstLineChars="200"/>
        <w:jc w:val="left"/>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3、</w:t>
      </w:r>
      <w:r>
        <w:rPr>
          <w:rFonts w:hint="eastAsia" w:ascii="宋体" w:hAnsi="宋体" w:cs="宋体"/>
          <w:b/>
          <w:bCs/>
          <w:color w:val="000000" w:themeColor="text1"/>
          <w:kern w:val="2"/>
          <w:szCs w:val="21"/>
          <w:highlight w:val="none"/>
          <w14:textFill>
            <w14:solidFill>
              <w14:schemeClr w14:val="tx1"/>
            </w14:solidFill>
          </w14:textFill>
        </w:rPr>
        <w:t>投标人须按招标文件要求进行投标报价，否则由评标委员按否决其投标处理。</w:t>
      </w:r>
    </w:p>
    <w:p>
      <w:pPr>
        <w:shd w:val="clear"/>
        <w:adjustRightInd w:val="0"/>
        <w:snapToGrid w:val="0"/>
        <w:ind w:right="-50" w:rightChars="-24"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4、本表费用按国家发展计划委员会、建设部2002年颁布的《工程设计收费标准》进行计算。</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5、设计费合计金额应与经济标投标书中设计费金额一致。</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6、设计费合计总报价以万元为单位，小数点后保留二位小数，第三位小数四舍五入。</w:t>
      </w:r>
    </w:p>
    <w:p>
      <w:pPr>
        <w:pStyle w:val="2"/>
        <w:shd w:val="clear"/>
        <w:rPr>
          <w:rFonts w:cs="宋体"/>
          <w:color w:val="000000" w:themeColor="text1"/>
          <w:highlight w:val="none"/>
          <w14:textFill>
            <w14:solidFill>
              <w14:schemeClr w14:val="tx1"/>
            </w14:solidFill>
          </w14:textFill>
        </w:rPr>
      </w:pP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投标人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盖公章</w:t>
      </w:r>
      <w:r>
        <w:rPr>
          <w:rFonts w:hint="eastAsia" w:ascii="宋体" w:hAnsi="宋体" w:cs="Cambria Math"/>
          <w:color w:val="000000" w:themeColor="text1"/>
          <w:spacing w:val="18"/>
          <w:kern w:val="1"/>
          <w:szCs w:val="21"/>
          <w:highlight w:val="none"/>
          <w14:textFill>
            <w14:solidFill>
              <w14:schemeClr w14:val="tx1"/>
            </w14:solidFill>
          </w14:textFill>
        </w:rPr>
        <w:t xml:space="preserve">)    </w:t>
      </w: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签字或盖章</w:t>
      </w:r>
      <w:r>
        <w:rPr>
          <w:rFonts w:hint="eastAsia" w:ascii="宋体" w:hAnsi="宋体" w:cs="Cambria Math"/>
          <w:color w:val="000000" w:themeColor="text1"/>
          <w:spacing w:val="18"/>
          <w:kern w:val="1"/>
          <w:szCs w:val="21"/>
          <w:highlight w:val="none"/>
          <w14:textFill>
            <w14:solidFill>
              <w14:schemeClr w14:val="tx1"/>
            </w14:solidFill>
          </w14:textFill>
        </w:rPr>
        <w:t>）</w:t>
      </w:r>
    </w:p>
    <w:p>
      <w:pPr>
        <w:shd w:val="clear"/>
        <w:spacing w:line="360" w:lineRule="auto"/>
        <w:rPr>
          <w:rFonts w:ascii="宋体" w:hAnsi="宋体" w:cs="Cambria Math"/>
          <w:b/>
          <w:color w:val="000000" w:themeColor="text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日期</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年</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月</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w:t>
      </w:r>
    </w:p>
    <w:p>
      <w:pPr>
        <w:shd w:val="clear"/>
        <w:adjustRightInd/>
        <w:snapToGrid/>
        <w:ind w:firstLine="0" w:firstLineChars="0"/>
        <w:jc w:val="left"/>
        <w:rPr>
          <w:rFonts w:cs="宋体"/>
          <w:color w:val="000000" w:themeColor="text1"/>
          <w:kern w:val="1"/>
          <w:szCs w:val="21"/>
          <w:highlight w:val="none"/>
          <w14:textFill>
            <w14:solidFill>
              <w14:schemeClr w14:val="tx1"/>
            </w14:solidFill>
          </w14:textFill>
        </w:rPr>
      </w:pPr>
      <w:r>
        <w:rPr>
          <w:rFonts w:cs="宋体"/>
          <w:color w:val="000000" w:themeColor="text1"/>
          <w:kern w:val="1"/>
          <w:szCs w:val="21"/>
          <w:highlight w:val="none"/>
          <w14:textFill>
            <w14:solidFill>
              <w14:schemeClr w14:val="tx1"/>
            </w14:solidFill>
          </w14:textFill>
        </w:rPr>
        <w:br w:type="page"/>
      </w:r>
    </w:p>
    <w:p>
      <w:pPr>
        <w:shd w:val="clear"/>
        <w:spacing w:line="360" w:lineRule="auto"/>
        <w:rPr>
          <w:rFonts w:ascii="宋体" w:hAnsi="宋体" w:cs="宋体"/>
          <w:b/>
          <w:color w:val="000000" w:themeColor="text1"/>
          <w:kern w:val="1"/>
          <w:sz w:val="28"/>
          <w:szCs w:val="28"/>
          <w:highlight w:val="none"/>
          <w14:textFill>
            <w14:solidFill>
              <w14:schemeClr w14:val="tx1"/>
            </w14:solidFill>
          </w14:textFill>
        </w:rPr>
      </w:pPr>
      <w:r>
        <w:rPr>
          <w:rFonts w:hint="eastAsia" w:ascii="宋体" w:hAnsi="宋体" w:cs="宋体"/>
          <w:b/>
          <w:color w:val="000000" w:themeColor="text1"/>
          <w:kern w:val="1"/>
          <w:sz w:val="24"/>
          <w:highlight w:val="none"/>
          <w14:textFill>
            <w14:solidFill>
              <w14:schemeClr w14:val="tx1"/>
            </w14:solidFill>
          </w14:textFill>
        </w:rPr>
        <w:t>格式</w:t>
      </w:r>
      <w:r>
        <w:rPr>
          <w:rFonts w:hint="eastAsia" w:ascii="宋体" w:hAnsi="宋体" w:cs="宋体"/>
          <w:b/>
          <w:color w:val="000000" w:themeColor="text1"/>
          <w:kern w:val="1"/>
          <w:sz w:val="24"/>
          <w:highlight w:val="none"/>
          <w:lang w:val="en-US" w:eastAsia="zh-CN"/>
          <w14:textFill>
            <w14:solidFill>
              <w14:schemeClr w14:val="tx1"/>
            </w14:solidFill>
          </w14:textFill>
        </w:rPr>
        <w:t>4</w:t>
      </w:r>
      <w:r>
        <w:rPr>
          <w:rFonts w:hint="eastAsia" w:ascii="宋体" w:hAnsi="宋体" w:cs="宋体"/>
          <w:b/>
          <w:color w:val="000000" w:themeColor="text1"/>
          <w:kern w:val="1"/>
          <w:sz w:val="24"/>
          <w:highlight w:val="none"/>
          <w14:textFill>
            <w14:solidFill>
              <w14:schemeClr w14:val="tx1"/>
            </w14:solidFill>
          </w14:textFill>
        </w:rPr>
        <w:t>：</w:t>
      </w:r>
    </w:p>
    <w:p>
      <w:pPr>
        <w:shd w:val="clear"/>
        <w:spacing w:line="360" w:lineRule="auto"/>
        <w:jc w:val="left"/>
        <w:rPr>
          <w:rFonts w:hint="eastAsia" w:ascii="宋体" w:hAnsi="宋体" w:cs="宋体"/>
          <w:b/>
          <w:color w:val="000000" w:themeColor="text1"/>
          <w:kern w:val="1"/>
          <w:sz w:val="28"/>
          <w:szCs w:val="28"/>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28"/>
          <w:szCs w:val="28"/>
          <w:highlight w:val="none"/>
          <w:lang w:val="zh-CN"/>
          <w14:textFill>
            <w14:solidFill>
              <w14:schemeClr w14:val="tx1"/>
            </w14:solidFill>
          </w14:textFill>
        </w:rPr>
      </w:pPr>
      <w:r>
        <w:rPr>
          <w:rFonts w:hint="eastAsia" w:ascii="宋体" w:hAnsi="宋体" w:cs="宋体"/>
          <w:b/>
          <w:color w:val="000000" w:themeColor="text1"/>
          <w:kern w:val="1"/>
          <w:sz w:val="28"/>
          <w:szCs w:val="28"/>
          <w:highlight w:val="none"/>
          <w14:textFill>
            <w14:solidFill>
              <w14:schemeClr w14:val="tx1"/>
            </w14:solidFill>
          </w14:textFill>
        </w:rPr>
        <w:t>工程</w:t>
      </w:r>
      <w:r>
        <w:rPr>
          <w:rFonts w:hint="eastAsia" w:ascii="宋体" w:hAnsi="宋体" w:cs="宋体"/>
          <w:b/>
          <w:color w:val="000000" w:themeColor="text1"/>
          <w:kern w:val="1"/>
          <w:sz w:val="28"/>
          <w:szCs w:val="28"/>
          <w:highlight w:val="none"/>
          <w:lang w:val="zh-CN"/>
          <w14:textFill>
            <w14:solidFill>
              <w14:schemeClr w14:val="tx1"/>
            </w14:solidFill>
          </w14:textFill>
        </w:rPr>
        <w:t>费用明细表</w:t>
      </w:r>
    </w:p>
    <w:tbl>
      <w:tblPr>
        <w:tblStyle w:val="3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9"/>
        <w:gridCol w:w="1743"/>
        <w:gridCol w:w="1242"/>
        <w:gridCol w:w="184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1"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序号</w:t>
            </w:r>
          </w:p>
        </w:tc>
        <w:tc>
          <w:tcPr>
            <w:tcW w:w="1109" w:type="dxa"/>
            <w:shd w:val="clear" w:color="auto" w:fill="auto"/>
            <w:vAlign w:val="center"/>
          </w:tcPr>
          <w:p>
            <w:pPr>
              <w:widowControl/>
              <w:shd w:val="clear"/>
              <w:jc w:val="left"/>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工程内容</w:t>
            </w:r>
          </w:p>
        </w:tc>
        <w:tc>
          <w:tcPr>
            <w:tcW w:w="1743"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暂定建筑面积（m</w:t>
            </w:r>
            <w:r>
              <w:rPr>
                <w:rFonts w:hint="eastAsia" w:ascii="宋体" w:hAnsi="宋体" w:cs="宋体"/>
                <w:b/>
                <w:bCs/>
                <w:color w:val="000000" w:themeColor="text1"/>
                <w:sz w:val="22"/>
                <w:highlight w:val="none"/>
                <w:vertAlign w:val="superscript"/>
                <w:lang w:bidi="ar"/>
                <w14:textFill>
                  <w14:solidFill>
                    <w14:schemeClr w14:val="tx1"/>
                  </w14:solidFill>
                </w14:textFill>
              </w:rPr>
              <w:t>2</w:t>
            </w:r>
            <w:r>
              <w:rPr>
                <w:rFonts w:hint="eastAsia" w:ascii="宋体" w:hAnsi="宋体" w:cs="宋体"/>
                <w:b/>
                <w:bCs/>
                <w:color w:val="000000" w:themeColor="text1"/>
                <w:sz w:val="22"/>
                <w:highlight w:val="none"/>
                <w:lang w:bidi="ar"/>
                <w14:textFill>
                  <w14:solidFill>
                    <w14:schemeClr w14:val="tx1"/>
                  </w14:solidFill>
                </w14:textFill>
              </w:rPr>
              <w:t>）</w:t>
            </w:r>
          </w:p>
        </w:tc>
        <w:tc>
          <w:tcPr>
            <w:tcW w:w="1242"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含税综合单价（元）</w:t>
            </w:r>
          </w:p>
        </w:tc>
        <w:tc>
          <w:tcPr>
            <w:tcW w:w="1845"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工程费（万元）</w:t>
            </w:r>
          </w:p>
        </w:tc>
        <w:tc>
          <w:tcPr>
            <w:tcW w:w="2282"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851"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p>
        </w:tc>
        <w:tc>
          <w:tcPr>
            <w:tcW w:w="1109"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bidi="ar"/>
                <w14:textFill>
                  <w14:solidFill>
                    <w14:schemeClr w14:val="tx1"/>
                  </w14:solidFill>
                </w14:textFill>
              </w:rPr>
              <w:t>工程费</w:t>
            </w:r>
          </w:p>
        </w:tc>
        <w:tc>
          <w:tcPr>
            <w:tcW w:w="1743"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82361.70</w:t>
            </w:r>
          </w:p>
        </w:tc>
        <w:tc>
          <w:tcPr>
            <w:tcW w:w="1242"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1845"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p>
        </w:tc>
        <w:tc>
          <w:tcPr>
            <w:tcW w:w="2282" w:type="dxa"/>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综合包干单价投标报价应不高于4270元/m2。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945" w:type="dxa"/>
            <w:gridSpan w:val="4"/>
            <w:shd w:val="clear" w:color="auto" w:fill="auto"/>
            <w:vAlign w:val="center"/>
          </w:tcPr>
          <w:p>
            <w:pPr>
              <w:widowControl/>
              <w:shd w:val="clear"/>
              <w:jc w:val="center"/>
              <w:textAlignment w:val="center"/>
              <w:rPr>
                <w:rFonts w:ascii="宋体" w:hAnsi="宋体" w:cs="宋体"/>
                <w:color w:val="000000" w:themeColor="text1"/>
                <w:sz w:val="22"/>
                <w:highlight w:val="none"/>
                <w14:textFill>
                  <w14:solidFill>
                    <w14:schemeClr w14:val="tx1"/>
                  </w14:solidFill>
                </w14:textFill>
              </w:rPr>
            </w:pPr>
            <w:r>
              <w:rPr>
                <w:rFonts w:hint="eastAsia" w:ascii="宋体" w:hAnsi="宋体" w:cs="宋体"/>
                <w:b/>
                <w:bCs/>
                <w:color w:val="000000" w:themeColor="text1"/>
                <w:sz w:val="22"/>
                <w:highlight w:val="none"/>
                <w14:textFill>
                  <w14:solidFill>
                    <w14:schemeClr w14:val="tx1"/>
                  </w14:solidFill>
                </w14:textFill>
              </w:rPr>
              <w:t>工程费小计(万元)</w:t>
            </w:r>
          </w:p>
        </w:tc>
        <w:tc>
          <w:tcPr>
            <w:tcW w:w="1845" w:type="dxa"/>
            <w:shd w:val="clear" w:color="auto" w:fill="auto"/>
            <w:vAlign w:val="center"/>
          </w:tcPr>
          <w:p>
            <w:pPr>
              <w:widowControl/>
              <w:shd w:val="clear"/>
              <w:jc w:val="center"/>
              <w:rPr>
                <w:rFonts w:ascii="宋体" w:hAnsi="宋体" w:cs="宋体"/>
                <w:color w:val="000000" w:themeColor="text1"/>
                <w:sz w:val="22"/>
                <w:highlight w:val="none"/>
                <w14:textFill>
                  <w14:solidFill>
                    <w14:schemeClr w14:val="tx1"/>
                  </w14:solidFill>
                </w14:textFill>
              </w:rPr>
            </w:pPr>
          </w:p>
        </w:tc>
        <w:tc>
          <w:tcPr>
            <w:tcW w:w="2282" w:type="dxa"/>
            <w:shd w:val="clear" w:color="auto" w:fill="auto"/>
            <w:vAlign w:val="center"/>
          </w:tcPr>
          <w:p>
            <w:pPr>
              <w:widowControl/>
              <w:shd w:val="clear"/>
              <w:rPr>
                <w:rFonts w:ascii="宋体" w:hAnsi="宋体" w:cs="宋体"/>
                <w:color w:val="000000" w:themeColor="text1"/>
                <w:sz w:val="22"/>
                <w:highlight w:val="none"/>
                <w14:textFill>
                  <w14:solidFill>
                    <w14:schemeClr w14:val="tx1"/>
                  </w14:solidFill>
                </w14:textFill>
              </w:rPr>
            </w:pPr>
          </w:p>
        </w:tc>
      </w:tr>
    </w:tbl>
    <w:p>
      <w:pPr>
        <w:shd w:val="clear"/>
        <w:adjustRightInd w:val="0"/>
        <w:snapToGrid w:val="0"/>
        <w:ind w:right="-758" w:rightChars="-361" w:firstLine="420" w:firstLineChars="200"/>
        <w:jc w:val="left"/>
        <w:rPr>
          <w:rFonts w:ascii="宋体" w:hAnsi="宋体" w:cs="宋体"/>
          <w:color w:val="000000" w:themeColor="text1"/>
          <w:kern w:val="2"/>
          <w:szCs w:val="21"/>
          <w:highlight w:val="none"/>
          <w14:textFill>
            <w14:solidFill>
              <w14:schemeClr w14:val="tx1"/>
            </w14:solidFill>
          </w14:textFill>
        </w:rPr>
      </w:pPr>
    </w:p>
    <w:p>
      <w:pPr>
        <w:shd w:val="clear"/>
        <w:adjustRightInd w:val="0"/>
        <w:snapToGrid w:val="0"/>
        <w:ind w:right="-758" w:rightChars="-361"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2"/>
          <w:szCs w:val="21"/>
          <w:highlight w:val="none"/>
          <w14:textFill>
            <w14:solidFill>
              <w14:schemeClr w14:val="tx1"/>
            </w14:solidFill>
          </w14:textFill>
        </w:rPr>
        <w:t>注：</w:t>
      </w:r>
    </w:p>
    <w:p>
      <w:pPr>
        <w:shd w:val="clear"/>
        <w:adjustRightInd w:val="0"/>
        <w:snapToGrid w:val="0"/>
        <w:ind w:right="-50" w:rightChars="-24" w:firstLine="420" w:firstLineChars="200"/>
        <w:jc w:val="left"/>
        <w:rPr>
          <w:rFonts w:ascii="宋体" w:hAnsi="宋体" w:cs="宋体"/>
          <w:b/>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1、</w:t>
      </w:r>
      <w:r>
        <w:rPr>
          <w:rFonts w:hint="eastAsia" w:ascii="宋体" w:hAnsi="宋体" w:cs="宋体"/>
          <w:b/>
          <w:bCs/>
          <w:color w:val="000000" w:themeColor="text1"/>
          <w:kern w:val="2"/>
          <w:szCs w:val="21"/>
          <w:highlight w:val="none"/>
          <w14:textFill>
            <w14:solidFill>
              <w14:schemeClr w14:val="tx1"/>
            </w14:solidFill>
          </w14:textFill>
        </w:rPr>
        <w:t>投标人须按招标文件要求进行投标报价，否则由评标委员按否决其投标处理。</w:t>
      </w:r>
    </w:p>
    <w:p>
      <w:pPr>
        <w:shd w:val="clear"/>
        <w:adjustRightInd w:val="0"/>
        <w:snapToGrid w:val="0"/>
        <w:ind w:firstLine="420" w:firstLineChars="200"/>
        <w:jc w:val="left"/>
        <w:rPr>
          <w:rFonts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2、工程费合计金额应与经济标投标书中工程费金额一致。</w:t>
      </w:r>
    </w:p>
    <w:p>
      <w:pPr>
        <w:shd w:val="clear"/>
        <w:adjustRightInd w:val="0"/>
        <w:snapToGrid w:val="0"/>
        <w:ind w:firstLine="420" w:firstLineChars="200"/>
        <w:jc w:val="left"/>
        <w:rPr>
          <w:rFonts w:hint="eastAsia" w:ascii="宋体" w:hAnsi="宋体" w:cs="宋体"/>
          <w:bCs/>
          <w:color w:val="000000" w:themeColor="text1"/>
          <w:kern w:val="2"/>
          <w:szCs w:val="21"/>
          <w:highlight w:val="none"/>
          <w14:textFill>
            <w14:solidFill>
              <w14:schemeClr w14:val="tx1"/>
            </w14:solidFill>
          </w14:textFill>
        </w:rPr>
      </w:pPr>
      <w:r>
        <w:rPr>
          <w:rFonts w:hint="eastAsia" w:ascii="宋体" w:hAnsi="宋体" w:cs="宋体"/>
          <w:bCs/>
          <w:color w:val="000000" w:themeColor="text1"/>
          <w:kern w:val="2"/>
          <w:szCs w:val="21"/>
          <w:highlight w:val="none"/>
          <w14:textFill>
            <w14:solidFill>
              <w14:schemeClr w14:val="tx1"/>
            </w14:solidFill>
          </w14:textFill>
        </w:rPr>
        <w:t>3、工程费合计总报价以万元为单位，小数点后保留二位小数，第三位小数四舍五入。</w:t>
      </w:r>
    </w:p>
    <w:p>
      <w:pPr>
        <w:shd w:val="clear"/>
        <w:tabs>
          <w:tab w:val="left" w:pos="7655"/>
        </w:tabs>
        <w:spacing w:line="320" w:lineRule="exact"/>
        <w:ind w:right="492"/>
        <w:jc w:val="center"/>
        <w:rPr>
          <w:rFonts w:hint="eastAsia" w:ascii="宋体" w:hAnsi="宋体" w:cs="Cambria Math"/>
          <w:color w:val="000000" w:themeColor="text1"/>
          <w:spacing w:val="18"/>
          <w:kern w:val="1"/>
          <w:szCs w:val="21"/>
          <w:highlight w:val="none"/>
          <w14:textFill>
            <w14:solidFill>
              <w14:schemeClr w14:val="tx1"/>
            </w14:solidFill>
          </w14:textFill>
        </w:rPr>
      </w:pPr>
    </w:p>
    <w:p>
      <w:pPr>
        <w:shd w:val="clear"/>
        <w:tabs>
          <w:tab w:val="left" w:pos="7655"/>
        </w:tabs>
        <w:spacing w:line="320" w:lineRule="exact"/>
        <w:ind w:right="492"/>
        <w:jc w:val="center"/>
        <w:rPr>
          <w:rFonts w:hint="eastAsia" w:ascii="宋体" w:hAnsi="宋体" w:cs="Cambria Math"/>
          <w:color w:val="000000" w:themeColor="text1"/>
          <w:spacing w:val="18"/>
          <w:kern w:val="1"/>
          <w:szCs w:val="21"/>
          <w:highlight w:val="none"/>
          <w14:textFill>
            <w14:solidFill>
              <w14:schemeClr w14:val="tx1"/>
            </w14:solidFill>
          </w14:textFill>
        </w:rPr>
      </w:pP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投标人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盖公章</w:t>
      </w:r>
      <w:r>
        <w:rPr>
          <w:rFonts w:hint="eastAsia" w:ascii="宋体" w:hAnsi="宋体" w:cs="Cambria Math"/>
          <w:color w:val="000000" w:themeColor="text1"/>
          <w:spacing w:val="18"/>
          <w:kern w:val="1"/>
          <w:szCs w:val="21"/>
          <w:highlight w:val="none"/>
          <w14:textFill>
            <w14:solidFill>
              <w14:schemeClr w14:val="tx1"/>
            </w14:solidFill>
          </w14:textFill>
        </w:rPr>
        <w:t xml:space="preserve">)    </w:t>
      </w:r>
    </w:p>
    <w:p>
      <w:pPr>
        <w:shd w:val="clear"/>
        <w:tabs>
          <w:tab w:val="left" w:pos="7655"/>
        </w:tabs>
        <w:spacing w:line="320" w:lineRule="exact"/>
        <w:ind w:right="492"/>
        <w:jc w:val="center"/>
        <w:rPr>
          <w:rFonts w:ascii="宋体" w:hAnsi="宋体" w:cs="Cambria Math"/>
          <w:color w:val="000000" w:themeColor="text1"/>
          <w:spacing w:val="18"/>
          <w:kern w:val="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法定代表人或被授权人</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lang w:val="zh-CN"/>
          <w14:textFill>
            <w14:solidFill>
              <w14:schemeClr w14:val="tx1"/>
            </w14:solidFill>
          </w14:textFill>
        </w:rPr>
        <w:t>签字或盖章</w:t>
      </w:r>
      <w:r>
        <w:rPr>
          <w:rFonts w:hint="eastAsia" w:ascii="宋体" w:hAnsi="宋体" w:cs="Cambria Math"/>
          <w:color w:val="000000" w:themeColor="text1"/>
          <w:spacing w:val="18"/>
          <w:kern w:val="1"/>
          <w:szCs w:val="21"/>
          <w:highlight w:val="none"/>
          <w14:textFill>
            <w14:solidFill>
              <w14:schemeClr w14:val="tx1"/>
            </w14:solidFill>
          </w14:textFill>
        </w:rPr>
        <w:t>）</w:t>
      </w:r>
    </w:p>
    <w:p>
      <w:pPr>
        <w:shd w:val="clear"/>
        <w:spacing w:line="360" w:lineRule="auto"/>
        <w:rPr>
          <w:rFonts w:ascii="宋体" w:hAnsi="宋体" w:cs="Cambria Math"/>
          <w:b/>
          <w:color w:val="000000" w:themeColor="text1"/>
          <w:szCs w:val="21"/>
          <w:highlight w:val="none"/>
          <w14:textFill>
            <w14:solidFill>
              <w14:schemeClr w14:val="tx1"/>
            </w14:solidFill>
          </w14:textFill>
        </w:rPr>
      </w:pPr>
      <w:r>
        <w:rPr>
          <w:rFonts w:hint="eastAsia" w:ascii="宋体" w:hAnsi="宋体" w:cs="Cambria Math"/>
          <w:color w:val="000000" w:themeColor="text1"/>
          <w:spacing w:val="18"/>
          <w:kern w:val="1"/>
          <w:szCs w:val="21"/>
          <w:highlight w:val="non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日期</w:t>
      </w:r>
      <w:r>
        <w:rPr>
          <w:rFonts w:hint="eastAsia" w:ascii="宋体" w:hAnsi="宋体" w:cs="Cambria Math"/>
          <w:color w:val="000000" w:themeColor="text1"/>
          <w:spacing w:val="18"/>
          <w:kern w:val="1"/>
          <w:szCs w:val="21"/>
          <w:highlight w:val="none"/>
          <w14:textFill>
            <w14:solidFill>
              <w14:schemeClr w14:val="tx1"/>
            </w14:solidFill>
          </w14:textFill>
        </w:rPr>
        <w:t>：</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年</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月</w:t>
      </w:r>
      <w:r>
        <w:rPr>
          <w:rFonts w:hint="eastAsia" w:ascii="宋体" w:hAnsi="宋体" w:cs="Cambria Math"/>
          <w:color w:val="000000" w:themeColor="text1"/>
          <w:spacing w:val="18"/>
          <w:kern w:val="1"/>
          <w:szCs w:val="21"/>
          <w:highlight w:val="none"/>
          <w:u w:val="single"/>
          <w14:textFill>
            <w14:solidFill>
              <w14:schemeClr w14:val="tx1"/>
            </w14:solidFill>
          </w14:textFill>
        </w:rPr>
        <w:t xml:space="preserve">   </w:t>
      </w:r>
      <w:r>
        <w:rPr>
          <w:rFonts w:hint="eastAsia" w:ascii="宋体" w:hAnsi="宋体" w:cs="Cambria Math"/>
          <w:color w:val="000000" w:themeColor="text1"/>
          <w:spacing w:val="18"/>
          <w:kern w:val="1"/>
          <w:szCs w:val="21"/>
          <w:highlight w:val="none"/>
          <w:lang w:val="zh-CN"/>
          <w14:textFill>
            <w14:solidFill>
              <w14:schemeClr w14:val="tx1"/>
            </w14:solidFill>
          </w14:textFill>
        </w:rPr>
        <w:t>日</w:t>
      </w:r>
    </w:p>
    <w:p>
      <w:pPr>
        <w:pStyle w:val="2"/>
        <w:shd w:val="clear"/>
        <w:rPr>
          <w:color w:val="000000" w:themeColor="text1"/>
          <w:highlight w:val="none"/>
          <w14:textFill>
            <w14:solidFill>
              <w14:schemeClr w14:val="tx1"/>
            </w14:solidFill>
          </w14:textFill>
        </w:rPr>
      </w:pPr>
    </w:p>
    <w:p>
      <w:pPr>
        <w:shd w:val="clea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shd w:val="clear"/>
        <w:rPr>
          <w:color w:val="000000" w:themeColor="text1"/>
          <w:highlight w:val="none"/>
          <w14:textFill>
            <w14:solidFill>
              <w14:schemeClr w14:val="tx1"/>
            </w14:solidFill>
          </w14:textFill>
        </w:rPr>
      </w:pPr>
    </w:p>
    <w:p>
      <w:pPr>
        <w:pStyle w:val="2"/>
        <w:shd w:val="clear"/>
        <w:spacing w:line="360" w:lineRule="auto"/>
        <w:rPr>
          <w:rFonts w:cs="宋体"/>
          <w:b/>
          <w:color w:val="000000" w:themeColor="text1"/>
          <w:kern w:val="1"/>
          <w:sz w:val="24"/>
          <w:highlight w:val="none"/>
          <w14:textFill>
            <w14:solidFill>
              <w14:schemeClr w14:val="tx1"/>
            </w14:solidFill>
          </w14:textFill>
        </w:rPr>
      </w:pPr>
      <w:r>
        <w:rPr>
          <w:rFonts w:hint="eastAsia" w:cs="宋体"/>
          <w:b/>
          <w:color w:val="000000" w:themeColor="text1"/>
          <w:kern w:val="1"/>
          <w:sz w:val="24"/>
          <w:highlight w:val="none"/>
          <w14:textFill>
            <w14:solidFill>
              <w14:schemeClr w14:val="tx1"/>
            </w14:solidFill>
          </w14:textFill>
        </w:rPr>
        <w:t>格式</w:t>
      </w:r>
      <w:r>
        <w:rPr>
          <w:rFonts w:hint="eastAsia" w:cs="宋体"/>
          <w:b/>
          <w:color w:val="000000" w:themeColor="text1"/>
          <w:kern w:val="1"/>
          <w:sz w:val="24"/>
          <w:highlight w:val="none"/>
          <w:lang w:val="en-US" w:eastAsia="zh-CN"/>
          <w14:textFill>
            <w14:solidFill>
              <w14:schemeClr w14:val="tx1"/>
            </w14:solidFill>
          </w14:textFill>
        </w:rPr>
        <w:t>5</w:t>
      </w:r>
      <w:r>
        <w:rPr>
          <w:rFonts w:hint="eastAsia" w:cs="宋体"/>
          <w:b/>
          <w:color w:val="000000" w:themeColor="text1"/>
          <w:kern w:val="1"/>
          <w:sz w:val="24"/>
          <w:highlight w:val="none"/>
          <w14:textFill>
            <w14:solidFill>
              <w14:schemeClr w14:val="tx1"/>
            </w14:solidFill>
          </w14:textFill>
        </w:rPr>
        <w:t>：</w:t>
      </w: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bookmarkStart w:id="417" w:name="_Hlk56677631"/>
      <w:r>
        <w:rPr>
          <w:rFonts w:hint="eastAsia" w:ascii="宋体" w:hAnsi="宋体" w:cs="宋体"/>
          <w:b/>
          <w:bCs/>
          <w:color w:val="000000" w:themeColor="text1"/>
          <w:sz w:val="28"/>
          <w:szCs w:val="28"/>
          <w:highlight w:val="none"/>
          <w:lang w:val="zh-CN"/>
          <w14:textFill>
            <w14:solidFill>
              <w14:schemeClr w14:val="tx1"/>
            </w14:solidFill>
          </w14:textFill>
        </w:rPr>
        <w:t>参与编制</w:t>
      </w:r>
      <w:bookmarkStart w:id="418" w:name="_Hlk69828595"/>
      <w:r>
        <w:rPr>
          <w:rFonts w:hint="eastAsia" w:ascii="宋体" w:hAnsi="宋体" w:cs="宋体"/>
          <w:b/>
          <w:bCs/>
          <w:color w:val="000000" w:themeColor="text1"/>
          <w:sz w:val="28"/>
          <w:szCs w:val="28"/>
          <w:highlight w:val="none"/>
          <w:lang w:val="zh-CN"/>
          <w14:textFill>
            <w14:solidFill>
              <w14:schemeClr w14:val="tx1"/>
            </w14:solidFill>
          </w14:textFill>
        </w:rPr>
        <w:t>工程总承包实施方案经济投标文件</w:t>
      </w:r>
      <w:bookmarkEnd w:id="418"/>
      <w:r>
        <w:rPr>
          <w:rFonts w:hint="eastAsia" w:ascii="宋体" w:hAnsi="宋体" w:cs="宋体"/>
          <w:b/>
          <w:bCs/>
          <w:color w:val="000000" w:themeColor="text1"/>
          <w:sz w:val="28"/>
          <w:szCs w:val="28"/>
          <w:highlight w:val="none"/>
          <w:lang w:val="zh-CN"/>
          <w14:textFill>
            <w14:solidFill>
              <w14:schemeClr w14:val="tx1"/>
            </w14:solidFill>
          </w14:textFill>
        </w:rPr>
        <w:t>人员名单</w:t>
      </w:r>
      <w:bookmarkEnd w:id="417"/>
    </w:p>
    <w:tbl>
      <w:tblPr>
        <w:tblStyle w:val="34"/>
        <w:tblW w:w="9453" w:type="dxa"/>
        <w:tblInd w:w="0" w:type="dxa"/>
        <w:tblLayout w:type="fixed"/>
        <w:tblCellMar>
          <w:top w:w="0" w:type="dxa"/>
          <w:left w:w="108" w:type="dxa"/>
          <w:bottom w:w="0" w:type="dxa"/>
          <w:right w:w="108" w:type="dxa"/>
        </w:tblCellMar>
      </w:tblPr>
      <w:tblGrid>
        <w:gridCol w:w="1182"/>
        <w:gridCol w:w="1375"/>
        <w:gridCol w:w="3221"/>
        <w:gridCol w:w="3675"/>
      </w:tblGrid>
      <w:tr>
        <w:tblPrEx>
          <w:tblCellMar>
            <w:top w:w="0" w:type="dxa"/>
            <w:left w:w="108" w:type="dxa"/>
            <w:bottom w:w="0" w:type="dxa"/>
            <w:right w:w="108" w:type="dxa"/>
          </w:tblCellMar>
        </w:tblPrEx>
        <w:trPr>
          <w:trHeight w:val="462" w:hRule="atLeast"/>
        </w:trPr>
        <w:tc>
          <w:tcPr>
            <w:tcW w:w="1182" w:type="dxa"/>
            <w:tcBorders>
              <w:top w:val="single" w:color="000000" w:sz="4"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姓名</w:t>
            </w:r>
          </w:p>
        </w:tc>
        <w:tc>
          <w:tcPr>
            <w:tcW w:w="1375" w:type="dxa"/>
            <w:tcBorders>
              <w:top w:val="single" w:color="000000" w:sz="4"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职务</w:t>
            </w:r>
          </w:p>
        </w:tc>
        <w:tc>
          <w:tcPr>
            <w:tcW w:w="3221" w:type="dxa"/>
            <w:tcBorders>
              <w:top w:val="single" w:color="000000" w:sz="4"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所承担工作</w:t>
            </w:r>
          </w:p>
        </w:tc>
        <w:tc>
          <w:tcPr>
            <w:tcW w:w="3675" w:type="dxa"/>
            <w:tcBorders>
              <w:top w:val="single" w:color="000000" w:sz="4"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Cs w:val="21"/>
                <w:highlight w:val="none"/>
                <w14:textFill>
                  <w14:solidFill>
                    <w14:schemeClr w14:val="tx1"/>
                  </w14:solidFill>
                </w14:textFill>
              </w:rPr>
              <w:t>本人签名栏</w:t>
            </w:r>
          </w:p>
        </w:tc>
      </w:tr>
      <w:tr>
        <w:tblPrEx>
          <w:tblCellMar>
            <w:top w:w="0" w:type="dxa"/>
            <w:left w:w="108" w:type="dxa"/>
            <w:bottom w:w="0" w:type="dxa"/>
            <w:right w:w="108" w:type="dxa"/>
          </w:tblCellMar>
        </w:tblPrEx>
        <w:trPr>
          <w:trHeight w:val="468"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46"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52" w:hRule="atLeast"/>
        </w:trPr>
        <w:tc>
          <w:tcPr>
            <w:tcW w:w="1182" w:type="dxa"/>
            <w:tcBorders>
              <w:top w:val="single" w:color="000000" w:sz="6" w:space="0"/>
              <w:left w:val="single" w:color="000000" w:sz="4"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6"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6"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r>
        <w:tblPrEx>
          <w:tblCellMar>
            <w:top w:w="0" w:type="dxa"/>
            <w:left w:w="108" w:type="dxa"/>
            <w:bottom w:w="0" w:type="dxa"/>
            <w:right w:w="108" w:type="dxa"/>
          </w:tblCellMar>
        </w:tblPrEx>
        <w:trPr>
          <w:trHeight w:val="472" w:hRule="atLeast"/>
        </w:trPr>
        <w:tc>
          <w:tcPr>
            <w:tcW w:w="1182" w:type="dxa"/>
            <w:tcBorders>
              <w:top w:val="single" w:color="000000" w:sz="6" w:space="0"/>
              <w:left w:val="single" w:color="000000" w:sz="4" w:space="0"/>
              <w:bottom w:val="single" w:color="000000" w:sz="4"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1375" w:type="dxa"/>
            <w:tcBorders>
              <w:top w:val="single" w:color="000000" w:sz="6" w:space="0"/>
              <w:left w:val="single" w:color="000000" w:sz="6" w:space="0"/>
              <w:bottom w:val="single" w:color="000000" w:sz="4"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221" w:type="dxa"/>
            <w:tcBorders>
              <w:top w:val="single" w:color="000000" w:sz="6" w:space="0"/>
              <w:left w:val="single" w:color="000000" w:sz="6" w:space="0"/>
              <w:bottom w:val="single" w:color="000000" w:sz="4" w:space="0"/>
              <w:right w:val="single" w:color="000000" w:sz="6"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c>
          <w:tcPr>
            <w:tcW w:w="3675" w:type="dxa"/>
            <w:tcBorders>
              <w:top w:val="single" w:color="000000" w:sz="6" w:space="0"/>
              <w:left w:val="single" w:color="000000" w:sz="6" w:space="0"/>
              <w:bottom w:val="single" w:color="000000" w:sz="4" w:space="0"/>
              <w:right w:val="single" w:color="000000" w:sz="4" w:space="0"/>
            </w:tcBorders>
            <w:vAlign w:val="center"/>
          </w:tcPr>
          <w:p>
            <w:pPr>
              <w:shd w:val="clear"/>
              <w:tabs>
                <w:tab w:val="left" w:pos="0"/>
                <w:tab w:val="left" w:pos="720"/>
              </w:tabs>
              <w:spacing w:line="360" w:lineRule="auto"/>
              <w:jc w:val="center"/>
              <w:rPr>
                <w:rFonts w:ascii="宋体" w:hAnsi="宋体" w:cs="宋体"/>
                <w:color w:val="000000" w:themeColor="text1"/>
                <w:kern w:val="1"/>
                <w:szCs w:val="21"/>
                <w:highlight w:val="none"/>
                <w14:textFill>
                  <w14:solidFill>
                    <w14:schemeClr w14:val="tx1"/>
                  </w14:solidFill>
                </w14:textFill>
              </w:rPr>
            </w:pPr>
          </w:p>
        </w:tc>
      </w:tr>
    </w:tbl>
    <w:p>
      <w:pPr>
        <w:shd w:val="clear"/>
        <w:tabs>
          <w:tab w:val="left" w:pos="720"/>
        </w:tabs>
        <w:spacing w:line="360" w:lineRule="auto"/>
        <w:rPr>
          <w:rFonts w:ascii="宋体" w:hAnsi="宋体" w:cs="宋体"/>
          <w:color w:val="000000" w:themeColor="text1"/>
          <w:kern w:val="1"/>
          <w:sz w:val="18"/>
          <w:szCs w:val="18"/>
          <w:highlight w:val="none"/>
          <w14:textFill>
            <w14:solidFill>
              <w14:schemeClr w14:val="tx1"/>
            </w14:solidFill>
          </w14:textFill>
        </w:rPr>
      </w:pPr>
      <w:r>
        <w:rPr>
          <w:rFonts w:hint="eastAsia" w:ascii="宋体" w:hAnsi="宋体" w:cs="宋体"/>
          <w:color w:val="000000" w:themeColor="text1"/>
          <w:kern w:val="1"/>
          <w:sz w:val="18"/>
          <w:szCs w:val="18"/>
          <w:highlight w:val="none"/>
          <w14:textFill>
            <w14:solidFill>
              <w14:schemeClr w14:val="tx1"/>
            </w14:solidFill>
          </w14:textFill>
        </w:rPr>
        <w:t>注：参与编制标书所有人员名单应包括编制投标报价、负责清样校对、负责打印及复印等所有人员在内的人员名单。</w:t>
      </w:r>
    </w:p>
    <w:p>
      <w:pPr>
        <w:shd w:val="clear"/>
        <w:spacing w:line="360" w:lineRule="auto"/>
        <w:rPr>
          <w:rFonts w:ascii="宋体" w:hAnsi="宋体" w:cs="宋体"/>
          <w:b/>
          <w:color w:val="000000" w:themeColor="text1"/>
          <w:kern w:val="1"/>
          <w:sz w:val="36"/>
          <w:szCs w:val="36"/>
          <w:highlight w:val="none"/>
          <w14:textFill>
            <w14:solidFill>
              <w14:schemeClr w14:val="tx1"/>
            </w14:solidFill>
          </w14:textFill>
        </w:rPr>
      </w:pPr>
    </w:p>
    <w:p>
      <w:pPr>
        <w:shd w:val="clear"/>
        <w:spacing w:line="360" w:lineRule="auto"/>
        <w:jc w:val="center"/>
        <w:rPr>
          <w:rFonts w:ascii="宋体" w:hAnsi="宋体" w:cs="宋体"/>
          <w:b/>
          <w:color w:val="000000" w:themeColor="text1"/>
          <w:kern w:val="1"/>
          <w:sz w:val="24"/>
          <w:szCs w:val="24"/>
          <w:highlight w:val="none"/>
          <w14:textFill>
            <w14:solidFill>
              <w14:schemeClr w14:val="tx1"/>
            </w14:solidFill>
          </w14:textFill>
        </w:rPr>
      </w:pPr>
      <w:r>
        <w:rPr>
          <w:rFonts w:ascii="宋体" w:hAnsi="宋体" w:cs="宋体"/>
          <w:b/>
          <w:color w:val="000000" w:themeColor="text1"/>
          <w:kern w:val="1"/>
          <w:sz w:val="36"/>
          <w:szCs w:val="36"/>
          <w:highlight w:val="none"/>
          <w14:textFill>
            <w14:solidFill>
              <w14:schemeClr w14:val="tx1"/>
            </w14:solidFill>
          </w14:textFill>
        </w:rPr>
        <w:br w:type="page"/>
      </w:r>
    </w:p>
    <w:p>
      <w:pPr>
        <w:shd w:val="clear"/>
        <w:spacing w:line="360" w:lineRule="auto"/>
        <w:rPr>
          <w:rFonts w:hint="eastAsia" w:ascii="宋体" w:hAnsi="宋体" w:eastAsia="宋体" w:cs="宋体"/>
          <w:b/>
          <w:color w:val="000000" w:themeColor="text1"/>
          <w:kern w:val="1"/>
          <w:sz w:val="24"/>
          <w:highlight w:val="none"/>
          <w:lang w:val="en-US" w:eastAsia="zh-CN"/>
          <w14:textFill>
            <w14:solidFill>
              <w14:schemeClr w14:val="tx1"/>
            </w14:solidFill>
          </w14:textFill>
        </w:rPr>
      </w:pPr>
      <w:r>
        <w:rPr>
          <w:rFonts w:hint="eastAsia" w:ascii="宋体" w:hAnsi="宋体" w:cs="宋体"/>
          <w:b/>
          <w:color w:val="000000" w:themeColor="text1"/>
          <w:kern w:val="1"/>
          <w:sz w:val="24"/>
          <w:highlight w:val="none"/>
          <w:lang w:val="zh-CN"/>
          <w14:textFill>
            <w14:solidFill>
              <w14:schemeClr w14:val="tx1"/>
            </w14:solidFill>
          </w14:textFill>
        </w:rPr>
        <w:t>格式</w:t>
      </w:r>
      <w:r>
        <w:rPr>
          <w:rFonts w:hint="eastAsia" w:ascii="宋体" w:hAnsi="宋体" w:cs="宋体"/>
          <w:b/>
          <w:color w:val="000000" w:themeColor="text1"/>
          <w:kern w:val="1"/>
          <w:sz w:val="24"/>
          <w:highlight w:val="none"/>
          <w:lang w:val="en-US" w:eastAsia="zh-CN"/>
          <w14:textFill>
            <w14:solidFill>
              <w14:schemeClr w14:val="tx1"/>
            </w14:solidFill>
          </w14:textFill>
        </w:rPr>
        <w:t>6</w:t>
      </w:r>
      <w:r>
        <w:rPr>
          <w:rFonts w:hint="eastAsia" w:ascii="宋体" w:hAnsi="宋体" w:cs="宋体"/>
          <w:b/>
          <w:color w:val="000000" w:themeColor="text1"/>
          <w:kern w:val="1"/>
          <w:sz w:val="24"/>
          <w:highlight w:val="none"/>
          <w:lang w:val="zh-CN"/>
          <w14:textFill>
            <w14:solidFill>
              <w14:schemeClr w14:val="tx1"/>
            </w14:solidFill>
          </w14:textFill>
        </w:rPr>
        <w:t xml:space="preserve">： </w:t>
      </w:r>
    </w:p>
    <w:p>
      <w:pPr>
        <w:pStyle w:val="2"/>
        <w:shd w:val="clear"/>
        <w:spacing w:line="360" w:lineRule="auto"/>
        <w:rPr>
          <w:color w:val="000000" w:themeColor="text1"/>
          <w:highlight w:val="none"/>
          <w14:textFill>
            <w14:solidFill>
              <w14:schemeClr w14:val="tx1"/>
            </w14:solidFill>
          </w14:textFill>
        </w:rPr>
      </w:pP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hint="eastAsia" w:ascii="宋体" w:hAnsi="宋体" w:cs="宋体"/>
          <w:b/>
          <w:bCs/>
          <w:color w:val="000000" w:themeColor="text1"/>
          <w:sz w:val="28"/>
          <w:szCs w:val="28"/>
          <w:highlight w:val="none"/>
          <w:lang w:val="zh-CN"/>
          <w14:textFill>
            <w14:solidFill>
              <w14:schemeClr w14:val="tx1"/>
            </w14:solidFill>
          </w14:textFill>
        </w:rPr>
        <w:t>投标人认为应该提供的其他资料</w:t>
      </w:r>
    </w:p>
    <w:p>
      <w:pPr>
        <w:pStyle w:val="32"/>
        <w:shd w:val="clear"/>
        <w:spacing w:line="360" w:lineRule="auto"/>
        <w:ind w:firstLine="0"/>
        <w:rPr>
          <w:rFonts w:ascii="宋体" w:hAnsi="宋体" w:cs="宋体"/>
          <w:b/>
          <w:bCs/>
          <w:color w:val="000000" w:themeColor="text1"/>
          <w:sz w:val="28"/>
          <w:szCs w:val="28"/>
          <w:highlight w:val="none"/>
          <w:lang w:val="zh-CN"/>
          <w14:textFill>
            <w14:solidFill>
              <w14:schemeClr w14:val="tx1"/>
            </w14:solidFill>
          </w14:textFill>
        </w:rPr>
      </w:pPr>
    </w:p>
    <w:p>
      <w:pPr>
        <w:pStyle w:val="32"/>
        <w:shd w:val="clear"/>
        <w:spacing w:line="360" w:lineRule="auto"/>
        <w:ind w:left="-2" w:firstLine="632"/>
        <w:jc w:val="center"/>
        <w:rPr>
          <w:rFonts w:ascii="宋体" w:hAnsi="宋体" w:cs="宋体"/>
          <w:b/>
          <w:bCs/>
          <w:color w:val="000000" w:themeColor="text1"/>
          <w:sz w:val="28"/>
          <w:szCs w:val="28"/>
          <w:highlight w:val="none"/>
          <w:lang w:val="zh-CN"/>
          <w14:textFill>
            <w14:solidFill>
              <w14:schemeClr w14:val="tx1"/>
            </w14:solidFill>
          </w14:textFill>
        </w:rPr>
      </w:pPr>
      <w:r>
        <w:rPr>
          <w:rFonts w:ascii="宋体" w:hAnsi="宋体" w:cs="宋体"/>
          <w:b/>
          <w:bCs/>
          <w:color w:val="000000" w:themeColor="text1"/>
          <w:sz w:val="28"/>
          <w:szCs w:val="28"/>
          <w:highlight w:val="none"/>
          <w:lang w:val="zh-CN"/>
          <w14:textFill>
            <w14:solidFill>
              <w14:schemeClr w14:val="tx1"/>
            </w14:solidFill>
          </w14:textFill>
        </w:rPr>
        <w:br w:type="page"/>
      </w:r>
    </w:p>
    <w:p>
      <w:pPr>
        <w:pStyle w:val="3"/>
        <w:shd w:val="clear"/>
        <w:spacing w:line="360" w:lineRule="auto"/>
        <w:jc w:val="center"/>
        <w:rPr>
          <w:rFonts w:ascii="宋体" w:hAnsi="宋体" w:cs="方正大标宋简体"/>
          <w:color w:val="000000" w:themeColor="text1"/>
          <w:sz w:val="32"/>
          <w:szCs w:val="32"/>
          <w:highlight w:val="none"/>
          <w:lang w:bidi="ar"/>
          <w14:textFill>
            <w14:solidFill>
              <w14:schemeClr w14:val="tx1"/>
            </w14:solidFill>
          </w14:textFill>
        </w:rPr>
      </w:pPr>
      <w:bookmarkStart w:id="419" w:name="_Toc9619"/>
      <w:bookmarkStart w:id="420" w:name="_Toc5889"/>
      <w:bookmarkStart w:id="421" w:name="_Toc19024"/>
      <w:r>
        <w:rPr>
          <w:rFonts w:hint="eastAsia" w:ascii="宋体" w:hAnsi="宋体" w:cs="方正大标宋简体"/>
          <w:color w:val="000000" w:themeColor="text1"/>
          <w:sz w:val="32"/>
          <w:szCs w:val="32"/>
          <w:highlight w:val="none"/>
          <w:lang w:bidi="ar"/>
          <w14:textFill>
            <w14:solidFill>
              <w14:schemeClr w14:val="tx1"/>
            </w14:solidFill>
          </w14:textFill>
        </w:rPr>
        <w:t>第八章 招标控制价细项汇总表</w:t>
      </w:r>
      <w:bookmarkEnd w:id="419"/>
      <w:bookmarkEnd w:id="420"/>
      <w:bookmarkEnd w:id="421"/>
    </w:p>
    <w:p>
      <w:pPr>
        <w:shd w:val="clea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 广州设计之都嘉禾片区项目三期勘察设计采购施工一体化</w:t>
      </w:r>
    </w:p>
    <w:tbl>
      <w:tblPr>
        <w:tblStyle w:val="34"/>
        <w:tblW w:w="9201" w:type="dxa"/>
        <w:tblInd w:w="0" w:type="dxa"/>
        <w:shd w:val="clear" w:color="auto" w:fill="auto"/>
        <w:tblLayout w:type="fixed"/>
        <w:tblCellMar>
          <w:top w:w="0" w:type="dxa"/>
          <w:left w:w="0" w:type="dxa"/>
          <w:bottom w:w="0" w:type="dxa"/>
          <w:right w:w="0" w:type="dxa"/>
        </w:tblCellMar>
      </w:tblPr>
      <w:tblGrid>
        <w:gridCol w:w="653"/>
        <w:gridCol w:w="1217"/>
        <w:gridCol w:w="1231"/>
        <w:gridCol w:w="838"/>
        <w:gridCol w:w="929"/>
        <w:gridCol w:w="1126"/>
        <w:gridCol w:w="1675"/>
        <w:gridCol w:w="1532"/>
      </w:tblGrid>
      <w:tr>
        <w:tblPrEx>
          <w:shd w:val="clear" w:color="auto" w:fill="auto"/>
          <w:tblCellMar>
            <w:top w:w="0" w:type="dxa"/>
            <w:left w:w="0" w:type="dxa"/>
            <w:bottom w:w="0" w:type="dxa"/>
            <w:right w:w="0" w:type="dxa"/>
          </w:tblCellMar>
        </w:tblPrEx>
        <w:trPr>
          <w:trHeight w:val="419"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w:t>
            </w:r>
          </w:p>
        </w:tc>
        <w:tc>
          <w:tcPr>
            <w:tcW w:w="7331" w:type="dxa"/>
            <w:gridSpan w:val="6"/>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费用</w:t>
            </w:r>
          </w:p>
        </w:tc>
      </w:tr>
      <w:tr>
        <w:tblPrEx>
          <w:tblCellMar>
            <w:top w:w="0" w:type="dxa"/>
            <w:left w:w="0" w:type="dxa"/>
            <w:bottom w:w="0" w:type="dxa"/>
            <w:right w:w="0" w:type="dxa"/>
          </w:tblCellMar>
        </w:tblPrEx>
        <w:trPr>
          <w:trHeight w:val="419"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一</w:t>
            </w:r>
          </w:p>
        </w:tc>
        <w:tc>
          <w:tcPr>
            <w:tcW w:w="8548"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勘察费</w:t>
            </w:r>
          </w:p>
        </w:tc>
      </w:tr>
      <w:tr>
        <w:tblPrEx>
          <w:tblCellMar>
            <w:top w:w="0" w:type="dxa"/>
            <w:left w:w="0" w:type="dxa"/>
            <w:bottom w:w="0" w:type="dxa"/>
            <w:right w:w="0" w:type="dxa"/>
          </w:tblCellMar>
        </w:tblPrEx>
        <w:trPr>
          <w:trHeight w:val="740"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项目</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暂定</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工作量</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单位</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名称</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含税综合单价（元）</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勘察费总价</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（万元）</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100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岩土工程勘察费</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3000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125</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37.50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包括初步勘察、详细勘察、施工阶段勘察及所有实物工作收费、技术工作收费、进退场费、税金等。</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综合包干单价投标报价应不高于</w:t>
            </w:r>
            <w:r>
              <w:rPr>
                <w:rFonts w:hint="eastAsia" w:ascii="宋体" w:hAnsi="宋体" w:eastAsia="宋体" w:cs="宋体"/>
                <w:b/>
                <w:i w:val="0"/>
                <w:color w:val="000000" w:themeColor="text1"/>
                <w:kern w:val="0"/>
                <w:sz w:val="22"/>
                <w:szCs w:val="22"/>
                <w:highlight w:val="none"/>
                <w:u w:val="single"/>
                <w:lang w:val="en-US" w:eastAsia="zh-CN" w:bidi="ar"/>
                <w14:textFill>
                  <w14:solidFill>
                    <w14:schemeClr w14:val="tx1"/>
                  </w14:solidFill>
                </w14:textFill>
              </w:rPr>
              <w:t>125</w:t>
            </w: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元/m</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118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超前钻费用</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15950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105</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167.48</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1.包括所有实物工作收费、技术工作收费、进退场费、税金等。综合包干单价投标报价应不高于</w:t>
            </w:r>
            <w:r>
              <w:rPr>
                <w:rFonts w:hint="eastAsia" w:ascii="宋体" w:hAnsi="宋体" w:eastAsia="宋体" w:cs="宋体"/>
                <w:i w:val="0"/>
                <w:color w:val="000000" w:themeColor="text1"/>
                <w:kern w:val="0"/>
                <w:sz w:val="22"/>
                <w:szCs w:val="22"/>
                <w:highlight w:val="none"/>
                <w:u w:val="single"/>
                <w:lang w:val="en-US" w:eastAsia="zh-CN" w:bidi="ar"/>
                <w14:textFill>
                  <w14:solidFill>
                    <w14:schemeClr w14:val="tx1"/>
                  </w14:solidFill>
                </w14:textFill>
              </w:rPr>
              <w:t>105</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元/m。</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2.本项费用如有发生则据实结算。</w:t>
            </w:r>
          </w:p>
        </w:tc>
      </w:tr>
      <w:tr>
        <w:tblPrEx>
          <w:tblCellMar>
            <w:top w:w="0" w:type="dxa"/>
            <w:left w:w="0" w:type="dxa"/>
            <w:bottom w:w="0" w:type="dxa"/>
            <w:right w:w="0" w:type="dxa"/>
          </w:tblCellMar>
        </w:tblPrEx>
        <w:trPr>
          <w:trHeight w:val="193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工程物探费</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30000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1.5</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4.50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地下物物探（含管线探测），包括地下和地上架空电缆测量、工业管线测量、上下水管道测量、地下和地上架空电缆探测、金属管线探测、非金属管线探测、下水道探测、技术工作费、地下建构筑物，查明探测范围内各专业管线走向、位置和标高等等工作内容。</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综合包干单价投标报价应不高于1.5元/㎡。</w:t>
            </w:r>
          </w:p>
        </w:tc>
      </w:tr>
      <w:tr>
        <w:tblPrEx>
          <w:shd w:val="clear" w:color="auto" w:fill="auto"/>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抽水试验</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10000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4.00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综合包干单价投标报价应不高于10000元/个。</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5</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剪切波速</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2500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综合包干单价投标报价应不高于2500元/个。</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6</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土壤氡浓度测试</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130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点</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120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1.56</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综合包干单价投标报价应不高于120元/点。</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7</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噪声测试</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项</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3000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0.30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综合包干单价投标报价应不高于3000元/项。</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CT剖面</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个</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33000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33.00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综合包干单价投标报价应不高于33000元/个，已综合考虑钻探、管材、检测、检测等费用。</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9</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PVC下管</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1000</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m</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35</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3.50</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综合包干单价投标报价应不高于35元/m。</w:t>
            </w:r>
          </w:p>
        </w:tc>
      </w:tr>
      <w:tr>
        <w:tblPrEx>
          <w:tblCellMar>
            <w:top w:w="0" w:type="dxa"/>
            <w:left w:w="0" w:type="dxa"/>
            <w:bottom w:w="0" w:type="dxa"/>
            <w:right w:w="0" w:type="dxa"/>
          </w:tblCellMar>
        </w:tblPrEx>
        <w:trPr>
          <w:trHeight w:val="64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10</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管波探测</w:t>
            </w:r>
          </w:p>
        </w:tc>
        <w:tc>
          <w:tcPr>
            <w:tcW w:w="123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w:t>
            </w:r>
          </w:p>
        </w:tc>
        <w:tc>
          <w:tcPr>
            <w:tcW w:w="83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孔</w:t>
            </w:r>
          </w:p>
        </w:tc>
        <w:tc>
          <w:tcPr>
            <w:tcW w:w="92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2300</w:t>
            </w:r>
          </w:p>
        </w:tc>
        <w:tc>
          <w:tcPr>
            <w:tcW w:w="112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0.46</w:t>
            </w:r>
          </w:p>
        </w:tc>
        <w:tc>
          <w:tcPr>
            <w:tcW w:w="3207"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w:t>
            </w:r>
            <w:r>
              <w:rPr>
                <w:rFonts w:hint="eastAsia" w:ascii="宋体" w:hAnsi="宋体" w:cs="宋体"/>
                <w:i w:val="0"/>
                <w:color w:val="000000" w:themeColor="text1"/>
                <w:kern w:val="0"/>
                <w:sz w:val="22"/>
                <w:szCs w:val="22"/>
                <w:highlight w:val="none"/>
                <w:u w:val="none"/>
                <w:lang w:val="en-US" w:eastAsia="zh-CN" w:bidi="ar"/>
                <w14:textFill>
                  <w14:solidFill>
                    <w14:schemeClr w14:val="tx1"/>
                  </w14:solidFill>
                </w14:textFill>
              </w:rPr>
              <w:t>干</w:t>
            </w: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单价投标报价应不高于 2300元/孔。</w:t>
            </w:r>
          </w:p>
        </w:tc>
      </w:tr>
      <w:tr>
        <w:tblPrEx>
          <w:tblCellMar>
            <w:top w:w="0" w:type="dxa"/>
            <w:left w:w="0" w:type="dxa"/>
            <w:bottom w:w="0" w:type="dxa"/>
            <w:right w:w="0" w:type="dxa"/>
          </w:tblCellMar>
        </w:tblPrEx>
        <w:trPr>
          <w:trHeight w:val="560"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c>
          <w:tcPr>
            <w:tcW w:w="3286"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勘察费小计(万元)</w:t>
            </w:r>
          </w:p>
        </w:tc>
        <w:tc>
          <w:tcPr>
            <w:tcW w:w="5262" w:type="dxa"/>
            <w:gridSpan w:val="4"/>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253.30</w:t>
            </w:r>
          </w:p>
        </w:tc>
      </w:tr>
      <w:tr>
        <w:tblPrEx>
          <w:shd w:val="clear" w:color="auto" w:fill="auto"/>
          <w:tblCellMar>
            <w:top w:w="0" w:type="dxa"/>
            <w:left w:w="0" w:type="dxa"/>
            <w:bottom w:w="0" w:type="dxa"/>
            <w:right w:w="0" w:type="dxa"/>
          </w:tblCellMar>
        </w:tblPrEx>
        <w:trPr>
          <w:trHeight w:val="599"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二</w:t>
            </w:r>
          </w:p>
        </w:tc>
        <w:tc>
          <w:tcPr>
            <w:tcW w:w="8548" w:type="dxa"/>
            <w:gridSpan w:val="7"/>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设计费</w:t>
            </w:r>
          </w:p>
        </w:tc>
      </w:tr>
      <w:tr>
        <w:tblPrEx>
          <w:tblCellMar>
            <w:top w:w="0" w:type="dxa"/>
            <w:left w:w="0" w:type="dxa"/>
            <w:bottom w:w="0" w:type="dxa"/>
            <w:right w:w="0" w:type="dxa"/>
          </w:tblCellMar>
        </w:tblPrEx>
        <w:trPr>
          <w:trHeight w:val="825"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项目</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暂定建筑面积（m2）</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含税综合包干单价（元）</w:t>
            </w:r>
          </w:p>
        </w:tc>
        <w:tc>
          <w:tcPr>
            <w:tcW w:w="167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设计费总价（万元）</w:t>
            </w:r>
          </w:p>
        </w:tc>
        <w:tc>
          <w:tcPr>
            <w:tcW w:w="153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1041"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121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设计费</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82361.70</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89.00</w:t>
            </w:r>
          </w:p>
        </w:tc>
        <w:tc>
          <w:tcPr>
            <w:tcW w:w="167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733.02</w:t>
            </w:r>
          </w:p>
        </w:tc>
        <w:tc>
          <w:tcPr>
            <w:tcW w:w="153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综合包干单价投标报价应不高于89元/m2。</w:t>
            </w:r>
          </w:p>
        </w:tc>
      </w:tr>
      <w:tr>
        <w:tblPrEx>
          <w:tblCellMar>
            <w:top w:w="0" w:type="dxa"/>
            <w:left w:w="0" w:type="dxa"/>
            <w:bottom w:w="0" w:type="dxa"/>
            <w:right w:w="0" w:type="dxa"/>
          </w:tblCellMar>
        </w:tblPrEx>
        <w:trPr>
          <w:trHeight w:val="583" w:hRule="atLeast"/>
        </w:trPr>
        <w:tc>
          <w:tcPr>
            <w:tcW w:w="653"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　</w:t>
            </w:r>
          </w:p>
        </w:tc>
        <w:tc>
          <w:tcPr>
            <w:tcW w:w="3286" w:type="dxa"/>
            <w:gridSpan w:val="3"/>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设计费小计</w:t>
            </w:r>
          </w:p>
        </w:tc>
        <w:tc>
          <w:tcPr>
            <w:tcW w:w="5262" w:type="dxa"/>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733.02</w:t>
            </w:r>
          </w:p>
        </w:tc>
      </w:tr>
      <w:tr>
        <w:tblPrEx>
          <w:tblCellMar>
            <w:top w:w="0" w:type="dxa"/>
            <w:left w:w="0" w:type="dxa"/>
            <w:bottom w:w="0" w:type="dxa"/>
            <w:right w:w="0" w:type="dxa"/>
          </w:tblCellMar>
        </w:tblPrEx>
        <w:trPr>
          <w:trHeight w:val="511"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三</w:t>
            </w:r>
          </w:p>
        </w:tc>
        <w:tc>
          <w:tcPr>
            <w:tcW w:w="3286" w:type="dxa"/>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勘察设计费合计</w:t>
            </w:r>
          </w:p>
        </w:tc>
        <w:tc>
          <w:tcPr>
            <w:tcW w:w="5262" w:type="dxa"/>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default" w:ascii="宋体" w:hAnsi="宋体" w:eastAsia="宋体" w:cs="宋体"/>
                <w:b/>
                <w:i w:val="0"/>
                <w:color w:val="000000" w:themeColor="text1"/>
                <w:sz w:val="22"/>
                <w:szCs w:val="22"/>
                <w:highlight w:val="none"/>
                <w:u w:val="none"/>
                <w:lang w:val="en-US"/>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986.3</w:t>
            </w:r>
            <w:r>
              <w:rPr>
                <w:rFonts w:hint="eastAsia" w:ascii="宋体" w:hAnsi="宋体" w:cs="宋体"/>
                <w:b/>
                <w:i w:val="0"/>
                <w:color w:val="000000" w:themeColor="text1"/>
                <w:kern w:val="0"/>
                <w:sz w:val="22"/>
                <w:szCs w:val="22"/>
                <w:highlight w:val="none"/>
                <w:u w:val="none"/>
                <w:lang w:val="en-US" w:eastAsia="zh-CN" w:bidi="ar"/>
                <w14:textFill>
                  <w14:solidFill>
                    <w14:schemeClr w14:val="tx1"/>
                  </w14:solidFill>
                </w14:textFill>
              </w:rPr>
              <w:t>2</w:t>
            </w:r>
          </w:p>
        </w:tc>
      </w:tr>
      <w:tr>
        <w:tblPrEx>
          <w:tblCellMar>
            <w:top w:w="0" w:type="dxa"/>
            <w:left w:w="0" w:type="dxa"/>
            <w:bottom w:w="0" w:type="dxa"/>
            <w:right w:w="0" w:type="dxa"/>
          </w:tblCellMar>
        </w:tblPrEx>
        <w:trPr>
          <w:trHeight w:val="720"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序号</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工程内容</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暂定建筑面积（m2）</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含税综合包干单价（元）</w:t>
            </w:r>
          </w:p>
        </w:tc>
        <w:tc>
          <w:tcPr>
            <w:tcW w:w="167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工程费总价（万元）</w:t>
            </w:r>
          </w:p>
        </w:tc>
        <w:tc>
          <w:tcPr>
            <w:tcW w:w="1532"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备注</w:t>
            </w:r>
          </w:p>
        </w:tc>
      </w:tr>
      <w:tr>
        <w:tblPrEx>
          <w:tblCellMar>
            <w:top w:w="0" w:type="dxa"/>
            <w:left w:w="0" w:type="dxa"/>
            <w:bottom w:w="0" w:type="dxa"/>
            <w:right w:w="0" w:type="dxa"/>
          </w:tblCellMar>
        </w:tblPrEx>
        <w:trPr>
          <w:trHeight w:val="1201"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1</w:t>
            </w:r>
          </w:p>
        </w:tc>
        <w:tc>
          <w:tcPr>
            <w:tcW w:w="1217"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建筑安装工程费</w:t>
            </w:r>
          </w:p>
        </w:tc>
        <w:tc>
          <w:tcPr>
            <w:tcW w:w="2069" w:type="dxa"/>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82361.70</w:t>
            </w:r>
          </w:p>
        </w:tc>
        <w:tc>
          <w:tcPr>
            <w:tcW w:w="2055" w:type="dxa"/>
            <w:gridSpan w:val="2"/>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4270.00</w:t>
            </w:r>
          </w:p>
        </w:tc>
        <w:tc>
          <w:tcPr>
            <w:tcW w:w="167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35,168.45</w:t>
            </w:r>
          </w:p>
        </w:tc>
        <w:tc>
          <w:tcPr>
            <w:tcW w:w="1532"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综合包干单价投标报价应不高于4270元/m2。</w:t>
            </w:r>
          </w:p>
        </w:tc>
      </w:tr>
      <w:tr>
        <w:tblPrEx>
          <w:tblCellMar>
            <w:top w:w="0" w:type="dxa"/>
            <w:left w:w="0" w:type="dxa"/>
            <w:bottom w:w="0" w:type="dxa"/>
            <w:right w:w="0" w:type="dxa"/>
          </w:tblCellMar>
        </w:tblPrEx>
        <w:trPr>
          <w:trHeight w:val="583"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四</w:t>
            </w:r>
          </w:p>
        </w:tc>
        <w:tc>
          <w:tcPr>
            <w:tcW w:w="3286" w:type="dxa"/>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工程费合计（万元）</w:t>
            </w:r>
          </w:p>
        </w:tc>
        <w:tc>
          <w:tcPr>
            <w:tcW w:w="5262" w:type="dxa"/>
            <w:gridSpan w:val="4"/>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35,168.45</w:t>
            </w:r>
          </w:p>
        </w:tc>
      </w:tr>
      <w:tr>
        <w:tblPrEx>
          <w:tblCellMar>
            <w:top w:w="0" w:type="dxa"/>
            <w:left w:w="0" w:type="dxa"/>
            <w:bottom w:w="0" w:type="dxa"/>
            <w:right w:w="0" w:type="dxa"/>
          </w:tblCellMar>
        </w:tblPrEx>
        <w:trPr>
          <w:trHeight w:val="583" w:hRule="atLeast"/>
        </w:trPr>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五</w:t>
            </w:r>
          </w:p>
        </w:tc>
        <w:tc>
          <w:tcPr>
            <w:tcW w:w="3286" w:type="dxa"/>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合计（万元）</w:t>
            </w:r>
          </w:p>
        </w:tc>
        <w:tc>
          <w:tcPr>
            <w:tcW w:w="3730" w:type="dxa"/>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cs="宋体"/>
                <w:b/>
                <w:i w:val="0"/>
                <w:color w:val="000000" w:themeColor="text1"/>
                <w:kern w:val="0"/>
                <w:sz w:val="22"/>
                <w:szCs w:val="22"/>
                <w:highlight w:val="none"/>
                <w:u w:val="none"/>
                <w:lang w:val="en-US" w:eastAsia="zh-CN" w:bidi="ar"/>
                <w14:textFill>
                  <w14:solidFill>
                    <w14:schemeClr w14:val="tx1"/>
                  </w14:solidFill>
                </w14:textFill>
              </w:rPr>
              <w:t>36,154.77</w:t>
            </w:r>
          </w:p>
        </w:tc>
        <w:tc>
          <w:tcPr>
            <w:tcW w:w="1532"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shd w:val="clear"/>
              <w:jc w:val="center"/>
              <w:textAlignment w:val="center"/>
              <w:rPr>
                <w:rFonts w:hint="eastAsia" w:ascii="宋体" w:hAnsi="宋体" w:eastAsia="宋体" w:cs="宋体"/>
                <w:b/>
                <w:i w:val="0"/>
                <w:color w:val="000000" w:themeColor="text1"/>
                <w:sz w:val="22"/>
                <w:szCs w:val="22"/>
                <w:highlight w:val="none"/>
                <w:u w:val="none"/>
                <w14:textFill>
                  <w14:solidFill>
                    <w14:schemeClr w14:val="tx1"/>
                  </w14:solidFill>
                </w14:textFill>
              </w:rPr>
            </w:pPr>
            <w:r>
              <w:rPr>
                <w:rFonts w:hint="eastAsia" w:ascii="宋体" w:hAnsi="宋体" w:eastAsia="宋体" w:cs="宋体"/>
                <w:b/>
                <w:i w:val="0"/>
                <w:color w:val="000000" w:themeColor="text1"/>
                <w:kern w:val="0"/>
                <w:sz w:val="22"/>
                <w:szCs w:val="22"/>
                <w:highlight w:val="none"/>
                <w:u w:val="none"/>
                <w:lang w:val="en-US" w:eastAsia="zh-CN" w:bidi="ar"/>
                <w14:textFill>
                  <w14:solidFill>
                    <w14:schemeClr w14:val="tx1"/>
                  </w14:solidFill>
                </w14:textFill>
              </w:rPr>
              <w:t>　</w:t>
            </w:r>
          </w:p>
        </w:tc>
      </w:tr>
      <w:tr>
        <w:tblPrEx>
          <w:tblCellMar>
            <w:top w:w="0" w:type="dxa"/>
            <w:left w:w="0" w:type="dxa"/>
            <w:bottom w:w="0" w:type="dxa"/>
            <w:right w:w="0" w:type="dxa"/>
          </w:tblCellMar>
        </w:tblPrEx>
        <w:trPr>
          <w:trHeight w:val="959" w:hRule="atLeast"/>
        </w:trPr>
        <w:tc>
          <w:tcPr>
            <w:tcW w:w="9201"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shd w:val="clear"/>
              <w:jc w:val="left"/>
              <w:textAlignment w:val="center"/>
              <w:rPr>
                <w:rFonts w:hint="eastAsia" w:ascii="宋体" w:hAnsi="宋体" w:eastAsia="宋体" w:cs="宋体"/>
                <w:i w:val="0"/>
                <w:color w:val="000000" w:themeColor="text1"/>
                <w:sz w:val="22"/>
                <w:szCs w:val="22"/>
                <w:highlight w:val="none"/>
                <w:u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注：招标人有权根据实际情况对建设内容进行调整，招标人减少的项目无论有无替代，发包人都不予补偿。</w:t>
            </w:r>
          </w:p>
        </w:tc>
      </w:tr>
    </w:tbl>
    <w:p>
      <w:pPr>
        <w:shd w:val="clear"/>
        <w:rPr>
          <w:color w:val="000000" w:themeColor="text1"/>
          <w:highlight w:val="none"/>
          <w14:textFill>
            <w14:solidFill>
              <w14:schemeClr w14:val="tx1"/>
            </w14:solidFill>
          </w14:textFill>
        </w:rPr>
      </w:pPr>
    </w:p>
    <w:sectPr>
      <w:headerReference r:id="rId19" w:type="default"/>
      <w:footerReference r:id="rId20" w:type="default"/>
      <w:pgSz w:w="11907" w:h="16840"/>
      <w:pgMar w:top="1361" w:right="1304" w:bottom="1304" w:left="1304" w:header="851"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宋体 Std L">
    <w:altName w:val="宋体"/>
    <w:panose1 w:val="00000000000000000000"/>
    <w:charset w:val="86"/>
    <w:family w:val="roman"/>
    <w:pitch w:val="default"/>
    <w:sig w:usb0="00000000" w:usb1="00000000" w:usb2="00000016" w:usb3="00000000" w:csb0="00060007" w:csb1="00000000"/>
  </w:font>
  <w:font w:name="Calisto MT">
    <w:panose1 w:val="02040603050505030304"/>
    <w:charset w:val="00"/>
    <w:family w:val="roman"/>
    <w:pitch w:val="default"/>
    <w:sig w:usb0="00000003" w:usb1="00000000" w:usb2="00000000" w:usb3="00000000" w:csb0="20000001" w:csb1="00000000"/>
  </w:font>
  <w:font w:name="宋体..胭..">
    <w:altName w:val="宋体"/>
    <w:panose1 w:val="00000000000000000000"/>
    <w:charset w:val="86"/>
    <w:family w:val="roma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2100" cy="191770"/>
              <wp:effectExtent l="0" t="0" r="3175"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2100" cy="191770"/>
                      </a:xfrm>
                      <a:prstGeom prst="rect">
                        <a:avLst/>
                      </a:prstGeom>
                      <a:noFill/>
                      <a:ln>
                        <a:noFill/>
                      </a:ln>
                    </wps:spPr>
                    <wps:txbx>
                      <w:txbxContent>
                        <w:p>
                          <w:pPr>
                            <w:pStyle w:val="22"/>
                          </w:pPr>
                          <w:r>
                            <w:fldChar w:fldCharType="begin"/>
                          </w:r>
                          <w:r>
                            <w:instrText xml:space="preserve"> PAGE \* Arabic </w:instrText>
                          </w:r>
                          <w:r>
                            <w:fldChar w:fldCharType="separate"/>
                          </w:r>
                          <w:r>
                            <w:t>26</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5.1pt;width:23pt;mso-position-horizontal:center;mso-position-horizontal-relative:margin;z-index:251662336;mso-width-relative:page;mso-height-relative:page;" filled="f" stroked="f" coordsize="21600,21600" o:gfxdata="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8dqa9MAAAADAQAADwAAAAAA&#10;AAABACAAAAAiAAAAZHJzL2Rvd25yZXYueG1sUEsBAhQAFAAAAAgAh07iQASn82ffAQAAtQMAAA4A&#10;AAAAAAAAAQAgAAAAIgEAAGRycy9lMm9Eb2MueG1sUEsFBgAAAAAGAAYAWQEAAHMFAAAAAA==&#10;">
              <v:fill on="f" focussize="0,0"/>
              <v:stroke on="f"/>
              <v:imagedata o:title=""/>
              <o:lock v:ext="edit" aspectratio="f"/>
              <v:textbox inset="0mm,0mm,0mm,0mm">
                <w:txbxContent>
                  <w:p>
                    <w:pPr>
                      <w:pStyle w:val="22"/>
                    </w:pPr>
                    <w:r>
                      <w:fldChar w:fldCharType="begin"/>
                    </w:r>
                    <w:r>
                      <w:instrText xml:space="preserve"> PAGE \* Arabic </w:instrText>
                    </w:r>
                    <w:r>
                      <w:fldChar w:fldCharType="separate"/>
                    </w:r>
                    <w:r>
                      <w:t>26</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9455"/>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Arabic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t7ikV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Arabic </w:instrText>
                    </w:r>
                    <w:r>
                      <w:fldChar w:fldCharType="separate"/>
                    </w:r>
                    <w:r>
                      <w:t>27</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UKW5A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36</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xNGVb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CVnVhga0aMaA/sEI3sX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7E0ZV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9.15pt;mso-position-horizontal:center;mso-position-horizontal-relative:margin;mso-wrap-style:none;z-index:251663360;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5oPEa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49</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1pt;width:9.15pt;mso-position-horizontal:center;mso-position-horizontal-relative:margin;mso-wrap-style:none;z-index:25166540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BCZ9of4wEAAME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1pt;width:9.15pt;mso-position-horizontal:center;mso-position-horizontal-relative:margin;mso-wrap-style:none;z-index:25166643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LpYU0AAAAAMBAAAPAAAA&#10;AAAAAAEAIAAAACIAAABkcnMvZG93bnJldi54bWxQSwECFAAUAAAACACHTuJAO6CdSuQBAADBAwAA&#10;DgAAAAAAAAABACAAAAAfAQAAZHJzL2Uyb0RvYy54bWxQSwUGAAAAAAYABgBZAQAAd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pPr>
                            <w:pStyle w:val="22"/>
                          </w:pPr>
                          <w:r>
                            <w:fldChar w:fldCharType="begin"/>
                          </w:r>
                          <w:r>
                            <w:instrText xml:space="preserve"> PAGE  \* MERGEFORMAT </w:instrText>
                          </w:r>
                          <w:r>
                            <w:fldChar w:fldCharType="separate"/>
                          </w:r>
                          <w:r>
                            <w:t>79</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pt;width:9.15pt;mso-position-horizontal:center;mso-position-horizontal-relative:margin;mso-wrap-style:none;z-index:25166438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YulhTQAAAAAwEAAA8AAAAA&#10;AAAAAQAgAAAAIgAAAGRycy9kb3ducmV2LnhtbFBLAQIUABQAAAAIAIdO4kA5L9ky4wEAAMIDAAAO&#10;AAAAAAAAAAEAIAAAAB8BAABkcnMvZTJvRG9jLnhtbFBLBQYAAAAABgAGAFkBAAB0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311"/>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FE8D0F"/>
    <w:multiLevelType w:val="singleLevel"/>
    <w:tmpl w:val="94FE8D0F"/>
    <w:lvl w:ilvl="0" w:tentative="0">
      <w:start w:val="2"/>
      <w:numFmt w:val="decimal"/>
      <w:suff w:val="nothing"/>
      <w:lvlText w:val="（%1）"/>
      <w:lvlJc w:val="left"/>
    </w:lvl>
  </w:abstractNum>
  <w:abstractNum w:abstractNumId="1">
    <w:nsid w:val="A40C75CB"/>
    <w:multiLevelType w:val="singleLevel"/>
    <w:tmpl w:val="A40C75CB"/>
    <w:lvl w:ilvl="0" w:tentative="0">
      <w:start w:val="1"/>
      <w:numFmt w:val="decimal"/>
      <w:suff w:val="nothing"/>
      <w:lvlText w:val="%1）"/>
      <w:lvlJc w:val="left"/>
    </w:lvl>
  </w:abstractNum>
  <w:abstractNum w:abstractNumId="2">
    <w:nsid w:val="BD2ADDAB"/>
    <w:multiLevelType w:val="singleLevel"/>
    <w:tmpl w:val="BD2ADDAB"/>
    <w:lvl w:ilvl="0" w:tentative="0">
      <w:start w:val="4"/>
      <w:numFmt w:val="decimal"/>
      <w:suff w:val="space"/>
      <w:lvlText w:val="%1."/>
      <w:lvlJc w:val="left"/>
    </w:lvl>
  </w:abstractNum>
  <w:abstractNum w:abstractNumId="3">
    <w:nsid w:val="4C453605"/>
    <w:multiLevelType w:val="multilevel"/>
    <w:tmpl w:val="4C453605"/>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ADF538E"/>
    <w:multiLevelType w:val="singleLevel"/>
    <w:tmpl w:val="5ADF538E"/>
    <w:lvl w:ilvl="0" w:tentative="0">
      <w:start w:val="2"/>
      <w:numFmt w:val="decimal"/>
      <w:suff w:val="nothing"/>
      <w:lvlText w:val="%1、"/>
      <w:lvlJc w:val="left"/>
    </w:lvl>
  </w:abstractNum>
  <w:abstractNum w:abstractNumId="5">
    <w:nsid w:val="63FA3DEB"/>
    <w:multiLevelType w:val="multilevel"/>
    <w:tmpl w:val="63FA3DEB"/>
    <w:lvl w:ilvl="0" w:tentative="0">
      <w:start w:val="1"/>
      <w:numFmt w:val="japaneseCounting"/>
      <w:lvlText w:val="第%1章"/>
      <w:lvlJc w:val="left"/>
      <w:pPr>
        <w:ind w:left="1635" w:hanging="16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hNzBhMTIwNGRlMDgzODM0ODVlMzk4NTAxZmY5ZDYifQ=="/>
  </w:docVars>
  <w:rsids>
    <w:rsidRoot w:val="002C1B37"/>
    <w:rsid w:val="00000BFA"/>
    <w:rsid w:val="00001300"/>
    <w:rsid w:val="0000145B"/>
    <w:rsid w:val="000026BF"/>
    <w:rsid w:val="000035F4"/>
    <w:rsid w:val="00004ABE"/>
    <w:rsid w:val="00005740"/>
    <w:rsid w:val="000058B7"/>
    <w:rsid w:val="00005C8A"/>
    <w:rsid w:val="00006044"/>
    <w:rsid w:val="000061DE"/>
    <w:rsid w:val="00006782"/>
    <w:rsid w:val="000068FA"/>
    <w:rsid w:val="00007526"/>
    <w:rsid w:val="00007593"/>
    <w:rsid w:val="000106B6"/>
    <w:rsid w:val="00012561"/>
    <w:rsid w:val="00013549"/>
    <w:rsid w:val="00014FC9"/>
    <w:rsid w:val="0001595D"/>
    <w:rsid w:val="00015EFB"/>
    <w:rsid w:val="000179A3"/>
    <w:rsid w:val="000200DE"/>
    <w:rsid w:val="00020854"/>
    <w:rsid w:val="000210EA"/>
    <w:rsid w:val="00021E1B"/>
    <w:rsid w:val="00022978"/>
    <w:rsid w:val="00022E29"/>
    <w:rsid w:val="00023682"/>
    <w:rsid w:val="0002481C"/>
    <w:rsid w:val="00025D1A"/>
    <w:rsid w:val="00025F53"/>
    <w:rsid w:val="00030922"/>
    <w:rsid w:val="00032872"/>
    <w:rsid w:val="000332EC"/>
    <w:rsid w:val="000334E8"/>
    <w:rsid w:val="00034A3E"/>
    <w:rsid w:val="00035A59"/>
    <w:rsid w:val="00035D02"/>
    <w:rsid w:val="00036018"/>
    <w:rsid w:val="00040350"/>
    <w:rsid w:val="00040BAC"/>
    <w:rsid w:val="00041C76"/>
    <w:rsid w:val="00041ED8"/>
    <w:rsid w:val="00042265"/>
    <w:rsid w:val="00042AFF"/>
    <w:rsid w:val="00042FCA"/>
    <w:rsid w:val="00043448"/>
    <w:rsid w:val="00043AB8"/>
    <w:rsid w:val="00043B82"/>
    <w:rsid w:val="00043EFB"/>
    <w:rsid w:val="00044BDC"/>
    <w:rsid w:val="000459BB"/>
    <w:rsid w:val="000462DF"/>
    <w:rsid w:val="000465DD"/>
    <w:rsid w:val="00047968"/>
    <w:rsid w:val="000513CE"/>
    <w:rsid w:val="0005173A"/>
    <w:rsid w:val="000518A7"/>
    <w:rsid w:val="000528BF"/>
    <w:rsid w:val="00052DB8"/>
    <w:rsid w:val="00053946"/>
    <w:rsid w:val="00053FDD"/>
    <w:rsid w:val="000542A4"/>
    <w:rsid w:val="000550FD"/>
    <w:rsid w:val="00056609"/>
    <w:rsid w:val="00056D4F"/>
    <w:rsid w:val="00057586"/>
    <w:rsid w:val="0006022F"/>
    <w:rsid w:val="0006113C"/>
    <w:rsid w:val="0006120C"/>
    <w:rsid w:val="0006276F"/>
    <w:rsid w:val="00065F65"/>
    <w:rsid w:val="00067C50"/>
    <w:rsid w:val="00067DB7"/>
    <w:rsid w:val="00067FAC"/>
    <w:rsid w:val="00070089"/>
    <w:rsid w:val="00072D86"/>
    <w:rsid w:val="000734DF"/>
    <w:rsid w:val="00073AE4"/>
    <w:rsid w:val="00075F9F"/>
    <w:rsid w:val="00076904"/>
    <w:rsid w:val="00076E2A"/>
    <w:rsid w:val="000775A1"/>
    <w:rsid w:val="000801C7"/>
    <w:rsid w:val="00081CE3"/>
    <w:rsid w:val="00082169"/>
    <w:rsid w:val="00082413"/>
    <w:rsid w:val="000835A5"/>
    <w:rsid w:val="00083918"/>
    <w:rsid w:val="0008391B"/>
    <w:rsid w:val="000853A5"/>
    <w:rsid w:val="000856E1"/>
    <w:rsid w:val="00086909"/>
    <w:rsid w:val="00086BE3"/>
    <w:rsid w:val="000875B5"/>
    <w:rsid w:val="00087983"/>
    <w:rsid w:val="00092BE4"/>
    <w:rsid w:val="00092F27"/>
    <w:rsid w:val="000943B2"/>
    <w:rsid w:val="000949FA"/>
    <w:rsid w:val="00094CF6"/>
    <w:rsid w:val="000953B4"/>
    <w:rsid w:val="00095455"/>
    <w:rsid w:val="00095CAA"/>
    <w:rsid w:val="00096C97"/>
    <w:rsid w:val="0009728A"/>
    <w:rsid w:val="000972A7"/>
    <w:rsid w:val="00097311"/>
    <w:rsid w:val="000A0F40"/>
    <w:rsid w:val="000A1349"/>
    <w:rsid w:val="000A17AF"/>
    <w:rsid w:val="000A1C9A"/>
    <w:rsid w:val="000A35ED"/>
    <w:rsid w:val="000A363E"/>
    <w:rsid w:val="000A48F6"/>
    <w:rsid w:val="000A67ED"/>
    <w:rsid w:val="000A6898"/>
    <w:rsid w:val="000B0901"/>
    <w:rsid w:val="000B0ED3"/>
    <w:rsid w:val="000B1A6A"/>
    <w:rsid w:val="000B2113"/>
    <w:rsid w:val="000B237E"/>
    <w:rsid w:val="000B298E"/>
    <w:rsid w:val="000B29A5"/>
    <w:rsid w:val="000B35C2"/>
    <w:rsid w:val="000B4043"/>
    <w:rsid w:val="000B40BC"/>
    <w:rsid w:val="000B4BE9"/>
    <w:rsid w:val="000B4C41"/>
    <w:rsid w:val="000B7D60"/>
    <w:rsid w:val="000C09D0"/>
    <w:rsid w:val="000C0F10"/>
    <w:rsid w:val="000C1F52"/>
    <w:rsid w:val="000C23EA"/>
    <w:rsid w:val="000C2E96"/>
    <w:rsid w:val="000C301D"/>
    <w:rsid w:val="000C3AD5"/>
    <w:rsid w:val="000C3E2A"/>
    <w:rsid w:val="000C6D7D"/>
    <w:rsid w:val="000C75FA"/>
    <w:rsid w:val="000C7F2D"/>
    <w:rsid w:val="000D1222"/>
    <w:rsid w:val="000D1B24"/>
    <w:rsid w:val="000D21A1"/>
    <w:rsid w:val="000D220A"/>
    <w:rsid w:val="000D37A1"/>
    <w:rsid w:val="000D39D7"/>
    <w:rsid w:val="000D43A7"/>
    <w:rsid w:val="000D43BF"/>
    <w:rsid w:val="000D6B94"/>
    <w:rsid w:val="000E0A3D"/>
    <w:rsid w:val="000E0B5F"/>
    <w:rsid w:val="000E1235"/>
    <w:rsid w:val="000E16F2"/>
    <w:rsid w:val="000E3146"/>
    <w:rsid w:val="000E6F67"/>
    <w:rsid w:val="000E7227"/>
    <w:rsid w:val="000E7AB9"/>
    <w:rsid w:val="000F0A11"/>
    <w:rsid w:val="000F0FA6"/>
    <w:rsid w:val="000F1425"/>
    <w:rsid w:val="000F1FB8"/>
    <w:rsid w:val="000F2228"/>
    <w:rsid w:val="000F268D"/>
    <w:rsid w:val="000F33ED"/>
    <w:rsid w:val="000F4451"/>
    <w:rsid w:val="000F5993"/>
    <w:rsid w:val="000F6103"/>
    <w:rsid w:val="00100750"/>
    <w:rsid w:val="00101427"/>
    <w:rsid w:val="00101A7F"/>
    <w:rsid w:val="0010269C"/>
    <w:rsid w:val="00102F05"/>
    <w:rsid w:val="001048CA"/>
    <w:rsid w:val="00104F67"/>
    <w:rsid w:val="00106918"/>
    <w:rsid w:val="00110B51"/>
    <w:rsid w:val="001119AC"/>
    <w:rsid w:val="00111ED2"/>
    <w:rsid w:val="0011390B"/>
    <w:rsid w:val="00115288"/>
    <w:rsid w:val="00115D9F"/>
    <w:rsid w:val="001160B2"/>
    <w:rsid w:val="0011709F"/>
    <w:rsid w:val="00117DD7"/>
    <w:rsid w:val="00120BE4"/>
    <w:rsid w:val="0012246C"/>
    <w:rsid w:val="00122BEC"/>
    <w:rsid w:val="0012530C"/>
    <w:rsid w:val="00125FCA"/>
    <w:rsid w:val="001262AD"/>
    <w:rsid w:val="001268F1"/>
    <w:rsid w:val="001274AA"/>
    <w:rsid w:val="00127A3B"/>
    <w:rsid w:val="00130591"/>
    <w:rsid w:val="00130B44"/>
    <w:rsid w:val="00131E67"/>
    <w:rsid w:val="00132FEC"/>
    <w:rsid w:val="00133B5C"/>
    <w:rsid w:val="00135DE3"/>
    <w:rsid w:val="001361B7"/>
    <w:rsid w:val="001379F9"/>
    <w:rsid w:val="001400E4"/>
    <w:rsid w:val="00140BA4"/>
    <w:rsid w:val="001420ED"/>
    <w:rsid w:val="0014329B"/>
    <w:rsid w:val="00143CB7"/>
    <w:rsid w:val="00143EE7"/>
    <w:rsid w:val="001450C7"/>
    <w:rsid w:val="001455D0"/>
    <w:rsid w:val="00145942"/>
    <w:rsid w:val="00145987"/>
    <w:rsid w:val="00145C43"/>
    <w:rsid w:val="00146310"/>
    <w:rsid w:val="00146EC7"/>
    <w:rsid w:val="00147ED7"/>
    <w:rsid w:val="001508A7"/>
    <w:rsid w:val="00150F4A"/>
    <w:rsid w:val="0015113E"/>
    <w:rsid w:val="0015119B"/>
    <w:rsid w:val="00152B78"/>
    <w:rsid w:val="00152FCE"/>
    <w:rsid w:val="001545C4"/>
    <w:rsid w:val="00154C92"/>
    <w:rsid w:val="001555AD"/>
    <w:rsid w:val="00155F5A"/>
    <w:rsid w:val="00156791"/>
    <w:rsid w:val="001604FD"/>
    <w:rsid w:val="001609C2"/>
    <w:rsid w:val="001609F0"/>
    <w:rsid w:val="00160FF9"/>
    <w:rsid w:val="00161A54"/>
    <w:rsid w:val="0016248D"/>
    <w:rsid w:val="00163DB2"/>
    <w:rsid w:val="00163DCD"/>
    <w:rsid w:val="00164F66"/>
    <w:rsid w:val="00165E2F"/>
    <w:rsid w:val="00166155"/>
    <w:rsid w:val="00166D94"/>
    <w:rsid w:val="00166DB7"/>
    <w:rsid w:val="001678D8"/>
    <w:rsid w:val="00167C06"/>
    <w:rsid w:val="00167F81"/>
    <w:rsid w:val="0017042F"/>
    <w:rsid w:val="00172946"/>
    <w:rsid w:val="001731FF"/>
    <w:rsid w:val="001775E9"/>
    <w:rsid w:val="00183AD2"/>
    <w:rsid w:val="00183E9A"/>
    <w:rsid w:val="001840E1"/>
    <w:rsid w:val="00184F30"/>
    <w:rsid w:val="001859C1"/>
    <w:rsid w:val="00187293"/>
    <w:rsid w:val="001872E3"/>
    <w:rsid w:val="0018767B"/>
    <w:rsid w:val="00190204"/>
    <w:rsid w:val="00190252"/>
    <w:rsid w:val="00191EDB"/>
    <w:rsid w:val="00195146"/>
    <w:rsid w:val="001953AC"/>
    <w:rsid w:val="00195B6F"/>
    <w:rsid w:val="00196BAF"/>
    <w:rsid w:val="00196BC9"/>
    <w:rsid w:val="00197034"/>
    <w:rsid w:val="001972B2"/>
    <w:rsid w:val="00197658"/>
    <w:rsid w:val="001977F0"/>
    <w:rsid w:val="00197E3E"/>
    <w:rsid w:val="00197EBE"/>
    <w:rsid w:val="00197EE3"/>
    <w:rsid w:val="001A0E97"/>
    <w:rsid w:val="001A2626"/>
    <w:rsid w:val="001A28CA"/>
    <w:rsid w:val="001A5530"/>
    <w:rsid w:val="001B032F"/>
    <w:rsid w:val="001B2D7C"/>
    <w:rsid w:val="001B403A"/>
    <w:rsid w:val="001B4DF8"/>
    <w:rsid w:val="001B60DC"/>
    <w:rsid w:val="001B6AF4"/>
    <w:rsid w:val="001C08A4"/>
    <w:rsid w:val="001C0A08"/>
    <w:rsid w:val="001C1013"/>
    <w:rsid w:val="001C2F05"/>
    <w:rsid w:val="001C32B8"/>
    <w:rsid w:val="001C3C37"/>
    <w:rsid w:val="001C419B"/>
    <w:rsid w:val="001C4548"/>
    <w:rsid w:val="001C6485"/>
    <w:rsid w:val="001C7028"/>
    <w:rsid w:val="001C71B1"/>
    <w:rsid w:val="001D1628"/>
    <w:rsid w:val="001D1FA7"/>
    <w:rsid w:val="001D2A3E"/>
    <w:rsid w:val="001D34E0"/>
    <w:rsid w:val="001D426F"/>
    <w:rsid w:val="001D448C"/>
    <w:rsid w:val="001D464C"/>
    <w:rsid w:val="001D4D67"/>
    <w:rsid w:val="001D652E"/>
    <w:rsid w:val="001D71BC"/>
    <w:rsid w:val="001D7380"/>
    <w:rsid w:val="001E2B1E"/>
    <w:rsid w:val="001E2B30"/>
    <w:rsid w:val="001E32EE"/>
    <w:rsid w:val="001E3528"/>
    <w:rsid w:val="001E3B9E"/>
    <w:rsid w:val="001E47D9"/>
    <w:rsid w:val="001E792A"/>
    <w:rsid w:val="001E7EE0"/>
    <w:rsid w:val="001F0207"/>
    <w:rsid w:val="001F2387"/>
    <w:rsid w:val="001F397E"/>
    <w:rsid w:val="001F405F"/>
    <w:rsid w:val="001F43E3"/>
    <w:rsid w:val="001F58FB"/>
    <w:rsid w:val="001F5C0F"/>
    <w:rsid w:val="001F6F1E"/>
    <w:rsid w:val="00200095"/>
    <w:rsid w:val="0020015C"/>
    <w:rsid w:val="00200617"/>
    <w:rsid w:val="00206A78"/>
    <w:rsid w:val="00207DC9"/>
    <w:rsid w:val="002108B4"/>
    <w:rsid w:val="00210A9C"/>
    <w:rsid w:val="00211A77"/>
    <w:rsid w:val="002124BD"/>
    <w:rsid w:val="002144AF"/>
    <w:rsid w:val="0021542A"/>
    <w:rsid w:val="0021554C"/>
    <w:rsid w:val="002164A6"/>
    <w:rsid w:val="00216A0D"/>
    <w:rsid w:val="00216E1E"/>
    <w:rsid w:val="002208AD"/>
    <w:rsid w:val="00221920"/>
    <w:rsid w:val="00221B05"/>
    <w:rsid w:val="002223E1"/>
    <w:rsid w:val="0022370F"/>
    <w:rsid w:val="00224107"/>
    <w:rsid w:val="0022438E"/>
    <w:rsid w:val="00224AD2"/>
    <w:rsid w:val="00224CF0"/>
    <w:rsid w:val="002268F9"/>
    <w:rsid w:val="00227E3E"/>
    <w:rsid w:val="00230F87"/>
    <w:rsid w:val="00231625"/>
    <w:rsid w:val="0023242C"/>
    <w:rsid w:val="00233413"/>
    <w:rsid w:val="00233BE7"/>
    <w:rsid w:val="0023407A"/>
    <w:rsid w:val="002359F0"/>
    <w:rsid w:val="00235A01"/>
    <w:rsid w:val="00236EBC"/>
    <w:rsid w:val="00237A2A"/>
    <w:rsid w:val="00237F38"/>
    <w:rsid w:val="002413CD"/>
    <w:rsid w:val="00241E04"/>
    <w:rsid w:val="002422B4"/>
    <w:rsid w:val="002423E2"/>
    <w:rsid w:val="00243226"/>
    <w:rsid w:val="00243DAE"/>
    <w:rsid w:val="00246022"/>
    <w:rsid w:val="00247D0C"/>
    <w:rsid w:val="00250BCC"/>
    <w:rsid w:val="00251829"/>
    <w:rsid w:val="002518DF"/>
    <w:rsid w:val="00252A63"/>
    <w:rsid w:val="00252F9A"/>
    <w:rsid w:val="002536D6"/>
    <w:rsid w:val="002545B0"/>
    <w:rsid w:val="00255761"/>
    <w:rsid w:val="0025601D"/>
    <w:rsid w:val="0025743A"/>
    <w:rsid w:val="0025763B"/>
    <w:rsid w:val="00260228"/>
    <w:rsid w:val="00261118"/>
    <w:rsid w:val="00261A21"/>
    <w:rsid w:val="00261BF0"/>
    <w:rsid w:val="00261EAD"/>
    <w:rsid w:val="0026263B"/>
    <w:rsid w:val="0026356A"/>
    <w:rsid w:val="00264393"/>
    <w:rsid w:val="0026566A"/>
    <w:rsid w:val="002659E4"/>
    <w:rsid w:val="00266D01"/>
    <w:rsid w:val="00266F9F"/>
    <w:rsid w:val="002676DC"/>
    <w:rsid w:val="00270FE1"/>
    <w:rsid w:val="002717EA"/>
    <w:rsid w:val="0027207F"/>
    <w:rsid w:val="0027316E"/>
    <w:rsid w:val="0027394C"/>
    <w:rsid w:val="002740A2"/>
    <w:rsid w:val="00274272"/>
    <w:rsid w:val="00274F8C"/>
    <w:rsid w:val="002758B2"/>
    <w:rsid w:val="002810C0"/>
    <w:rsid w:val="002827CD"/>
    <w:rsid w:val="0028535F"/>
    <w:rsid w:val="00285ECE"/>
    <w:rsid w:val="0028649C"/>
    <w:rsid w:val="00287188"/>
    <w:rsid w:val="00287BFC"/>
    <w:rsid w:val="00287FC4"/>
    <w:rsid w:val="00290EAC"/>
    <w:rsid w:val="00291C1A"/>
    <w:rsid w:val="002920F0"/>
    <w:rsid w:val="0029265B"/>
    <w:rsid w:val="002935C8"/>
    <w:rsid w:val="002948B9"/>
    <w:rsid w:val="00294B2F"/>
    <w:rsid w:val="00295469"/>
    <w:rsid w:val="002958E2"/>
    <w:rsid w:val="00295C86"/>
    <w:rsid w:val="0029626A"/>
    <w:rsid w:val="0029686D"/>
    <w:rsid w:val="0029764E"/>
    <w:rsid w:val="00297AD3"/>
    <w:rsid w:val="002A0228"/>
    <w:rsid w:val="002A0CB0"/>
    <w:rsid w:val="002A1531"/>
    <w:rsid w:val="002A167C"/>
    <w:rsid w:val="002A1DCF"/>
    <w:rsid w:val="002A23AB"/>
    <w:rsid w:val="002A2DEC"/>
    <w:rsid w:val="002A30C0"/>
    <w:rsid w:val="002A334E"/>
    <w:rsid w:val="002A44A1"/>
    <w:rsid w:val="002A483A"/>
    <w:rsid w:val="002A4B98"/>
    <w:rsid w:val="002A65C7"/>
    <w:rsid w:val="002A67E1"/>
    <w:rsid w:val="002A78EC"/>
    <w:rsid w:val="002A7DB7"/>
    <w:rsid w:val="002A7FF6"/>
    <w:rsid w:val="002B115C"/>
    <w:rsid w:val="002B18B2"/>
    <w:rsid w:val="002B1951"/>
    <w:rsid w:val="002B2C5F"/>
    <w:rsid w:val="002B3159"/>
    <w:rsid w:val="002B4367"/>
    <w:rsid w:val="002B6916"/>
    <w:rsid w:val="002B6FEB"/>
    <w:rsid w:val="002B7935"/>
    <w:rsid w:val="002C1B37"/>
    <w:rsid w:val="002C21D4"/>
    <w:rsid w:val="002C21D8"/>
    <w:rsid w:val="002C21DB"/>
    <w:rsid w:val="002C4915"/>
    <w:rsid w:val="002C6D2F"/>
    <w:rsid w:val="002D2298"/>
    <w:rsid w:val="002D3AA1"/>
    <w:rsid w:val="002D46AA"/>
    <w:rsid w:val="002D48C4"/>
    <w:rsid w:val="002D505F"/>
    <w:rsid w:val="002D667B"/>
    <w:rsid w:val="002D78C2"/>
    <w:rsid w:val="002E0AF1"/>
    <w:rsid w:val="002E0C02"/>
    <w:rsid w:val="002E148F"/>
    <w:rsid w:val="002E235F"/>
    <w:rsid w:val="002E4E23"/>
    <w:rsid w:val="002E4F1E"/>
    <w:rsid w:val="002E5593"/>
    <w:rsid w:val="002E5A6E"/>
    <w:rsid w:val="002E5E2B"/>
    <w:rsid w:val="002E6B18"/>
    <w:rsid w:val="002E6C25"/>
    <w:rsid w:val="002E75A5"/>
    <w:rsid w:val="002F0FFF"/>
    <w:rsid w:val="002F1D8D"/>
    <w:rsid w:val="002F2673"/>
    <w:rsid w:val="002F3666"/>
    <w:rsid w:val="002F3748"/>
    <w:rsid w:val="002F3F80"/>
    <w:rsid w:val="002F4C46"/>
    <w:rsid w:val="002F510B"/>
    <w:rsid w:val="002F572C"/>
    <w:rsid w:val="002F5DDB"/>
    <w:rsid w:val="002F6D43"/>
    <w:rsid w:val="002F6F9A"/>
    <w:rsid w:val="002F7412"/>
    <w:rsid w:val="002F7698"/>
    <w:rsid w:val="002F7C8E"/>
    <w:rsid w:val="00300B77"/>
    <w:rsid w:val="0030180E"/>
    <w:rsid w:val="0030262C"/>
    <w:rsid w:val="00302996"/>
    <w:rsid w:val="00302C15"/>
    <w:rsid w:val="003030F2"/>
    <w:rsid w:val="003059DA"/>
    <w:rsid w:val="00306934"/>
    <w:rsid w:val="003069B2"/>
    <w:rsid w:val="00306BBE"/>
    <w:rsid w:val="00307F23"/>
    <w:rsid w:val="00311BFC"/>
    <w:rsid w:val="003131ED"/>
    <w:rsid w:val="003135B2"/>
    <w:rsid w:val="00313A12"/>
    <w:rsid w:val="00313B14"/>
    <w:rsid w:val="00314ADF"/>
    <w:rsid w:val="00314DF7"/>
    <w:rsid w:val="00315455"/>
    <w:rsid w:val="00316D00"/>
    <w:rsid w:val="0031714A"/>
    <w:rsid w:val="00317C58"/>
    <w:rsid w:val="003201D2"/>
    <w:rsid w:val="0032153B"/>
    <w:rsid w:val="00321B46"/>
    <w:rsid w:val="003231D7"/>
    <w:rsid w:val="003259D2"/>
    <w:rsid w:val="00326399"/>
    <w:rsid w:val="00326593"/>
    <w:rsid w:val="0032711F"/>
    <w:rsid w:val="003276B1"/>
    <w:rsid w:val="00330265"/>
    <w:rsid w:val="00330AB8"/>
    <w:rsid w:val="0033299F"/>
    <w:rsid w:val="00333BAE"/>
    <w:rsid w:val="00333DD7"/>
    <w:rsid w:val="00334289"/>
    <w:rsid w:val="003357DF"/>
    <w:rsid w:val="00335BCD"/>
    <w:rsid w:val="0033602E"/>
    <w:rsid w:val="0033667B"/>
    <w:rsid w:val="00337656"/>
    <w:rsid w:val="00337788"/>
    <w:rsid w:val="00340034"/>
    <w:rsid w:val="00341CD0"/>
    <w:rsid w:val="00342ED6"/>
    <w:rsid w:val="0034392C"/>
    <w:rsid w:val="00343E82"/>
    <w:rsid w:val="0034402B"/>
    <w:rsid w:val="00344360"/>
    <w:rsid w:val="00344718"/>
    <w:rsid w:val="00347B1A"/>
    <w:rsid w:val="00350C90"/>
    <w:rsid w:val="00351562"/>
    <w:rsid w:val="00351BFF"/>
    <w:rsid w:val="00352BFA"/>
    <w:rsid w:val="0035451D"/>
    <w:rsid w:val="00354EE0"/>
    <w:rsid w:val="00355B7B"/>
    <w:rsid w:val="00356345"/>
    <w:rsid w:val="00356FE2"/>
    <w:rsid w:val="0035710D"/>
    <w:rsid w:val="00357BCE"/>
    <w:rsid w:val="00360A4B"/>
    <w:rsid w:val="00361189"/>
    <w:rsid w:val="00361258"/>
    <w:rsid w:val="00361E81"/>
    <w:rsid w:val="00362803"/>
    <w:rsid w:val="00362872"/>
    <w:rsid w:val="00362D5B"/>
    <w:rsid w:val="00363257"/>
    <w:rsid w:val="00363F07"/>
    <w:rsid w:val="00364D92"/>
    <w:rsid w:val="003656A0"/>
    <w:rsid w:val="00365A33"/>
    <w:rsid w:val="00366A4C"/>
    <w:rsid w:val="00366F77"/>
    <w:rsid w:val="00367192"/>
    <w:rsid w:val="003672DA"/>
    <w:rsid w:val="00367B85"/>
    <w:rsid w:val="00370356"/>
    <w:rsid w:val="00370E8C"/>
    <w:rsid w:val="003758E8"/>
    <w:rsid w:val="00375DDC"/>
    <w:rsid w:val="0037622A"/>
    <w:rsid w:val="00376C67"/>
    <w:rsid w:val="003770C2"/>
    <w:rsid w:val="003772C8"/>
    <w:rsid w:val="00381C41"/>
    <w:rsid w:val="00382117"/>
    <w:rsid w:val="003822B1"/>
    <w:rsid w:val="00382A62"/>
    <w:rsid w:val="00383099"/>
    <w:rsid w:val="00383CA4"/>
    <w:rsid w:val="00384DCD"/>
    <w:rsid w:val="00384F6C"/>
    <w:rsid w:val="00386AB6"/>
    <w:rsid w:val="00386BC9"/>
    <w:rsid w:val="0038764A"/>
    <w:rsid w:val="003879A7"/>
    <w:rsid w:val="0039183C"/>
    <w:rsid w:val="00392861"/>
    <w:rsid w:val="00392DDB"/>
    <w:rsid w:val="003937AF"/>
    <w:rsid w:val="00394488"/>
    <w:rsid w:val="003949E6"/>
    <w:rsid w:val="00395C29"/>
    <w:rsid w:val="00395CD7"/>
    <w:rsid w:val="00396BA0"/>
    <w:rsid w:val="00396F04"/>
    <w:rsid w:val="003A03F7"/>
    <w:rsid w:val="003A0D08"/>
    <w:rsid w:val="003A160D"/>
    <w:rsid w:val="003A291E"/>
    <w:rsid w:val="003A3332"/>
    <w:rsid w:val="003A3D8F"/>
    <w:rsid w:val="003A4B35"/>
    <w:rsid w:val="003A552C"/>
    <w:rsid w:val="003A6652"/>
    <w:rsid w:val="003A7A79"/>
    <w:rsid w:val="003A7F28"/>
    <w:rsid w:val="003B0254"/>
    <w:rsid w:val="003B077B"/>
    <w:rsid w:val="003B2776"/>
    <w:rsid w:val="003B2E58"/>
    <w:rsid w:val="003B371C"/>
    <w:rsid w:val="003B42B3"/>
    <w:rsid w:val="003B6086"/>
    <w:rsid w:val="003B6BB7"/>
    <w:rsid w:val="003B6FA7"/>
    <w:rsid w:val="003B7659"/>
    <w:rsid w:val="003C0DB4"/>
    <w:rsid w:val="003C1A65"/>
    <w:rsid w:val="003C1F1C"/>
    <w:rsid w:val="003C2BD7"/>
    <w:rsid w:val="003C387A"/>
    <w:rsid w:val="003C3CCC"/>
    <w:rsid w:val="003C5698"/>
    <w:rsid w:val="003C6FAD"/>
    <w:rsid w:val="003C729F"/>
    <w:rsid w:val="003C78C6"/>
    <w:rsid w:val="003C7D8F"/>
    <w:rsid w:val="003D1720"/>
    <w:rsid w:val="003D1A07"/>
    <w:rsid w:val="003D4BE1"/>
    <w:rsid w:val="003D4D42"/>
    <w:rsid w:val="003D5A68"/>
    <w:rsid w:val="003D6959"/>
    <w:rsid w:val="003E097F"/>
    <w:rsid w:val="003E09B3"/>
    <w:rsid w:val="003E21FD"/>
    <w:rsid w:val="003E26D5"/>
    <w:rsid w:val="003E3DA6"/>
    <w:rsid w:val="003E43BB"/>
    <w:rsid w:val="003E4ADB"/>
    <w:rsid w:val="003E6348"/>
    <w:rsid w:val="003E6B5C"/>
    <w:rsid w:val="003E7C81"/>
    <w:rsid w:val="003F026E"/>
    <w:rsid w:val="003F11D7"/>
    <w:rsid w:val="003F158E"/>
    <w:rsid w:val="003F2132"/>
    <w:rsid w:val="003F2381"/>
    <w:rsid w:val="003F2502"/>
    <w:rsid w:val="003F28F2"/>
    <w:rsid w:val="003F2947"/>
    <w:rsid w:val="003F478A"/>
    <w:rsid w:val="003F5434"/>
    <w:rsid w:val="003F5C64"/>
    <w:rsid w:val="003F6953"/>
    <w:rsid w:val="003F6EF3"/>
    <w:rsid w:val="003F7629"/>
    <w:rsid w:val="003F770C"/>
    <w:rsid w:val="003F7921"/>
    <w:rsid w:val="003F7931"/>
    <w:rsid w:val="00400168"/>
    <w:rsid w:val="0040110E"/>
    <w:rsid w:val="00401FBE"/>
    <w:rsid w:val="00402C92"/>
    <w:rsid w:val="00403F90"/>
    <w:rsid w:val="004046DD"/>
    <w:rsid w:val="00404AE1"/>
    <w:rsid w:val="004050B2"/>
    <w:rsid w:val="004055E9"/>
    <w:rsid w:val="00405E28"/>
    <w:rsid w:val="00407388"/>
    <w:rsid w:val="004104FB"/>
    <w:rsid w:val="00410E6F"/>
    <w:rsid w:val="00410FFF"/>
    <w:rsid w:val="00411B3F"/>
    <w:rsid w:val="004126D7"/>
    <w:rsid w:val="004129EB"/>
    <w:rsid w:val="00412F35"/>
    <w:rsid w:val="0041329D"/>
    <w:rsid w:val="0041352B"/>
    <w:rsid w:val="00413F9E"/>
    <w:rsid w:val="004145F4"/>
    <w:rsid w:val="00414D56"/>
    <w:rsid w:val="0041562E"/>
    <w:rsid w:val="004167EC"/>
    <w:rsid w:val="0041756D"/>
    <w:rsid w:val="00420E41"/>
    <w:rsid w:val="00422B99"/>
    <w:rsid w:val="00422BFB"/>
    <w:rsid w:val="00422D2F"/>
    <w:rsid w:val="00423F91"/>
    <w:rsid w:val="00424021"/>
    <w:rsid w:val="00425084"/>
    <w:rsid w:val="0042618C"/>
    <w:rsid w:val="00431F09"/>
    <w:rsid w:val="004337BA"/>
    <w:rsid w:val="00434887"/>
    <w:rsid w:val="00435980"/>
    <w:rsid w:val="00437242"/>
    <w:rsid w:val="00440820"/>
    <w:rsid w:val="004431B5"/>
    <w:rsid w:val="00444C64"/>
    <w:rsid w:val="0044563F"/>
    <w:rsid w:val="00445828"/>
    <w:rsid w:val="00446213"/>
    <w:rsid w:val="0044792B"/>
    <w:rsid w:val="00447A42"/>
    <w:rsid w:val="00447E74"/>
    <w:rsid w:val="00447EC3"/>
    <w:rsid w:val="00450CE3"/>
    <w:rsid w:val="00451603"/>
    <w:rsid w:val="004532C3"/>
    <w:rsid w:val="00453727"/>
    <w:rsid w:val="004543DA"/>
    <w:rsid w:val="0045458C"/>
    <w:rsid w:val="00455445"/>
    <w:rsid w:val="00455617"/>
    <w:rsid w:val="00455710"/>
    <w:rsid w:val="00455C87"/>
    <w:rsid w:val="00456131"/>
    <w:rsid w:val="004572B0"/>
    <w:rsid w:val="0045734C"/>
    <w:rsid w:val="00463C1E"/>
    <w:rsid w:val="00464B90"/>
    <w:rsid w:val="00465DBB"/>
    <w:rsid w:val="00466B6E"/>
    <w:rsid w:val="00467A47"/>
    <w:rsid w:val="00467AF7"/>
    <w:rsid w:val="004700BE"/>
    <w:rsid w:val="0047070E"/>
    <w:rsid w:val="00470F82"/>
    <w:rsid w:val="00471DA0"/>
    <w:rsid w:val="0047202B"/>
    <w:rsid w:val="00472745"/>
    <w:rsid w:val="004727CB"/>
    <w:rsid w:val="00472C6C"/>
    <w:rsid w:val="00473101"/>
    <w:rsid w:val="00475B59"/>
    <w:rsid w:val="004769BA"/>
    <w:rsid w:val="00477761"/>
    <w:rsid w:val="0048065E"/>
    <w:rsid w:val="00483460"/>
    <w:rsid w:val="0048358C"/>
    <w:rsid w:val="0048484A"/>
    <w:rsid w:val="0048486E"/>
    <w:rsid w:val="00484D87"/>
    <w:rsid w:val="004856F8"/>
    <w:rsid w:val="00485B59"/>
    <w:rsid w:val="00485DDF"/>
    <w:rsid w:val="004874B1"/>
    <w:rsid w:val="004941FF"/>
    <w:rsid w:val="00494392"/>
    <w:rsid w:val="0049477E"/>
    <w:rsid w:val="0049494D"/>
    <w:rsid w:val="00494F7B"/>
    <w:rsid w:val="0049519F"/>
    <w:rsid w:val="00495731"/>
    <w:rsid w:val="004968D4"/>
    <w:rsid w:val="0049713E"/>
    <w:rsid w:val="00497BC0"/>
    <w:rsid w:val="004A078E"/>
    <w:rsid w:val="004A0DF7"/>
    <w:rsid w:val="004A220A"/>
    <w:rsid w:val="004A2701"/>
    <w:rsid w:val="004A2C81"/>
    <w:rsid w:val="004A4198"/>
    <w:rsid w:val="004A54E8"/>
    <w:rsid w:val="004A68B0"/>
    <w:rsid w:val="004B03A1"/>
    <w:rsid w:val="004B04DE"/>
    <w:rsid w:val="004B1480"/>
    <w:rsid w:val="004B19A0"/>
    <w:rsid w:val="004B19C8"/>
    <w:rsid w:val="004B1A8A"/>
    <w:rsid w:val="004B1D94"/>
    <w:rsid w:val="004B1E5F"/>
    <w:rsid w:val="004B2358"/>
    <w:rsid w:val="004B3FA0"/>
    <w:rsid w:val="004B4069"/>
    <w:rsid w:val="004B49AB"/>
    <w:rsid w:val="004B4D47"/>
    <w:rsid w:val="004B5501"/>
    <w:rsid w:val="004B5EDC"/>
    <w:rsid w:val="004B677F"/>
    <w:rsid w:val="004B6B04"/>
    <w:rsid w:val="004B7C60"/>
    <w:rsid w:val="004C09D2"/>
    <w:rsid w:val="004C16CC"/>
    <w:rsid w:val="004C1B51"/>
    <w:rsid w:val="004C1CA1"/>
    <w:rsid w:val="004C1EF9"/>
    <w:rsid w:val="004C2160"/>
    <w:rsid w:val="004C26BF"/>
    <w:rsid w:val="004C3001"/>
    <w:rsid w:val="004C5DA4"/>
    <w:rsid w:val="004C5EFF"/>
    <w:rsid w:val="004D07BA"/>
    <w:rsid w:val="004D0AD6"/>
    <w:rsid w:val="004D0ADA"/>
    <w:rsid w:val="004D0F56"/>
    <w:rsid w:val="004D1621"/>
    <w:rsid w:val="004D1A77"/>
    <w:rsid w:val="004D402A"/>
    <w:rsid w:val="004D4D4D"/>
    <w:rsid w:val="004D5F6B"/>
    <w:rsid w:val="004D6A48"/>
    <w:rsid w:val="004D7CA4"/>
    <w:rsid w:val="004E022C"/>
    <w:rsid w:val="004E0B5B"/>
    <w:rsid w:val="004E109B"/>
    <w:rsid w:val="004E262E"/>
    <w:rsid w:val="004E2A7D"/>
    <w:rsid w:val="004E3A4B"/>
    <w:rsid w:val="004E3BD0"/>
    <w:rsid w:val="004E44FC"/>
    <w:rsid w:val="004E51A6"/>
    <w:rsid w:val="004E5AA5"/>
    <w:rsid w:val="004E71E7"/>
    <w:rsid w:val="004F0255"/>
    <w:rsid w:val="004F1B52"/>
    <w:rsid w:val="004F1F19"/>
    <w:rsid w:val="004F2E59"/>
    <w:rsid w:val="004F2F39"/>
    <w:rsid w:val="004F4800"/>
    <w:rsid w:val="004F6035"/>
    <w:rsid w:val="00500451"/>
    <w:rsid w:val="00500A54"/>
    <w:rsid w:val="00500EE6"/>
    <w:rsid w:val="00501A31"/>
    <w:rsid w:val="005045E9"/>
    <w:rsid w:val="005049A8"/>
    <w:rsid w:val="00504C45"/>
    <w:rsid w:val="00505775"/>
    <w:rsid w:val="0050716F"/>
    <w:rsid w:val="00510869"/>
    <w:rsid w:val="00510B2A"/>
    <w:rsid w:val="005112DA"/>
    <w:rsid w:val="0051179C"/>
    <w:rsid w:val="00511CB7"/>
    <w:rsid w:val="00511F81"/>
    <w:rsid w:val="005122F4"/>
    <w:rsid w:val="005130B1"/>
    <w:rsid w:val="00514876"/>
    <w:rsid w:val="00517A61"/>
    <w:rsid w:val="005203F8"/>
    <w:rsid w:val="00520EBB"/>
    <w:rsid w:val="005229CA"/>
    <w:rsid w:val="00522C13"/>
    <w:rsid w:val="00523B55"/>
    <w:rsid w:val="005273D1"/>
    <w:rsid w:val="0052782D"/>
    <w:rsid w:val="00532D4A"/>
    <w:rsid w:val="00533CA6"/>
    <w:rsid w:val="005340E8"/>
    <w:rsid w:val="00535628"/>
    <w:rsid w:val="00535849"/>
    <w:rsid w:val="005359FA"/>
    <w:rsid w:val="00535D4E"/>
    <w:rsid w:val="00535F74"/>
    <w:rsid w:val="005374F1"/>
    <w:rsid w:val="005427B5"/>
    <w:rsid w:val="00544D75"/>
    <w:rsid w:val="005452AA"/>
    <w:rsid w:val="00545474"/>
    <w:rsid w:val="00547355"/>
    <w:rsid w:val="00550B08"/>
    <w:rsid w:val="00551309"/>
    <w:rsid w:val="00551B3C"/>
    <w:rsid w:val="00551EA4"/>
    <w:rsid w:val="005528EC"/>
    <w:rsid w:val="00552E67"/>
    <w:rsid w:val="00554562"/>
    <w:rsid w:val="00554D34"/>
    <w:rsid w:val="00555636"/>
    <w:rsid w:val="00556229"/>
    <w:rsid w:val="00560B8B"/>
    <w:rsid w:val="00564BB8"/>
    <w:rsid w:val="005650DE"/>
    <w:rsid w:val="0057033F"/>
    <w:rsid w:val="00570535"/>
    <w:rsid w:val="00570577"/>
    <w:rsid w:val="005710B7"/>
    <w:rsid w:val="005716FE"/>
    <w:rsid w:val="005719AD"/>
    <w:rsid w:val="0057338B"/>
    <w:rsid w:val="0057349C"/>
    <w:rsid w:val="00573BB0"/>
    <w:rsid w:val="0057460A"/>
    <w:rsid w:val="00577E5D"/>
    <w:rsid w:val="00581933"/>
    <w:rsid w:val="00582AC5"/>
    <w:rsid w:val="00582E87"/>
    <w:rsid w:val="00582EB9"/>
    <w:rsid w:val="00583483"/>
    <w:rsid w:val="00584965"/>
    <w:rsid w:val="005867FB"/>
    <w:rsid w:val="00590060"/>
    <w:rsid w:val="00590511"/>
    <w:rsid w:val="00591C64"/>
    <w:rsid w:val="00593AD4"/>
    <w:rsid w:val="00593D5A"/>
    <w:rsid w:val="00594E36"/>
    <w:rsid w:val="0059620A"/>
    <w:rsid w:val="00597DFF"/>
    <w:rsid w:val="005A0B5A"/>
    <w:rsid w:val="005A0F25"/>
    <w:rsid w:val="005A29C4"/>
    <w:rsid w:val="005A2DD9"/>
    <w:rsid w:val="005A37DB"/>
    <w:rsid w:val="005A42A5"/>
    <w:rsid w:val="005A436D"/>
    <w:rsid w:val="005A586D"/>
    <w:rsid w:val="005A785C"/>
    <w:rsid w:val="005B094F"/>
    <w:rsid w:val="005B0B18"/>
    <w:rsid w:val="005B2BAD"/>
    <w:rsid w:val="005B3395"/>
    <w:rsid w:val="005B4858"/>
    <w:rsid w:val="005B601C"/>
    <w:rsid w:val="005C053E"/>
    <w:rsid w:val="005C1733"/>
    <w:rsid w:val="005C1DC5"/>
    <w:rsid w:val="005C23A3"/>
    <w:rsid w:val="005C38BD"/>
    <w:rsid w:val="005C3F9E"/>
    <w:rsid w:val="005C5685"/>
    <w:rsid w:val="005C5BCB"/>
    <w:rsid w:val="005C6377"/>
    <w:rsid w:val="005C76BB"/>
    <w:rsid w:val="005C7F73"/>
    <w:rsid w:val="005D0230"/>
    <w:rsid w:val="005D0A3E"/>
    <w:rsid w:val="005D25FD"/>
    <w:rsid w:val="005D3DD9"/>
    <w:rsid w:val="005D3E0F"/>
    <w:rsid w:val="005D579E"/>
    <w:rsid w:val="005D5B3A"/>
    <w:rsid w:val="005D5BC4"/>
    <w:rsid w:val="005D7011"/>
    <w:rsid w:val="005D7360"/>
    <w:rsid w:val="005D7E1A"/>
    <w:rsid w:val="005E00D9"/>
    <w:rsid w:val="005E067F"/>
    <w:rsid w:val="005E0D3D"/>
    <w:rsid w:val="005E106E"/>
    <w:rsid w:val="005E1578"/>
    <w:rsid w:val="005E16AF"/>
    <w:rsid w:val="005E220F"/>
    <w:rsid w:val="005E26E7"/>
    <w:rsid w:val="005E301C"/>
    <w:rsid w:val="005E3B6A"/>
    <w:rsid w:val="005E5157"/>
    <w:rsid w:val="005E51B8"/>
    <w:rsid w:val="005E5388"/>
    <w:rsid w:val="005E7488"/>
    <w:rsid w:val="005F0B09"/>
    <w:rsid w:val="005F0CB0"/>
    <w:rsid w:val="005F15A5"/>
    <w:rsid w:val="005F2850"/>
    <w:rsid w:val="005F3AC5"/>
    <w:rsid w:val="005F3E4B"/>
    <w:rsid w:val="005F5166"/>
    <w:rsid w:val="005F533D"/>
    <w:rsid w:val="005F73B9"/>
    <w:rsid w:val="005F7C08"/>
    <w:rsid w:val="005F7D0A"/>
    <w:rsid w:val="006016D5"/>
    <w:rsid w:val="00601E39"/>
    <w:rsid w:val="00602674"/>
    <w:rsid w:val="006026A5"/>
    <w:rsid w:val="00602B90"/>
    <w:rsid w:val="00602BFF"/>
    <w:rsid w:val="006031ED"/>
    <w:rsid w:val="0060325C"/>
    <w:rsid w:val="0060376C"/>
    <w:rsid w:val="006037F6"/>
    <w:rsid w:val="00604331"/>
    <w:rsid w:val="00605D09"/>
    <w:rsid w:val="00605F80"/>
    <w:rsid w:val="00607D5C"/>
    <w:rsid w:val="0061072A"/>
    <w:rsid w:val="00611023"/>
    <w:rsid w:val="006121C7"/>
    <w:rsid w:val="006134D1"/>
    <w:rsid w:val="00614651"/>
    <w:rsid w:val="00614BC0"/>
    <w:rsid w:val="006158EE"/>
    <w:rsid w:val="00615E93"/>
    <w:rsid w:val="0061721D"/>
    <w:rsid w:val="006234B4"/>
    <w:rsid w:val="00623675"/>
    <w:rsid w:val="00624113"/>
    <w:rsid w:val="00624FF6"/>
    <w:rsid w:val="00625D6C"/>
    <w:rsid w:val="0062678D"/>
    <w:rsid w:val="006271E3"/>
    <w:rsid w:val="006304BF"/>
    <w:rsid w:val="00631C01"/>
    <w:rsid w:val="0063313D"/>
    <w:rsid w:val="0063410F"/>
    <w:rsid w:val="006348CC"/>
    <w:rsid w:val="006350CB"/>
    <w:rsid w:val="006355D1"/>
    <w:rsid w:val="0063590B"/>
    <w:rsid w:val="00636926"/>
    <w:rsid w:val="00636CA1"/>
    <w:rsid w:val="00636F44"/>
    <w:rsid w:val="006370B1"/>
    <w:rsid w:val="00637426"/>
    <w:rsid w:val="00637C43"/>
    <w:rsid w:val="0064085C"/>
    <w:rsid w:val="00641276"/>
    <w:rsid w:val="00641DA2"/>
    <w:rsid w:val="006424D6"/>
    <w:rsid w:val="006426EA"/>
    <w:rsid w:val="00642B43"/>
    <w:rsid w:val="006431C3"/>
    <w:rsid w:val="006440F7"/>
    <w:rsid w:val="00644AFE"/>
    <w:rsid w:val="006463E6"/>
    <w:rsid w:val="0064694F"/>
    <w:rsid w:val="00646A81"/>
    <w:rsid w:val="00646FC8"/>
    <w:rsid w:val="00647CEB"/>
    <w:rsid w:val="006503FF"/>
    <w:rsid w:val="0065101C"/>
    <w:rsid w:val="006520AB"/>
    <w:rsid w:val="00652BFE"/>
    <w:rsid w:val="00652CBE"/>
    <w:rsid w:val="00653C9A"/>
    <w:rsid w:val="00653ED9"/>
    <w:rsid w:val="00654589"/>
    <w:rsid w:val="00655C6D"/>
    <w:rsid w:val="0065696B"/>
    <w:rsid w:val="0065774F"/>
    <w:rsid w:val="00660F8C"/>
    <w:rsid w:val="006621E2"/>
    <w:rsid w:val="006650A7"/>
    <w:rsid w:val="006652F7"/>
    <w:rsid w:val="00666F39"/>
    <w:rsid w:val="00667295"/>
    <w:rsid w:val="00667571"/>
    <w:rsid w:val="00667B8A"/>
    <w:rsid w:val="00667EAB"/>
    <w:rsid w:val="0067158E"/>
    <w:rsid w:val="00671771"/>
    <w:rsid w:val="00673B3C"/>
    <w:rsid w:val="00675F15"/>
    <w:rsid w:val="00675FFA"/>
    <w:rsid w:val="0067635F"/>
    <w:rsid w:val="006775FA"/>
    <w:rsid w:val="00677CE5"/>
    <w:rsid w:val="00677F48"/>
    <w:rsid w:val="006805B4"/>
    <w:rsid w:val="00681E33"/>
    <w:rsid w:val="00682372"/>
    <w:rsid w:val="00682EF0"/>
    <w:rsid w:val="00682F99"/>
    <w:rsid w:val="00683426"/>
    <w:rsid w:val="0068387A"/>
    <w:rsid w:val="00684480"/>
    <w:rsid w:val="00684F95"/>
    <w:rsid w:val="00685D5B"/>
    <w:rsid w:val="00686290"/>
    <w:rsid w:val="00686D59"/>
    <w:rsid w:val="00687CCF"/>
    <w:rsid w:val="0069021B"/>
    <w:rsid w:val="00690923"/>
    <w:rsid w:val="00691FC5"/>
    <w:rsid w:val="00692A06"/>
    <w:rsid w:val="00692C15"/>
    <w:rsid w:val="0069347A"/>
    <w:rsid w:val="00693924"/>
    <w:rsid w:val="00694180"/>
    <w:rsid w:val="00695AAC"/>
    <w:rsid w:val="006968CC"/>
    <w:rsid w:val="006968D8"/>
    <w:rsid w:val="006A20F7"/>
    <w:rsid w:val="006A2C52"/>
    <w:rsid w:val="006A2DDE"/>
    <w:rsid w:val="006A53C3"/>
    <w:rsid w:val="006A5578"/>
    <w:rsid w:val="006A5890"/>
    <w:rsid w:val="006A5D19"/>
    <w:rsid w:val="006A5FA9"/>
    <w:rsid w:val="006A6073"/>
    <w:rsid w:val="006A64C1"/>
    <w:rsid w:val="006A69F5"/>
    <w:rsid w:val="006A77D6"/>
    <w:rsid w:val="006A7E38"/>
    <w:rsid w:val="006B0F89"/>
    <w:rsid w:val="006B1D29"/>
    <w:rsid w:val="006B2428"/>
    <w:rsid w:val="006B3923"/>
    <w:rsid w:val="006B3D7B"/>
    <w:rsid w:val="006B4021"/>
    <w:rsid w:val="006B4482"/>
    <w:rsid w:val="006B46AF"/>
    <w:rsid w:val="006B49D0"/>
    <w:rsid w:val="006B523C"/>
    <w:rsid w:val="006B576A"/>
    <w:rsid w:val="006B72C3"/>
    <w:rsid w:val="006C0BE5"/>
    <w:rsid w:val="006C110D"/>
    <w:rsid w:val="006C1A18"/>
    <w:rsid w:val="006C4796"/>
    <w:rsid w:val="006C4898"/>
    <w:rsid w:val="006C5B1A"/>
    <w:rsid w:val="006C5ED0"/>
    <w:rsid w:val="006C6073"/>
    <w:rsid w:val="006C67DE"/>
    <w:rsid w:val="006C6E84"/>
    <w:rsid w:val="006C6F65"/>
    <w:rsid w:val="006C7BD5"/>
    <w:rsid w:val="006C7C14"/>
    <w:rsid w:val="006C7FE9"/>
    <w:rsid w:val="006C7FEE"/>
    <w:rsid w:val="006D0D23"/>
    <w:rsid w:val="006D3C7E"/>
    <w:rsid w:val="006D4080"/>
    <w:rsid w:val="006D588A"/>
    <w:rsid w:val="006D5FC1"/>
    <w:rsid w:val="006E0AA1"/>
    <w:rsid w:val="006E0C52"/>
    <w:rsid w:val="006E2F6F"/>
    <w:rsid w:val="006E3662"/>
    <w:rsid w:val="006E3CFA"/>
    <w:rsid w:val="006E48FF"/>
    <w:rsid w:val="006E61B8"/>
    <w:rsid w:val="006E6E3D"/>
    <w:rsid w:val="006E7732"/>
    <w:rsid w:val="006E7EDB"/>
    <w:rsid w:val="006F11DD"/>
    <w:rsid w:val="006F218D"/>
    <w:rsid w:val="006F2C0F"/>
    <w:rsid w:val="006F340A"/>
    <w:rsid w:val="006F3D33"/>
    <w:rsid w:val="006F4A2F"/>
    <w:rsid w:val="006F54DA"/>
    <w:rsid w:val="006F5ACA"/>
    <w:rsid w:val="006F5EFC"/>
    <w:rsid w:val="006F6AF9"/>
    <w:rsid w:val="006F73B7"/>
    <w:rsid w:val="006F77A9"/>
    <w:rsid w:val="006F7EB0"/>
    <w:rsid w:val="00700DC4"/>
    <w:rsid w:val="007016D8"/>
    <w:rsid w:val="00701C48"/>
    <w:rsid w:val="00701FD0"/>
    <w:rsid w:val="007032B0"/>
    <w:rsid w:val="007039E8"/>
    <w:rsid w:val="00703BD6"/>
    <w:rsid w:val="0070560B"/>
    <w:rsid w:val="00705B85"/>
    <w:rsid w:val="0070731D"/>
    <w:rsid w:val="00707742"/>
    <w:rsid w:val="00710170"/>
    <w:rsid w:val="007101F9"/>
    <w:rsid w:val="007108FB"/>
    <w:rsid w:val="00711953"/>
    <w:rsid w:val="007127E7"/>
    <w:rsid w:val="0071417B"/>
    <w:rsid w:val="007142FA"/>
    <w:rsid w:val="007145D2"/>
    <w:rsid w:val="00715F9B"/>
    <w:rsid w:val="0071617E"/>
    <w:rsid w:val="00716304"/>
    <w:rsid w:val="00716E73"/>
    <w:rsid w:val="0071769B"/>
    <w:rsid w:val="007179FF"/>
    <w:rsid w:val="0072102A"/>
    <w:rsid w:val="00721123"/>
    <w:rsid w:val="00722537"/>
    <w:rsid w:val="00722BD0"/>
    <w:rsid w:val="00723320"/>
    <w:rsid w:val="00723D83"/>
    <w:rsid w:val="00723E47"/>
    <w:rsid w:val="007257F0"/>
    <w:rsid w:val="00725A73"/>
    <w:rsid w:val="00725FD3"/>
    <w:rsid w:val="0072774D"/>
    <w:rsid w:val="007278B1"/>
    <w:rsid w:val="00730217"/>
    <w:rsid w:val="00730FC3"/>
    <w:rsid w:val="0073111D"/>
    <w:rsid w:val="0073159B"/>
    <w:rsid w:val="00732431"/>
    <w:rsid w:val="007327CF"/>
    <w:rsid w:val="00733036"/>
    <w:rsid w:val="00733E8B"/>
    <w:rsid w:val="00734600"/>
    <w:rsid w:val="0073558D"/>
    <w:rsid w:val="00735693"/>
    <w:rsid w:val="007362F5"/>
    <w:rsid w:val="00736599"/>
    <w:rsid w:val="007367A9"/>
    <w:rsid w:val="007379AD"/>
    <w:rsid w:val="00740491"/>
    <w:rsid w:val="0074064B"/>
    <w:rsid w:val="00740D18"/>
    <w:rsid w:val="00741B4B"/>
    <w:rsid w:val="00741DD6"/>
    <w:rsid w:val="00741F7B"/>
    <w:rsid w:val="007433BF"/>
    <w:rsid w:val="0074487E"/>
    <w:rsid w:val="00745205"/>
    <w:rsid w:val="007452B6"/>
    <w:rsid w:val="007467CF"/>
    <w:rsid w:val="0074696D"/>
    <w:rsid w:val="00746FCF"/>
    <w:rsid w:val="00750EEA"/>
    <w:rsid w:val="007510F4"/>
    <w:rsid w:val="00753AE7"/>
    <w:rsid w:val="00754364"/>
    <w:rsid w:val="00754CD1"/>
    <w:rsid w:val="007550A0"/>
    <w:rsid w:val="00755796"/>
    <w:rsid w:val="0075579E"/>
    <w:rsid w:val="007560A8"/>
    <w:rsid w:val="00756493"/>
    <w:rsid w:val="00757142"/>
    <w:rsid w:val="00757DBE"/>
    <w:rsid w:val="00760D5D"/>
    <w:rsid w:val="0076119E"/>
    <w:rsid w:val="0076143D"/>
    <w:rsid w:val="0076379E"/>
    <w:rsid w:val="00764BEE"/>
    <w:rsid w:val="0076513F"/>
    <w:rsid w:val="00765CD5"/>
    <w:rsid w:val="00766304"/>
    <w:rsid w:val="00766F94"/>
    <w:rsid w:val="00771751"/>
    <w:rsid w:val="007727D2"/>
    <w:rsid w:val="00773B2C"/>
    <w:rsid w:val="00773E30"/>
    <w:rsid w:val="007751C9"/>
    <w:rsid w:val="00776407"/>
    <w:rsid w:val="00776498"/>
    <w:rsid w:val="00776A10"/>
    <w:rsid w:val="00777BFB"/>
    <w:rsid w:val="007807E4"/>
    <w:rsid w:val="00780A45"/>
    <w:rsid w:val="007848AE"/>
    <w:rsid w:val="00784C75"/>
    <w:rsid w:val="00786AC3"/>
    <w:rsid w:val="0078799E"/>
    <w:rsid w:val="007907FE"/>
    <w:rsid w:val="007912DC"/>
    <w:rsid w:val="00791D9E"/>
    <w:rsid w:val="00791DA9"/>
    <w:rsid w:val="0079293E"/>
    <w:rsid w:val="00792C86"/>
    <w:rsid w:val="007934F3"/>
    <w:rsid w:val="007942BF"/>
    <w:rsid w:val="00796C4B"/>
    <w:rsid w:val="007970B9"/>
    <w:rsid w:val="007978BF"/>
    <w:rsid w:val="00797A27"/>
    <w:rsid w:val="007A0FEB"/>
    <w:rsid w:val="007A1302"/>
    <w:rsid w:val="007A149F"/>
    <w:rsid w:val="007A165A"/>
    <w:rsid w:val="007A1D22"/>
    <w:rsid w:val="007A2A40"/>
    <w:rsid w:val="007A6C2C"/>
    <w:rsid w:val="007A7536"/>
    <w:rsid w:val="007B01F6"/>
    <w:rsid w:val="007B0C66"/>
    <w:rsid w:val="007B20D2"/>
    <w:rsid w:val="007B2553"/>
    <w:rsid w:val="007B33C0"/>
    <w:rsid w:val="007B3CC2"/>
    <w:rsid w:val="007B3FD6"/>
    <w:rsid w:val="007B5233"/>
    <w:rsid w:val="007B6247"/>
    <w:rsid w:val="007C00AF"/>
    <w:rsid w:val="007C09A2"/>
    <w:rsid w:val="007C1E01"/>
    <w:rsid w:val="007C1EEF"/>
    <w:rsid w:val="007C3D3A"/>
    <w:rsid w:val="007C41A6"/>
    <w:rsid w:val="007C63D4"/>
    <w:rsid w:val="007C737A"/>
    <w:rsid w:val="007D1BC0"/>
    <w:rsid w:val="007D1E04"/>
    <w:rsid w:val="007D3A20"/>
    <w:rsid w:val="007D3B5B"/>
    <w:rsid w:val="007D4156"/>
    <w:rsid w:val="007D55B2"/>
    <w:rsid w:val="007D6A55"/>
    <w:rsid w:val="007D6A7D"/>
    <w:rsid w:val="007D7192"/>
    <w:rsid w:val="007D76BF"/>
    <w:rsid w:val="007E0722"/>
    <w:rsid w:val="007E0A45"/>
    <w:rsid w:val="007E1F83"/>
    <w:rsid w:val="007E3129"/>
    <w:rsid w:val="007E39C8"/>
    <w:rsid w:val="007E3D7B"/>
    <w:rsid w:val="007E44CA"/>
    <w:rsid w:val="007E5591"/>
    <w:rsid w:val="007E6561"/>
    <w:rsid w:val="007F1A6F"/>
    <w:rsid w:val="007F1AF9"/>
    <w:rsid w:val="007F32DF"/>
    <w:rsid w:val="007F3486"/>
    <w:rsid w:val="007F373E"/>
    <w:rsid w:val="007F3853"/>
    <w:rsid w:val="007F3BF2"/>
    <w:rsid w:val="007F3D36"/>
    <w:rsid w:val="007F4103"/>
    <w:rsid w:val="007F4149"/>
    <w:rsid w:val="007F42FB"/>
    <w:rsid w:val="007F43AE"/>
    <w:rsid w:val="007F5C0E"/>
    <w:rsid w:val="007F6118"/>
    <w:rsid w:val="007F6408"/>
    <w:rsid w:val="007F6680"/>
    <w:rsid w:val="007F6E30"/>
    <w:rsid w:val="007F6FC5"/>
    <w:rsid w:val="007F7264"/>
    <w:rsid w:val="00800386"/>
    <w:rsid w:val="008008BF"/>
    <w:rsid w:val="00803162"/>
    <w:rsid w:val="008035BE"/>
    <w:rsid w:val="008036EC"/>
    <w:rsid w:val="00803BA2"/>
    <w:rsid w:val="008059F8"/>
    <w:rsid w:val="0080608B"/>
    <w:rsid w:val="0080674F"/>
    <w:rsid w:val="00807ABC"/>
    <w:rsid w:val="00807F09"/>
    <w:rsid w:val="00810FBE"/>
    <w:rsid w:val="008123BB"/>
    <w:rsid w:val="00812685"/>
    <w:rsid w:val="00812CCF"/>
    <w:rsid w:val="00814D79"/>
    <w:rsid w:val="00816ECE"/>
    <w:rsid w:val="00821273"/>
    <w:rsid w:val="0082167D"/>
    <w:rsid w:val="008222A9"/>
    <w:rsid w:val="00822874"/>
    <w:rsid w:val="00822BE6"/>
    <w:rsid w:val="00822DC8"/>
    <w:rsid w:val="008236C3"/>
    <w:rsid w:val="00825D5A"/>
    <w:rsid w:val="008261B1"/>
    <w:rsid w:val="0083201C"/>
    <w:rsid w:val="00833085"/>
    <w:rsid w:val="00834866"/>
    <w:rsid w:val="008348DB"/>
    <w:rsid w:val="00835C5B"/>
    <w:rsid w:val="0083692F"/>
    <w:rsid w:val="00836CB6"/>
    <w:rsid w:val="00840158"/>
    <w:rsid w:val="00841829"/>
    <w:rsid w:val="00844507"/>
    <w:rsid w:val="00845FBE"/>
    <w:rsid w:val="00846633"/>
    <w:rsid w:val="00846EF6"/>
    <w:rsid w:val="0084769C"/>
    <w:rsid w:val="008502BB"/>
    <w:rsid w:val="008507FB"/>
    <w:rsid w:val="00852099"/>
    <w:rsid w:val="00852BB7"/>
    <w:rsid w:val="00853641"/>
    <w:rsid w:val="0085384E"/>
    <w:rsid w:val="00854388"/>
    <w:rsid w:val="0085462E"/>
    <w:rsid w:val="00855306"/>
    <w:rsid w:val="00855BB6"/>
    <w:rsid w:val="0085616C"/>
    <w:rsid w:val="00857F71"/>
    <w:rsid w:val="00863B00"/>
    <w:rsid w:val="00864BFF"/>
    <w:rsid w:val="00865318"/>
    <w:rsid w:val="00866E44"/>
    <w:rsid w:val="0087053E"/>
    <w:rsid w:val="00870C6E"/>
    <w:rsid w:val="00871071"/>
    <w:rsid w:val="008711BC"/>
    <w:rsid w:val="00872894"/>
    <w:rsid w:val="008730FB"/>
    <w:rsid w:val="00874754"/>
    <w:rsid w:val="0087789D"/>
    <w:rsid w:val="00880592"/>
    <w:rsid w:val="00880932"/>
    <w:rsid w:val="008811E5"/>
    <w:rsid w:val="00883C1A"/>
    <w:rsid w:val="00883CDF"/>
    <w:rsid w:val="008841A5"/>
    <w:rsid w:val="00884875"/>
    <w:rsid w:val="00887581"/>
    <w:rsid w:val="008877BC"/>
    <w:rsid w:val="00887A87"/>
    <w:rsid w:val="00887C32"/>
    <w:rsid w:val="00891034"/>
    <w:rsid w:val="0089229B"/>
    <w:rsid w:val="00892D86"/>
    <w:rsid w:val="0089362F"/>
    <w:rsid w:val="00893BFF"/>
    <w:rsid w:val="00894503"/>
    <w:rsid w:val="00894700"/>
    <w:rsid w:val="00895C34"/>
    <w:rsid w:val="00896387"/>
    <w:rsid w:val="00897644"/>
    <w:rsid w:val="00897E08"/>
    <w:rsid w:val="008A1CF7"/>
    <w:rsid w:val="008A201B"/>
    <w:rsid w:val="008A22B2"/>
    <w:rsid w:val="008A2802"/>
    <w:rsid w:val="008A4B3A"/>
    <w:rsid w:val="008A585D"/>
    <w:rsid w:val="008A74D5"/>
    <w:rsid w:val="008A7ABD"/>
    <w:rsid w:val="008A7E7B"/>
    <w:rsid w:val="008B08D6"/>
    <w:rsid w:val="008B35D6"/>
    <w:rsid w:val="008B4702"/>
    <w:rsid w:val="008B48D9"/>
    <w:rsid w:val="008B5060"/>
    <w:rsid w:val="008B66F7"/>
    <w:rsid w:val="008B775B"/>
    <w:rsid w:val="008C0B82"/>
    <w:rsid w:val="008C2799"/>
    <w:rsid w:val="008C28B6"/>
    <w:rsid w:val="008C2D43"/>
    <w:rsid w:val="008C3822"/>
    <w:rsid w:val="008C3B3F"/>
    <w:rsid w:val="008C3CEF"/>
    <w:rsid w:val="008C4F0F"/>
    <w:rsid w:val="008C534E"/>
    <w:rsid w:val="008C5C42"/>
    <w:rsid w:val="008C695D"/>
    <w:rsid w:val="008C6B34"/>
    <w:rsid w:val="008C7603"/>
    <w:rsid w:val="008D00C1"/>
    <w:rsid w:val="008D0861"/>
    <w:rsid w:val="008D181F"/>
    <w:rsid w:val="008D1878"/>
    <w:rsid w:val="008D1B0B"/>
    <w:rsid w:val="008D2688"/>
    <w:rsid w:val="008D2A0D"/>
    <w:rsid w:val="008D2FD1"/>
    <w:rsid w:val="008D3362"/>
    <w:rsid w:val="008D502B"/>
    <w:rsid w:val="008D5057"/>
    <w:rsid w:val="008D507E"/>
    <w:rsid w:val="008D5103"/>
    <w:rsid w:val="008D5B85"/>
    <w:rsid w:val="008D7839"/>
    <w:rsid w:val="008D7848"/>
    <w:rsid w:val="008E0A71"/>
    <w:rsid w:val="008E1063"/>
    <w:rsid w:val="008E2797"/>
    <w:rsid w:val="008E2C7B"/>
    <w:rsid w:val="008E386F"/>
    <w:rsid w:val="008E38CE"/>
    <w:rsid w:val="008E3FF7"/>
    <w:rsid w:val="008E56A3"/>
    <w:rsid w:val="008E5D4C"/>
    <w:rsid w:val="008E5FEC"/>
    <w:rsid w:val="008E6014"/>
    <w:rsid w:val="008E690D"/>
    <w:rsid w:val="008E7953"/>
    <w:rsid w:val="008F0A69"/>
    <w:rsid w:val="008F180A"/>
    <w:rsid w:val="008F244F"/>
    <w:rsid w:val="008F258B"/>
    <w:rsid w:val="008F3240"/>
    <w:rsid w:val="008F3570"/>
    <w:rsid w:val="008F37D4"/>
    <w:rsid w:val="008F417C"/>
    <w:rsid w:val="008F5118"/>
    <w:rsid w:val="008F5413"/>
    <w:rsid w:val="008F5B20"/>
    <w:rsid w:val="008F6D9F"/>
    <w:rsid w:val="008F7DDF"/>
    <w:rsid w:val="009005DF"/>
    <w:rsid w:val="00900676"/>
    <w:rsid w:val="00900AF8"/>
    <w:rsid w:val="00901FE5"/>
    <w:rsid w:val="00902377"/>
    <w:rsid w:val="00903230"/>
    <w:rsid w:val="00903EFB"/>
    <w:rsid w:val="0090511C"/>
    <w:rsid w:val="00911AD9"/>
    <w:rsid w:val="00911FC2"/>
    <w:rsid w:val="00912CBD"/>
    <w:rsid w:val="00912D06"/>
    <w:rsid w:val="00914CB2"/>
    <w:rsid w:val="00915461"/>
    <w:rsid w:val="00915673"/>
    <w:rsid w:val="00915A46"/>
    <w:rsid w:val="009164A4"/>
    <w:rsid w:val="00916C1E"/>
    <w:rsid w:val="009173E2"/>
    <w:rsid w:val="0092002F"/>
    <w:rsid w:val="009230B9"/>
    <w:rsid w:val="009254E1"/>
    <w:rsid w:val="00926247"/>
    <w:rsid w:val="00926349"/>
    <w:rsid w:val="00927675"/>
    <w:rsid w:val="00927DDF"/>
    <w:rsid w:val="00927E8B"/>
    <w:rsid w:val="00927ED4"/>
    <w:rsid w:val="009308F7"/>
    <w:rsid w:val="00931BE8"/>
    <w:rsid w:val="00932263"/>
    <w:rsid w:val="0093232E"/>
    <w:rsid w:val="00932371"/>
    <w:rsid w:val="00932B8D"/>
    <w:rsid w:val="009331BC"/>
    <w:rsid w:val="0093359D"/>
    <w:rsid w:val="009335C3"/>
    <w:rsid w:val="0093390B"/>
    <w:rsid w:val="009342C7"/>
    <w:rsid w:val="00934DFE"/>
    <w:rsid w:val="009359A0"/>
    <w:rsid w:val="00935E49"/>
    <w:rsid w:val="00936C8E"/>
    <w:rsid w:val="00940915"/>
    <w:rsid w:val="0094120F"/>
    <w:rsid w:val="00941596"/>
    <w:rsid w:val="009419C1"/>
    <w:rsid w:val="009421AF"/>
    <w:rsid w:val="00943EF1"/>
    <w:rsid w:val="00944F3A"/>
    <w:rsid w:val="009460E6"/>
    <w:rsid w:val="00946590"/>
    <w:rsid w:val="00950785"/>
    <w:rsid w:val="00950B24"/>
    <w:rsid w:val="00950B53"/>
    <w:rsid w:val="009525D1"/>
    <w:rsid w:val="00952ACB"/>
    <w:rsid w:val="00952BD9"/>
    <w:rsid w:val="0095305A"/>
    <w:rsid w:val="009545F8"/>
    <w:rsid w:val="00954E7C"/>
    <w:rsid w:val="00955AE9"/>
    <w:rsid w:val="00956358"/>
    <w:rsid w:val="00956D76"/>
    <w:rsid w:val="00957341"/>
    <w:rsid w:val="009606E7"/>
    <w:rsid w:val="0096121E"/>
    <w:rsid w:val="0096159B"/>
    <w:rsid w:val="00961694"/>
    <w:rsid w:val="0096175E"/>
    <w:rsid w:val="00962F5C"/>
    <w:rsid w:val="00964A31"/>
    <w:rsid w:val="00965151"/>
    <w:rsid w:val="009664EC"/>
    <w:rsid w:val="00967B81"/>
    <w:rsid w:val="00970CFB"/>
    <w:rsid w:val="00972BF2"/>
    <w:rsid w:val="00973075"/>
    <w:rsid w:val="00973311"/>
    <w:rsid w:val="009737FC"/>
    <w:rsid w:val="00973BE6"/>
    <w:rsid w:val="0097436A"/>
    <w:rsid w:val="00974E4B"/>
    <w:rsid w:val="00974E60"/>
    <w:rsid w:val="009766E6"/>
    <w:rsid w:val="00977030"/>
    <w:rsid w:val="0097753B"/>
    <w:rsid w:val="00977AE7"/>
    <w:rsid w:val="00977FBD"/>
    <w:rsid w:val="00982B27"/>
    <w:rsid w:val="00983FC5"/>
    <w:rsid w:val="0098446C"/>
    <w:rsid w:val="00986974"/>
    <w:rsid w:val="00986B52"/>
    <w:rsid w:val="00987196"/>
    <w:rsid w:val="00987811"/>
    <w:rsid w:val="00991486"/>
    <w:rsid w:val="00992577"/>
    <w:rsid w:val="009927E5"/>
    <w:rsid w:val="009927E6"/>
    <w:rsid w:val="0099345A"/>
    <w:rsid w:val="00994149"/>
    <w:rsid w:val="009947D7"/>
    <w:rsid w:val="00994C17"/>
    <w:rsid w:val="009966AA"/>
    <w:rsid w:val="00996B9D"/>
    <w:rsid w:val="00996FC1"/>
    <w:rsid w:val="00997EEE"/>
    <w:rsid w:val="009A0473"/>
    <w:rsid w:val="009A1897"/>
    <w:rsid w:val="009A2625"/>
    <w:rsid w:val="009A2E64"/>
    <w:rsid w:val="009A3A1F"/>
    <w:rsid w:val="009A3FC1"/>
    <w:rsid w:val="009A56A4"/>
    <w:rsid w:val="009A5D0A"/>
    <w:rsid w:val="009A67A0"/>
    <w:rsid w:val="009B0961"/>
    <w:rsid w:val="009B11A3"/>
    <w:rsid w:val="009B1535"/>
    <w:rsid w:val="009B3371"/>
    <w:rsid w:val="009B34C8"/>
    <w:rsid w:val="009B35B4"/>
    <w:rsid w:val="009B460A"/>
    <w:rsid w:val="009B61AE"/>
    <w:rsid w:val="009B6763"/>
    <w:rsid w:val="009B74F2"/>
    <w:rsid w:val="009C066F"/>
    <w:rsid w:val="009C08E2"/>
    <w:rsid w:val="009C0D31"/>
    <w:rsid w:val="009C0ECE"/>
    <w:rsid w:val="009C1DB0"/>
    <w:rsid w:val="009C20D9"/>
    <w:rsid w:val="009C2DE3"/>
    <w:rsid w:val="009C4906"/>
    <w:rsid w:val="009C53EE"/>
    <w:rsid w:val="009C5726"/>
    <w:rsid w:val="009C6570"/>
    <w:rsid w:val="009C68F5"/>
    <w:rsid w:val="009C7648"/>
    <w:rsid w:val="009C79AC"/>
    <w:rsid w:val="009C7E38"/>
    <w:rsid w:val="009D2C24"/>
    <w:rsid w:val="009D368E"/>
    <w:rsid w:val="009D3955"/>
    <w:rsid w:val="009D437B"/>
    <w:rsid w:val="009D6F83"/>
    <w:rsid w:val="009D773B"/>
    <w:rsid w:val="009E088F"/>
    <w:rsid w:val="009E0EC7"/>
    <w:rsid w:val="009E1625"/>
    <w:rsid w:val="009E256F"/>
    <w:rsid w:val="009E2FD2"/>
    <w:rsid w:val="009E33C2"/>
    <w:rsid w:val="009E3ACC"/>
    <w:rsid w:val="009E58C4"/>
    <w:rsid w:val="009E5EDD"/>
    <w:rsid w:val="009E7360"/>
    <w:rsid w:val="009E7393"/>
    <w:rsid w:val="009F0A4A"/>
    <w:rsid w:val="009F0CDA"/>
    <w:rsid w:val="009F19D5"/>
    <w:rsid w:val="009F2BBD"/>
    <w:rsid w:val="009F32DC"/>
    <w:rsid w:val="009F436B"/>
    <w:rsid w:val="009F511A"/>
    <w:rsid w:val="009F5C90"/>
    <w:rsid w:val="009F660A"/>
    <w:rsid w:val="009F69F8"/>
    <w:rsid w:val="009F6AB0"/>
    <w:rsid w:val="009F7C75"/>
    <w:rsid w:val="00A0184B"/>
    <w:rsid w:val="00A01A29"/>
    <w:rsid w:val="00A02B99"/>
    <w:rsid w:val="00A043C0"/>
    <w:rsid w:val="00A04D7C"/>
    <w:rsid w:val="00A056F3"/>
    <w:rsid w:val="00A06280"/>
    <w:rsid w:val="00A109CD"/>
    <w:rsid w:val="00A12D62"/>
    <w:rsid w:val="00A131D6"/>
    <w:rsid w:val="00A13476"/>
    <w:rsid w:val="00A1359C"/>
    <w:rsid w:val="00A1470D"/>
    <w:rsid w:val="00A15BDD"/>
    <w:rsid w:val="00A16C9E"/>
    <w:rsid w:val="00A16E6D"/>
    <w:rsid w:val="00A1713B"/>
    <w:rsid w:val="00A17E4F"/>
    <w:rsid w:val="00A204D7"/>
    <w:rsid w:val="00A20DED"/>
    <w:rsid w:val="00A225B2"/>
    <w:rsid w:val="00A22826"/>
    <w:rsid w:val="00A2392C"/>
    <w:rsid w:val="00A239D1"/>
    <w:rsid w:val="00A23A2D"/>
    <w:rsid w:val="00A23E33"/>
    <w:rsid w:val="00A24692"/>
    <w:rsid w:val="00A25388"/>
    <w:rsid w:val="00A260AE"/>
    <w:rsid w:val="00A27A3C"/>
    <w:rsid w:val="00A301C7"/>
    <w:rsid w:val="00A33034"/>
    <w:rsid w:val="00A33198"/>
    <w:rsid w:val="00A343E9"/>
    <w:rsid w:val="00A35C06"/>
    <w:rsid w:val="00A36614"/>
    <w:rsid w:val="00A406F0"/>
    <w:rsid w:val="00A41843"/>
    <w:rsid w:val="00A41A2E"/>
    <w:rsid w:val="00A43CBD"/>
    <w:rsid w:val="00A440E4"/>
    <w:rsid w:val="00A444A4"/>
    <w:rsid w:val="00A44997"/>
    <w:rsid w:val="00A46474"/>
    <w:rsid w:val="00A47540"/>
    <w:rsid w:val="00A475A1"/>
    <w:rsid w:val="00A4764E"/>
    <w:rsid w:val="00A513AE"/>
    <w:rsid w:val="00A53304"/>
    <w:rsid w:val="00A53461"/>
    <w:rsid w:val="00A537A4"/>
    <w:rsid w:val="00A53A9C"/>
    <w:rsid w:val="00A56657"/>
    <w:rsid w:val="00A57113"/>
    <w:rsid w:val="00A57429"/>
    <w:rsid w:val="00A6082F"/>
    <w:rsid w:val="00A6187D"/>
    <w:rsid w:val="00A62584"/>
    <w:rsid w:val="00A626EC"/>
    <w:rsid w:val="00A63C2F"/>
    <w:rsid w:val="00A64241"/>
    <w:rsid w:val="00A64899"/>
    <w:rsid w:val="00A66744"/>
    <w:rsid w:val="00A66A78"/>
    <w:rsid w:val="00A70313"/>
    <w:rsid w:val="00A73DA3"/>
    <w:rsid w:val="00A748E2"/>
    <w:rsid w:val="00A761DC"/>
    <w:rsid w:val="00A7697D"/>
    <w:rsid w:val="00A7752A"/>
    <w:rsid w:val="00A77AE2"/>
    <w:rsid w:val="00A80817"/>
    <w:rsid w:val="00A80CF3"/>
    <w:rsid w:val="00A8350D"/>
    <w:rsid w:val="00A838E7"/>
    <w:rsid w:val="00A83C70"/>
    <w:rsid w:val="00A83FC8"/>
    <w:rsid w:val="00A85242"/>
    <w:rsid w:val="00A869D0"/>
    <w:rsid w:val="00A9098E"/>
    <w:rsid w:val="00A917F5"/>
    <w:rsid w:val="00A92F53"/>
    <w:rsid w:val="00A93285"/>
    <w:rsid w:val="00A95A89"/>
    <w:rsid w:val="00A95CAE"/>
    <w:rsid w:val="00A96430"/>
    <w:rsid w:val="00AA165A"/>
    <w:rsid w:val="00AA1CCD"/>
    <w:rsid w:val="00AA1DD7"/>
    <w:rsid w:val="00AA236A"/>
    <w:rsid w:val="00AA36FC"/>
    <w:rsid w:val="00AA3FB2"/>
    <w:rsid w:val="00AA592B"/>
    <w:rsid w:val="00AA6167"/>
    <w:rsid w:val="00AA7100"/>
    <w:rsid w:val="00AA75DD"/>
    <w:rsid w:val="00AB0330"/>
    <w:rsid w:val="00AB2819"/>
    <w:rsid w:val="00AB2A54"/>
    <w:rsid w:val="00AB2E44"/>
    <w:rsid w:val="00AB3793"/>
    <w:rsid w:val="00AB425E"/>
    <w:rsid w:val="00AB4265"/>
    <w:rsid w:val="00AB5147"/>
    <w:rsid w:val="00AB5EE6"/>
    <w:rsid w:val="00AB5F1E"/>
    <w:rsid w:val="00AB65CC"/>
    <w:rsid w:val="00AB6E9B"/>
    <w:rsid w:val="00AB6F35"/>
    <w:rsid w:val="00AB751C"/>
    <w:rsid w:val="00AB75DA"/>
    <w:rsid w:val="00AC0D3E"/>
    <w:rsid w:val="00AC13F9"/>
    <w:rsid w:val="00AC1732"/>
    <w:rsid w:val="00AC2033"/>
    <w:rsid w:val="00AC23CC"/>
    <w:rsid w:val="00AC24B5"/>
    <w:rsid w:val="00AC5682"/>
    <w:rsid w:val="00AC721F"/>
    <w:rsid w:val="00AC762C"/>
    <w:rsid w:val="00AC7720"/>
    <w:rsid w:val="00AD19EC"/>
    <w:rsid w:val="00AD22F1"/>
    <w:rsid w:val="00AD2EF3"/>
    <w:rsid w:val="00AD4ED2"/>
    <w:rsid w:val="00AD624B"/>
    <w:rsid w:val="00AE1E05"/>
    <w:rsid w:val="00AE29DA"/>
    <w:rsid w:val="00AE2CEE"/>
    <w:rsid w:val="00AE312A"/>
    <w:rsid w:val="00AE4F97"/>
    <w:rsid w:val="00AE5EEB"/>
    <w:rsid w:val="00AE63FA"/>
    <w:rsid w:val="00AE6A66"/>
    <w:rsid w:val="00AE7DFB"/>
    <w:rsid w:val="00AF29A8"/>
    <w:rsid w:val="00AF38E4"/>
    <w:rsid w:val="00AF3FCB"/>
    <w:rsid w:val="00AF4F3F"/>
    <w:rsid w:val="00AF4F6D"/>
    <w:rsid w:val="00B018BF"/>
    <w:rsid w:val="00B01AA4"/>
    <w:rsid w:val="00B01F9F"/>
    <w:rsid w:val="00B028F0"/>
    <w:rsid w:val="00B03A7B"/>
    <w:rsid w:val="00B0419D"/>
    <w:rsid w:val="00B0495E"/>
    <w:rsid w:val="00B06DDC"/>
    <w:rsid w:val="00B07916"/>
    <w:rsid w:val="00B07972"/>
    <w:rsid w:val="00B11B7C"/>
    <w:rsid w:val="00B12E1C"/>
    <w:rsid w:val="00B13D45"/>
    <w:rsid w:val="00B1485A"/>
    <w:rsid w:val="00B15403"/>
    <w:rsid w:val="00B167F4"/>
    <w:rsid w:val="00B17756"/>
    <w:rsid w:val="00B21229"/>
    <w:rsid w:val="00B2127D"/>
    <w:rsid w:val="00B21962"/>
    <w:rsid w:val="00B2304E"/>
    <w:rsid w:val="00B24840"/>
    <w:rsid w:val="00B24BDA"/>
    <w:rsid w:val="00B25650"/>
    <w:rsid w:val="00B26019"/>
    <w:rsid w:val="00B26A14"/>
    <w:rsid w:val="00B31044"/>
    <w:rsid w:val="00B3109C"/>
    <w:rsid w:val="00B31F42"/>
    <w:rsid w:val="00B328AE"/>
    <w:rsid w:val="00B33E38"/>
    <w:rsid w:val="00B35774"/>
    <w:rsid w:val="00B35B0A"/>
    <w:rsid w:val="00B36A73"/>
    <w:rsid w:val="00B3754B"/>
    <w:rsid w:val="00B3773A"/>
    <w:rsid w:val="00B377CE"/>
    <w:rsid w:val="00B403B3"/>
    <w:rsid w:val="00B4044B"/>
    <w:rsid w:val="00B4059D"/>
    <w:rsid w:val="00B42A59"/>
    <w:rsid w:val="00B42FC0"/>
    <w:rsid w:val="00B4312B"/>
    <w:rsid w:val="00B43AC4"/>
    <w:rsid w:val="00B4400B"/>
    <w:rsid w:val="00B44216"/>
    <w:rsid w:val="00B44313"/>
    <w:rsid w:val="00B449CF"/>
    <w:rsid w:val="00B44EFA"/>
    <w:rsid w:val="00B46A15"/>
    <w:rsid w:val="00B46CD8"/>
    <w:rsid w:val="00B47428"/>
    <w:rsid w:val="00B477E8"/>
    <w:rsid w:val="00B5018C"/>
    <w:rsid w:val="00B508F6"/>
    <w:rsid w:val="00B52063"/>
    <w:rsid w:val="00B52C9A"/>
    <w:rsid w:val="00B5384C"/>
    <w:rsid w:val="00B5582A"/>
    <w:rsid w:val="00B55ECB"/>
    <w:rsid w:val="00B55EDB"/>
    <w:rsid w:val="00B57076"/>
    <w:rsid w:val="00B57987"/>
    <w:rsid w:val="00B61038"/>
    <w:rsid w:val="00B61076"/>
    <w:rsid w:val="00B61AE2"/>
    <w:rsid w:val="00B61F11"/>
    <w:rsid w:val="00B62DD0"/>
    <w:rsid w:val="00B63BB1"/>
    <w:rsid w:val="00B71074"/>
    <w:rsid w:val="00B723D9"/>
    <w:rsid w:val="00B74AF9"/>
    <w:rsid w:val="00B750FE"/>
    <w:rsid w:val="00B75F16"/>
    <w:rsid w:val="00B76EA5"/>
    <w:rsid w:val="00B77EBE"/>
    <w:rsid w:val="00B80C5F"/>
    <w:rsid w:val="00B81C46"/>
    <w:rsid w:val="00B82AA3"/>
    <w:rsid w:val="00B85B1F"/>
    <w:rsid w:val="00B85B3E"/>
    <w:rsid w:val="00B85C96"/>
    <w:rsid w:val="00B85D21"/>
    <w:rsid w:val="00B90557"/>
    <w:rsid w:val="00B90844"/>
    <w:rsid w:val="00B9087D"/>
    <w:rsid w:val="00B90A83"/>
    <w:rsid w:val="00B90D19"/>
    <w:rsid w:val="00B918D0"/>
    <w:rsid w:val="00B92524"/>
    <w:rsid w:val="00B92C2B"/>
    <w:rsid w:val="00B93397"/>
    <w:rsid w:val="00B94EB8"/>
    <w:rsid w:val="00B95A24"/>
    <w:rsid w:val="00B966F2"/>
    <w:rsid w:val="00B96DB9"/>
    <w:rsid w:val="00B97480"/>
    <w:rsid w:val="00BA1603"/>
    <w:rsid w:val="00BA186E"/>
    <w:rsid w:val="00BA1B07"/>
    <w:rsid w:val="00BA251A"/>
    <w:rsid w:val="00BA2605"/>
    <w:rsid w:val="00BA31C5"/>
    <w:rsid w:val="00BA3A0D"/>
    <w:rsid w:val="00BA4583"/>
    <w:rsid w:val="00BA4EC0"/>
    <w:rsid w:val="00BA51FE"/>
    <w:rsid w:val="00BA561B"/>
    <w:rsid w:val="00BA59FE"/>
    <w:rsid w:val="00BA5C90"/>
    <w:rsid w:val="00BA6295"/>
    <w:rsid w:val="00BA6496"/>
    <w:rsid w:val="00BA6721"/>
    <w:rsid w:val="00BB1638"/>
    <w:rsid w:val="00BB1EC7"/>
    <w:rsid w:val="00BB2A22"/>
    <w:rsid w:val="00BB2D64"/>
    <w:rsid w:val="00BB2FE5"/>
    <w:rsid w:val="00BB447B"/>
    <w:rsid w:val="00BB51E3"/>
    <w:rsid w:val="00BB56D4"/>
    <w:rsid w:val="00BB5714"/>
    <w:rsid w:val="00BB5A95"/>
    <w:rsid w:val="00BB6CA7"/>
    <w:rsid w:val="00BC1080"/>
    <w:rsid w:val="00BC1181"/>
    <w:rsid w:val="00BC1DCE"/>
    <w:rsid w:val="00BC1FDF"/>
    <w:rsid w:val="00BC2173"/>
    <w:rsid w:val="00BC290C"/>
    <w:rsid w:val="00BC2F1C"/>
    <w:rsid w:val="00BC33EB"/>
    <w:rsid w:val="00BC37B1"/>
    <w:rsid w:val="00BC4790"/>
    <w:rsid w:val="00BC773D"/>
    <w:rsid w:val="00BC7E7D"/>
    <w:rsid w:val="00BD1471"/>
    <w:rsid w:val="00BD1615"/>
    <w:rsid w:val="00BD257D"/>
    <w:rsid w:val="00BD25FD"/>
    <w:rsid w:val="00BD30A3"/>
    <w:rsid w:val="00BD38DA"/>
    <w:rsid w:val="00BD4AEA"/>
    <w:rsid w:val="00BD535D"/>
    <w:rsid w:val="00BD56EE"/>
    <w:rsid w:val="00BD5991"/>
    <w:rsid w:val="00BD5CAB"/>
    <w:rsid w:val="00BD6484"/>
    <w:rsid w:val="00BD69A1"/>
    <w:rsid w:val="00BD740A"/>
    <w:rsid w:val="00BE027C"/>
    <w:rsid w:val="00BE1318"/>
    <w:rsid w:val="00BE1BE2"/>
    <w:rsid w:val="00BE4CC6"/>
    <w:rsid w:val="00BE4DE2"/>
    <w:rsid w:val="00BE4F8A"/>
    <w:rsid w:val="00BE5484"/>
    <w:rsid w:val="00BE6736"/>
    <w:rsid w:val="00BE678A"/>
    <w:rsid w:val="00BE7A9D"/>
    <w:rsid w:val="00BE7E44"/>
    <w:rsid w:val="00BF0008"/>
    <w:rsid w:val="00BF0518"/>
    <w:rsid w:val="00BF0B7D"/>
    <w:rsid w:val="00BF15BB"/>
    <w:rsid w:val="00BF1D7E"/>
    <w:rsid w:val="00BF1F00"/>
    <w:rsid w:val="00BF2580"/>
    <w:rsid w:val="00BF2810"/>
    <w:rsid w:val="00BF2BBA"/>
    <w:rsid w:val="00BF2C4D"/>
    <w:rsid w:val="00BF2EB9"/>
    <w:rsid w:val="00BF3E6F"/>
    <w:rsid w:val="00BF426D"/>
    <w:rsid w:val="00BF4401"/>
    <w:rsid w:val="00BF463D"/>
    <w:rsid w:val="00BF4776"/>
    <w:rsid w:val="00BF4EAA"/>
    <w:rsid w:val="00BF5760"/>
    <w:rsid w:val="00BF611E"/>
    <w:rsid w:val="00BF62E8"/>
    <w:rsid w:val="00BF6948"/>
    <w:rsid w:val="00BF7D85"/>
    <w:rsid w:val="00BF7E36"/>
    <w:rsid w:val="00C003AE"/>
    <w:rsid w:val="00C00F5E"/>
    <w:rsid w:val="00C011DF"/>
    <w:rsid w:val="00C011F6"/>
    <w:rsid w:val="00C01AD1"/>
    <w:rsid w:val="00C01BBE"/>
    <w:rsid w:val="00C0300B"/>
    <w:rsid w:val="00C034B5"/>
    <w:rsid w:val="00C03C3C"/>
    <w:rsid w:val="00C0584C"/>
    <w:rsid w:val="00C06AB5"/>
    <w:rsid w:val="00C10099"/>
    <w:rsid w:val="00C1089C"/>
    <w:rsid w:val="00C11C45"/>
    <w:rsid w:val="00C11C48"/>
    <w:rsid w:val="00C11CAF"/>
    <w:rsid w:val="00C14FBE"/>
    <w:rsid w:val="00C15197"/>
    <w:rsid w:val="00C16A58"/>
    <w:rsid w:val="00C1765C"/>
    <w:rsid w:val="00C207A1"/>
    <w:rsid w:val="00C216DE"/>
    <w:rsid w:val="00C22BDA"/>
    <w:rsid w:val="00C22C0E"/>
    <w:rsid w:val="00C22FC5"/>
    <w:rsid w:val="00C24292"/>
    <w:rsid w:val="00C242E4"/>
    <w:rsid w:val="00C24656"/>
    <w:rsid w:val="00C26948"/>
    <w:rsid w:val="00C26B4D"/>
    <w:rsid w:val="00C26F0A"/>
    <w:rsid w:val="00C30AE5"/>
    <w:rsid w:val="00C31353"/>
    <w:rsid w:val="00C31467"/>
    <w:rsid w:val="00C318F1"/>
    <w:rsid w:val="00C32581"/>
    <w:rsid w:val="00C328AF"/>
    <w:rsid w:val="00C33B4F"/>
    <w:rsid w:val="00C33E54"/>
    <w:rsid w:val="00C354B4"/>
    <w:rsid w:val="00C36250"/>
    <w:rsid w:val="00C36328"/>
    <w:rsid w:val="00C37516"/>
    <w:rsid w:val="00C37808"/>
    <w:rsid w:val="00C4010B"/>
    <w:rsid w:val="00C41092"/>
    <w:rsid w:val="00C41B39"/>
    <w:rsid w:val="00C41C44"/>
    <w:rsid w:val="00C42AF3"/>
    <w:rsid w:val="00C44894"/>
    <w:rsid w:val="00C45BF6"/>
    <w:rsid w:val="00C45CB9"/>
    <w:rsid w:val="00C45FDA"/>
    <w:rsid w:val="00C46C60"/>
    <w:rsid w:val="00C47CF7"/>
    <w:rsid w:val="00C506F9"/>
    <w:rsid w:val="00C50730"/>
    <w:rsid w:val="00C5105D"/>
    <w:rsid w:val="00C51CC3"/>
    <w:rsid w:val="00C5220D"/>
    <w:rsid w:val="00C538AA"/>
    <w:rsid w:val="00C57E62"/>
    <w:rsid w:val="00C614AF"/>
    <w:rsid w:val="00C61D95"/>
    <w:rsid w:val="00C61E90"/>
    <w:rsid w:val="00C62225"/>
    <w:rsid w:val="00C626A9"/>
    <w:rsid w:val="00C62E9B"/>
    <w:rsid w:val="00C636C3"/>
    <w:rsid w:val="00C668F8"/>
    <w:rsid w:val="00C66D57"/>
    <w:rsid w:val="00C67104"/>
    <w:rsid w:val="00C6753D"/>
    <w:rsid w:val="00C67C2F"/>
    <w:rsid w:val="00C7193E"/>
    <w:rsid w:val="00C71ACD"/>
    <w:rsid w:val="00C729CB"/>
    <w:rsid w:val="00C72B3D"/>
    <w:rsid w:val="00C73855"/>
    <w:rsid w:val="00C73DB2"/>
    <w:rsid w:val="00C75B08"/>
    <w:rsid w:val="00C76690"/>
    <w:rsid w:val="00C76DA6"/>
    <w:rsid w:val="00C8197E"/>
    <w:rsid w:val="00C82906"/>
    <w:rsid w:val="00C82A51"/>
    <w:rsid w:val="00C82AFB"/>
    <w:rsid w:val="00C82DD4"/>
    <w:rsid w:val="00C85CB7"/>
    <w:rsid w:val="00C8637A"/>
    <w:rsid w:val="00C901B8"/>
    <w:rsid w:val="00C90280"/>
    <w:rsid w:val="00C918CE"/>
    <w:rsid w:val="00C91F76"/>
    <w:rsid w:val="00C92584"/>
    <w:rsid w:val="00C939F8"/>
    <w:rsid w:val="00C94A3B"/>
    <w:rsid w:val="00CA0D84"/>
    <w:rsid w:val="00CA16AE"/>
    <w:rsid w:val="00CA1D06"/>
    <w:rsid w:val="00CA217E"/>
    <w:rsid w:val="00CA23A7"/>
    <w:rsid w:val="00CA378A"/>
    <w:rsid w:val="00CA406F"/>
    <w:rsid w:val="00CA4261"/>
    <w:rsid w:val="00CA68E7"/>
    <w:rsid w:val="00CA695E"/>
    <w:rsid w:val="00CA708C"/>
    <w:rsid w:val="00CA7DB5"/>
    <w:rsid w:val="00CB04AC"/>
    <w:rsid w:val="00CB06E2"/>
    <w:rsid w:val="00CB1D65"/>
    <w:rsid w:val="00CB22E5"/>
    <w:rsid w:val="00CB2D0F"/>
    <w:rsid w:val="00CB2E36"/>
    <w:rsid w:val="00CB3AB8"/>
    <w:rsid w:val="00CB42C3"/>
    <w:rsid w:val="00CB4A6B"/>
    <w:rsid w:val="00CB681D"/>
    <w:rsid w:val="00CB6D38"/>
    <w:rsid w:val="00CB7C49"/>
    <w:rsid w:val="00CC0466"/>
    <w:rsid w:val="00CC1764"/>
    <w:rsid w:val="00CC1F19"/>
    <w:rsid w:val="00CC296C"/>
    <w:rsid w:val="00CC3AD3"/>
    <w:rsid w:val="00CC4791"/>
    <w:rsid w:val="00CC6609"/>
    <w:rsid w:val="00CC7812"/>
    <w:rsid w:val="00CC7AAC"/>
    <w:rsid w:val="00CD0692"/>
    <w:rsid w:val="00CD0BC4"/>
    <w:rsid w:val="00CD2579"/>
    <w:rsid w:val="00CD2C68"/>
    <w:rsid w:val="00CD424B"/>
    <w:rsid w:val="00CD42A5"/>
    <w:rsid w:val="00CD503A"/>
    <w:rsid w:val="00CD53B0"/>
    <w:rsid w:val="00CD54CD"/>
    <w:rsid w:val="00CD5ED4"/>
    <w:rsid w:val="00CD5FCE"/>
    <w:rsid w:val="00CD658A"/>
    <w:rsid w:val="00CD680A"/>
    <w:rsid w:val="00CD6DE6"/>
    <w:rsid w:val="00CD7724"/>
    <w:rsid w:val="00CD7E8E"/>
    <w:rsid w:val="00CE1827"/>
    <w:rsid w:val="00CE196B"/>
    <w:rsid w:val="00CE1C43"/>
    <w:rsid w:val="00CE1F9E"/>
    <w:rsid w:val="00CE3226"/>
    <w:rsid w:val="00CE343E"/>
    <w:rsid w:val="00CE36CB"/>
    <w:rsid w:val="00CE4A10"/>
    <w:rsid w:val="00CE56AC"/>
    <w:rsid w:val="00CE6515"/>
    <w:rsid w:val="00CE77B2"/>
    <w:rsid w:val="00CE78F7"/>
    <w:rsid w:val="00CF0303"/>
    <w:rsid w:val="00CF054E"/>
    <w:rsid w:val="00CF0896"/>
    <w:rsid w:val="00CF1E71"/>
    <w:rsid w:val="00CF362B"/>
    <w:rsid w:val="00CF5747"/>
    <w:rsid w:val="00CF6694"/>
    <w:rsid w:val="00CF761E"/>
    <w:rsid w:val="00D00CB0"/>
    <w:rsid w:val="00D01958"/>
    <w:rsid w:val="00D01B48"/>
    <w:rsid w:val="00D031F5"/>
    <w:rsid w:val="00D035B7"/>
    <w:rsid w:val="00D037C3"/>
    <w:rsid w:val="00D06D80"/>
    <w:rsid w:val="00D0741E"/>
    <w:rsid w:val="00D11912"/>
    <w:rsid w:val="00D11978"/>
    <w:rsid w:val="00D12301"/>
    <w:rsid w:val="00D159EA"/>
    <w:rsid w:val="00D1767F"/>
    <w:rsid w:val="00D17ECE"/>
    <w:rsid w:val="00D2198D"/>
    <w:rsid w:val="00D21B4A"/>
    <w:rsid w:val="00D22016"/>
    <w:rsid w:val="00D22019"/>
    <w:rsid w:val="00D2277D"/>
    <w:rsid w:val="00D23951"/>
    <w:rsid w:val="00D254E8"/>
    <w:rsid w:val="00D2552A"/>
    <w:rsid w:val="00D25545"/>
    <w:rsid w:val="00D26E8A"/>
    <w:rsid w:val="00D30558"/>
    <w:rsid w:val="00D3097C"/>
    <w:rsid w:val="00D31E4A"/>
    <w:rsid w:val="00D32742"/>
    <w:rsid w:val="00D344DF"/>
    <w:rsid w:val="00D34892"/>
    <w:rsid w:val="00D349BA"/>
    <w:rsid w:val="00D35574"/>
    <w:rsid w:val="00D36C75"/>
    <w:rsid w:val="00D400CE"/>
    <w:rsid w:val="00D4091B"/>
    <w:rsid w:val="00D44529"/>
    <w:rsid w:val="00D448A2"/>
    <w:rsid w:val="00D44F56"/>
    <w:rsid w:val="00D4508B"/>
    <w:rsid w:val="00D45BC7"/>
    <w:rsid w:val="00D461D9"/>
    <w:rsid w:val="00D50554"/>
    <w:rsid w:val="00D51060"/>
    <w:rsid w:val="00D514AF"/>
    <w:rsid w:val="00D51643"/>
    <w:rsid w:val="00D530D4"/>
    <w:rsid w:val="00D551C2"/>
    <w:rsid w:val="00D561B8"/>
    <w:rsid w:val="00D576D6"/>
    <w:rsid w:val="00D60309"/>
    <w:rsid w:val="00D60BF0"/>
    <w:rsid w:val="00D61748"/>
    <w:rsid w:val="00D61CCD"/>
    <w:rsid w:val="00D62B78"/>
    <w:rsid w:val="00D644FC"/>
    <w:rsid w:val="00D647E1"/>
    <w:rsid w:val="00D65555"/>
    <w:rsid w:val="00D65B3C"/>
    <w:rsid w:val="00D67ED0"/>
    <w:rsid w:val="00D7005E"/>
    <w:rsid w:val="00D70461"/>
    <w:rsid w:val="00D7135F"/>
    <w:rsid w:val="00D71639"/>
    <w:rsid w:val="00D716D9"/>
    <w:rsid w:val="00D72E30"/>
    <w:rsid w:val="00D73B0D"/>
    <w:rsid w:val="00D73C4A"/>
    <w:rsid w:val="00D7448B"/>
    <w:rsid w:val="00D750EC"/>
    <w:rsid w:val="00D75A13"/>
    <w:rsid w:val="00D75D93"/>
    <w:rsid w:val="00D76DE4"/>
    <w:rsid w:val="00D76FD2"/>
    <w:rsid w:val="00D77D3D"/>
    <w:rsid w:val="00D807B8"/>
    <w:rsid w:val="00D81A04"/>
    <w:rsid w:val="00D834D2"/>
    <w:rsid w:val="00D837CB"/>
    <w:rsid w:val="00D84C7C"/>
    <w:rsid w:val="00D852EA"/>
    <w:rsid w:val="00D85867"/>
    <w:rsid w:val="00D8627D"/>
    <w:rsid w:val="00D86ECC"/>
    <w:rsid w:val="00D908C6"/>
    <w:rsid w:val="00D9143C"/>
    <w:rsid w:val="00D919DB"/>
    <w:rsid w:val="00D920F2"/>
    <w:rsid w:val="00D924BD"/>
    <w:rsid w:val="00D93CBE"/>
    <w:rsid w:val="00D9436C"/>
    <w:rsid w:val="00D94EB5"/>
    <w:rsid w:val="00D94F3D"/>
    <w:rsid w:val="00D96185"/>
    <w:rsid w:val="00D97744"/>
    <w:rsid w:val="00D97E55"/>
    <w:rsid w:val="00DA13C4"/>
    <w:rsid w:val="00DA3719"/>
    <w:rsid w:val="00DA4AF3"/>
    <w:rsid w:val="00DA4C18"/>
    <w:rsid w:val="00DA4D73"/>
    <w:rsid w:val="00DA7858"/>
    <w:rsid w:val="00DB1B37"/>
    <w:rsid w:val="00DB1BCD"/>
    <w:rsid w:val="00DB2380"/>
    <w:rsid w:val="00DB4B42"/>
    <w:rsid w:val="00DB642B"/>
    <w:rsid w:val="00DC1896"/>
    <w:rsid w:val="00DC2613"/>
    <w:rsid w:val="00DC4877"/>
    <w:rsid w:val="00DC6318"/>
    <w:rsid w:val="00DC6E18"/>
    <w:rsid w:val="00DD0FDD"/>
    <w:rsid w:val="00DD1D88"/>
    <w:rsid w:val="00DD332F"/>
    <w:rsid w:val="00DD3DA6"/>
    <w:rsid w:val="00DD3F26"/>
    <w:rsid w:val="00DD443C"/>
    <w:rsid w:val="00DD45D8"/>
    <w:rsid w:val="00DD4C6C"/>
    <w:rsid w:val="00DD5B3A"/>
    <w:rsid w:val="00DD6F4D"/>
    <w:rsid w:val="00DD6F69"/>
    <w:rsid w:val="00DD6FD7"/>
    <w:rsid w:val="00DD7323"/>
    <w:rsid w:val="00DD778E"/>
    <w:rsid w:val="00DD7DEC"/>
    <w:rsid w:val="00DE056F"/>
    <w:rsid w:val="00DE10A3"/>
    <w:rsid w:val="00DE184C"/>
    <w:rsid w:val="00DE25C6"/>
    <w:rsid w:val="00DE309C"/>
    <w:rsid w:val="00DE4143"/>
    <w:rsid w:val="00DE4228"/>
    <w:rsid w:val="00DE4D50"/>
    <w:rsid w:val="00DE542A"/>
    <w:rsid w:val="00DE644D"/>
    <w:rsid w:val="00DE7D47"/>
    <w:rsid w:val="00DF010F"/>
    <w:rsid w:val="00DF0512"/>
    <w:rsid w:val="00DF10CA"/>
    <w:rsid w:val="00DF1601"/>
    <w:rsid w:val="00DF3CB3"/>
    <w:rsid w:val="00DF3D8E"/>
    <w:rsid w:val="00DF5486"/>
    <w:rsid w:val="00DF68C6"/>
    <w:rsid w:val="00E0245B"/>
    <w:rsid w:val="00E02545"/>
    <w:rsid w:val="00E03390"/>
    <w:rsid w:val="00E035B2"/>
    <w:rsid w:val="00E049E2"/>
    <w:rsid w:val="00E04D34"/>
    <w:rsid w:val="00E04EC6"/>
    <w:rsid w:val="00E05908"/>
    <w:rsid w:val="00E065F2"/>
    <w:rsid w:val="00E0706E"/>
    <w:rsid w:val="00E07089"/>
    <w:rsid w:val="00E07623"/>
    <w:rsid w:val="00E0773F"/>
    <w:rsid w:val="00E1039B"/>
    <w:rsid w:val="00E11018"/>
    <w:rsid w:val="00E117FB"/>
    <w:rsid w:val="00E11BEC"/>
    <w:rsid w:val="00E1266B"/>
    <w:rsid w:val="00E12D56"/>
    <w:rsid w:val="00E12E7D"/>
    <w:rsid w:val="00E15625"/>
    <w:rsid w:val="00E15A17"/>
    <w:rsid w:val="00E15F9C"/>
    <w:rsid w:val="00E16767"/>
    <w:rsid w:val="00E23A2B"/>
    <w:rsid w:val="00E23F23"/>
    <w:rsid w:val="00E240D5"/>
    <w:rsid w:val="00E248B4"/>
    <w:rsid w:val="00E24D29"/>
    <w:rsid w:val="00E24E87"/>
    <w:rsid w:val="00E2634E"/>
    <w:rsid w:val="00E26790"/>
    <w:rsid w:val="00E3055A"/>
    <w:rsid w:val="00E3290C"/>
    <w:rsid w:val="00E33E30"/>
    <w:rsid w:val="00E347F0"/>
    <w:rsid w:val="00E356AA"/>
    <w:rsid w:val="00E3600F"/>
    <w:rsid w:val="00E370FF"/>
    <w:rsid w:val="00E40771"/>
    <w:rsid w:val="00E40D4E"/>
    <w:rsid w:val="00E40EFD"/>
    <w:rsid w:val="00E41791"/>
    <w:rsid w:val="00E424C5"/>
    <w:rsid w:val="00E42716"/>
    <w:rsid w:val="00E429F4"/>
    <w:rsid w:val="00E43378"/>
    <w:rsid w:val="00E43896"/>
    <w:rsid w:val="00E43A55"/>
    <w:rsid w:val="00E46108"/>
    <w:rsid w:val="00E46BAD"/>
    <w:rsid w:val="00E477D7"/>
    <w:rsid w:val="00E51194"/>
    <w:rsid w:val="00E516B7"/>
    <w:rsid w:val="00E521C4"/>
    <w:rsid w:val="00E539CC"/>
    <w:rsid w:val="00E53D47"/>
    <w:rsid w:val="00E56D2F"/>
    <w:rsid w:val="00E60E22"/>
    <w:rsid w:val="00E61324"/>
    <w:rsid w:val="00E61DCD"/>
    <w:rsid w:val="00E62329"/>
    <w:rsid w:val="00E62546"/>
    <w:rsid w:val="00E64D0A"/>
    <w:rsid w:val="00E65981"/>
    <w:rsid w:val="00E66D83"/>
    <w:rsid w:val="00E70E3A"/>
    <w:rsid w:val="00E71371"/>
    <w:rsid w:val="00E73FA3"/>
    <w:rsid w:val="00E7409C"/>
    <w:rsid w:val="00E748BD"/>
    <w:rsid w:val="00E76694"/>
    <w:rsid w:val="00E76D64"/>
    <w:rsid w:val="00E76EDE"/>
    <w:rsid w:val="00E76F2D"/>
    <w:rsid w:val="00E76F88"/>
    <w:rsid w:val="00E800DA"/>
    <w:rsid w:val="00E80D8B"/>
    <w:rsid w:val="00E80F5B"/>
    <w:rsid w:val="00E81757"/>
    <w:rsid w:val="00E820D4"/>
    <w:rsid w:val="00E83CB0"/>
    <w:rsid w:val="00E84A78"/>
    <w:rsid w:val="00E85C93"/>
    <w:rsid w:val="00E8680F"/>
    <w:rsid w:val="00E86A36"/>
    <w:rsid w:val="00E86C5F"/>
    <w:rsid w:val="00E87C9C"/>
    <w:rsid w:val="00E90BC5"/>
    <w:rsid w:val="00E91FC4"/>
    <w:rsid w:val="00E92861"/>
    <w:rsid w:val="00E939B2"/>
    <w:rsid w:val="00E93E44"/>
    <w:rsid w:val="00E955A0"/>
    <w:rsid w:val="00E95D32"/>
    <w:rsid w:val="00E963F3"/>
    <w:rsid w:val="00E963F7"/>
    <w:rsid w:val="00E966B0"/>
    <w:rsid w:val="00E96C79"/>
    <w:rsid w:val="00E97A6A"/>
    <w:rsid w:val="00EA0770"/>
    <w:rsid w:val="00EA081F"/>
    <w:rsid w:val="00EA0E0B"/>
    <w:rsid w:val="00EA1C50"/>
    <w:rsid w:val="00EA2016"/>
    <w:rsid w:val="00EA28EF"/>
    <w:rsid w:val="00EA54E2"/>
    <w:rsid w:val="00EA607F"/>
    <w:rsid w:val="00EA6680"/>
    <w:rsid w:val="00EA6BC9"/>
    <w:rsid w:val="00EA7237"/>
    <w:rsid w:val="00EA737E"/>
    <w:rsid w:val="00EA7D9E"/>
    <w:rsid w:val="00EB0228"/>
    <w:rsid w:val="00EB049E"/>
    <w:rsid w:val="00EB0A47"/>
    <w:rsid w:val="00EB0B84"/>
    <w:rsid w:val="00EB37F6"/>
    <w:rsid w:val="00EB7E8E"/>
    <w:rsid w:val="00EC03A7"/>
    <w:rsid w:val="00EC656D"/>
    <w:rsid w:val="00EC6F3C"/>
    <w:rsid w:val="00EC764F"/>
    <w:rsid w:val="00ED0498"/>
    <w:rsid w:val="00ED1AA2"/>
    <w:rsid w:val="00ED5385"/>
    <w:rsid w:val="00ED5BA1"/>
    <w:rsid w:val="00ED5F4B"/>
    <w:rsid w:val="00ED77EF"/>
    <w:rsid w:val="00ED79FA"/>
    <w:rsid w:val="00EE0D5E"/>
    <w:rsid w:val="00EE1222"/>
    <w:rsid w:val="00EE2001"/>
    <w:rsid w:val="00EE2EB9"/>
    <w:rsid w:val="00EE311E"/>
    <w:rsid w:val="00EE4487"/>
    <w:rsid w:val="00EE4B69"/>
    <w:rsid w:val="00EE6990"/>
    <w:rsid w:val="00EF07A3"/>
    <w:rsid w:val="00EF093A"/>
    <w:rsid w:val="00EF0DA0"/>
    <w:rsid w:val="00EF2A9B"/>
    <w:rsid w:val="00EF2ABB"/>
    <w:rsid w:val="00EF4A7D"/>
    <w:rsid w:val="00EF4CD3"/>
    <w:rsid w:val="00EF4D3F"/>
    <w:rsid w:val="00EF6AD5"/>
    <w:rsid w:val="00EF7DD3"/>
    <w:rsid w:val="00EF7E99"/>
    <w:rsid w:val="00F03738"/>
    <w:rsid w:val="00F040E5"/>
    <w:rsid w:val="00F041FD"/>
    <w:rsid w:val="00F05169"/>
    <w:rsid w:val="00F052B4"/>
    <w:rsid w:val="00F05339"/>
    <w:rsid w:val="00F067A5"/>
    <w:rsid w:val="00F06DBD"/>
    <w:rsid w:val="00F06E60"/>
    <w:rsid w:val="00F079C0"/>
    <w:rsid w:val="00F10A08"/>
    <w:rsid w:val="00F10B16"/>
    <w:rsid w:val="00F10B88"/>
    <w:rsid w:val="00F13FB8"/>
    <w:rsid w:val="00F15A7B"/>
    <w:rsid w:val="00F15CD0"/>
    <w:rsid w:val="00F167EE"/>
    <w:rsid w:val="00F16D39"/>
    <w:rsid w:val="00F17D69"/>
    <w:rsid w:val="00F20613"/>
    <w:rsid w:val="00F21150"/>
    <w:rsid w:val="00F21C4D"/>
    <w:rsid w:val="00F229B0"/>
    <w:rsid w:val="00F23BDF"/>
    <w:rsid w:val="00F24686"/>
    <w:rsid w:val="00F25134"/>
    <w:rsid w:val="00F26440"/>
    <w:rsid w:val="00F26C4C"/>
    <w:rsid w:val="00F27DF7"/>
    <w:rsid w:val="00F3180B"/>
    <w:rsid w:val="00F32760"/>
    <w:rsid w:val="00F33FF3"/>
    <w:rsid w:val="00F354B2"/>
    <w:rsid w:val="00F357A5"/>
    <w:rsid w:val="00F362EF"/>
    <w:rsid w:val="00F3656B"/>
    <w:rsid w:val="00F3728A"/>
    <w:rsid w:val="00F377EB"/>
    <w:rsid w:val="00F37CFC"/>
    <w:rsid w:val="00F404AF"/>
    <w:rsid w:val="00F405F4"/>
    <w:rsid w:val="00F40E87"/>
    <w:rsid w:val="00F40FC8"/>
    <w:rsid w:val="00F41398"/>
    <w:rsid w:val="00F417BC"/>
    <w:rsid w:val="00F426CE"/>
    <w:rsid w:val="00F428BE"/>
    <w:rsid w:val="00F43383"/>
    <w:rsid w:val="00F4348D"/>
    <w:rsid w:val="00F44368"/>
    <w:rsid w:val="00F468EE"/>
    <w:rsid w:val="00F46B47"/>
    <w:rsid w:val="00F46F12"/>
    <w:rsid w:val="00F47219"/>
    <w:rsid w:val="00F47DAB"/>
    <w:rsid w:val="00F5314C"/>
    <w:rsid w:val="00F532E6"/>
    <w:rsid w:val="00F536DF"/>
    <w:rsid w:val="00F53AF7"/>
    <w:rsid w:val="00F546E8"/>
    <w:rsid w:val="00F56D34"/>
    <w:rsid w:val="00F56E0E"/>
    <w:rsid w:val="00F57E5D"/>
    <w:rsid w:val="00F60C18"/>
    <w:rsid w:val="00F61D6A"/>
    <w:rsid w:val="00F62815"/>
    <w:rsid w:val="00F63260"/>
    <w:rsid w:val="00F64078"/>
    <w:rsid w:val="00F670E5"/>
    <w:rsid w:val="00F67D42"/>
    <w:rsid w:val="00F67E55"/>
    <w:rsid w:val="00F71B12"/>
    <w:rsid w:val="00F71DAE"/>
    <w:rsid w:val="00F71E0E"/>
    <w:rsid w:val="00F71E7A"/>
    <w:rsid w:val="00F73795"/>
    <w:rsid w:val="00F74A5A"/>
    <w:rsid w:val="00F74E94"/>
    <w:rsid w:val="00F75C98"/>
    <w:rsid w:val="00F76556"/>
    <w:rsid w:val="00F76AA7"/>
    <w:rsid w:val="00F80CD9"/>
    <w:rsid w:val="00F8225D"/>
    <w:rsid w:val="00F83EDA"/>
    <w:rsid w:val="00F83F39"/>
    <w:rsid w:val="00F8419D"/>
    <w:rsid w:val="00F856A0"/>
    <w:rsid w:val="00F865CC"/>
    <w:rsid w:val="00F86D47"/>
    <w:rsid w:val="00F901AF"/>
    <w:rsid w:val="00F9070A"/>
    <w:rsid w:val="00F90F4C"/>
    <w:rsid w:val="00F93300"/>
    <w:rsid w:val="00F93581"/>
    <w:rsid w:val="00F9386E"/>
    <w:rsid w:val="00F93AE2"/>
    <w:rsid w:val="00F9470D"/>
    <w:rsid w:val="00F94A1E"/>
    <w:rsid w:val="00F94A46"/>
    <w:rsid w:val="00F956EF"/>
    <w:rsid w:val="00F95750"/>
    <w:rsid w:val="00F95887"/>
    <w:rsid w:val="00F96CF5"/>
    <w:rsid w:val="00FA2AF6"/>
    <w:rsid w:val="00FA416D"/>
    <w:rsid w:val="00FA62E4"/>
    <w:rsid w:val="00FA6C78"/>
    <w:rsid w:val="00FA704B"/>
    <w:rsid w:val="00FA7222"/>
    <w:rsid w:val="00FA7CED"/>
    <w:rsid w:val="00FB0877"/>
    <w:rsid w:val="00FB0DC1"/>
    <w:rsid w:val="00FB0E64"/>
    <w:rsid w:val="00FB0ED7"/>
    <w:rsid w:val="00FB2778"/>
    <w:rsid w:val="00FB3F6D"/>
    <w:rsid w:val="00FB4CE0"/>
    <w:rsid w:val="00FB6DEC"/>
    <w:rsid w:val="00FB6F5D"/>
    <w:rsid w:val="00FC0359"/>
    <w:rsid w:val="00FC0A75"/>
    <w:rsid w:val="00FC1136"/>
    <w:rsid w:val="00FC22EF"/>
    <w:rsid w:val="00FC3336"/>
    <w:rsid w:val="00FC388A"/>
    <w:rsid w:val="00FC5AEA"/>
    <w:rsid w:val="00FC5F75"/>
    <w:rsid w:val="00FC69C6"/>
    <w:rsid w:val="00FC6B8E"/>
    <w:rsid w:val="00FC7020"/>
    <w:rsid w:val="00FC7591"/>
    <w:rsid w:val="00FD0C4B"/>
    <w:rsid w:val="00FD13E7"/>
    <w:rsid w:val="00FD1C15"/>
    <w:rsid w:val="00FD1FA8"/>
    <w:rsid w:val="00FD277F"/>
    <w:rsid w:val="00FD3C4F"/>
    <w:rsid w:val="00FD5ABB"/>
    <w:rsid w:val="00FD5BBB"/>
    <w:rsid w:val="00FD6815"/>
    <w:rsid w:val="00FD6ADE"/>
    <w:rsid w:val="00FD7609"/>
    <w:rsid w:val="00FE09F7"/>
    <w:rsid w:val="00FE12AC"/>
    <w:rsid w:val="00FE1B13"/>
    <w:rsid w:val="00FE2061"/>
    <w:rsid w:val="00FE2580"/>
    <w:rsid w:val="00FE55C5"/>
    <w:rsid w:val="00FE59BD"/>
    <w:rsid w:val="00FE5E3A"/>
    <w:rsid w:val="00FE7D91"/>
    <w:rsid w:val="00FF0154"/>
    <w:rsid w:val="00FF0BB2"/>
    <w:rsid w:val="00FF107A"/>
    <w:rsid w:val="00FF1A35"/>
    <w:rsid w:val="00FF1E66"/>
    <w:rsid w:val="00FF24F8"/>
    <w:rsid w:val="00FF2563"/>
    <w:rsid w:val="00FF2DFE"/>
    <w:rsid w:val="00FF2F5D"/>
    <w:rsid w:val="00FF30C9"/>
    <w:rsid w:val="00FF34D8"/>
    <w:rsid w:val="00FF3567"/>
    <w:rsid w:val="00FF3A04"/>
    <w:rsid w:val="00FF5264"/>
    <w:rsid w:val="00FF5D0A"/>
    <w:rsid w:val="00FF6119"/>
    <w:rsid w:val="00FF7070"/>
    <w:rsid w:val="011C4D8A"/>
    <w:rsid w:val="012B0C1E"/>
    <w:rsid w:val="013D7995"/>
    <w:rsid w:val="016C3D8E"/>
    <w:rsid w:val="01702D73"/>
    <w:rsid w:val="0174208A"/>
    <w:rsid w:val="0188685E"/>
    <w:rsid w:val="018D1B93"/>
    <w:rsid w:val="01920219"/>
    <w:rsid w:val="01A8450E"/>
    <w:rsid w:val="01BC1294"/>
    <w:rsid w:val="01C2207C"/>
    <w:rsid w:val="01C776E0"/>
    <w:rsid w:val="01CF13C4"/>
    <w:rsid w:val="01DB4E9F"/>
    <w:rsid w:val="01EB2BE1"/>
    <w:rsid w:val="01FA102D"/>
    <w:rsid w:val="02064BCD"/>
    <w:rsid w:val="02090068"/>
    <w:rsid w:val="02263C2A"/>
    <w:rsid w:val="02273298"/>
    <w:rsid w:val="023F3EF2"/>
    <w:rsid w:val="02682FB0"/>
    <w:rsid w:val="027A6549"/>
    <w:rsid w:val="027F512B"/>
    <w:rsid w:val="028A205E"/>
    <w:rsid w:val="029B3385"/>
    <w:rsid w:val="029E2BA4"/>
    <w:rsid w:val="029E662D"/>
    <w:rsid w:val="02BA4997"/>
    <w:rsid w:val="02C25610"/>
    <w:rsid w:val="02D931FC"/>
    <w:rsid w:val="02F0179C"/>
    <w:rsid w:val="02F405F4"/>
    <w:rsid w:val="030D3039"/>
    <w:rsid w:val="031239E5"/>
    <w:rsid w:val="03166EC9"/>
    <w:rsid w:val="031A3AA8"/>
    <w:rsid w:val="032300C2"/>
    <w:rsid w:val="033E39E2"/>
    <w:rsid w:val="03491CE5"/>
    <w:rsid w:val="035D0010"/>
    <w:rsid w:val="03621C97"/>
    <w:rsid w:val="0368271C"/>
    <w:rsid w:val="038208C8"/>
    <w:rsid w:val="03844A01"/>
    <w:rsid w:val="03C36F10"/>
    <w:rsid w:val="03C74DC2"/>
    <w:rsid w:val="03E624EB"/>
    <w:rsid w:val="03E80945"/>
    <w:rsid w:val="03E96C61"/>
    <w:rsid w:val="04075A39"/>
    <w:rsid w:val="040E47EE"/>
    <w:rsid w:val="041E40B7"/>
    <w:rsid w:val="042F09AF"/>
    <w:rsid w:val="04611A78"/>
    <w:rsid w:val="046D3876"/>
    <w:rsid w:val="04701B8C"/>
    <w:rsid w:val="04826287"/>
    <w:rsid w:val="04A24AA9"/>
    <w:rsid w:val="04B17104"/>
    <w:rsid w:val="04C51222"/>
    <w:rsid w:val="04D63E4A"/>
    <w:rsid w:val="04F06B51"/>
    <w:rsid w:val="04F811F7"/>
    <w:rsid w:val="052D3EE9"/>
    <w:rsid w:val="053E580B"/>
    <w:rsid w:val="05441E69"/>
    <w:rsid w:val="055D4726"/>
    <w:rsid w:val="057219C5"/>
    <w:rsid w:val="05723253"/>
    <w:rsid w:val="05762920"/>
    <w:rsid w:val="0576360E"/>
    <w:rsid w:val="057E3893"/>
    <w:rsid w:val="05896DC4"/>
    <w:rsid w:val="058F7672"/>
    <w:rsid w:val="05AE4403"/>
    <w:rsid w:val="05B44425"/>
    <w:rsid w:val="05BD0C12"/>
    <w:rsid w:val="05C20F94"/>
    <w:rsid w:val="05CF41D4"/>
    <w:rsid w:val="05D142B3"/>
    <w:rsid w:val="05DD5474"/>
    <w:rsid w:val="05E26410"/>
    <w:rsid w:val="05EE3B4E"/>
    <w:rsid w:val="06083D30"/>
    <w:rsid w:val="060D2BB2"/>
    <w:rsid w:val="060F2BBF"/>
    <w:rsid w:val="061F463E"/>
    <w:rsid w:val="062D3334"/>
    <w:rsid w:val="062E7477"/>
    <w:rsid w:val="06394F99"/>
    <w:rsid w:val="063A33C6"/>
    <w:rsid w:val="066459AC"/>
    <w:rsid w:val="066525A4"/>
    <w:rsid w:val="06685DA0"/>
    <w:rsid w:val="066E5311"/>
    <w:rsid w:val="06757696"/>
    <w:rsid w:val="06763B4B"/>
    <w:rsid w:val="068151D0"/>
    <w:rsid w:val="06A94B4A"/>
    <w:rsid w:val="06AC7BDE"/>
    <w:rsid w:val="06B1626D"/>
    <w:rsid w:val="06B604A6"/>
    <w:rsid w:val="06CD0855"/>
    <w:rsid w:val="06D03D80"/>
    <w:rsid w:val="06F34B4B"/>
    <w:rsid w:val="06F71148"/>
    <w:rsid w:val="06F72F04"/>
    <w:rsid w:val="06FD0DC2"/>
    <w:rsid w:val="06FD3A00"/>
    <w:rsid w:val="070218EC"/>
    <w:rsid w:val="07180312"/>
    <w:rsid w:val="07183D02"/>
    <w:rsid w:val="071E3EF8"/>
    <w:rsid w:val="071F570D"/>
    <w:rsid w:val="073533AD"/>
    <w:rsid w:val="073A56D4"/>
    <w:rsid w:val="07476DC8"/>
    <w:rsid w:val="07484589"/>
    <w:rsid w:val="074A7978"/>
    <w:rsid w:val="07815C50"/>
    <w:rsid w:val="07B62C9C"/>
    <w:rsid w:val="07E27415"/>
    <w:rsid w:val="07EA291F"/>
    <w:rsid w:val="07FC4222"/>
    <w:rsid w:val="080808A0"/>
    <w:rsid w:val="081508A2"/>
    <w:rsid w:val="081749A7"/>
    <w:rsid w:val="083E2F25"/>
    <w:rsid w:val="08437EF3"/>
    <w:rsid w:val="08594498"/>
    <w:rsid w:val="085A7797"/>
    <w:rsid w:val="08692312"/>
    <w:rsid w:val="08706A66"/>
    <w:rsid w:val="089036B7"/>
    <w:rsid w:val="089F7CA5"/>
    <w:rsid w:val="08B51453"/>
    <w:rsid w:val="08BD0EA0"/>
    <w:rsid w:val="08C064C0"/>
    <w:rsid w:val="08CC0EAA"/>
    <w:rsid w:val="08DB4B25"/>
    <w:rsid w:val="08E01BCE"/>
    <w:rsid w:val="08E216F0"/>
    <w:rsid w:val="08E26F45"/>
    <w:rsid w:val="08E3734A"/>
    <w:rsid w:val="08E702BF"/>
    <w:rsid w:val="08EA6987"/>
    <w:rsid w:val="08EB4EA1"/>
    <w:rsid w:val="09081B56"/>
    <w:rsid w:val="0922699A"/>
    <w:rsid w:val="09404248"/>
    <w:rsid w:val="0940701D"/>
    <w:rsid w:val="09440304"/>
    <w:rsid w:val="09551130"/>
    <w:rsid w:val="095A4F07"/>
    <w:rsid w:val="09725318"/>
    <w:rsid w:val="098764AA"/>
    <w:rsid w:val="09A410A8"/>
    <w:rsid w:val="09BE52DE"/>
    <w:rsid w:val="09C304EB"/>
    <w:rsid w:val="09C53A21"/>
    <w:rsid w:val="09C557E9"/>
    <w:rsid w:val="09D30126"/>
    <w:rsid w:val="09D52BEB"/>
    <w:rsid w:val="09DD2B86"/>
    <w:rsid w:val="09E737F2"/>
    <w:rsid w:val="09F84AA8"/>
    <w:rsid w:val="0A001631"/>
    <w:rsid w:val="0A0B76BA"/>
    <w:rsid w:val="0A106033"/>
    <w:rsid w:val="0A3035FA"/>
    <w:rsid w:val="0A353749"/>
    <w:rsid w:val="0A360CA4"/>
    <w:rsid w:val="0A4213D2"/>
    <w:rsid w:val="0A4C10CD"/>
    <w:rsid w:val="0A501D24"/>
    <w:rsid w:val="0A514723"/>
    <w:rsid w:val="0A577DCC"/>
    <w:rsid w:val="0A6D3C90"/>
    <w:rsid w:val="0A9D519E"/>
    <w:rsid w:val="0A9E3A18"/>
    <w:rsid w:val="0AA277E2"/>
    <w:rsid w:val="0AA3355A"/>
    <w:rsid w:val="0AA94BEF"/>
    <w:rsid w:val="0ABB1E85"/>
    <w:rsid w:val="0ABE5888"/>
    <w:rsid w:val="0AC24A92"/>
    <w:rsid w:val="0AC62D12"/>
    <w:rsid w:val="0AC7358C"/>
    <w:rsid w:val="0AFF6668"/>
    <w:rsid w:val="0B0D528C"/>
    <w:rsid w:val="0B1C1C00"/>
    <w:rsid w:val="0B1C6E34"/>
    <w:rsid w:val="0B1F4F7F"/>
    <w:rsid w:val="0B3253A5"/>
    <w:rsid w:val="0B326CC7"/>
    <w:rsid w:val="0B3543DB"/>
    <w:rsid w:val="0B362A3B"/>
    <w:rsid w:val="0B370769"/>
    <w:rsid w:val="0B446AEB"/>
    <w:rsid w:val="0B562DAC"/>
    <w:rsid w:val="0B702D58"/>
    <w:rsid w:val="0B75201D"/>
    <w:rsid w:val="0B813677"/>
    <w:rsid w:val="0B8575F9"/>
    <w:rsid w:val="0BA42587"/>
    <w:rsid w:val="0BA8707A"/>
    <w:rsid w:val="0BAA350D"/>
    <w:rsid w:val="0BB27E54"/>
    <w:rsid w:val="0BBA28F5"/>
    <w:rsid w:val="0BBD1EDC"/>
    <w:rsid w:val="0BCD12D7"/>
    <w:rsid w:val="0BCF7C16"/>
    <w:rsid w:val="0BDD6672"/>
    <w:rsid w:val="0BE814BE"/>
    <w:rsid w:val="0BEB6819"/>
    <w:rsid w:val="0BF77528"/>
    <w:rsid w:val="0BFA0045"/>
    <w:rsid w:val="0C136F73"/>
    <w:rsid w:val="0C1B06D7"/>
    <w:rsid w:val="0C4233AF"/>
    <w:rsid w:val="0C464A97"/>
    <w:rsid w:val="0C4B7053"/>
    <w:rsid w:val="0C615D96"/>
    <w:rsid w:val="0C89400B"/>
    <w:rsid w:val="0C8B6B05"/>
    <w:rsid w:val="0C8C24F7"/>
    <w:rsid w:val="0C8F5CD8"/>
    <w:rsid w:val="0C9469DE"/>
    <w:rsid w:val="0C976EF0"/>
    <w:rsid w:val="0C9873D4"/>
    <w:rsid w:val="0CA1259A"/>
    <w:rsid w:val="0CAF6A80"/>
    <w:rsid w:val="0CB0214B"/>
    <w:rsid w:val="0CD05EE3"/>
    <w:rsid w:val="0CDD5BB6"/>
    <w:rsid w:val="0CDE76B4"/>
    <w:rsid w:val="0CDF1FED"/>
    <w:rsid w:val="0D024FD1"/>
    <w:rsid w:val="0D0716FB"/>
    <w:rsid w:val="0D14567F"/>
    <w:rsid w:val="0D1E6018"/>
    <w:rsid w:val="0D1F0FFB"/>
    <w:rsid w:val="0D240566"/>
    <w:rsid w:val="0D371CF2"/>
    <w:rsid w:val="0D3C56CB"/>
    <w:rsid w:val="0D443A47"/>
    <w:rsid w:val="0D545146"/>
    <w:rsid w:val="0D54580D"/>
    <w:rsid w:val="0D6D251C"/>
    <w:rsid w:val="0D6E6DA1"/>
    <w:rsid w:val="0D747AB1"/>
    <w:rsid w:val="0D835ED7"/>
    <w:rsid w:val="0D9752D9"/>
    <w:rsid w:val="0D9A786B"/>
    <w:rsid w:val="0DB708BC"/>
    <w:rsid w:val="0DB72C42"/>
    <w:rsid w:val="0DC06C2B"/>
    <w:rsid w:val="0DDB5534"/>
    <w:rsid w:val="0DE04E29"/>
    <w:rsid w:val="0DE90D6E"/>
    <w:rsid w:val="0DF44FC9"/>
    <w:rsid w:val="0DF92721"/>
    <w:rsid w:val="0DFE5677"/>
    <w:rsid w:val="0E0C11AD"/>
    <w:rsid w:val="0E2313D4"/>
    <w:rsid w:val="0E2A3D48"/>
    <w:rsid w:val="0E48217E"/>
    <w:rsid w:val="0E4C6690"/>
    <w:rsid w:val="0E601E8E"/>
    <w:rsid w:val="0E666C91"/>
    <w:rsid w:val="0E715E49"/>
    <w:rsid w:val="0EA73C6D"/>
    <w:rsid w:val="0EAC1173"/>
    <w:rsid w:val="0EB02422"/>
    <w:rsid w:val="0EB5640F"/>
    <w:rsid w:val="0EB8426F"/>
    <w:rsid w:val="0EBB3D1D"/>
    <w:rsid w:val="0EC23B23"/>
    <w:rsid w:val="0ED64EB1"/>
    <w:rsid w:val="0EDF6D79"/>
    <w:rsid w:val="0EF27A89"/>
    <w:rsid w:val="0EF45C83"/>
    <w:rsid w:val="0F0D19D8"/>
    <w:rsid w:val="0F217D15"/>
    <w:rsid w:val="0F321715"/>
    <w:rsid w:val="0F3E131E"/>
    <w:rsid w:val="0F471525"/>
    <w:rsid w:val="0F5977B6"/>
    <w:rsid w:val="0F6A0D23"/>
    <w:rsid w:val="0F856668"/>
    <w:rsid w:val="0F8B4CE8"/>
    <w:rsid w:val="0FAF385C"/>
    <w:rsid w:val="0FBF197F"/>
    <w:rsid w:val="0FBF2BE4"/>
    <w:rsid w:val="0FC32FB3"/>
    <w:rsid w:val="0FDC6702"/>
    <w:rsid w:val="0FF54C4D"/>
    <w:rsid w:val="1005432D"/>
    <w:rsid w:val="1009448F"/>
    <w:rsid w:val="102C4A8E"/>
    <w:rsid w:val="1060768A"/>
    <w:rsid w:val="10616FD4"/>
    <w:rsid w:val="10726AB1"/>
    <w:rsid w:val="10951CC5"/>
    <w:rsid w:val="109A5F8C"/>
    <w:rsid w:val="10BD62F9"/>
    <w:rsid w:val="10D4264C"/>
    <w:rsid w:val="10DD707D"/>
    <w:rsid w:val="10DF592B"/>
    <w:rsid w:val="10E636FF"/>
    <w:rsid w:val="11175E42"/>
    <w:rsid w:val="111854A2"/>
    <w:rsid w:val="112231F4"/>
    <w:rsid w:val="11290272"/>
    <w:rsid w:val="11302756"/>
    <w:rsid w:val="114A7AE3"/>
    <w:rsid w:val="114D449D"/>
    <w:rsid w:val="11671785"/>
    <w:rsid w:val="118858CA"/>
    <w:rsid w:val="118A1992"/>
    <w:rsid w:val="119F755E"/>
    <w:rsid w:val="11A23697"/>
    <w:rsid w:val="11B72EF1"/>
    <w:rsid w:val="11B82A44"/>
    <w:rsid w:val="11BA669D"/>
    <w:rsid w:val="11BC0ABD"/>
    <w:rsid w:val="11CA5AA2"/>
    <w:rsid w:val="11D973BC"/>
    <w:rsid w:val="11DA0BCE"/>
    <w:rsid w:val="11F53E16"/>
    <w:rsid w:val="120E55B0"/>
    <w:rsid w:val="12113CC6"/>
    <w:rsid w:val="121959D9"/>
    <w:rsid w:val="121B516A"/>
    <w:rsid w:val="12231D95"/>
    <w:rsid w:val="12312C85"/>
    <w:rsid w:val="12375677"/>
    <w:rsid w:val="123C702A"/>
    <w:rsid w:val="12441B06"/>
    <w:rsid w:val="1249182D"/>
    <w:rsid w:val="125B2E40"/>
    <w:rsid w:val="12877439"/>
    <w:rsid w:val="129725E9"/>
    <w:rsid w:val="12B343B2"/>
    <w:rsid w:val="12C86981"/>
    <w:rsid w:val="12CF4C41"/>
    <w:rsid w:val="12DD1218"/>
    <w:rsid w:val="12FD6E69"/>
    <w:rsid w:val="130E0A9E"/>
    <w:rsid w:val="131420DC"/>
    <w:rsid w:val="131A6723"/>
    <w:rsid w:val="13270EFD"/>
    <w:rsid w:val="132A6E2F"/>
    <w:rsid w:val="132C40A3"/>
    <w:rsid w:val="13384EBF"/>
    <w:rsid w:val="13401D7B"/>
    <w:rsid w:val="13450C06"/>
    <w:rsid w:val="13452D3B"/>
    <w:rsid w:val="134E59DE"/>
    <w:rsid w:val="13741A0A"/>
    <w:rsid w:val="137F762D"/>
    <w:rsid w:val="138D3A49"/>
    <w:rsid w:val="13BC5F47"/>
    <w:rsid w:val="13C76AD9"/>
    <w:rsid w:val="13D24932"/>
    <w:rsid w:val="13DF2F86"/>
    <w:rsid w:val="13E16550"/>
    <w:rsid w:val="13E97AE8"/>
    <w:rsid w:val="13EE5A17"/>
    <w:rsid w:val="1406065E"/>
    <w:rsid w:val="140E6A2C"/>
    <w:rsid w:val="142C50B5"/>
    <w:rsid w:val="143417A2"/>
    <w:rsid w:val="143E3F4A"/>
    <w:rsid w:val="14576A07"/>
    <w:rsid w:val="146C05D1"/>
    <w:rsid w:val="14774747"/>
    <w:rsid w:val="147A40E5"/>
    <w:rsid w:val="14B645DD"/>
    <w:rsid w:val="14CF6367"/>
    <w:rsid w:val="1506170C"/>
    <w:rsid w:val="15304C6C"/>
    <w:rsid w:val="1539274D"/>
    <w:rsid w:val="154A5A8D"/>
    <w:rsid w:val="156F1D08"/>
    <w:rsid w:val="15823A3D"/>
    <w:rsid w:val="15946B6F"/>
    <w:rsid w:val="15B071CF"/>
    <w:rsid w:val="15D5286E"/>
    <w:rsid w:val="15F21A3A"/>
    <w:rsid w:val="15F36591"/>
    <w:rsid w:val="15F5236F"/>
    <w:rsid w:val="15FE48A1"/>
    <w:rsid w:val="160A0F52"/>
    <w:rsid w:val="160C313A"/>
    <w:rsid w:val="160C4353"/>
    <w:rsid w:val="162843BF"/>
    <w:rsid w:val="16346A72"/>
    <w:rsid w:val="1639477A"/>
    <w:rsid w:val="16450461"/>
    <w:rsid w:val="16565231"/>
    <w:rsid w:val="166C5AE0"/>
    <w:rsid w:val="16756ED4"/>
    <w:rsid w:val="167911A4"/>
    <w:rsid w:val="167A5AB7"/>
    <w:rsid w:val="167C182F"/>
    <w:rsid w:val="16816B48"/>
    <w:rsid w:val="168C097C"/>
    <w:rsid w:val="16A57952"/>
    <w:rsid w:val="16C31A06"/>
    <w:rsid w:val="16D534FC"/>
    <w:rsid w:val="16FD7C84"/>
    <w:rsid w:val="17053FFF"/>
    <w:rsid w:val="1710641E"/>
    <w:rsid w:val="1714609D"/>
    <w:rsid w:val="17236D44"/>
    <w:rsid w:val="17294DEB"/>
    <w:rsid w:val="173C0FBE"/>
    <w:rsid w:val="173F68FB"/>
    <w:rsid w:val="17497D3D"/>
    <w:rsid w:val="174D2D72"/>
    <w:rsid w:val="17504F3A"/>
    <w:rsid w:val="175B185B"/>
    <w:rsid w:val="17614581"/>
    <w:rsid w:val="1765436B"/>
    <w:rsid w:val="17862906"/>
    <w:rsid w:val="179A02D4"/>
    <w:rsid w:val="17A45FCC"/>
    <w:rsid w:val="17AF029A"/>
    <w:rsid w:val="17C1359F"/>
    <w:rsid w:val="17C27980"/>
    <w:rsid w:val="17C36CC9"/>
    <w:rsid w:val="17DE53EE"/>
    <w:rsid w:val="17E3362C"/>
    <w:rsid w:val="17F008E6"/>
    <w:rsid w:val="17F14B2E"/>
    <w:rsid w:val="18183E97"/>
    <w:rsid w:val="181970D3"/>
    <w:rsid w:val="181C3DFB"/>
    <w:rsid w:val="181C6D74"/>
    <w:rsid w:val="181F6859"/>
    <w:rsid w:val="182227F9"/>
    <w:rsid w:val="18431AD9"/>
    <w:rsid w:val="184A0E01"/>
    <w:rsid w:val="184B6C65"/>
    <w:rsid w:val="18632D25"/>
    <w:rsid w:val="186C7E50"/>
    <w:rsid w:val="18787EF4"/>
    <w:rsid w:val="188B5387"/>
    <w:rsid w:val="18B407EB"/>
    <w:rsid w:val="18B660F8"/>
    <w:rsid w:val="18BE41EE"/>
    <w:rsid w:val="18C45B23"/>
    <w:rsid w:val="18D17C0A"/>
    <w:rsid w:val="18D40073"/>
    <w:rsid w:val="18D813F2"/>
    <w:rsid w:val="18D97B1D"/>
    <w:rsid w:val="18EC168B"/>
    <w:rsid w:val="18F370CD"/>
    <w:rsid w:val="18F642EE"/>
    <w:rsid w:val="18F71715"/>
    <w:rsid w:val="18FD0335"/>
    <w:rsid w:val="19047A40"/>
    <w:rsid w:val="19311DAE"/>
    <w:rsid w:val="193F08F1"/>
    <w:rsid w:val="194E4DC2"/>
    <w:rsid w:val="19585F48"/>
    <w:rsid w:val="195F0793"/>
    <w:rsid w:val="196E0779"/>
    <w:rsid w:val="197C6DBF"/>
    <w:rsid w:val="197F1A4D"/>
    <w:rsid w:val="19826508"/>
    <w:rsid w:val="198A4C43"/>
    <w:rsid w:val="1995668A"/>
    <w:rsid w:val="199D7C2B"/>
    <w:rsid w:val="19A277FE"/>
    <w:rsid w:val="19A32BBF"/>
    <w:rsid w:val="19AF7D5A"/>
    <w:rsid w:val="19C23939"/>
    <w:rsid w:val="19E06C66"/>
    <w:rsid w:val="19F8604D"/>
    <w:rsid w:val="1A025FE7"/>
    <w:rsid w:val="1A182768"/>
    <w:rsid w:val="1A1C644E"/>
    <w:rsid w:val="1A225FD3"/>
    <w:rsid w:val="1A3C5DF4"/>
    <w:rsid w:val="1A3F3EC7"/>
    <w:rsid w:val="1A4C7DA7"/>
    <w:rsid w:val="1A582F79"/>
    <w:rsid w:val="1A637597"/>
    <w:rsid w:val="1A64443B"/>
    <w:rsid w:val="1A690D88"/>
    <w:rsid w:val="1A9D3EBF"/>
    <w:rsid w:val="1AA4068A"/>
    <w:rsid w:val="1AB04A42"/>
    <w:rsid w:val="1AB674F6"/>
    <w:rsid w:val="1ABC7B11"/>
    <w:rsid w:val="1ABD335D"/>
    <w:rsid w:val="1B0516FC"/>
    <w:rsid w:val="1B0B3766"/>
    <w:rsid w:val="1B1D35F1"/>
    <w:rsid w:val="1B1E1106"/>
    <w:rsid w:val="1B261436"/>
    <w:rsid w:val="1B3A7B1E"/>
    <w:rsid w:val="1B441B4B"/>
    <w:rsid w:val="1B524CFD"/>
    <w:rsid w:val="1B8F198C"/>
    <w:rsid w:val="1B932E9D"/>
    <w:rsid w:val="1BC33A5C"/>
    <w:rsid w:val="1BF52347"/>
    <w:rsid w:val="1C081CA0"/>
    <w:rsid w:val="1C1E0910"/>
    <w:rsid w:val="1C235610"/>
    <w:rsid w:val="1C301257"/>
    <w:rsid w:val="1C336944"/>
    <w:rsid w:val="1C4472B2"/>
    <w:rsid w:val="1C6E1B03"/>
    <w:rsid w:val="1C7945EF"/>
    <w:rsid w:val="1C7C2072"/>
    <w:rsid w:val="1C8468D5"/>
    <w:rsid w:val="1C967034"/>
    <w:rsid w:val="1CA02084"/>
    <w:rsid w:val="1CAD2B96"/>
    <w:rsid w:val="1CB9135B"/>
    <w:rsid w:val="1CF27799"/>
    <w:rsid w:val="1CF900D5"/>
    <w:rsid w:val="1CFB039E"/>
    <w:rsid w:val="1D123B2F"/>
    <w:rsid w:val="1D5E6460"/>
    <w:rsid w:val="1D5F31C0"/>
    <w:rsid w:val="1D7520DE"/>
    <w:rsid w:val="1D894D3C"/>
    <w:rsid w:val="1D8B75A9"/>
    <w:rsid w:val="1D9B1DF7"/>
    <w:rsid w:val="1DA51865"/>
    <w:rsid w:val="1DAA6B76"/>
    <w:rsid w:val="1DC46FF2"/>
    <w:rsid w:val="1DE25941"/>
    <w:rsid w:val="1DF210AF"/>
    <w:rsid w:val="1DF338DF"/>
    <w:rsid w:val="1DF563BD"/>
    <w:rsid w:val="1E0D2F8B"/>
    <w:rsid w:val="1E157441"/>
    <w:rsid w:val="1E401394"/>
    <w:rsid w:val="1E492823"/>
    <w:rsid w:val="1E6F1FB2"/>
    <w:rsid w:val="1E7C28E8"/>
    <w:rsid w:val="1E7D2B5A"/>
    <w:rsid w:val="1E827D7E"/>
    <w:rsid w:val="1E8534F8"/>
    <w:rsid w:val="1E9721B3"/>
    <w:rsid w:val="1E9A240C"/>
    <w:rsid w:val="1E9A6994"/>
    <w:rsid w:val="1EA86A96"/>
    <w:rsid w:val="1EBF1537"/>
    <w:rsid w:val="1EC56616"/>
    <w:rsid w:val="1EFC3829"/>
    <w:rsid w:val="1F3A1DB1"/>
    <w:rsid w:val="1F3D4D6E"/>
    <w:rsid w:val="1F4C2D8C"/>
    <w:rsid w:val="1F60412E"/>
    <w:rsid w:val="1F6720F9"/>
    <w:rsid w:val="1F6C6915"/>
    <w:rsid w:val="1F6F0C8C"/>
    <w:rsid w:val="1F7258E1"/>
    <w:rsid w:val="1F7D76DF"/>
    <w:rsid w:val="1F8C1EF8"/>
    <w:rsid w:val="1F8D6A01"/>
    <w:rsid w:val="1F9B50FB"/>
    <w:rsid w:val="1FB91067"/>
    <w:rsid w:val="1FBE071B"/>
    <w:rsid w:val="1FC2289A"/>
    <w:rsid w:val="1FC23276"/>
    <w:rsid w:val="1FC85BAB"/>
    <w:rsid w:val="1FC95279"/>
    <w:rsid w:val="1FD43313"/>
    <w:rsid w:val="1FF17C2B"/>
    <w:rsid w:val="1FFF4E7B"/>
    <w:rsid w:val="20054643"/>
    <w:rsid w:val="202B6F7B"/>
    <w:rsid w:val="20323E6A"/>
    <w:rsid w:val="204A0ACB"/>
    <w:rsid w:val="20586827"/>
    <w:rsid w:val="20702B26"/>
    <w:rsid w:val="20780093"/>
    <w:rsid w:val="20907043"/>
    <w:rsid w:val="2091709B"/>
    <w:rsid w:val="20B81A77"/>
    <w:rsid w:val="20B84F06"/>
    <w:rsid w:val="20BE6AB2"/>
    <w:rsid w:val="20E36096"/>
    <w:rsid w:val="21030F54"/>
    <w:rsid w:val="2109527E"/>
    <w:rsid w:val="213D6CC6"/>
    <w:rsid w:val="21573BC9"/>
    <w:rsid w:val="21592C8F"/>
    <w:rsid w:val="21636D7B"/>
    <w:rsid w:val="216F47A7"/>
    <w:rsid w:val="216F71FD"/>
    <w:rsid w:val="218A3CE7"/>
    <w:rsid w:val="21914B24"/>
    <w:rsid w:val="21BF238F"/>
    <w:rsid w:val="21C87D97"/>
    <w:rsid w:val="21CA3166"/>
    <w:rsid w:val="21CF326F"/>
    <w:rsid w:val="21D8702B"/>
    <w:rsid w:val="21DF6586"/>
    <w:rsid w:val="220A22BA"/>
    <w:rsid w:val="22180C02"/>
    <w:rsid w:val="222372A0"/>
    <w:rsid w:val="222C0C55"/>
    <w:rsid w:val="222F0FA7"/>
    <w:rsid w:val="222F46EE"/>
    <w:rsid w:val="22550BDA"/>
    <w:rsid w:val="2259031D"/>
    <w:rsid w:val="22753E0A"/>
    <w:rsid w:val="227919AA"/>
    <w:rsid w:val="227F27A3"/>
    <w:rsid w:val="22811DE4"/>
    <w:rsid w:val="22842DF1"/>
    <w:rsid w:val="229D3B01"/>
    <w:rsid w:val="22A42B75"/>
    <w:rsid w:val="22B62C3D"/>
    <w:rsid w:val="22BE307F"/>
    <w:rsid w:val="22C30C00"/>
    <w:rsid w:val="22D24498"/>
    <w:rsid w:val="23022971"/>
    <w:rsid w:val="2304021D"/>
    <w:rsid w:val="23105139"/>
    <w:rsid w:val="23251948"/>
    <w:rsid w:val="23372B85"/>
    <w:rsid w:val="233740CD"/>
    <w:rsid w:val="2342491A"/>
    <w:rsid w:val="234E7127"/>
    <w:rsid w:val="23521D38"/>
    <w:rsid w:val="23533917"/>
    <w:rsid w:val="23613237"/>
    <w:rsid w:val="23616034"/>
    <w:rsid w:val="23677B55"/>
    <w:rsid w:val="237F49BB"/>
    <w:rsid w:val="23856A36"/>
    <w:rsid w:val="23A72E6D"/>
    <w:rsid w:val="23AA0742"/>
    <w:rsid w:val="23B12D40"/>
    <w:rsid w:val="23B20D3E"/>
    <w:rsid w:val="23BD2BC2"/>
    <w:rsid w:val="23C506D5"/>
    <w:rsid w:val="23C84470"/>
    <w:rsid w:val="23DD01B9"/>
    <w:rsid w:val="240F6896"/>
    <w:rsid w:val="2425734F"/>
    <w:rsid w:val="242B03F0"/>
    <w:rsid w:val="24393FFA"/>
    <w:rsid w:val="24582D0C"/>
    <w:rsid w:val="245D3D13"/>
    <w:rsid w:val="2469029B"/>
    <w:rsid w:val="24695D13"/>
    <w:rsid w:val="246F05F7"/>
    <w:rsid w:val="24754746"/>
    <w:rsid w:val="247B7BAD"/>
    <w:rsid w:val="24A4671B"/>
    <w:rsid w:val="24B753DA"/>
    <w:rsid w:val="24B77ED6"/>
    <w:rsid w:val="24D87048"/>
    <w:rsid w:val="24D87381"/>
    <w:rsid w:val="24DB52FC"/>
    <w:rsid w:val="24E47DD8"/>
    <w:rsid w:val="25233450"/>
    <w:rsid w:val="25272813"/>
    <w:rsid w:val="2542408E"/>
    <w:rsid w:val="2558593D"/>
    <w:rsid w:val="255A64F0"/>
    <w:rsid w:val="258745AB"/>
    <w:rsid w:val="259B5417"/>
    <w:rsid w:val="25A345C7"/>
    <w:rsid w:val="25BA0083"/>
    <w:rsid w:val="25CC064D"/>
    <w:rsid w:val="25DD571A"/>
    <w:rsid w:val="25DF5078"/>
    <w:rsid w:val="25F17882"/>
    <w:rsid w:val="260F10C4"/>
    <w:rsid w:val="2615591C"/>
    <w:rsid w:val="26265313"/>
    <w:rsid w:val="26312206"/>
    <w:rsid w:val="26386ABC"/>
    <w:rsid w:val="263E0227"/>
    <w:rsid w:val="26404627"/>
    <w:rsid w:val="26451DDC"/>
    <w:rsid w:val="26540875"/>
    <w:rsid w:val="26572E04"/>
    <w:rsid w:val="265A302E"/>
    <w:rsid w:val="268D1231"/>
    <w:rsid w:val="26995E1A"/>
    <w:rsid w:val="26A60B05"/>
    <w:rsid w:val="26AD1590"/>
    <w:rsid w:val="26BC1123"/>
    <w:rsid w:val="26EF0BA1"/>
    <w:rsid w:val="27124CDE"/>
    <w:rsid w:val="272F6449"/>
    <w:rsid w:val="273B5402"/>
    <w:rsid w:val="273C3E45"/>
    <w:rsid w:val="274D57E8"/>
    <w:rsid w:val="27584838"/>
    <w:rsid w:val="275B152E"/>
    <w:rsid w:val="275F0664"/>
    <w:rsid w:val="27605DF0"/>
    <w:rsid w:val="276277AA"/>
    <w:rsid w:val="276E3AFE"/>
    <w:rsid w:val="27737039"/>
    <w:rsid w:val="27791188"/>
    <w:rsid w:val="279377AD"/>
    <w:rsid w:val="27A87CA4"/>
    <w:rsid w:val="27EB2370"/>
    <w:rsid w:val="27EC1425"/>
    <w:rsid w:val="280669D8"/>
    <w:rsid w:val="280E08E2"/>
    <w:rsid w:val="2820402B"/>
    <w:rsid w:val="28305FD5"/>
    <w:rsid w:val="283413A6"/>
    <w:rsid w:val="284C1F1F"/>
    <w:rsid w:val="28771E56"/>
    <w:rsid w:val="28810504"/>
    <w:rsid w:val="288D28A0"/>
    <w:rsid w:val="28B40502"/>
    <w:rsid w:val="28C223DE"/>
    <w:rsid w:val="28C22C4B"/>
    <w:rsid w:val="28CD08FE"/>
    <w:rsid w:val="28DE60CD"/>
    <w:rsid w:val="28E55011"/>
    <w:rsid w:val="28F71147"/>
    <w:rsid w:val="29321D97"/>
    <w:rsid w:val="29694A41"/>
    <w:rsid w:val="2999700F"/>
    <w:rsid w:val="299C1F80"/>
    <w:rsid w:val="29BB5357"/>
    <w:rsid w:val="29C06B34"/>
    <w:rsid w:val="29C14785"/>
    <w:rsid w:val="29C56BF1"/>
    <w:rsid w:val="29DD07EB"/>
    <w:rsid w:val="29E73928"/>
    <w:rsid w:val="29F96867"/>
    <w:rsid w:val="29FE19BA"/>
    <w:rsid w:val="2A0D31C6"/>
    <w:rsid w:val="2A156AF0"/>
    <w:rsid w:val="2A3D0A69"/>
    <w:rsid w:val="2A3F34CF"/>
    <w:rsid w:val="2A576519"/>
    <w:rsid w:val="2A5C3BA7"/>
    <w:rsid w:val="2A650DC0"/>
    <w:rsid w:val="2AB51E86"/>
    <w:rsid w:val="2ABB16D3"/>
    <w:rsid w:val="2AC21E7D"/>
    <w:rsid w:val="2AC77008"/>
    <w:rsid w:val="2AF62F4B"/>
    <w:rsid w:val="2AF63DBB"/>
    <w:rsid w:val="2AFC0493"/>
    <w:rsid w:val="2B117844"/>
    <w:rsid w:val="2B244005"/>
    <w:rsid w:val="2B344690"/>
    <w:rsid w:val="2B4E043B"/>
    <w:rsid w:val="2B501478"/>
    <w:rsid w:val="2B717896"/>
    <w:rsid w:val="2B732DA8"/>
    <w:rsid w:val="2B835C97"/>
    <w:rsid w:val="2B852663"/>
    <w:rsid w:val="2B917598"/>
    <w:rsid w:val="2BA74BE2"/>
    <w:rsid w:val="2BB23052"/>
    <w:rsid w:val="2BD35E4B"/>
    <w:rsid w:val="2BD44729"/>
    <w:rsid w:val="2BE0448D"/>
    <w:rsid w:val="2BEC0C5E"/>
    <w:rsid w:val="2BF2058C"/>
    <w:rsid w:val="2BF259E2"/>
    <w:rsid w:val="2C044214"/>
    <w:rsid w:val="2C053456"/>
    <w:rsid w:val="2C1520B2"/>
    <w:rsid w:val="2C2579E8"/>
    <w:rsid w:val="2C3B57A4"/>
    <w:rsid w:val="2C4922BA"/>
    <w:rsid w:val="2C6E5BE6"/>
    <w:rsid w:val="2C997D1F"/>
    <w:rsid w:val="2CAD6701"/>
    <w:rsid w:val="2CCC5FED"/>
    <w:rsid w:val="2CCF2078"/>
    <w:rsid w:val="2CE528D0"/>
    <w:rsid w:val="2CEB5D27"/>
    <w:rsid w:val="2CFA7FE4"/>
    <w:rsid w:val="2D095E18"/>
    <w:rsid w:val="2D3426BF"/>
    <w:rsid w:val="2D50593E"/>
    <w:rsid w:val="2D5313CF"/>
    <w:rsid w:val="2D5F578C"/>
    <w:rsid w:val="2D933446"/>
    <w:rsid w:val="2D9644A2"/>
    <w:rsid w:val="2DB60998"/>
    <w:rsid w:val="2DB7083D"/>
    <w:rsid w:val="2DBE7284"/>
    <w:rsid w:val="2DC31A80"/>
    <w:rsid w:val="2DC42D0C"/>
    <w:rsid w:val="2DD4569D"/>
    <w:rsid w:val="2DDA5FA1"/>
    <w:rsid w:val="2DFA3C63"/>
    <w:rsid w:val="2E030BE7"/>
    <w:rsid w:val="2E034CE3"/>
    <w:rsid w:val="2E2145BE"/>
    <w:rsid w:val="2E393DE3"/>
    <w:rsid w:val="2E4C0045"/>
    <w:rsid w:val="2E5B6362"/>
    <w:rsid w:val="2E615D08"/>
    <w:rsid w:val="2E6C6861"/>
    <w:rsid w:val="2E9168DF"/>
    <w:rsid w:val="2EA121BB"/>
    <w:rsid w:val="2EA65243"/>
    <w:rsid w:val="2EAA5E47"/>
    <w:rsid w:val="2ED70585"/>
    <w:rsid w:val="2EE15669"/>
    <w:rsid w:val="2EEA5F12"/>
    <w:rsid w:val="2EF2301B"/>
    <w:rsid w:val="2F21672F"/>
    <w:rsid w:val="2F4F7564"/>
    <w:rsid w:val="2F5C724D"/>
    <w:rsid w:val="2F5F0DB6"/>
    <w:rsid w:val="2F6F14D7"/>
    <w:rsid w:val="2F6F263B"/>
    <w:rsid w:val="2F7F6134"/>
    <w:rsid w:val="2F880E16"/>
    <w:rsid w:val="2FAF79D6"/>
    <w:rsid w:val="2FC31E25"/>
    <w:rsid w:val="2FCB5483"/>
    <w:rsid w:val="2FDF0E7B"/>
    <w:rsid w:val="2FEC7EAA"/>
    <w:rsid w:val="2FF56B39"/>
    <w:rsid w:val="30012870"/>
    <w:rsid w:val="300316C2"/>
    <w:rsid w:val="30066EC1"/>
    <w:rsid w:val="301628BB"/>
    <w:rsid w:val="301E127F"/>
    <w:rsid w:val="302E38EC"/>
    <w:rsid w:val="302F1EE3"/>
    <w:rsid w:val="3030226D"/>
    <w:rsid w:val="303A0D9D"/>
    <w:rsid w:val="304158B6"/>
    <w:rsid w:val="304914F9"/>
    <w:rsid w:val="30631B8F"/>
    <w:rsid w:val="30A81E1E"/>
    <w:rsid w:val="30AC2B91"/>
    <w:rsid w:val="30B62E76"/>
    <w:rsid w:val="30BB364D"/>
    <w:rsid w:val="30C43E45"/>
    <w:rsid w:val="30CF509D"/>
    <w:rsid w:val="31011C4B"/>
    <w:rsid w:val="31067E7B"/>
    <w:rsid w:val="310E5FB5"/>
    <w:rsid w:val="31187A66"/>
    <w:rsid w:val="311D6212"/>
    <w:rsid w:val="31262BBA"/>
    <w:rsid w:val="31280191"/>
    <w:rsid w:val="31403265"/>
    <w:rsid w:val="31411D99"/>
    <w:rsid w:val="314C2989"/>
    <w:rsid w:val="3167574E"/>
    <w:rsid w:val="317642CF"/>
    <w:rsid w:val="317654F8"/>
    <w:rsid w:val="318A7B30"/>
    <w:rsid w:val="318B4C37"/>
    <w:rsid w:val="31974C9E"/>
    <w:rsid w:val="319B0FF7"/>
    <w:rsid w:val="31A262FD"/>
    <w:rsid w:val="31B40C75"/>
    <w:rsid w:val="31B64731"/>
    <w:rsid w:val="31BF11AD"/>
    <w:rsid w:val="31C56C6F"/>
    <w:rsid w:val="31C7383D"/>
    <w:rsid w:val="31C77AD7"/>
    <w:rsid w:val="31D3702E"/>
    <w:rsid w:val="31DA771A"/>
    <w:rsid w:val="31E64256"/>
    <w:rsid w:val="31F81538"/>
    <w:rsid w:val="320D4B45"/>
    <w:rsid w:val="320F36A7"/>
    <w:rsid w:val="322E3CDE"/>
    <w:rsid w:val="323143D1"/>
    <w:rsid w:val="323712C4"/>
    <w:rsid w:val="32420517"/>
    <w:rsid w:val="325C728D"/>
    <w:rsid w:val="325F7BA1"/>
    <w:rsid w:val="32610881"/>
    <w:rsid w:val="326B3C7B"/>
    <w:rsid w:val="3284033F"/>
    <w:rsid w:val="32956911"/>
    <w:rsid w:val="32962418"/>
    <w:rsid w:val="32D83B01"/>
    <w:rsid w:val="32DB10F8"/>
    <w:rsid w:val="33015EF2"/>
    <w:rsid w:val="33182488"/>
    <w:rsid w:val="331B5656"/>
    <w:rsid w:val="333E0872"/>
    <w:rsid w:val="333F60DA"/>
    <w:rsid w:val="334A1395"/>
    <w:rsid w:val="33561C3F"/>
    <w:rsid w:val="336E55E8"/>
    <w:rsid w:val="338A31EF"/>
    <w:rsid w:val="338E5A4D"/>
    <w:rsid w:val="339F07DD"/>
    <w:rsid w:val="339F3BD0"/>
    <w:rsid w:val="33AD0337"/>
    <w:rsid w:val="33BD46B5"/>
    <w:rsid w:val="33C1779F"/>
    <w:rsid w:val="33D07F55"/>
    <w:rsid w:val="33D26387"/>
    <w:rsid w:val="33DB0DB0"/>
    <w:rsid w:val="33F67E2E"/>
    <w:rsid w:val="33FF139C"/>
    <w:rsid w:val="34050D4B"/>
    <w:rsid w:val="34126AB3"/>
    <w:rsid w:val="34171147"/>
    <w:rsid w:val="34207020"/>
    <w:rsid w:val="34341AA0"/>
    <w:rsid w:val="34390907"/>
    <w:rsid w:val="343B04DD"/>
    <w:rsid w:val="34534056"/>
    <w:rsid w:val="34567B7B"/>
    <w:rsid w:val="345A1B9E"/>
    <w:rsid w:val="345B36DB"/>
    <w:rsid w:val="348E6394"/>
    <w:rsid w:val="34B63A90"/>
    <w:rsid w:val="34C7150A"/>
    <w:rsid w:val="34D1182B"/>
    <w:rsid w:val="34D255EF"/>
    <w:rsid w:val="34EA54E9"/>
    <w:rsid w:val="35072CEF"/>
    <w:rsid w:val="351F2985"/>
    <w:rsid w:val="35205FBB"/>
    <w:rsid w:val="354047F1"/>
    <w:rsid w:val="35671C85"/>
    <w:rsid w:val="356C37B0"/>
    <w:rsid w:val="35710C4C"/>
    <w:rsid w:val="35764B5C"/>
    <w:rsid w:val="358838F4"/>
    <w:rsid w:val="358A5E61"/>
    <w:rsid w:val="358C1402"/>
    <w:rsid w:val="35900ED5"/>
    <w:rsid w:val="35A756F7"/>
    <w:rsid w:val="35C11F31"/>
    <w:rsid w:val="35D31EB2"/>
    <w:rsid w:val="35F67483"/>
    <w:rsid w:val="35FD08E8"/>
    <w:rsid w:val="36111279"/>
    <w:rsid w:val="361163DE"/>
    <w:rsid w:val="36194705"/>
    <w:rsid w:val="36211A21"/>
    <w:rsid w:val="3632645B"/>
    <w:rsid w:val="364E1314"/>
    <w:rsid w:val="365615FC"/>
    <w:rsid w:val="366C4853"/>
    <w:rsid w:val="366F1447"/>
    <w:rsid w:val="367F78CD"/>
    <w:rsid w:val="368A4D4A"/>
    <w:rsid w:val="368C52E8"/>
    <w:rsid w:val="369D3ED8"/>
    <w:rsid w:val="36A111C5"/>
    <w:rsid w:val="36AA7F2F"/>
    <w:rsid w:val="36AF4BCB"/>
    <w:rsid w:val="36BE1A6B"/>
    <w:rsid w:val="36DB1B0B"/>
    <w:rsid w:val="36E53567"/>
    <w:rsid w:val="36EA0D60"/>
    <w:rsid w:val="36F52F4B"/>
    <w:rsid w:val="36FB536A"/>
    <w:rsid w:val="370A55DB"/>
    <w:rsid w:val="3711137C"/>
    <w:rsid w:val="371634C5"/>
    <w:rsid w:val="372312B2"/>
    <w:rsid w:val="3723179E"/>
    <w:rsid w:val="373F6779"/>
    <w:rsid w:val="37465E0D"/>
    <w:rsid w:val="374B6CF1"/>
    <w:rsid w:val="37782DDB"/>
    <w:rsid w:val="377B2222"/>
    <w:rsid w:val="377E0554"/>
    <w:rsid w:val="37916D10"/>
    <w:rsid w:val="379451B9"/>
    <w:rsid w:val="37A74F6E"/>
    <w:rsid w:val="37A872B8"/>
    <w:rsid w:val="37C86550"/>
    <w:rsid w:val="37CB133A"/>
    <w:rsid w:val="37CB4122"/>
    <w:rsid w:val="37D52F37"/>
    <w:rsid w:val="37DF616E"/>
    <w:rsid w:val="37EC6149"/>
    <w:rsid w:val="37ED6965"/>
    <w:rsid w:val="38003C16"/>
    <w:rsid w:val="38195E63"/>
    <w:rsid w:val="381F5D04"/>
    <w:rsid w:val="3824423F"/>
    <w:rsid w:val="38310948"/>
    <w:rsid w:val="38420EEC"/>
    <w:rsid w:val="384E431A"/>
    <w:rsid w:val="38562FAB"/>
    <w:rsid w:val="38606CE0"/>
    <w:rsid w:val="386D62E0"/>
    <w:rsid w:val="38704A02"/>
    <w:rsid w:val="38714C38"/>
    <w:rsid w:val="3872773C"/>
    <w:rsid w:val="388A441C"/>
    <w:rsid w:val="38B439AB"/>
    <w:rsid w:val="38D073A9"/>
    <w:rsid w:val="38E4723D"/>
    <w:rsid w:val="38EC013B"/>
    <w:rsid w:val="3904328E"/>
    <w:rsid w:val="390C4BB8"/>
    <w:rsid w:val="3914330A"/>
    <w:rsid w:val="3925101A"/>
    <w:rsid w:val="39341181"/>
    <w:rsid w:val="39477622"/>
    <w:rsid w:val="395122B2"/>
    <w:rsid w:val="3951491A"/>
    <w:rsid w:val="39625FC8"/>
    <w:rsid w:val="39633820"/>
    <w:rsid w:val="396E45E5"/>
    <w:rsid w:val="398A730D"/>
    <w:rsid w:val="399370ED"/>
    <w:rsid w:val="399D5069"/>
    <w:rsid w:val="39BA1BA2"/>
    <w:rsid w:val="39BF445A"/>
    <w:rsid w:val="39C8479B"/>
    <w:rsid w:val="39E555E3"/>
    <w:rsid w:val="39E81D16"/>
    <w:rsid w:val="39E93843"/>
    <w:rsid w:val="3A040EA5"/>
    <w:rsid w:val="3A093664"/>
    <w:rsid w:val="3A0D7F05"/>
    <w:rsid w:val="3A177099"/>
    <w:rsid w:val="3A400A75"/>
    <w:rsid w:val="3A4F0016"/>
    <w:rsid w:val="3A5C64E1"/>
    <w:rsid w:val="3A6F0C02"/>
    <w:rsid w:val="3A7F6D1B"/>
    <w:rsid w:val="3A8B7A82"/>
    <w:rsid w:val="3A8F0C96"/>
    <w:rsid w:val="3AA60192"/>
    <w:rsid w:val="3AA80233"/>
    <w:rsid w:val="3AAB0EB3"/>
    <w:rsid w:val="3AB62111"/>
    <w:rsid w:val="3AB96A17"/>
    <w:rsid w:val="3AC03A82"/>
    <w:rsid w:val="3ACD01E8"/>
    <w:rsid w:val="3ADE5C9C"/>
    <w:rsid w:val="3ADF4F82"/>
    <w:rsid w:val="3AF20A22"/>
    <w:rsid w:val="3AF45588"/>
    <w:rsid w:val="3AF754D7"/>
    <w:rsid w:val="3AFF7E2C"/>
    <w:rsid w:val="3B0063A3"/>
    <w:rsid w:val="3B051447"/>
    <w:rsid w:val="3B0E5A2C"/>
    <w:rsid w:val="3B241944"/>
    <w:rsid w:val="3B54788C"/>
    <w:rsid w:val="3B5F76F5"/>
    <w:rsid w:val="3B6177D3"/>
    <w:rsid w:val="3B640142"/>
    <w:rsid w:val="3B775D80"/>
    <w:rsid w:val="3B920E16"/>
    <w:rsid w:val="3BAA64D6"/>
    <w:rsid w:val="3BBC7ABA"/>
    <w:rsid w:val="3C026920"/>
    <w:rsid w:val="3C032B8A"/>
    <w:rsid w:val="3C1C05FF"/>
    <w:rsid w:val="3C223012"/>
    <w:rsid w:val="3C324A5D"/>
    <w:rsid w:val="3C3B1FBA"/>
    <w:rsid w:val="3C3B7D13"/>
    <w:rsid w:val="3C4F32DD"/>
    <w:rsid w:val="3C5D77C4"/>
    <w:rsid w:val="3C6651F7"/>
    <w:rsid w:val="3C68076E"/>
    <w:rsid w:val="3C6E4701"/>
    <w:rsid w:val="3C7448C1"/>
    <w:rsid w:val="3C771162"/>
    <w:rsid w:val="3C8F469B"/>
    <w:rsid w:val="3C955239"/>
    <w:rsid w:val="3C986F76"/>
    <w:rsid w:val="3CBE5019"/>
    <w:rsid w:val="3CCB2283"/>
    <w:rsid w:val="3CD363A6"/>
    <w:rsid w:val="3CE31817"/>
    <w:rsid w:val="3CEA0C86"/>
    <w:rsid w:val="3CEE5B3A"/>
    <w:rsid w:val="3CFC3D7C"/>
    <w:rsid w:val="3CFE1C8B"/>
    <w:rsid w:val="3D016725"/>
    <w:rsid w:val="3D0A7209"/>
    <w:rsid w:val="3D0F7DF5"/>
    <w:rsid w:val="3D220E7D"/>
    <w:rsid w:val="3D27596B"/>
    <w:rsid w:val="3D2C5583"/>
    <w:rsid w:val="3D502711"/>
    <w:rsid w:val="3D547F1F"/>
    <w:rsid w:val="3D5C0385"/>
    <w:rsid w:val="3D5F0191"/>
    <w:rsid w:val="3D6F4667"/>
    <w:rsid w:val="3D725A53"/>
    <w:rsid w:val="3D9A5BD2"/>
    <w:rsid w:val="3DAC026A"/>
    <w:rsid w:val="3DB34D94"/>
    <w:rsid w:val="3DCA0564"/>
    <w:rsid w:val="3DDD556C"/>
    <w:rsid w:val="3DE8419C"/>
    <w:rsid w:val="3E0B5732"/>
    <w:rsid w:val="3E3B533C"/>
    <w:rsid w:val="3E6137E1"/>
    <w:rsid w:val="3E665A51"/>
    <w:rsid w:val="3E7D3335"/>
    <w:rsid w:val="3E851149"/>
    <w:rsid w:val="3E973062"/>
    <w:rsid w:val="3E9B56C3"/>
    <w:rsid w:val="3EAE65CE"/>
    <w:rsid w:val="3EBD7715"/>
    <w:rsid w:val="3EBF0128"/>
    <w:rsid w:val="3EE635DA"/>
    <w:rsid w:val="3EF10DF1"/>
    <w:rsid w:val="3EFC1673"/>
    <w:rsid w:val="3F000844"/>
    <w:rsid w:val="3F027066"/>
    <w:rsid w:val="3F0726FB"/>
    <w:rsid w:val="3F204392"/>
    <w:rsid w:val="3F3E53F2"/>
    <w:rsid w:val="3F4140B4"/>
    <w:rsid w:val="3F43173A"/>
    <w:rsid w:val="3F877D8F"/>
    <w:rsid w:val="3F9139AD"/>
    <w:rsid w:val="3FAF1D15"/>
    <w:rsid w:val="3FBD4959"/>
    <w:rsid w:val="3FBD5BCA"/>
    <w:rsid w:val="3FCB1EEC"/>
    <w:rsid w:val="3FCD7F00"/>
    <w:rsid w:val="3FED1D39"/>
    <w:rsid w:val="400141B7"/>
    <w:rsid w:val="40032049"/>
    <w:rsid w:val="40124984"/>
    <w:rsid w:val="40201A50"/>
    <w:rsid w:val="40307D52"/>
    <w:rsid w:val="40397931"/>
    <w:rsid w:val="403E4DBF"/>
    <w:rsid w:val="40442975"/>
    <w:rsid w:val="405B0584"/>
    <w:rsid w:val="405E6AB4"/>
    <w:rsid w:val="40647F02"/>
    <w:rsid w:val="406835CB"/>
    <w:rsid w:val="407856CA"/>
    <w:rsid w:val="40806DBD"/>
    <w:rsid w:val="408F2CC6"/>
    <w:rsid w:val="4098608C"/>
    <w:rsid w:val="40A13CBE"/>
    <w:rsid w:val="40A2014F"/>
    <w:rsid w:val="40A84A20"/>
    <w:rsid w:val="40AC43A4"/>
    <w:rsid w:val="40B44059"/>
    <w:rsid w:val="40BD6488"/>
    <w:rsid w:val="40C60C7C"/>
    <w:rsid w:val="40CC5B1A"/>
    <w:rsid w:val="41174D77"/>
    <w:rsid w:val="41364669"/>
    <w:rsid w:val="41545FF1"/>
    <w:rsid w:val="4174619E"/>
    <w:rsid w:val="41801E32"/>
    <w:rsid w:val="418A540F"/>
    <w:rsid w:val="41913B31"/>
    <w:rsid w:val="41B81A4B"/>
    <w:rsid w:val="41CB60F4"/>
    <w:rsid w:val="41D63219"/>
    <w:rsid w:val="41F00EBF"/>
    <w:rsid w:val="41F329E6"/>
    <w:rsid w:val="421637D4"/>
    <w:rsid w:val="42367B8F"/>
    <w:rsid w:val="423A6A5C"/>
    <w:rsid w:val="42430868"/>
    <w:rsid w:val="424D59C6"/>
    <w:rsid w:val="42875F49"/>
    <w:rsid w:val="429167B6"/>
    <w:rsid w:val="42BA3414"/>
    <w:rsid w:val="42CC379C"/>
    <w:rsid w:val="42CC753A"/>
    <w:rsid w:val="42D15BE8"/>
    <w:rsid w:val="42D259CD"/>
    <w:rsid w:val="42DA3E98"/>
    <w:rsid w:val="42F074B6"/>
    <w:rsid w:val="42F9198D"/>
    <w:rsid w:val="430E203F"/>
    <w:rsid w:val="43175D05"/>
    <w:rsid w:val="431E5D7A"/>
    <w:rsid w:val="432013FB"/>
    <w:rsid w:val="432E60A8"/>
    <w:rsid w:val="43314424"/>
    <w:rsid w:val="43364B9B"/>
    <w:rsid w:val="43406531"/>
    <w:rsid w:val="434331FA"/>
    <w:rsid w:val="43572B58"/>
    <w:rsid w:val="436113EA"/>
    <w:rsid w:val="43841533"/>
    <w:rsid w:val="438B33AE"/>
    <w:rsid w:val="438E0CDB"/>
    <w:rsid w:val="43A079C1"/>
    <w:rsid w:val="43C62ADF"/>
    <w:rsid w:val="43DD2662"/>
    <w:rsid w:val="43E279FF"/>
    <w:rsid w:val="43E702A1"/>
    <w:rsid w:val="43F92F27"/>
    <w:rsid w:val="441B1770"/>
    <w:rsid w:val="441E7344"/>
    <w:rsid w:val="442F4789"/>
    <w:rsid w:val="44392250"/>
    <w:rsid w:val="44641A09"/>
    <w:rsid w:val="44690CC8"/>
    <w:rsid w:val="446C2AA4"/>
    <w:rsid w:val="447A5EDE"/>
    <w:rsid w:val="448A4A98"/>
    <w:rsid w:val="449B3BBD"/>
    <w:rsid w:val="44BB35ED"/>
    <w:rsid w:val="44D505C5"/>
    <w:rsid w:val="44FA476B"/>
    <w:rsid w:val="451E2EFD"/>
    <w:rsid w:val="451F5984"/>
    <w:rsid w:val="45276081"/>
    <w:rsid w:val="45340FC1"/>
    <w:rsid w:val="4545457C"/>
    <w:rsid w:val="455029A9"/>
    <w:rsid w:val="45705A68"/>
    <w:rsid w:val="457C4AD7"/>
    <w:rsid w:val="45A324DE"/>
    <w:rsid w:val="45BE209F"/>
    <w:rsid w:val="45DF0C0C"/>
    <w:rsid w:val="45EE672D"/>
    <w:rsid w:val="46036575"/>
    <w:rsid w:val="46150A9C"/>
    <w:rsid w:val="46275408"/>
    <w:rsid w:val="462A017F"/>
    <w:rsid w:val="46475752"/>
    <w:rsid w:val="46475963"/>
    <w:rsid w:val="4657143B"/>
    <w:rsid w:val="466958B3"/>
    <w:rsid w:val="467D120F"/>
    <w:rsid w:val="467E7789"/>
    <w:rsid w:val="468C4108"/>
    <w:rsid w:val="468E0A6E"/>
    <w:rsid w:val="46AA420F"/>
    <w:rsid w:val="46B06807"/>
    <w:rsid w:val="46B6474D"/>
    <w:rsid w:val="46D2468C"/>
    <w:rsid w:val="46DF5310"/>
    <w:rsid w:val="46E247F9"/>
    <w:rsid w:val="46E46803"/>
    <w:rsid w:val="46FC333E"/>
    <w:rsid w:val="4713610D"/>
    <w:rsid w:val="471B02BF"/>
    <w:rsid w:val="472520BD"/>
    <w:rsid w:val="47315579"/>
    <w:rsid w:val="47370D5C"/>
    <w:rsid w:val="474D343B"/>
    <w:rsid w:val="4770372A"/>
    <w:rsid w:val="478C4FF0"/>
    <w:rsid w:val="47943893"/>
    <w:rsid w:val="47A33AD8"/>
    <w:rsid w:val="47A9447F"/>
    <w:rsid w:val="47AB4803"/>
    <w:rsid w:val="47AF314A"/>
    <w:rsid w:val="47DF6F1B"/>
    <w:rsid w:val="47E84AB8"/>
    <w:rsid w:val="47F06738"/>
    <w:rsid w:val="47F24D0F"/>
    <w:rsid w:val="48292150"/>
    <w:rsid w:val="48292D00"/>
    <w:rsid w:val="482B6AA8"/>
    <w:rsid w:val="48306AE6"/>
    <w:rsid w:val="48362813"/>
    <w:rsid w:val="48362B8F"/>
    <w:rsid w:val="487840D4"/>
    <w:rsid w:val="487D6BBD"/>
    <w:rsid w:val="48981E67"/>
    <w:rsid w:val="489C465D"/>
    <w:rsid w:val="48BB2874"/>
    <w:rsid w:val="48DA700F"/>
    <w:rsid w:val="48E70868"/>
    <w:rsid w:val="49003648"/>
    <w:rsid w:val="490078D6"/>
    <w:rsid w:val="492A5852"/>
    <w:rsid w:val="49336729"/>
    <w:rsid w:val="49422133"/>
    <w:rsid w:val="49481F51"/>
    <w:rsid w:val="49503781"/>
    <w:rsid w:val="495C44D4"/>
    <w:rsid w:val="498D71F3"/>
    <w:rsid w:val="499A371F"/>
    <w:rsid w:val="49B1277C"/>
    <w:rsid w:val="49B32963"/>
    <w:rsid w:val="49B35C2C"/>
    <w:rsid w:val="49B72EF0"/>
    <w:rsid w:val="49BE2795"/>
    <w:rsid w:val="49CE2C0E"/>
    <w:rsid w:val="49D93B21"/>
    <w:rsid w:val="49ED435B"/>
    <w:rsid w:val="49EF4744"/>
    <w:rsid w:val="49F477F7"/>
    <w:rsid w:val="4A003368"/>
    <w:rsid w:val="4A045A8C"/>
    <w:rsid w:val="4A1173C4"/>
    <w:rsid w:val="4A154026"/>
    <w:rsid w:val="4A175A72"/>
    <w:rsid w:val="4A2143CB"/>
    <w:rsid w:val="4A38281D"/>
    <w:rsid w:val="4A447A5F"/>
    <w:rsid w:val="4A5633ED"/>
    <w:rsid w:val="4A5C1498"/>
    <w:rsid w:val="4A7D3428"/>
    <w:rsid w:val="4A8608FF"/>
    <w:rsid w:val="4A885261"/>
    <w:rsid w:val="4A9341AD"/>
    <w:rsid w:val="4AA56943"/>
    <w:rsid w:val="4AB640D1"/>
    <w:rsid w:val="4AD80E43"/>
    <w:rsid w:val="4AFC731C"/>
    <w:rsid w:val="4B0E631E"/>
    <w:rsid w:val="4B1C6789"/>
    <w:rsid w:val="4B232D48"/>
    <w:rsid w:val="4B297309"/>
    <w:rsid w:val="4B2F5EF1"/>
    <w:rsid w:val="4B3F45FD"/>
    <w:rsid w:val="4B610E18"/>
    <w:rsid w:val="4B7A2A77"/>
    <w:rsid w:val="4B865E4D"/>
    <w:rsid w:val="4B9A7792"/>
    <w:rsid w:val="4BA142DC"/>
    <w:rsid w:val="4BA81B45"/>
    <w:rsid w:val="4BB134C2"/>
    <w:rsid w:val="4BC61A31"/>
    <w:rsid w:val="4BC64F54"/>
    <w:rsid w:val="4BD00E7B"/>
    <w:rsid w:val="4BDA233F"/>
    <w:rsid w:val="4BE11388"/>
    <w:rsid w:val="4BF17575"/>
    <w:rsid w:val="4C0B44E0"/>
    <w:rsid w:val="4C1B55F9"/>
    <w:rsid w:val="4C1D57B6"/>
    <w:rsid w:val="4C215AB1"/>
    <w:rsid w:val="4C2F3138"/>
    <w:rsid w:val="4C2F44B9"/>
    <w:rsid w:val="4C4C1930"/>
    <w:rsid w:val="4C5F70AB"/>
    <w:rsid w:val="4C617F2E"/>
    <w:rsid w:val="4C64768C"/>
    <w:rsid w:val="4C727777"/>
    <w:rsid w:val="4C794241"/>
    <w:rsid w:val="4C88610C"/>
    <w:rsid w:val="4C9E7C7A"/>
    <w:rsid w:val="4CC129DC"/>
    <w:rsid w:val="4CF60AD0"/>
    <w:rsid w:val="4CFD27AB"/>
    <w:rsid w:val="4D066243"/>
    <w:rsid w:val="4D0B785E"/>
    <w:rsid w:val="4D114375"/>
    <w:rsid w:val="4D235B56"/>
    <w:rsid w:val="4D3F4CEF"/>
    <w:rsid w:val="4D565BDF"/>
    <w:rsid w:val="4D764D27"/>
    <w:rsid w:val="4D810EFD"/>
    <w:rsid w:val="4D9329DF"/>
    <w:rsid w:val="4DA97155"/>
    <w:rsid w:val="4DB4080A"/>
    <w:rsid w:val="4DB53F90"/>
    <w:rsid w:val="4DD374A0"/>
    <w:rsid w:val="4DD96EF4"/>
    <w:rsid w:val="4DDE49A6"/>
    <w:rsid w:val="4E0348A7"/>
    <w:rsid w:val="4E0507F1"/>
    <w:rsid w:val="4E1344EB"/>
    <w:rsid w:val="4E281B86"/>
    <w:rsid w:val="4E361C9F"/>
    <w:rsid w:val="4E4C0D1C"/>
    <w:rsid w:val="4E6242A9"/>
    <w:rsid w:val="4E656439"/>
    <w:rsid w:val="4E6D3F2D"/>
    <w:rsid w:val="4E6F210D"/>
    <w:rsid w:val="4E757084"/>
    <w:rsid w:val="4E884C1B"/>
    <w:rsid w:val="4E9814DC"/>
    <w:rsid w:val="4EA61ED8"/>
    <w:rsid w:val="4EB7350B"/>
    <w:rsid w:val="4EE709A7"/>
    <w:rsid w:val="4EFE010D"/>
    <w:rsid w:val="4F027246"/>
    <w:rsid w:val="4F21402F"/>
    <w:rsid w:val="4F2B0742"/>
    <w:rsid w:val="4F2C30D4"/>
    <w:rsid w:val="4F3A07F8"/>
    <w:rsid w:val="4F462F16"/>
    <w:rsid w:val="4F4B22B1"/>
    <w:rsid w:val="4F653279"/>
    <w:rsid w:val="4F685B2A"/>
    <w:rsid w:val="4F687CA9"/>
    <w:rsid w:val="4F6B4FCC"/>
    <w:rsid w:val="4F743E89"/>
    <w:rsid w:val="4FC5614B"/>
    <w:rsid w:val="4FCB274B"/>
    <w:rsid w:val="4FCC44FB"/>
    <w:rsid w:val="4FCE28F9"/>
    <w:rsid w:val="4FD21ED3"/>
    <w:rsid w:val="4FD34A84"/>
    <w:rsid w:val="4FDE1106"/>
    <w:rsid w:val="4FE331CA"/>
    <w:rsid w:val="4FF1143E"/>
    <w:rsid w:val="50004F60"/>
    <w:rsid w:val="50152642"/>
    <w:rsid w:val="50214A7B"/>
    <w:rsid w:val="5028210C"/>
    <w:rsid w:val="50297B01"/>
    <w:rsid w:val="50304284"/>
    <w:rsid w:val="504F44E7"/>
    <w:rsid w:val="50633B3F"/>
    <w:rsid w:val="506604BA"/>
    <w:rsid w:val="507363BF"/>
    <w:rsid w:val="50846454"/>
    <w:rsid w:val="50930348"/>
    <w:rsid w:val="50951339"/>
    <w:rsid w:val="509E66BF"/>
    <w:rsid w:val="50A11AA3"/>
    <w:rsid w:val="50CA6EAA"/>
    <w:rsid w:val="50D27A0A"/>
    <w:rsid w:val="50E872C0"/>
    <w:rsid w:val="50FF7595"/>
    <w:rsid w:val="51186F2A"/>
    <w:rsid w:val="512F14C2"/>
    <w:rsid w:val="513A2BE3"/>
    <w:rsid w:val="51417175"/>
    <w:rsid w:val="514D38CD"/>
    <w:rsid w:val="515404ED"/>
    <w:rsid w:val="5181200D"/>
    <w:rsid w:val="518538E8"/>
    <w:rsid w:val="518C2832"/>
    <w:rsid w:val="51A4340C"/>
    <w:rsid w:val="51AD1BB3"/>
    <w:rsid w:val="51CC12AA"/>
    <w:rsid w:val="51D06AC2"/>
    <w:rsid w:val="51DE47BD"/>
    <w:rsid w:val="51FB1F66"/>
    <w:rsid w:val="52092C75"/>
    <w:rsid w:val="52145553"/>
    <w:rsid w:val="52160374"/>
    <w:rsid w:val="52210F7E"/>
    <w:rsid w:val="523073CD"/>
    <w:rsid w:val="52364562"/>
    <w:rsid w:val="523D0094"/>
    <w:rsid w:val="52465006"/>
    <w:rsid w:val="524D6727"/>
    <w:rsid w:val="52514B61"/>
    <w:rsid w:val="525F05B8"/>
    <w:rsid w:val="52641A60"/>
    <w:rsid w:val="526D7F2B"/>
    <w:rsid w:val="527010B5"/>
    <w:rsid w:val="52797078"/>
    <w:rsid w:val="527C619D"/>
    <w:rsid w:val="52800362"/>
    <w:rsid w:val="528B57FF"/>
    <w:rsid w:val="528B725E"/>
    <w:rsid w:val="52CA77C1"/>
    <w:rsid w:val="52CC24A6"/>
    <w:rsid w:val="52CC2E2D"/>
    <w:rsid w:val="52D74002"/>
    <w:rsid w:val="52E52C2B"/>
    <w:rsid w:val="52E706B0"/>
    <w:rsid w:val="52F6583A"/>
    <w:rsid w:val="52F6649B"/>
    <w:rsid w:val="530731A9"/>
    <w:rsid w:val="530B0A16"/>
    <w:rsid w:val="530C7663"/>
    <w:rsid w:val="53121C9E"/>
    <w:rsid w:val="533031A8"/>
    <w:rsid w:val="53354C48"/>
    <w:rsid w:val="5358440D"/>
    <w:rsid w:val="5362482F"/>
    <w:rsid w:val="5375181F"/>
    <w:rsid w:val="53832FC7"/>
    <w:rsid w:val="538C3048"/>
    <w:rsid w:val="53B53BCA"/>
    <w:rsid w:val="53BA69C7"/>
    <w:rsid w:val="53C66688"/>
    <w:rsid w:val="53CE4770"/>
    <w:rsid w:val="53D129A5"/>
    <w:rsid w:val="53F93A03"/>
    <w:rsid w:val="54027A3D"/>
    <w:rsid w:val="540E3026"/>
    <w:rsid w:val="540F1649"/>
    <w:rsid w:val="542B1000"/>
    <w:rsid w:val="542E3D8B"/>
    <w:rsid w:val="54323AE7"/>
    <w:rsid w:val="543C6793"/>
    <w:rsid w:val="54736410"/>
    <w:rsid w:val="54795B98"/>
    <w:rsid w:val="547A71A6"/>
    <w:rsid w:val="548B6133"/>
    <w:rsid w:val="549878E0"/>
    <w:rsid w:val="54A068BF"/>
    <w:rsid w:val="54D00696"/>
    <w:rsid w:val="54D20F09"/>
    <w:rsid w:val="54D73949"/>
    <w:rsid w:val="54D84A56"/>
    <w:rsid w:val="54E8113A"/>
    <w:rsid w:val="54F70F58"/>
    <w:rsid w:val="54FB4913"/>
    <w:rsid w:val="550C22CB"/>
    <w:rsid w:val="552E4B10"/>
    <w:rsid w:val="5531351D"/>
    <w:rsid w:val="55321CBF"/>
    <w:rsid w:val="5553235C"/>
    <w:rsid w:val="555923B6"/>
    <w:rsid w:val="55723899"/>
    <w:rsid w:val="55833BB3"/>
    <w:rsid w:val="559D532A"/>
    <w:rsid w:val="559F3F84"/>
    <w:rsid w:val="559F6615"/>
    <w:rsid w:val="55AE5055"/>
    <w:rsid w:val="55BD10AA"/>
    <w:rsid w:val="55C02F7D"/>
    <w:rsid w:val="55C45892"/>
    <w:rsid w:val="55D87C51"/>
    <w:rsid w:val="55E0250C"/>
    <w:rsid w:val="55F3691E"/>
    <w:rsid w:val="55FC10F6"/>
    <w:rsid w:val="55FF309C"/>
    <w:rsid w:val="560960F4"/>
    <w:rsid w:val="560D13FF"/>
    <w:rsid w:val="56384344"/>
    <w:rsid w:val="56407F58"/>
    <w:rsid w:val="564E4BD5"/>
    <w:rsid w:val="565129A9"/>
    <w:rsid w:val="56637EEB"/>
    <w:rsid w:val="56657AFF"/>
    <w:rsid w:val="567A4719"/>
    <w:rsid w:val="56882188"/>
    <w:rsid w:val="569A52D9"/>
    <w:rsid w:val="56A42EFF"/>
    <w:rsid w:val="56BF5611"/>
    <w:rsid w:val="56C60B1B"/>
    <w:rsid w:val="56CE6199"/>
    <w:rsid w:val="56D67A3A"/>
    <w:rsid w:val="56DA134A"/>
    <w:rsid w:val="56DA1EDA"/>
    <w:rsid w:val="56E83163"/>
    <w:rsid w:val="56F42ED2"/>
    <w:rsid w:val="570E062D"/>
    <w:rsid w:val="572D6163"/>
    <w:rsid w:val="57386B76"/>
    <w:rsid w:val="573C6D11"/>
    <w:rsid w:val="57445350"/>
    <w:rsid w:val="574A3A8D"/>
    <w:rsid w:val="57514963"/>
    <w:rsid w:val="575649E4"/>
    <w:rsid w:val="575F386A"/>
    <w:rsid w:val="575F5961"/>
    <w:rsid w:val="576704A9"/>
    <w:rsid w:val="577328B1"/>
    <w:rsid w:val="57766966"/>
    <w:rsid w:val="577779A4"/>
    <w:rsid w:val="577F2164"/>
    <w:rsid w:val="578770C2"/>
    <w:rsid w:val="57887C2D"/>
    <w:rsid w:val="57AB05F5"/>
    <w:rsid w:val="57B40521"/>
    <w:rsid w:val="57BA4236"/>
    <w:rsid w:val="57BB2CF9"/>
    <w:rsid w:val="57C57B84"/>
    <w:rsid w:val="57C957E0"/>
    <w:rsid w:val="57CD4BB7"/>
    <w:rsid w:val="57E33F10"/>
    <w:rsid w:val="57E4573A"/>
    <w:rsid w:val="58116040"/>
    <w:rsid w:val="58225E85"/>
    <w:rsid w:val="582A7332"/>
    <w:rsid w:val="582C4CEB"/>
    <w:rsid w:val="58350144"/>
    <w:rsid w:val="58386028"/>
    <w:rsid w:val="583A35CC"/>
    <w:rsid w:val="583C43C5"/>
    <w:rsid w:val="583F25E8"/>
    <w:rsid w:val="584624D1"/>
    <w:rsid w:val="5856016B"/>
    <w:rsid w:val="58607C16"/>
    <w:rsid w:val="58931150"/>
    <w:rsid w:val="589C780E"/>
    <w:rsid w:val="58A9755A"/>
    <w:rsid w:val="58BB2538"/>
    <w:rsid w:val="58BB43ED"/>
    <w:rsid w:val="58BD45E1"/>
    <w:rsid w:val="58C3426C"/>
    <w:rsid w:val="58CE5E3E"/>
    <w:rsid w:val="58DC4A95"/>
    <w:rsid w:val="58E53494"/>
    <w:rsid w:val="59053B5E"/>
    <w:rsid w:val="59194BE8"/>
    <w:rsid w:val="59436497"/>
    <w:rsid w:val="594A0A1F"/>
    <w:rsid w:val="594E0191"/>
    <w:rsid w:val="59531CE9"/>
    <w:rsid w:val="5966389F"/>
    <w:rsid w:val="597F3CD5"/>
    <w:rsid w:val="59C01E74"/>
    <w:rsid w:val="59C106EE"/>
    <w:rsid w:val="59CB15D9"/>
    <w:rsid w:val="59D6437F"/>
    <w:rsid w:val="59EF5B57"/>
    <w:rsid w:val="5A035BC8"/>
    <w:rsid w:val="5A0462BB"/>
    <w:rsid w:val="5A0600DB"/>
    <w:rsid w:val="5A0F0441"/>
    <w:rsid w:val="5A10754C"/>
    <w:rsid w:val="5A1173EF"/>
    <w:rsid w:val="5A172017"/>
    <w:rsid w:val="5A176AE4"/>
    <w:rsid w:val="5A23402C"/>
    <w:rsid w:val="5A2D32C4"/>
    <w:rsid w:val="5A3B6715"/>
    <w:rsid w:val="5A4C4AFC"/>
    <w:rsid w:val="5A504131"/>
    <w:rsid w:val="5A5708CA"/>
    <w:rsid w:val="5A5D23AA"/>
    <w:rsid w:val="5A673229"/>
    <w:rsid w:val="5A673A41"/>
    <w:rsid w:val="5A6E14F9"/>
    <w:rsid w:val="5A76432B"/>
    <w:rsid w:val="5A8032B2"/>
    <w:rsid w:val="5A927DF9"/>
    <w:rsid w:val="5A96525B"/>
    <w:rsid w:val="5A9E48A8"/>
    <w:rsid w:val="5AA95C4D"/>
    <w:rsid w:val="5AC8101E"/>
    <w:rsid w:val="5AC81176"/>
    <w:rsid w:val="5AD47C48"/>
    <w:rsid w:val="5AFA611E"/>
    <w:rsid w:val="5AFE695B"/>
    <w:rsid w:val="5B0071A9"/>
    <w:rsid w:val="5B0E1342"/>
    <w:rsid w:val="5B197E3E"/>
    <w:rsid w:val="5B276294"/>
    <w:rsid w:val="5B2F4088"/>
    <w:rsid w:val="5B2F7D2D"/>
    <w:rsid w:val="5B3D1931"/>
    <w:rsid w:val="5B4120BC"/>
    <w:rsid w:val="5B486682"/>
    <w:rsid w:val="5B7C3E8B"/>
    <w:rsid w:val="5B931A5F"/>
    <w:rsid w:val="5B962ECF"/>
    <w:rsid w:val="5BA8515B"/>
    <w:rsid w:val="5BCF36E5"/>
    <w:rsid w:val="5BD37F8B"/>
    <w:rsid w:val="5BD54D17"/>
    <w:rsid w:val="5BDF0C9F"/>
    <w:rsid w:val="5BEA53DB"/>
    <w:rsid w:val="5BEE1875"/>
    <w:rsid w:val="5BF205F9"/>
    <w:rsid w:val="5BFA33BB"/>
    <w:rsid w:val="5C03646F"/>
    <w:rsid w:val="5C090C9A"/>
    <w:rsid w:val="5C1325CC"/>
    <w:rsid w:val="5C150BC7"/>
    <w:rsid w:val="5C175CAB"/>
    <w:rsid w:val="5C1C4C86"/>
    <w:rsid w:val="5C232E88"/>
    <w:rsid w:val="5C2E2A92"/>
    <w:rsid w:val="5C316B42"/>
    <w:rsid w:val="5C495C8F"/>
    <w:rsid w:val="5C4D5AB6"/>
    <w:rsid w:val="5C520167"/>
    <w:rsid w:val="5C5D5C03"/>
    <w:rsid w:val="5C7C21EE"/>
    <w:rsid w:val="5C8A685A"/>
    <w:rsid w:val="5CAB3E27"/>
    <w:rsid w:val="5CB75132"/>
    <w:rsid w:val="5CC943FC"/>
    <w:rsid w:val="5CC9559C"/>
    <w:rsid w:val="5CE922F5"/>
    <w:rsid w:val="5D0B11D5"/>
    <w:rsid w:val="5D0F3748"/>
    <w:rsid w:val="5D1E6D1F"/>
    <w:rsid w:val="5D243D32"/>
    <w:rsid w:val="5D264906"/>
    <w:rsid w:val="5D2A2DD2"/>
    <w:rsid w:val="5D2E7321"/>
    <w:rsid w:val="5D3F5D03"/>
    <w:rsid w:val="5D426C92"/>
    <w:rsid w:val="5D4E791D"/>
    <w:rsid w:val="5D581293"/>
    <w:rsid w:val="5D6E6BA0"/>
    <w:rsid w:val="5D8309BE"/>
    <w:rsid w:val="5D851FBD"/>
    <w:rsid w:val="5D8D7F9C"/>
    <w:rsid w:val="5DA82D95"/>
    <w:rsid w:val="5DBA44C8"/>
    <w:rsid w:val="5DC310BE"/>
    <w:rsid w:val="5DCE0823"/>
    <w:rsid w:val="5DCF5207"/>
    <w:rsid w:val="5DDB7C6D"/>
    <w:rsid w:val="5DE258C5"/>
    <w:rsid w:val="5DE3698F"/>
    <w:rsid w:val="5DE9492E"/>
    <w:rsid w:val="5DF855E3"/>
    <w:rsid w:val="5DFE0C63"/>
    <w:rsid w:val="5DFF57B7"/>
    <w:rsid w:val="5E193D20"/>
    <w:rsid w:val="5E1E00A2"/>
    <w:rsid w:val="5E237FB0"/>
    <w:rsid w:val="5E284486"/>
    <w:rsid w:val="5E35775F"/>
    <w:rsid w:val="5E361890"/>
    <w:rsid w:val="5E4539E6"/>
    <w:rsid w:val="5E483CCE"/>
    <w:rsid w:val="5E4F7C3E"/>
    <w:rsid w:val="5E512346"/>
    <w:rsid w:val="5E791D7E"/>
    <w:rsid w:val="5E7E3530"/>
    <w:rsid w:val="5E8F1E81"/>
    <w:rsid w:val="5E9A3166"/>
    <w:rsid w:val="5EA94A1B"/>
    <w:rsid w:val="5EBF7813"/>
    <w:rsid w:val="5EC605EC"/>
    <w:rsid w:val="5EC8428D"/>
    <w:rsid w:val="5ED01A16"/>
    <w:rsid w:val="5ED41357"/>
    <w:rsid w:val="5EDC7172"/>
    <w:rsid w:val="5EF561AF"/>
    <w:rsid w:val="5EF70C14"/>
    <w:rsid w:val="5F285664"/>
    <w:rsid w:val="5F302568"/>
    <w:rsid w:val="5F3A78CA"/>
    <w:rsid w:val="5F3C45B7"/>
    <w:rsid w:val="5F3E50A3"/>
    <w:rsid w:val="5F447BB0"/>
    <w:rsid w:val="5F617F47"/>
    <w:rsid w:val="5F6C47D7"/>
    <w:rsid w:val="5F6D45E7"/>
    <w:rsid w:val="5F707C37"/>
    <w:rsid w:val="5F7E0234"/>
    <w:rsid w:val="5F82153A"/>
    <w:rsid w:val="5F8B6BDE"/>
    <w:rsid w:val="5F944528"/>
    <w:rsid w:val="5FA51876"/>
    <w:rsid w:val="5FB3405B"/>
    <w:rsid w:val="5FBE41D0"/>
    <w:rsid w:val="5FD55057"/>
    <w:rsid w:val="5FDE3E9A"/>
    <w:rsid w:val="5FFA226D"/>
    <w:rsid w:val="5FFB295B"/>
    <w:rsid w:val="60116091"/>
    <w:rsid w:val="601B7E39"/>
    <w:rsid w:val="602865AF"/>
    <w:rsid w:val="603C534C"/>
    <w:rsid w:val="60400BF0"/>
    <w:rsid w:val="60414505"/>
    <w:rsid w:val="6048008F"/>
    <w:rsid w:val="60723731"/>
    <w:rsid w:val="60724F96"/>
    <w:rsid w:val="60785A6B"/>
    <w:rsid w:val="607B387F"/>
    <w:rsid w:val="607C6223"/>
    <w:rsid w:val="60AE1BB1"/>
    <w:rsid w:val="60B266BA"/>
    <w:rsid w:val="60D30D71"/>
    <w:rsid w:val="60D33281"/>
    <w:rsid w:val="60D6365B"/>
    <w:rsid w:val="60DC191C"/>
    <w:rsid w:val="60FB4822"/>
    <w:rsid w:val="60FD1DE9"/>
    <w:rsid w:val="61075E91"/>
    <w:rsid w:val="61176C1A"/>
    <w:rsid w:val="6140228C"/>
    <w:rsid w:val="61546BBA"/>
    <w:rsid w:val="615E0514"/>
    <w:rsid w:val="61601B08"/>
    <w:rsid w:val="6163419B"/>
    <w:rsid w:val="616828E2"/>
    <w:rsid w:val="6175499D"/>
    <w:rsid w:val="618C38D3"/>
    <w:rsid w:val="61CA14D3"/>
    <w:rsid w:val="61D10E64"/>
    <w:rsid w:val="61E02DAC"/>
    <w:rsid w:val="61E7115C"/>
    <w:rsid w:val="62037E7B"/>
    <w:rsid w:val="6206702F"/>
    <w:rsid w:val="62324E61"/>
    <w:rsid w:val="623D1D75"/>
    <w:rsid w:val="623E29C2"/>
    <w:rsid w:val="626B054B"/>
    <w:rsid w:val="62731173"/>
    <w:rsid w:val="627D0EAE"/>
    <w:rsid w:val="627D0F0C"/>
    <w:rsid w:val="628469D5"/>
    <w:rsid w:val="62D55D1A"/>
    <w:rsid w:val="62E219AE"/>
    <w:rsid w:val="62F11BBE"/>
    <w:rsid w:val="62F11FCB"/>
    <w:rsid w:val="631A4BA2"/>
    <w:rsid w:val="632B13DC"/>
    <w:rsid w:val="63337763"/>
    <w:rsid w:val="633579E3"/>
    <w:rsid w:val="63402B17"/>
    <w:rsid w:val="63486CC7"/>
    <w:rsid w:val="634D7A80"/>
    <w:rsid w:val="6350605D"/>
    <w:rsid w:val="63570D4F"/>
    <w:rsid w:val="635E0F3D"/>
    <w:rsid w:val="637E4FF0"/>
    <w:rsid w:val="637F7F04"/>
    <w:rsid w:val="63942CCD"/>
    <w:rsid w:val="63C05976"/>
    <w:rsid w:val="63C86CFA"/>
    <w:rsid w:val="63D623B2"/>
    <w:rsid w:val="63E00632"/>
    <w:rsid w:val="63E41EF8"/>
    <w:rsid w:val="63F15196"/>
    <w:rsid w:val="64103E1C"/>
    <w:rsid w:val="642C7A1C"/>
    <w:rsid w:val="64403E24"/>
    <w:rsid w:val="6443442D"/>
    <w:rsid w:val="644417BE"/>
    <w:rsid w:val="644C3FF3"/>
    <w:rsid w:val="644E387F"/>
    <w:rsid w:val="646470FA"/>
    <w:rsid w:val="646933B1"/>
    <w:rsid w:val="64851666"/>
    <w:rsid w:val="649D1A1E"/>
    <w:rsid w:val="64A350CE"/>
    <w:rsid w:val="64AD2180"/>
    <w:rsid w:val="64B259E8"/>
    <w:rsid w:val="64B838A5"/>
    <w:rsid w:val="64BC1D6F"/>
    <w:rsid w:val="64BD7D1A"/>
    <w:rsid w:val="64C03C61"/>
    <w:rsid w:val="64C762CD"/>
    <w:rsid w:val="64ED59C5"/>
    <w:rsid w:val="64F30A4B"/>
    <w:rsid w:val="64F4163A"/>
    <w:rsid w:val="64FB1B95"/>
    <w:rsid w:val="64FF4279"/>
    <w:rsid w:val="65003476"/>
    <w:rsid w:val="65051A72"/>
    <w:rsid w:val="65062204"/>
    <w:rsid w:val="653359FA"/>
    <w:rsid w:val="6548480B"/>
    <w:rsid w:val="65485F42"/>
    <w:rsid w:val="6558194B"/>
    <w:rsid w:val="655C27DB"/>
    <w:rsid w:val="656B19E1"/>
    <w:rsid w:val="65984BDE"/>
    <w:rsid w:val="65B059DA"/>
    <w:rsid w:val="65D0103F"/>
    <w:rsid w:val="65E5538A"/>
    <w:rsid w:val="65EE2245"/>
    <w:rsid w:val="65FA0C86"/>
    <w:rsid w:val="65FD3A76"/>
    <w:rsid w:val="660E73B6"/>
    <w:rsid w:val="66183B89"/>
    <w:rsid w:val="661C16B0"/>
    <w:rsid w:val="664045E9"/>
    <w:rsid w:val="665D4D15"/>
    <w:rsid w:val="666C58EA"/>
    <w:rsid w:val="667514BC"/>
    <w:rsid w:val="667C127C"/>
    <w:rsid w:val="669E1518"/>
    <w:rsid w:val="66B46841"/>
    <w:rsid w:val="66CC1E7A"/>
    <w:rsid w:val="66D37F6B"/>
    <w:rsid w:val="66EF2988"/>
    <w:rsid w:val="66F01F30"/>
    <w:rsid w:val="66F0795B"/>
    <w:rsid w:val="66F34A33"/>
    <w:rsid w:val="67013070"/>
    <w:rsid w:val="670E29A8"/>
    <w:rsid w:val="67156B35"/>
    <w:rsid w:val="672C32E9"/>
    <w:rsid w:val="67352B9C"/>
    <w:rsid w:val="67372AEA"/>
    <w:rsid w:val="674756CE"/>
    <w:rsid w:val="674B2D3D"/>
    <w:rsid w:val="6759001C"/>
    <w:rsid w:val="67743B07"/>
    <w:rsid w:val="67743B65"/>
    <w:rsid w:val="6778213D"/>
    <w:rsid w:val="677919E0"/>
    <w:rsid w:val="678215E8"/>
    <w:rsid w:val="679A1306"/>
    <w:rsid w:val="67CF0E30"/>
    <w:rsid w:val="67E524DE"/>
    <w:rsid w:val="67E90436"/>
    <w:rsid w:val="6812607A"/>
    <w:rsid w:val="682B41DA"/>
    <w:rsid w:val="684A728B"/>
    <w:rsid w:val="68602195"/>
    <w:rsid w:val="688C7D72"/>
    <w:rsid w:val="68CD70AD"/>
    <w:rsid w:val="691A16FE"/>
    <w:rsid w:val="691A2777"/>
    <w:rsid w:val="691F0CB5"/>
    <w:rsid w:val="691F37A5"/>
    <w:rsid w:val="692302F8"/>
    <w:rsid w:val="692519C7"/>
    <w:rsid w:val="694E72F1"/>
    <w:rsid w:val="695272AE"/>
    <w:rsid w:val="69563C12"/>
    <w:rsid w:val="69601B80"/>
    <w:rsid w:val="696273CC"/>
    <w:rsid w:val="696D5E77"/>
    <w:rsid w:val="696F20FA"/>
    <w:rsid w:val="69871792"/>
    <w:rsid w:val="698E4B61"/>
    <w:rsid w:val="699C507C"/>
    <w:rsid w:val="69A037F9"/>
    <w:rsid w:val="69C65FFE"/>
    <w:rsid w:val="69D02B99"/>
    <w:rsid w:val="69D95735"/>
    <w:rsid w:val="69DD3BEC"/>
    <w:rsid w:val="69EC69F7"/>
    <w:rsid w:val="6A0C3890"/>
    <w:rsid w:val="6A265F03"/>
    <w:rsid w:val="6A3B77F3"/>
    <w:rsid w:val="6A3F73CE"/>
    <w:rsid w:val="6A460A7A"/>
    <w:rsid w:val="6A46493C"/>
    <w:rsid w:val="6A4C7395"/>
    <w:rsid w:val="6A572ABF"/>
    <w:rsid w:val="6A584B38"/>
    <w:rsid w:val="6A6179B3"/>
    <w:rsid w:val="6A6D269D"/>
    <w:rsid w:val="6A783CE9"/>
    <w:rsid w:val="6A87428E"/>
    <w:rsid w:val="6A874AA8"/>
    <w:rsid w:val="6A8F0512"/>
    <w:rsid w:val="6A976378"/>
    <w:rsid w:val="6AA55079"/>
    <w:rsid w:val="6AAD5248"/>
    <w:rsid w:val="6AB56452"/>
    <w:rsid w:val="6ABB4E2C"/>
    <w:rsid w:val="6ACF578F"/>
    <w:rsid w:val="6B292598"/>
    <w:rsid w:val="6B354780"/>
    <w:rsid w:val="6B470615"/>
    <w:rsid w:val="6B5E1012"/>
    <w:rsid w:val="6B6E7A8A"/>
    <w:rsid w:val="6B701F8A"/>
    <w:rsid w:val="6B7A0BBB"/>
    <w:rsid w:val="6B8616EB"/>
    <w:rsid w:val="6B8C2390"/>
    <w:rsid w:val="6B9D798C"/>
    <w:rsid w:val="6BAF371F"/>
    <w:rsid w:val="6BC71348"/>
    <w:rsid w:val="6BC87F6C"/>
    <w:rsid w:val="6BE92141"/>
    <w:rsid w:val="6C090B05"/>
    <w:rsid w:val="6C2076DB"/>
    <w:rsid w:val="6C2D30F2"/>
    <w:rsid w:val="6C3C4E4A"/>
    <w:rsid w:val="6C506B3E"/>
    <w:rsid w:val="6C5A3B73"/>
    <w:rsid w:val="6C726189"/>
    <w:rsid w:val="6C747438"/>
    <w:rsid w:val="6C752A69"/>
    <w:rsid w:val="6C7F629D"/>
    <w:rsid w:val="6C8A0478"/>
    <w:rsid w:val="6C8F50C7"/>
    <w:rsid w:val="6C970F4F"/>
    <w:rsid w:val="6CA66243"/>
    <w:rsid w:val="6CBF5376"/>
    <w:rsid w:val="6CC255DF"/>
    <w:rsid w:val="6CC265FC"/>
    <w:rsid w:val="6CCA59DA"/>
    <w:rsid w:val="6CDA6271"/>
    <w:rsid w:val="6CDF1FF6"/>
    <w:rsid w:val="6CE141AB"/>
    <w:rsid w:val="6CE74BF9"/>
    <w:rsid w:val="6CF4763F"/>
    <w:rsid w:val="6CF521E3"/>
    <w:rsid w:val="6D313483"/>
    <w:rsid w:val="6D38141A"/>
    <w:rsid w:val="6D4856DD"/>
    <w:rsid w:val="6D553FBF"/>
    <w:rsid w:val="6D5E201C"/>
    <w:rsid w:val="6D695347"/>
    <w:rsid w:val="6D6E5582"/>
    <w:rsid w:val="6D7F17CD"/>
    <w:rsid w:val="6D8030A2"/>
    <w:rsid w:val="6D8609F1"/>
    <w:rsid w:val="6D8C28AC"/>
    <w:rsid w:val="6D963E3F"/>
    <w:rsid w:val="6D9A5C6B"/>
    <w:rsid w:val="6DBA30BF"/>
    <w:rsid w:val="6DE85C9A"/>
    <w:rsid w:val="6DF545B2"/>
    <w:rsid w:val="6DFB1388"/>
    <w:rsid w:val="6E031D07"/>
    <w:rsid w:val="6E2A6B30"/>
    <w:rsid w:val="6E34344E"/>
    <w:rsid w:val="6E364F94"/>
    <w:rsid w:val="6E3A2CD6"/>
    <w:rsid w:val="6E630E54"/>
    <w:rsid w:val="6E650422"/>
    <w:rsid w:val="6E665EE6"/>
    <w:rsid w:val="6E7372CF"/>
    <w:rsid w:val="6E7E2567"/>
    <w:rsid w:val="6E8607EC"/>
    <w:rsid w:val="6E9B6C29"/>
    <w:rsid w:val="6EA73238"/>
    <w:rsid w:val="6EC5035F"/>
    <w:rsid w:val="6ED01B2C"/>
    <w:rsid w:val="6EDB620F"/>
    <w:rsid w:val="6EDC149F"/>
    <w:rsid w:val="6EDF148B"/>
    <w:rsid w:val="6EE47C22"/>
    <w:rsid w:val="6EEE0AB3"/>
    <w:rsid w:val="6F0B6421"/>
    <w:rsid w:val="6F0F36D4"/>
    <w:rsid w:val="6F190B3E"/>
    <w:rsid w:val="6F1C2869"/>
    <w:rsid w:val="6F264C76"/>
    <w:rsid w:val="6F304A8C"/>
    <w:rsid w:val="6F3E73AD"/>
    <w:rsid w:val="6F621577"/>
    <w:rsid w:val="6F6B60F5"/>
    <w:rsid w:val="6F8036EC"/>
    <w:rsid w:val="6F8561D3"/>
    <w:rsid w:val="6F914114"/>
    <w:rsid w:val="6F9401C4"/>
    <w:rsid w:val="6F9F4EBA"/>
    <w:rsid w:val="6FAE1EFD"/>
    <w:rsid w:val="6FB44E15"/>
    <w:rsid w:val="6FD4676B"/>
    <w:rsid w:val="6FD867C1"/>
    <w:rsid w:val="6FF036F6"/>
    <w:rsid w:val="6FF84047"/>
    <w:rsid w:val="6FFF442E"/>
    <w:rsid w:val="70007E69"/>
    <w:rsid w:val="701640C3"/>
    <w:rsid w:val="702B4CA8"/>
    <w:rsid w:val="703E08A5"/>
    <w:rsid w:val="704768DE"/>
    <w:rsid w:val="707102B9"/>
    <w:rsid w:val="70874FC3"/>
    <w:rsid w:val="70880060"/>
    <w:rsid w:val="708F29D8"/>
    <w:rsid w:val="70935481"/>
    <w:rsid w:val="709932C9"/>
    <w:rsid w:val="709B7D36"/>
    <w:rsid w:val="709D579F"/>
    <w:rsid w:val="70A33DCF"/>
    <w:rsid w:val="70A41616"/>
    <w:rsid w:val="70C75C49"/>
    <w:rsid w:val="70D256F5"/>
    <w:rsid w:val="70EA4B5A"/>
    <w:rsid w:val="70FE5EC3"/>
    <w:rsid w:val="711A294B"/>
    <w:rsid w:val="71264748"/>
    <w:rsid w:val="713A1BE3"/>
    <w:rsid w:val="715045BF"/>
    <w:rsid w:val="7168027F"/>
    <w:rsid w:val="71815A96"/>
    <w:rsid w:val="7185508C"/>
    <w:rsid w:val="71883767"/>
    <w:rsid w:val="718A3557"/>
    <w:rsid w:val="718E6821"/>
    <w:rsid w:val="719218CD"/>
    <w:rsid w:val="7195140E"/>
    <w:rsid w:val="719B728B"/>
    <w:rsid w:val="719C3C19"/>
    <w:rsid w:val="71A20CAD"/>
    <w:rsid w:val="71DB12C0"/>
    <w:rsid w:val="71EF4453"/>
    <w:rsid w:val="720C3BED"/>
    <w:rsid w:val="7215661E"/>
    <w:rsid w:val="72232AC3"/>
    <w:rsid w:val="723932AD"/>
    <w:rsid w:val="723F2389"/>
    <w:rsid w:val="724E591C"/>
    <w:rsid w:val="72591107"/>
    <w:rsid w:val="726D1A27"/>
    <w:rsid w:val="72837FB3"/>
    <w:rsid w:val="728B683A"/>
    <w:rsid w:val="72AF312B"/>
    <w:rsid w:val="72D53B48"/>
    <w:rsid w:val="72DC528A"/>
    <w:rsid w:val="72E05F51"/>
    <w:rsid w:val="72F3797D"/>
    <w:rsid w:val="73147496"/>
    <w:rsid w:val="73150860"/>
    <w:rsid w:val="732D00A1"/>
    <w:rsid w:val="733536C7"/>
    <w:rsid w:val="733F3663"/>
    <w:rsid w:val="7340275D"/>
    <w:rsid w:val="735241E8"/>
    <w:rsid w:val="73680F71"/>
    <w:rsid w:val="736C20ED"/>
    <w:rsid w:val="737F24B3"/>
    <w:rsid w:val="738B4A50"/>
    <w:rsid w:val="739255B0"/>
    <w:rsid w:val="7397230A"/>
    <w:rsid w:val="73A04BD2"/>
    <w:rsid w:val="73A3445C"/>
    <w:rsid w:val="73BC53B2"/>
    <w:rsid w:val="73CC344D"/>
    <w:rsid w:val="73D272B0"/>
    <w:rsid w:val="73E22169"/>
    <w:rsid w:val="73E63E70"/>
    <w:rsid w:val="73ED71E2"/>
    <w:rsid w:val="73F10759"/>
    <w:rsid w:val="742D1E90"/>
    <w:rsid w:val="74395419"/>
    <w:rsid w:val="74547BEE"/>
    <w:rsid w:val="745C4F1F"/>
    <w:rsid w:val="74632F4A"/>
    <w:rsid w:val="74746D7C"/>
    <w:rsid w:val="747F3C4A"/>
    <w:rsid w:val="749D7028"/>
    <w:rsid w:val="74A0585D"/>
    <w:rsid w:val="74A2256D"/>
    <w:rsid w:val="74AA43DB"/>
    <w:rsid w:val="74AC24F5"/>
    <w:rsid w:val="74B60A2F"/>
    <w:rsid w:val="74BA148E"/>
    <w:rsid w:val="74C1723C"/>
    <w:rsid w:val="74C3110D"/>
    <w:rsid w:val="74DF7BAB"/>
    <w:rsid w:val="74E729C3"/>
    <w:rsid w:val="74F11220"/>
    <w:rsid w:val="74F12022"/>
    <w:rsid w:val="751D462F"/>
    <w:rsid w:val="75216E5D"/>
    <w:rsid w:val="753701F3"/>
    <w:rsid w:val="755328EF"/>
    <w:rsid w:val="755456FF"/>
    <w:rsid w:val="755505AF"/>
    <w:rsid w:val="75711F18"/>
    <w:rsid w:val="757D1AC1"/>
    <w:rsid w:val="759A27A6"/>
    <w:rsid w:val="75A037A5"/>
    <w:rsid w:val="75BB5BEE"/>
    <w:rsid w:val="75C64A6C"/>
    <w:rsid w:val="75D06C6C"/>
    <w:rsid w:val="75E2742A"/>
    <w:rsid w:val="75E7565C"/>
    <w:rsid w:val="75E76425"/>
    <w:rsid w:val="75F4604D"/>
    <w:rsid w:val="760247AD"/>
    <w:rsid w:val="760250D2"/>
    <w:rsid w:val="760636A0"/>
    <w:rsid w:val="760F184D"/>
    <w:rsid w:val="76113A18"/>
    <w:rsid w:val="761F225E"/>
    <w:rsid w:val="762A5FF2"/>
    <w:rsid w:val="76320F51"/>
    <w:rsid w:val="76373D34"/>
    <w:rsid w:val="764C2CB4"/>
    <w:rsid w:val="764C773E"/>
    <w:rsid w:val="765C39CA"/>
    <w:rsid w:val="76821E25"/>
    <w:rsid w:val="768F20DB"/>
    <w:rsid w:val="76A1125A"/>
    <w:rsid w:val="76A57F4B"/>
    <w:rsid w:val="76AB0C14"/>
    <w:rsid w:val="76B56D9F"/>
    <w:rsid w:val="76E01454"/>
    <w:rsid w:val="76EC329E"/>
    <w:rsid w:val="76EF1998"/>
    <w:rsid w:val="770F5577"/>
    <w:rsid w:val="771C5ED1"/>
    <w:rsid w:val="775E4133"/>
    <w:rsid w:val="77636631"/>
    <w:rsid w:val="77661A0F"/>
    <w:rsid w:val="77727A5A"/>
    <w:rsid w:val="777D07EB"/>
    <w:rsid w:val="779915BD"/>
    <w:rsid w:val="779B611E"/>
    <w:rsid w:val="779C103C"/>
    <w:rsid w:val="77A17598"/>
    <w:rsid w:val="77C50317"/>
    <w:rsid w:val="77D60618"/>
    <w:rsid w:val="77FC7D69"/>
    <w:rsid w:val="77FF4DFE"/>
    <w:rsid w:val="78125987"/>
    <w:rsid w:val="78174746"/>
    <w:rsid w:val="781751F3"/>
    <w:rsid w:val="781F026B"/>
    <w:rsid w:val="782B6D92"/>
    <w:rsid w:val="782E281E"/>
    <w:rsid w:val="783B03F8"/>
    <w:rsid w:val="786243F7"/>
    <w:rsid w:val="78647781"/>
    <w:rsid w:val="78717535"/>
    <w:rsid w:val="7872306D"/>
    <w:rsid w:val="78743F67"/>
    <w:rsid w:val="788855CA"/>
    <w:rsid w:val="7889382D"/>
    <w:rsid w:val="78A2331B"/>
    <w:rsid w:val="78BF3336"/>
    <w:rsid w:val="78C93DFE"/>
    <w:rsid w:val="78DC3232"/>
    <w:rsid w:val="78E53671"/>
    <w:rsid w:val="78EE0A60"/>
    <w:rsid w:val="78F22302"/>
    <w:rsid w:val="791003AF"/>
    <w:rsid w:val="792D7EFF"/>
    <w:rsid w:val="793A3738"/>
    <w:rsid w:val="79460EDE"/>
    <w:rsid w:val="794A63C6"/>
    <w:rsid w:val="794F055C"/>
    <w:rsid w:val="79503ED5"/>
    <w:rsid w:val="795135CA"/>
    <w:rsid w:val="795A0FA1"/>
    <w:rsid w:val="7976773A"/>
    <w:rsid w:val="798028DB"/>
    <w:rsid w:val="798F237E"/>
    <w:rsid w:val="799B7A09"/>
    <w:rsid w:val="79A100AE"/>
    <w:rsid w:val="79A40AEF"/>
    <w:rsid w:val="79A93B7F"/>
    <w:rsid w:val="79B00CFE"/>
    <w:rsid w:val="79BB7457"/>
    <w:rsid w:val="79C43F43"/>
    <w:rsid w:val="79C72E91"/>
    <w:rsid w:val="79D87A55"/>
    <w:rsid w:val="79EA261C"/>
    <w:rsid w:val="79F31B43"/>
    <w:rsid w:val="79FD66BF"/>
    <w:rsid w:val="7A0B3584"/>
    <w:rsid w:val="7A2F70C4"/>
    <w:rsid w:val="7A372826"/>
    <w:rsid w:val="7A392094"/>
    <w:rsid w:val="7A3B0D2D"/>
    <w:rsid w:val="7A451348"/>
    <w:rsid w:val="7A4610EA"/>
    <w:rsid w:val="7A492843"/>
    <w:rsid w:val="7A4A7061"/>
    <w:rsid w:val="7A4D46B1"/>
    <w:rsid w:val="7A522490"/>
    <w:rsid w:val="7A5A200A"/>
    <w:rsid w:val="7A6348BA"/>
    <w:rsid w:val="7A6B26F7"/>
    <w:rsid w:val="7A74492B"/>
    <w:rsid w:val="7A88301C"/>
    <w:rsid w:val="7A8B398C"/>
    <w:rsid w:val="7A9654D2"/>
    <w:rsid w:val="7AC436AA"/>
    <w:rsid w:val="7AD6527E"/>
    <w:rsid w:val="7ADA256C"/>
    <w:rsid w:val="7ADC658F"/>
    <w:rsid w:val="7AE04774"/>
    <w:rsid w:val="7AE3081A"/>
    <w:rsid w:val="7AE37010"/>
    <w:rsid w:val="7AEB4E93"/>
    <w:rsid w:val="7AF764FA"/>
    <w:rsid w:val="7AFD3857"/>
    <w:rsid w:val="7AFF2D44"/>
    <w:rsid w:val="7B09782A"/>
    <w:rsid w:val="7B0A17DB"/>
    <w:rsid w:val="7B164126"/>
    <w:rsid w:val="7B304435"/>
    <w:rsid w:val="7B3B07F5"/>
    <w:rsid w:val="7B5D1B94"/>
    <w:rsid w:val="7B5E7BA1"/>
    <w:rsid w:val="7B7840FC"/>
    <w:rsid w:val="7B8D438C"/>
    <w:rsid w:val="7B93523E"/>
    <w:rsid w:val="7BA50D4D"/>
    <w:rsid w:val="7BCF4F4A"/>
    <w:rsid w:val="7BDB3521"/>
    <w:rsid w:val="7BDE25D6"/>
    <w:rsid w:val="7BE04399"/>
    <w:rsid w:val="7BEA728A"/>
    <w:rsid w:val="7C0B5A94"/>
    <w:rsid w:val="7C1C423A"/>
    <w:rsid w:val="7C6A0036"/>
    <w:rsid w:val="7C7E4C0A"/>
    <w:rsid w:val="7C881C3E"/>
    <w:rsid w:val="7CB30080"/>
    <w:rsid w:val="7CB97792"/>
    <w:rsid w:val="7CC51228"/>
    <w:rsid w:val="7CD8312B"/>
    <w:rsid w:val="7CF40A25"/>
    <w:rsid w:val="7CF770C4"/>
    <w:rsid w:val="7D39266F"/>
    <w:rsid w:val="7D3C4634"/>
    <w:rsid w:val="7D406813"/>
    <w:rsid w:val="7D41687E"/>
    <w:rsid w:val="7D464F92"/>
    <w:rsid w:val="7D4A18A6"/>
    <w:rsid w:val="7D5B405C"/>
    <w:rsid w:val="7D6C5EC3"/>
    <w:rsid w:val="7D84535E"/>
    <w:rsid w:val="7DA309E3"/>
    <w:rsid w:val="7DB70D15"/>
    <w:rsid w:val="7DB91290"/>
    <w:rsid w:val="7DC5442D"/>
    <w:rsid w:val="7DF8495E"/>
    <w:rsid w:val="7DFF2780"/>
    <w:rsid w:val="7E0265B5"/>
    <w:rsid w:val="7E070AD1"/>
    <w:rsid w:val="7E190A95"/>
    <w:rsid w:val="7E270BC4"/>
    <w:rsid w:val="7E36036B"/>
    <w:rsid w:val="7E461224"/>
    <w:rsid w:val="7E56114F"/>
    <w:rsid w:val="7E5A1313"/>
    <w:rsid w:val="7E5F2A98"/>
    <w:rsid w:val="7E6422AE"/>
    <w:rsid w:val="7E706A12"/>
    <w:rsid w:val="7E8161FD"/>
    <w:rsid w:val="7E955F38"/>
    <w:rsid w:val="7EB444B6"/>
    <w:rsid w:val="7EC87A85"/>
    <w:rsid w:val="7ECB3E04"/>
    <w:rsid w:val="7ED16786"/>
    <w:rsid w:val="7EF17A1B"/>
    <w:rsid w:val="7EF45130"/>
    <w:rsid w:val="7F1C70D5"/>
    <w:rsid w:val="7F340717"/>
    <w:rsid w:val="7F4D216F"/>
    <w:rsid w:val="7F4F1CA8"/>
    <w:rsid w:val="7F865FB7"/>
    <w:rsid w:val="7F873E53"/>
    <w:rsid w:val="7F8A1CB4"/>
    <w:rsid w:val="7F8A4EF6"/>
    <w:rsid w:val="7F8D3F7F"/>
    <w:rsid w:val="7F9D49AE"/>
    <w:rsid w:val="7FA04FB5"/>
    <w:rsid w:val="7FA72FCA"/>
    <w:rsid w:val="7FB42A25"/>
    <w:rsid w:val="7FB73567"/>
    <w:rsid w:val="7FBE63AE"/>
    <w:rsid w:val="7FC16F99"/>
    <w:rsid w:val="7FC65BA0"/>
    <w:rsid w:val="7FCA5F5D"/>
    <w:rsid w:val="7FCE26FC"/>
    <w:rsid w:val="7FD02699"/>
    <w:rsid w:val="7FD1084A"/>
    <w:rsid w:val="7FD762D3"/>
    <w:rsid w:val="7FDD0EBC"/>
    <w:rsid w:val="7FF0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color w:val="000000"/>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link w:val="93"/>
    <w:qFormat/>
    <w:uiPriority w:val="0"/>
    <w:pPr>
      <w:keepNext/>
      <w:keepLines/>
      <w:spacing w:before="260" w:after="260" w:line="413" w:lineRule="auto"/>
      <w:ind w:firstLine="137"/>
      <w:outlineLvl w:val="2"/>
    </w:pPr>
    <w:rPr>
      <w:rFonts w:ascii="黑体" w:hAnsi="黑体" w:eastAsia="黑体" w:cs="宋体"/>
      <w:sz w:val="28"/>
      <w:szCs w:val="28"/>
    </w:rPr>
  </w:style>
  <w:style w:type="paragraph" w:styleId="6">
    <w:name w:val="heading 4"/>
    <w:basedOn w:val="1"/>
    <w:next w:val="1"/>
    <w:qFormat/>
    <w:uiPriority w:val="0"/>
    <w:pPr>
      <w:keepNext/>
      <w:keepLines/>
      <w:spacing w:before="280" w:after="290" w:line="372" w:lineRule="auto"/>
      <w:outlineLvl w:val="3"/>
    </w:pPr>
    <w:rPr>
      <w:rFonts w:ascii="Arial" w:hAnsi="Arial" w:eastAsia="黑体" w:cs="Arial"/>
      <w:b/>
      <w:sz w:val="28"/>
      <w:szCs w:val="28"/>
    </w:rPr>
  </w:style>
  <w:style w:type="character" w:default="1" w:styleId="35">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7"/>
    <w:qFormat/>
    <w:uiPriority w:val="99"/>
    <w:rPr>
      <w:rFonts w:ascii="宋体" w:hAnsi="宋体" w:cs="Courier New"/>
      <w:sz w:val="20"/>
      <w:szCs w:val="20"/>
      <w:lang w:val="zh-CN"/>
    </w:rPr>
  </w:style>
  <w:style w:type="paragraph" w:styleId="7">
    <w:name w:val="toc 7"/>
    <w:basedOn w:val="1"/>
    <w:next w:val="1"/>
    <w:unhideWhenUsed/>
    <w:qFormat/>
    <w:uiPriority w:val="39"/>
    <w:pPr>
      <w:ind w:left="2520" w:leftChars="1200"/>
    </w:pPr>
    <w:rPr>
      <w:rFonts w:cs="Times New Roman"/>
      <w:color w:val="auto"/>
      <w:kern w:val="2"/>
    </w:rPr>
  </w:style>
  <w:style w:type="paragraph" w:styleId="8">
    <w:name w:val="index 8"/>
    <w:basedOn w:val="1"/>
    <w:next w:val="1"/>
    <w:unhideWhenUsed/>
    <w:qFormat/>
    <w:uiPriority w:val="99"/>
    <w:pPr>
      <w:ind w:left="1400" w:leftChars="1400"/>
    </w:pPr>
  </w:style>
  <w:style w:type="paragraph" w:styleId="9">
    <w:name w:val="Normal Indent"/>
    <w:basedOn w:val="1"/>
    <w:qFormat/>
    <w:uiPriority w:val="0"/>
    <w:pPr>
      <w:ind w:firstLine="420" w:firstLineChars="200"/>
    </w:pPr>
    <w:rPr>
      <w:rFonts w:ascii="Times New Roman" w:hAnsi="Times New Roman" w:cs="Times New Roman"/>
      <w:szCs w:val="24"/>
    </w:rPr>
  </w:style>
  <w:style w:type="paragraph" w:styleId="10">
    <w:name w:val="Document Map"/>
    <w:basedOn w:val="1"/>
    <w:qFormat/>
    <w:uiPriority w:val="0"/>
    <w:pPr>
      <w:shd w:val="clear" w:color="000000" w:fill="00007F"/>
    </w:pPr>
    <w:rPr>
      <w:kern w:val="1"/>
      <w:szCs w:val="24"/>
      <w:lang w:val="zh-CN"/>
    </w:rPr>
  </w:style>
  <w:style w:type="paragraph" w:styleId="11">
    <w:name w:val="annotation text"/>
    <w:basedOn w:val="1"/>
    <w:next w:val="1"/>
    <w:link w:val="42"/>
    <w:qFormat/>
    <w:uiPriority w:val="99"/>
    <w:pPr>
      <w:jc w:val="left"/>
    </w:pPr>
    <w:rPr>
      <w:sz w:val="20"/>
      <w:szCs w:val="24"/>
      <w:lang w:val="zh-CN"/>
    </w:rPr>
  </w:style>
  <w:style w:type="paragraph" w:styleId="12">
    <w:name w:val="Body Text 3"/>
    <w:basedOn w:val="1"/>
    <w:qFormat/>
    <w:uiPriority w:val="0"/>
    <w:rPr>
      <w:rFonts w:ascii="宋体" w:hAnsi="宋体" w:cs="宋体"/>
      <w:sz w:val="24"/>
      <w:szCs w:val="20"/>
    </w:rPr>
  </w:style>
  <w:style w:type="paragraph" w:styleId="13">
    <w:name w:val="Body Text"/>
    <w:basedOn w:val="1"/>
    <w:qFormat/>
    <w:uiPriority w:val="0"/>
    <w:pPr>
      <w:spacing w:after="120"/>
    </w:pPr>
    <w:rPr>
      <w:kern w:val="1"/>
    </w:rPr>
  </w:style>
  <w:style w:type="paragraph" w:styleId="14">
    <w:name w:val="Body Text Indent"/>
    <w:basedOn w:val="1"/>
    <w:semiHidden/>
    <w:unhideWhenUsed/>
    <w:qFormat/>
    <w:uiPriority w:val="99"/>
    <w:pPr>
      <w:spacing w:after="120"/>
      <w:ind w:left="420" w:leftChars="200"/>
    </w:pPr>
  </w:style>
  <w:style w:type="paragraph" w:styleId="15">
    <w:name w:val="Block Text"/>
    <w:basedOn w:val="1"/>
    <w:qFormat/>
    <w:uiPriority w:val="0"/>
    <w:pPr>
      <w:spacing w:before="120" w:after="120" w:line="360" w:lineRule="auto"/>
      <w:ind w:left="57" w:right="57" w:firstLine="468"/>
    </w:pPr>
    <w:rPr>
      <w:rFonts w:ascii="Arial" w:hAnsi="Arial" w:cs="Arial"/>
      <w:kern w:val="1"/>
      <w:sz w:val="24"/>
      <w:szCs w:val="20"/>
    </w:rPr>
  </w:style>
  <w:style w:type="paragraph" w:styleId="16">
    <w:name w:val="toc 5"/>
    <w:basedOn w:val="1"/>
    <w:next w:val="1"/>
    <w:unhideWhenUsed/>
    <w:qFormat/>
    <w:uiPriority w:val="39"/>
    <w:pPr>
      <w:ind w:left="1680" w:leftChars="800"/>
    </w:pPr>
    <w:rPr>
      <w:rFonts w:cs="Times New Roman"/>
      <w:color w:val="auto"/>
      <w:kern w:val="2"/>
    </w:rPr>
  </w:style>
  <w:style w:type="paragraph" w:styleId="17">
    <w:name w:val="toc 3"/>
    <w:basedOn w:val="1"/>
    <w:next w:val="1"/>
    <w:unhideWhenUsed/>
    <w:qFormat/>
    <w:uiPriority w:val="39"/>
    <w:pPr>
      <w:ind w:left="840" w:leftChars="400"/>
    </w:pPr>
  </w:style>
  <w:style w:type="paragraph" w:styleId="18">
    <w:name w:val="toc 8"/>
    <w:basedOn w:val="1"/>
    <w:next w:val="1"/>
    <w:unhideWhenUsed/>
    <w:qFormat/>
    <w:uiPriority w:val="39"/>
    <w:pPr>
      <w:ind w:left="2940" w:leftChars="1400"/>
    </w:pPr>
    <w:rPr>
      <w:rFonts w:cs="Times New Roman"/>
      <w:color w:val="auto"/>
      <w:kern w:val="2"/>
    </w:rPr>
  </w:style>
  <w:style w:type="paragraph" w:styleId="19">
    <w:name w:val="Date"/>
    <w:basedOn w:val="1"/>
    <w:next w:val="1"/>
    <w:link w:val="86"/>
    <w:semiHidden/>
    <w:unhideWhenUsed/>
    <w:qFormat/>
    <w:uiPriority w:val="99"/>
    <w:pPr>
      <w:ind w:left="100" w:leftChars="2500"/>
    </w:pPr>
  </w:style>
  <w:style w:type="paragraph" w:styleId="20">
    <w:name w:val="Body Text Indent 2"/>
    <w:basedOn w:val="1"/>
    <w:qFormat/>
    <w:uiPriority w:val="0"/>
    <w:pPr>
      <w:spacing w:after="120" w:line="480" w:lineRule="auto"/>
      <w:ind w:left="420"/>
    </w:pPr>
    <w:rPr>
      <w:sz w:val="20"/>
      <w:szCs w:val="24"/>
    </w:rPr>
  </w:style>
  <w:style w:type="paragraph" w:styleId="21">
    <w:name w:val="Balloon Text"/>
    <w:basedOn w:val="1"/>
    <w:qFormat/>
    <w:uiPriority w:val="0"/>
    <w:rPr>
      <w:kern w:val="1"/>
      <w:sz w:val="18"/>
      <w:szCs w:val="18"/>
      <w:lang w:val="zh-CN"/>
    </w:rPr>
  </w:style>
  <w:style w:type="paragraph" w:styleId="22">
    <w:name w:val="footer"/>
    <w:basedOn w:val="1"/>
    <w:link w:val="44"/>
    <w:qFormat/>
    <w:uiPriority w:val="99"/>
    <w:pPr>
      <w:tabs>
        <w:tab w:val="center" w:pos="4153"/>
        <w:tab w:val="right" w:pos="8306"/>
      </w:tabs>
      <w:jc w:val="left"/>
    </w:pPr>
    <w:rPr>
      <w:rFonts w:cs="Times New Roman"/>
      <w:color w:val="auto"/>
      <w:sz w:val="18"/>
      <w:szCs w:val="24"/>
    </w:rPr>
  </w:style>
  <w:style w:type="paragraph" w:styleId="23">
    <w:name w:val="header"/>
    <w:basedOn w:val="1"/>
    <w:link w:val="111"/>
    <w:qFormat/>
    <w:uiPriority w:val="99"/>
    <w:pPr>
      <w:pBdr>
        <w:bottom w:val="single" w:color="000000" w:sz="6" w:space="1"/>
      </w:pBdr>
      <w:tabs>
        <w:tab w:val="center" w:pos="4153"/>
        <w:tab w:val="right" w:pos="8306"/>
      </w:tabs>
      <w:jc w:val="center"/>
    </w:pPr>
    <w:rPr>
      <w:sz w:val="18"/>
      <w:szCs w:val="18"/>
    </w:rPr>
  </w:style>
  <w:style w:type="paragraph" w:styleId="24">
    <w:name w:val="toc 1"/>
    <w:basedOn w:val="1"/>
    <w:next w:val="1"/>
    <w:qFormat/>
    <w:uiPriority w:val="39"/>
    <w:pPr>
      <w:spacing w:before="120" w:after="120"/>
      <w:jc w:val="left"/>
    </w:pPr>
    <w:rPr>
      <w:rFonts w:ascii="Times New Roman" w:hAnsi="Times New Roman" w:cs="Times New Roman"/>
      <w:b/>
      <w:caps/>
      <w:kern w:val="1"/>
      <w:sz w:val="20"/>
      <w:szCs w:val="20"/>
    </w:rPr>
  </w:style>
  <w:style w:type="paragraph" w:styleId="25">
    <w:name w:val="toc 4"/>
    <w:basedOn w:val="1"/>
    <w:next w:val="1"/>
    <w:unhideWhenUsed/>
    <w:qFormat/>
    <w:uiPriority w:val="39"/>
    <w:pPr>
      <w:ind w:left="1260" w:leftChars="600"/>
    </w:pPr>
    <w:rPr>
      <w:rFonts w:cs="Times New Roman"/>
      <w:color w:val="auto"/>
      <w:kern w:val="2"/>
    </w:rPr>
  </w:style>
  <w:style w:type="paragraph" w:styleId="26">
    <w:name w:val="toc 6"/>
    <w:basedOn w:val="1"/>
    <w:next w:val="1"/>
    <w:unhideWhenUsed/>
    <w:qFormat/>
    <w:uiPriority w:val="39"/>
    <w:pPr>
      <w:ind w:left="2100" w:leftChars="1000"/>
    </w:pPr>
    <w:rPr>
      <w:rFonts w:cs="Times New Roman"/>
      <w:color w:val="auto"/>
      <w:kern w:val="2"/>
    </w:rPr>
  </w:style>
  <w:style w:type="paragraph" w:styleId="27">
    <w:name w:val="toc 2"/>
    <w:basedOn w:val="1"/>
    <w:next w:val="1"/>
    <w:unhideWhenUsed/>
    <w:qFormat/>
    <w:uiPriority w:val="39"/>
    <w:pPr>
      <w:ind w:left="420" w:leftChars="200"/>
    </w:pPr>
  </w:style>
  <w:style w:type="paragraph" w:styleId="28">
    <w:name w:val="toc 9"/>
    <w:basedOn w:val="1"/>
    <w:next w:val="1"/>
    <w:unhideWhenUsed/>
    <w:qFormat/>
    <w:uiPriority w:val="39"/>
    <w:pPr>
      <w:ind w:left="3360" w:leftChars="1600"/>
    </w:pPr>
    <w:rPr>
      <w:rFonts w:cs="Times New Roman"/>
      <w:color w:val="auto"/>
      <w:kern w:val="2"/>
    </w:rPr>
  </w:style>
  <w:style w:type="paragraph" w:styleId="29">
    <w:name w:val="Body Text 2"/>
    <w:basedOn w:val="1"/>
    <w:qFormat/>
    <w:uiPriority w:val="0"/>
    <w:pPr>
      <w:spacing w:after="120" w:line="480" w:lineRule="auto"/>
    </w:pPr>
    <w:rPr>
      <w:sz w:val="20"/>
      <w:szCs w:val="24"/>
    </w:rPr>
  </w:style>
  <w:style w:type="paragraph" w:styleId="30">
    <w:name w:val="Normal (Web)"/>
    <w:basedOn w:val="1"/>
    <w:unhideWhenUsed/>
    <w:qFormat/>
    <w:uiPriority w:val="99"/>
    <w:rPr>
      <w:sz w:val="24"/>
    </w:rPr>
  </w:style>
  <w:style w:type="paragraph" w:styleId="31">
    <w:name w:val="annotation subject"/>
    <w:basedOn w:val="11"/>
    <w:next w:val="11"/>
    <w:qFormat/>
    <w:uiPriority w:val="0"/>
    <w:rPr>
      <w:b/>
      <w:kern w:val="1"/>
      <w:sz w:val="21"/>
      <w:szCs w:val="22"/>
    </w:rPr>
  </w:style>
  <w:style w:type="paragraph" w:styleId="32">
    <w:name w:val="Body Text First Indent"/>
    <w:basedOn w:val="13"/>
    <w:next w:val="33"/>
    <w:qFormat/>
    <w:uiPriority w:val="0"/>
    <w:pPr>
      <w:spacing w:line="312" w:lineRule="auto"/>
      <w:ind w:firstLine="420"/>
    </w:pPr>
  </w:style>
  <w:style w:type="paragraph" w:styleId="33">
    <w:name w:val="Body Text First Indent 2"/>
    <w:basedOn w:val="14"/>
    <w:semiHidden/>
    <w:unhideWhenUsed/>
    <w:qFormat/>
    <w:uiPriority w:val="99"/>
    <w:pPr>
      <w:ind w:firstLine="420" w:firstLineChars="200"/>
    </w:pPr>
  </w:style>
  <w:style w:type="character" w:styleId="36">
    <w:name w:val="Strong"/>
    <w:basedOn w:val="35"/>
    <w:qFormat/>
    <w:uiPriority w:val="22"/>
    <w:rPr>
      <w:b/>
    </w:rPr>
  </w:style>
  <w:style w:type="character" w:styleId="37">
    <w:name w:val="page number"/>
    <w:basedOn w:val="35"/>
    <w:qFormat/>
    <w:uiPriority w:val="0"/>
  </w:style>
  <w:style w:type="character" w:styleId="38">
    <w:name w:val="Hyperlink"/>
    <w:unhideWhenUsed/>
    <w:qFormat/>
    <w:uiPriority w:val="99"/>
    <w:rPr>
      <w:color w:val="0000FF"/>
      <w:u w:val="single"/>
    </w:rPr>
  </w:style>
  <w:style w:type="character" w:styleId="39">
    <w:name w:val="annotation reference"/>
    <w:basedOn w:val="35"/>
    <w:qFormat/>
    <w:uiPriority w:val="99"/>
    <w:rPr>
      <w:sz w:val="21"/>
      <w:szCs w:val="21"/>
    </w:rPr>
  </w:style>
  <w:style w:type="character" w:customStyle="1" w:styleId="40">
    <w:name w:val="批注框文本 Char"/>
    <w:qFormat/>
    <w:uiPriority w:val="0"/>
    <w:rPr>
      <w:kern w:val="1"/>
      <w:sz w:val="18"/>
      <w:szCs w:val="18"/>
    </w:rPr>
  </w:style>
  <w:style w:type="character" w:customStyle="1" w:styleId="41">
    <w:name w:val="纯文本 Char"/>
    <w:qFormat/>
    <w:uiPriority w:val="99"/>
    <w:rPr>
      <w:rFonts w:ascii="宋体" w:hAnsi="宋体"/>
    </w:rPr>
  </w:style>
  <w:style w:type="character" w:customStyle="1" w:styleId="42">
    <w:name w:val="批注文字 字符"/>
    <w:link w:val="11"/>
    <w:qFormat/>
    <w:uiPriority w:val="0"/>
    <w:rPr>
      <w:rFonts w:ascii="Calibri" w:hAnsi="Calibri" w:eastAsia="宋体" w:cs="Calibri"/>
      <w:color w:val="000000"/>
      <w:szCs w:val="24"/>
      <w:lang w:val="zh-CN" w:eastAsia="zh-CN" w:bidi="ar-SA"/>
    </w:rPr>
  </w:style>
  <w:style w:type="character" w:customStyle="1" w:styleId="43">
    <w:name w:val="批注文字 Char"/>
    <w:qFormat/>
    <w:uiPriority w:val="99"/>
    <w:rPr>
      <w:szCs w:val="24"/>
    </w:rPr>
  </w:style>
  <w:style w:type="character" w:customStyle="1" w:styleId="44">
    <w:name w:val="页脚 字符"/>
    <w:link w:val="22"/>
    <w:qFormat/>
    <w:uiPriority w:val="99"/>
    <w:rPr>
      <w:sz w:val="18"/>
      <w:szCs w:val="24"/>
    </w:rPr>
  </w:style>
  <w:style w:type="character" w:customStyle="1" w:styleId="45">
    <w:name w:val="文档结构图 Char"/>
    <w:qFormat/>
    <w:uiPriority w:val="0"/>
    <w:rPr>
      <w:kern w:val="1"/>
      <w:sz w:val="21"/>
      <w:szCs w:val="24"/>
      <w:shd w:val="clear" w:color="auto" w:fill="00007F"/>
    </w:rPr>
  </w:style>
  <w:style w:type="character" w:customStyle="1" w:styleId="46">
    <w:name w:val="font01"/>
    <w:qFormat/>
    <w:uiPriority w:val="0"/>
    <w:rPr>
      <w:rFonts w:ascii="Times New Roman" w:hAnsi="Times New Roman" w:cs="Times New Roman"/>
      <w:color w:val="000000"/>
      <w:sz w:val="20"/>
      <w:szCs w:val="20"/>
    </w:rPr>
  </w:style>
  <w:style w:type="character" w:customStyle="1" w:styleId="47">
    <w:name w:val="文档结构图 Char1"/>
    <w:qFormat/>
    <w:uiPriority w:val="0"/>
    <w:rPr>
      <w:rFonts w:ascii="宋体" w:hAnsi="宋体"/>
      <w:kern w:val="1"/>
      <w:sz w:val="18"/>
      <w:szCs w:val="18"/>
    </w:rPr>
  </w:style>
  <w:style w:type="character" w:customStyle="1" w:styleId="48">
    <w:name w:val="apple-converted-space"/>
    <w:qFormat/>
    <w:uiPriority w:val="0"/>
  </w:style>
  <w:style w:type="character" w:customStyle="1" w:styleId="49">
    <w:name w:val="首行缩进两字 Char1"/>
    <w:link w:val="50"/>
    <w:qFormat/>
    <w:locked/>
    <w:uiPriority w:val="0"/>
    <w:rPr>
      <w:rFonts w:ascii="宋体" w:hAnsi="宋体"/>
      <w:color w:val="000000"/>
      <w:sz w:val="28"/>
    </w:rPr>
  </w:style>
  <w:style w:type="paragraph" w:customStyle="1" w:styleId="50">
    <w:name w:val="首行缩进两字"/>
    <w:basedOn w:val="1"/>
    <w:link w:val="49"/>
    <w:qFormat/>
    <w:uiPriority w:val="0"/>
    <w:pPr>
      <w:ind w:firstLine="549" w:firstLineChars="200"/>
      <w:jc w:val="left"/>
    </w:pPr>
    <w:rPr>
      <w:rFonts w:ascii="宋体" w:hAnsi="宋体" w:cs="Times New Roman"/>
      <w:sz w:val="28"/>
      <w:szCs w:val="20"/>
    </w:rPr>
  </w:style>
  <w:style w:type="character" w:customStyle="1" w:styleId="51">
    <w:name w:val="标题 2 Char"/>
    <w:qFormat/>
    <w:uiPriority w:val="0"/>
    <w:rPr>
      <w:rFonts w:ascii="Arial" w:hAnsi="Arial" w:eastAsia="黑体"/>
      <w:b/>
      <w:kern w:val="0"/>
      <w:sz w:val="32"/>
      <w:szCs w:val="32"/>
    </w:rPr>
  </w:style>
  <w:style w:type="character" w:customStyle="1" w:styleId="52">
    <w:name w:val="页脚 Char1"/>
    <w:qFormat/>
    <w:uiPriority w:val="0"/>
    <w:rPr>
      <w:kern w:val="2"/>
      <w:sz w:val="18"/>
      <w:szCs w:val="18"/>
    </w:rPr>
  </w:style>
  <w:style w:type="character" w:customStyle="1" w:styleId="53">
    <w:name w:val="_Style 8"/>
    <w:qFormat/>
    <w:uiPriority w:val="0"/>
    <w:rPr>
      <w:smallCaps/>
      <w:color w:val="C0504D"/>
      <w:u w:val="single"/>
    </w:rPr>
  </w:style>
  <w:style w:type="character" w:customStyle="1" w:styleId="54">
    <w:name w:val="font21"/>
    <w:qFormat/>
    <w:uiPriority w:val="0"/>
    <w:rPr>
      <w:rFonts w:ascii="宋体" w:hAnsi="宋体" w:eastAsia="宋体" w:cs="宋体"/>
      <w:color w:val="000000"/>
      <w:sz w:val="24"/>
      <w:szCs w:val="24"/>
      <w:u w:val="none"/>
    </w:rPr>
  </w:style>
  <w:style w:type="character" w:customStyle="1" w:styleId="55">
    <w:name w:val="批注主题 Char"/>
    <w:qFormat/>
    <w:uiPriority w:val="0"/>
    <w:rPr>
      <w:b/>
      <w:kern w:val="1"/>
      <w:sz w:val="21"/>
      <w:szCs w:val="22"/>
    </w:rPr>
  </w:style>
  <w:style w:type="paragraph" w:customStyle="1" w:styleId="56">
    <w:name w:val="正文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w:qFormat/>
    <w:uiPriority w:val="0"/>
    <w:pPr>
      <w:widowControl w:val="0"/>
      <w:spacing w:line="360" w:lineRule="auto"/>
      <w:jc w:val="both"/>
    </w:pPr>
    <w:rPr>
      <w:rFonts w:ascii="Calibri" w:hAnsi="Calibri" w:eastAsia="宋体" w:cs="Times New Roman"/>
      <w:kern w:val="2"/>
      <w:sz w:val="28"/>
      <w:szCs w:val="24"/>
      <w:lang w:val="en-US" w:eastAsia="zh-CN" w:bidi="ar-SA"/>
    </w:rPr>
  </w:style>
  <w:style w:type="paragraph" w:customStyle="1" w:styleId="58">
    <w:name w:val="标题 1 New"/>
    <w:basedOn w:val="59"/>
    <w:next w:val="59"/>
    <w:qFormat/>
    <w:uiPriority w:val="0"/>
    <w:pPr>
      <w:keepNext/>
      <w:keepLines/>
      <w:spacing w:line="576" w:lineRule="auto"/>
      <w:outlineLvl w:val="0"/>
    </w:pPr>
    <w:rPr>
      <w:b/>
      <w:sz w:val="44"/>
      <w:szCs w:val="44"/>
    </w:rPr>
  </w:style>
  <w:style w:type="paragraph" w:customStyle="1" w:styleId="59">
    <w:name w:val="正文 New"/>
    <w:next w:val="60"/>
    <w:qFormat/>
    <w:uiPriority w:val="0"/>
    <w:pPr>
      <w:widowControl w:val="0"/>
      <w:jc w:val="both"/>
    </w:pPr>
    <w:rPr>
      <w:rFonts w:ascii="Calibri" w:hAnsi="Calibri" w:eastAsia="宋体" w:cs="Calibri"/>
      <w:color w:val="000000"/>
      <w:sz w:val="21"/>
      <w:szCs w:val="22"/>
      <w:lang w:val="en-US" w:eastAsia="zh-CN" w:bidi="ar-SA"/>
    </w:rPr>
  </w:style>
  <w:style w:type="paragraph" w:customStyle="1" w:styleId="60">
    <w:name w:val="纯文本1"/>
    <w:basedOn w:val="59"/>
    <w:qFormat/>
    <w:uiPriority w:val="0"/>
    <w:rPr>
      <w:rFonts w:ascii="宋体" w:hAnsi="宋体" w:cs="Courier New"/>
      <w:sz w:val="20"/>
      <w:szCs w:val="20"/>
      <w:lang w:val="zh-CN"/>
    </w:rPr>
  </w:style>
  <w:style w:type="paragraph" w:styleId="61">
    <w:name w:val="List Paragraph"/>
    <w:basedOn w:val="1"/>
    <w:qFormat/>
    <w:uiPriority w:val="0"/>
    <w:pPr>
      <w:ind w:firstLine="420" w:firstLineChars="200"/>
    </w:pPr>
  </w:style>
  <w:style w:type="paragraph" w:customStyle="1" w:styleId="62">
    <w:name w:val="修订1"/>
    <w:qFormat/>
    <w:uiPriority w:val="0"/>
    <w:rPr>
      <w:rFonts w:ascii="Calibri" w:hAnsi="Calibri" w:eastAsia="宋体" w:cs="Calibri"/>
      <w:color w:val="000000"/>
      <w:kern w:val="1"/>
      <w:sz w:val="21"/>
      <w:szCs w:val="22"/>
      <w:lang w:val="en-US" w:eastAsia="zh-CN" w:bidi="ar-SA"/>
    </w:rPr>
  </w:style>
  <w:style w:type="paragraph" w:customStyle="1" w:styleId="63">
    <w:name w:val="List Paragraph*"/>
    <w:basedOn w:val="1"/>
    <w:qFormat/>
    <w:uiPriority w:val="0"/>
    <w:pPr>
      <w:spacing w:line="360" w:lineRule="auto"/>
      <w:ind w:firstLine="420"/>
    </w:pPr>
    <w:rPr>
      <w:rFonts w:ascii="仿宋_GB2312" w:hAnsi="仿宋_GB2312" w:eastAsia="仿宋_GB2312" w:cs="仿宋_GB2312"/>
      <w:kern w:val="1"/>
      <w:sz w:val="28"/>
    </w:rPr>
  </w:style>
  <w:style w:type="paragraph" w:customStyle="1" w:styleId="64">
    <w:name w:val="[基本段落]"/>
    <w:basedOn w:val="1"/>
    <w:qFormat/>
    <w:uiPriority w:val="0"/>
    <w:pPr>
      <w:autoSpaceDE w:val="0"/>
      <w:autoSpaceDN w:val="0"/>
      <w:spacing w:line="288" w:lineRule="auto"/>
      <w:ind w:firstLine="200" w:firstLineChars="200"/>
    </w:pPr>
    <w:rPr>
      <w:rFonts w:hint="eastAsia" w:ascii="Adobe 宋体 Std L" w:hAnsi="Adobe 宋体 Std L" w:eastAsia="Adobe 宋体 Std L" w:cs="Times New Roman"/>
      <w:sz w:val="24"/>
    </w:rPr>
  </w:style>
  <w:style w:type="paragraph" w:customStyle="1" w:styleId="65">
    <w:name w:val="_Style 3"/>
    <w:qFormat/>
    <w:uiPriority w:val="0"/>
    <w:pPr>
      <w:widowControl w:val="0"/>
      <w:jc w:val="both"/>
    </w:pPr>
    <w:rPr>
      <w:rFonts w:ascii="Calibri" w:hAnsi="Calibri" w:eastAsia="宋体" w:cs="Calibri"/>
      <w:kern w:val="2"/>
      <w:sz w:val="21"/>
      <w:szCs w:val="22"/>
      <w:lang w:val="en-US" w:eastAsia="zh-CN" w:bidi="ar-SA"/>
    </w:rPr>
  </w:style>
  <w:style w:type="paragraph" w:customStyle="1" w:styleId="66">
    <w:name w:val="报告正文A"/>
    <w:basedOn w:val="1"/>
    <w:qFormat/>
    <w:uiPriority w:val="0"/>
    <w:pPr>
      <w:adjustRightInd w:val="0"/>
      <w:snapToGrid w:val="0"/>
      <w:ind w:firstLine="200" w:firstLineChars="200"/>
    </w:pPr>
    <w:rPr>
      <w:rFonts w:ascii="Times New Roman" w:hAnsi="Times New Roman" w:eastAsia="仿宋_GB2312" w:cs="Times New Roman"/>
      <w:color w:val="auto"/>
      <w:kern w:val="2"/>
      <w:sz w:val="24"/>
      <w:szCs w:val="24"/>
    </w:rPr>
  </w:style>
  <w:style w:type="paragraph" w:customStyle="1" w:styleId="67">
    <w:name w:val="文一"/>
    <w:basedOn w:val="1"/>
    <w:qFormat/>
    <w:uiPriority w:val="0"/>
    <w:pPr>
      <w:spacing w:line="360" w:lineRule="auto"/>
      <w:ind w:firstLine="200"/>
    </w:pPr>
    <w:rPr>
      <w:spacing w:val="4"/>
      <w:sz w:val="24"/>
      <w:szCs w:val="24"/>
    </w:rPr>
  </w:style>
  <w:style w:type="paragraph" w:customStyle="1" w:styleId="68">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69">
    <w:name w:val="列出段落1"/>
    <w:basedOn w:val="1"/>
    <w:qFormat/>
    <w:uiPriority w:val="0"/>
    <w:pPr>
      <w:ind w:firstLine="420"/>
    </w:pPr>
    <w:rPr>
      <w:kern w:val="1"/>
      <w:szCs w:val="24"/>
    </w:rPr>
  </w:style>
  <w:style w:type="paragraph" w:customStyle="1" w:styleId="70">
    <w:name w:val="表头"/>
    <w:basedOn w:val="1"/>
    <w:qFormat/>
    <w:uiPriority w:val="0"/>
    <w:pPr>
      <w:spacing w:line="360" w:lineRule="auto"/>
      <w:jc w:val="center"/>
    </w:pPr>
    <w:rPr>
      <w:rFonts w:ascii="黑体" w:hAnsi="黑体" w:eastAsia="黑体" w:cs="Times New Roman"/>
      <w:sz w:val="24"/>
      <w:szCs w:val="20"/>
    </w:rPr>
  </w:style>
  <w:style w:type="paragraph" w:customStyle="1" w:styleId="71">
    <w:name w:val="普通(网站)1"/>
    <w:basedOn w:val="1"/>
    <w:qFormat/>
    <w:uiPriority w:val="0"/>
    <w:pPr>
      <w:spacing w:before="100" w:beforeAutospacing="1" w:after="100" w:afterAutospacing="1"/>
    </w:pPr>
    <w:rPr>
      <w:rFonts w:ascii="宋体" w:hAnsi="宋体" w:cs="宋体"/>
      <w:sz w:val="24"/>
      <w:szCs w:val="24"/>
    </w:rPr>
  </w:style>
  <w:style w:type="paragraph" w:customStyle="1" w:styleId="72">
    <w:name w:val="章节二"/>
    <w:basedOn w:val="1"/>
    <w:next w:val="1"/>
    <w:qFormat/>
    <w:uiPriority w:val="0"/>
    <w:pPr>
      <w:spacing w:before="156" w:after="156"/>
      <w:jc w:val="center"/>
      <w:outlineLvl w:val="1"/>
    </w:pPr>
    <w:rPr>
      <w:rFonts w:ascii="Times New Roman" w:hAnsi="Times New Roman" w:eastAsia="黑体" w:cs="Times New Roman"/>
      <w:b/>
      <w:spacing w:val="4"/>
      <w:sz w:val="30"/>
      <w:szCs w:val="30"/>
    </w:rPr>
  </w:style>
  <w:style w:type="paragraph" w:customStyle="1" w:styleId="73">
    <w:name w:val="修订2"/>
    <w:unhideWhenUsed/>
    <w:qFormat/>
    <w:uiPriority w:val="99"/>
    <w:rPr>
      <w:rFonts w:ascii="Calibri" w:hAnsi="Calibri" w:eastAsia="宋体" w:cs="Calibri"/>
      <w:color w:val="000000"/>
      <w:sz w:val="21"/>
      <w:szCs w:val="22"/>
      <w:lang w:val="en-US" w:eastAsia="zh-CN" w:bidi="ar-SA"/>
    </w:rPr>
  </w:style>
  <w:style w:type="paragraph" w:customStyle="1" w:styleId="74">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75">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 w:type="paragraph" w:customStyle="1" w:styleId="76">
    <w:name w:val="纯文本11"/>
    <w:basedOn w:val="59"/>
    <w:qFormat/>
    <w:uiPriority w:val="0"/>
    <w:rPr>
      <w:rFonts w:ascii="宋体" w:hAnsi="宋体" w:cs="Courier New"/>
      <w:sz w:val="20"/>
      <w:szCs w:val="20"/>
      <w:lang w:val="zh-CN"/>
    </w:rPr>
  </w:style>
  <w:style w:type="paragraph" w:customStyle="1" w:styleId="77">
    <w:name w:val="_Style 1"/>
    <w:basedOn w:val="1"/>
    <w:qFormat/>
    <w:uiPriority w:val="0"/>
    <w:rPr>
      <w:kern w:val="1"/>
      <w:sz w:val="20"/>
      <w:szCs w:val="20"/>
    </w:rPr>
  </w:style>
  <w:style w:type="paragraph" w:customStyle="1" w:styleId="78">
    <w:name w:val="样式1"/>
    <w:basedOn w:val="1"/>
    <w:next w:val="6"/>
    <w:qFormat/>
    <w:uiPriority w:val="0"/>
    <w:pPr>
      <w:spacing w:line="360" w:lineRule="auto"/>
      <w:ind w:firstLine="420"/>
    </w:pPr>
    <w:rPr>
      <w:rFonts w:ascii="宋体" w:hAnsi="宋体" w:cs="宋体"/>
      <w:kern w:val="1"/>
      <w:szCs w:val="21"/>
    </w:rPr>
  </w:style>
  <w:style w:type="paragraph" w:customStyle="1" w:styleId="79">
    <w:name w:val="标题 2 New"/>
    <w:basedOn w:val="59"/>
    <w:next w:val="59"/>
    <w:qFormat/>
    <w:uiPriority w:val="0"/>
    <w:pPr>
      <w:keepNext/>
      <w:keepLines/>
      <w:spacing w:line="413" w:lineRule="auto"/>
      <w:outlineLvl w:val="1"/>
    </w:pPr>
    <w:rPr>
      <w:rFonts w:ascii="Arial" w:hAnsi="Arial" w:eastAsia="黑体" w:cs="Arial"/>
      <w:b/>
      <w:sz w:val="32"/>
      <w:szCs w:val="32"/>
    </w:rPr>
  </w:style>
  <w:style w:type="paragraph" w:customStyle="1" w:styleId="80">
    <w:name w:val="文二"/>
    <w:basedOn w:val="1"/>
    <w:qFormat/>
    <w:uiPriority w:val="0"/>
    <w:pPr>
      <w:jc w:val="left"/>
    </w:pPr>
    <w:rPr>
      <w:rFonts w:ascii="宋体" w:hAnsi="宋体" w:cs="宋体"/>
      <w:kern w:val="1"/>
      <w:szCs w:val="21"/>
    </w:rPr>
  </w:style>
  <w:style w:type="paragraph" w:customStyle="1" w:styleId="81">
    <w:name w:val="发文落款"/>
    <w:basedOn w:val="68"/>
    <w:qFormat/>
    <w:uiPriority w:val="0"/>
    <w:pPr>
      <w:ind w:left="4094" w:right="607" w:firstLine="0"/>
      <w:jc w:val="center"/>
    </w:pPr>
  </w:style>
  <w:style w:type="paragraph" w:customStyle="1" w:styleId="82">
    <w:name w:val="正文 New New"/>
    <w:basedOn w:val="1"/>
    <w:qFormat/>
    <w:uiPriority w:val="0"/>
    <w:rPr>
      <w:rFonts w:ascii="Times New Roman" w:hAnsi="Times New Roman" w:cs="Times New Roman"/>
      <w:kern w:val="2"/>
      <w:szCs w:val="24"/>
    </w:rPr>
  </w:style>
  <w:style w:type="paragraph" w:customStyle="1" w:styleId="83">
    <w:name w:val="正题"/>
    <w:basedOn w:val="67"/>
    <w:next w:val="67"/>
    <w:qFormat/>
    <w:uiPriority w:val="0"/>
    <w:pPr>
      <w:ind w:firstLine="0"/>
      <w:jc w:val="center"/>
    </w:pPr>
    <w:rPr>
      <w:rFonts w:eastAsia="黑体"/>
      <w:b/>
      <w:sz w:val="36"/>
      <w:szCs w:val="36"/>
    </w:rPr>
  </w:style>
  <w:style w:type="paragraph" w:customStyle="1" w:styleId="84">
    <w:name w:val="正文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TOC 标题1"/>
    <w:basedOn w:val="3"/>
    <w:next w:val="1"/>
    <w:unhideWhenUsed/>
    <w:qFormat/>
    <w:uiPriority w:val="39"/>
    <w:pPr>
      <w:widowControl/>
      <w:spacing w:before="480" w:after="0" w:line="276" w:lineRule="auto"/>
      <w:jc w:val="left"/>
      <w:outlineLvl w:val="9"/>
    </w:pPr>
    <w:rPr>
      <w:rFonts w:ascii="Cambria" w:hAnsi="Cambria" w:cs="Times New Roman"/>
      <w:bCs/>
      <w:color w:val="366091"/>
      <w:sz w:val="28"/>
      <w:szCs w:val="28"/>
    </w:rPr>
  </w:style>
  <w:style w:type="character" w:customStyle="1" w:styleId="86">
    <w:name w:val="日期 字符"/>
    <w:link w:val="19"/>
    <w:semiHidden/>
    <w:qFormat/>
    <w:uiPriority w:val="99"/>
    <w:rPr>
      <w:rFonts w:ascii="Calibri" w:hAnsi="Calibri" w:cs="Calibri"/>
      <w:color w:val="000000"/>
      <w:sz w:val="21"/>
      <w:szCs w:val="22"/>
    </w:rPr>
  </w:style>
  <w:style w:type="character" w:customStyle="1" w:styleId="87">
    <w:name w:val="纯文本 字符"/>
    <w:link w:val="2"/>
    <w:qFormat/>
    <w:uiPriority w:val="0"/>
    <w:rPr>
      <w:rFonts w:ascii="宋体" w:hAnsi="宋体" w:cs="Courier New"/>
      <w:color w:val="000000"/>
      <w:lang w:val="zh-CN"/>
    </w:rPr>
  </w:style>
  <w:style w:type="character" w:customStyle="1" w:styleId="88">
    <w:name w:val="正文 New New New Char Char"/>
    <w:link w:val="89"/>
    <w:qFormat/>
    <w:uiPriority w:val="0"/>
  </w:style>
  <w:style w:type="paragraph" w:customStyle="1" w:styleId="89">
    <w:name w:val="正文 New New New"/>
    <w:link w:val="88"/>
    <w:qFormat/>
    <w:uiPriority w:val="0"/>
    <w:pPr>
      <w:widowControl w:val="0"/>
      <w:jc w:val="both"/>
    </w:pPr>
    <w:rPr>
      <w:rFonts w:ascii="Times New Roman" w:hAnsi="Times New Roman" w:eastAsia="宋体" w:cs="Times New Roman"/>
      <w:lang w:val="en-US" w:eastAsia="zh-CN" w:bidi="ar-SA"/>
    </w:rPr>
  </w:style>
  <w:style w:type="character" w:customStyle="1" w:styleId="90">
    <w:name w:val="font11"/>
    <w:basedOn w:val="35"/>
    <w:qFormat/>
    <w:uiPriority w:val="0"/>
    <w:rPr>
      <w:rFonts w:hint="eastAsia" w:ascii="仿宋" w:hAnsi="仿宋" w:eastAsia="仿宋" w:cs="仿宋"/>
      <w:color w:val="000000"/>
      <w:sz w:val="28"/>
      <w:szCs w:val="28"/>
      <w:u w:val="none"/>
    </w:rPr>
  </w:style>
  <w:style w:type="paragraph" w:customStyle="1" w:styleId="91">
    <w:name w:val="p0"/>
    <w:basedOn w:val="1"/>
    <w:qFormat/>
    <w:uiPriority w:val="99"/>
    <w:pPr>
      <w:widowControl/>
    </w:pPr>
    <w:rPr>
      <w:rFonts w:ascii="Times New Roman" w:hAnsi="Times New Roman" w:cs="Times New Roman"/>
      <w:color w:val="auto"/>
      <w:szCs w:val="21"/>
    </w:rPr>
  </w:style>
  <w:style w:type="paragraph" w:customStyle="1" w:styleId="92">
    <w:name w:val="TOC 标题2"/>
    <w:basedOn w:val="3"/>
    <w:next w:val="1"/>
    <w:semiHidden/>
    <w:unhideWhenUsed/>
    <w:qFormat/>
    <w:uiPriority w:val="39"/>
    <w:pPr>
      <w:spacing w:line="578" w:lineRule="auto"/>
      <w:outlineLvl w:val="9"/>
    </w:pPr>
    <w:rPr>
      <w:bCs/>
      <w:kern w:val="44"/>
    </w:rPr>
  </w:style>
  <w:style w:type="character" w:customStyle="1" w:styleId="93">
    <w:name w:val="标题 3 字符"/>
    <w:basedOn w:val="35"/>
    <w:link w:val="5"/>
    <w:qFormat/>
    <w:uiPriority w:val="0"/>
    <w:rPr>
      <w:rFonts w:ascii="黑体" w:hAnsi="黑体" w:eastAsia="黑体" w:cs="宋体"/>
      <w:color w:val="000000"/>
      <w:sz w:val="28"/>
      <w:szCs w:val="28"/>
    </w:rPr>
  </w:style>
  <w:style w:type="paragraph" w:customStyle="1" w:styleId="94">
    <w:name w:val="修订3"/>
    <w:hidden/>
    <w:semiHidden/>
    <w:qFormat/>
    <w:uiPriority w:val="99"/>
    <w:rPr>
      <w:rFonts w:ascii="Calibri" w:hAnsi="Calibri" w:eastAsia="宋体" w:cs="Calibri"/>
      <w:color w:val="000000"/>
      <w:sz w:val="21"/>
      <w:szCs w:val="22"/>
      <w:lang w:val="en-US" w:eastAsia="zh-CN" w:bidi="ar-SA"/>
    </w:rPr>
  </w:style>
  <w:style w:type="character" w:customStyle="1" w:styleId="95">
    <w:name w:val="font31"/>
    <w:basedOn w:val="35"/>
    <w:qFormat/>
    <w:uiPriority w:val="0"/>
    <w:rPr>
      <w:rFonts w:hint="eastAsia" w:ascii="宋体" w:hAnsi="宋体" w:eastAsia="宋体"/>
      <w:color w:val="000000"/>
      <w:sz w:val="21"/>
      <w:szCs w:val="21"/>
      <w:u w:val="none"/>
    </w:rPr>
  </w:style>
  <w:style w:type="character" w:customStyle="1" w:styleId="96">
    <w:name w:val="font51"/>
    <w:basedOn w:val="35"/>
    <w:qFormat/>
    <w:uiPriority w:val="0"/>
    <w:rPr>
      <w:rFonts w:hint="default" w:ascii="Calibri" w:hAnsi="Calibri" w:cs="Calibri"/>
      <w:strike/>
      <w:color w:val="000000"/>
      <w:sz w:val="21"/>
      <w:szCs w:val="21"/>
    </w:rPr>
  </w:style>
  <w:style w:type="character" w:customStyle="1" w:styleId="97">
    <w:name w:val="font41"/>
    <w:basedOn w:val="35"/>
    <w:qFormat/>
    <w:uiPriority w:val="0"/>
    <w:rPr>
      <w:rFonts w:hint="eastAsia" w:ascii="宋体" w:hAnsi="宋体" w:eastAsia="宋体"/>
      <w:strike/>
      <w:color w:val="000000"/>
      <w:sz w:val="21"/>
      <w:szCs w:val="21"/>
    </w:rPr>
  </w:style>
  <w:style w:type="paragraph" w:customStyle="1" w:styleId="98">
    <w:name w:val="Table Paragraph"/>
    <w:basedOn w:val="1"/>
    <w:qFormat/>
    <w:uiPriority w:val="0"/>
    <w:pPr>
      <w:autoSpaceDE w:val="0"/>
      <w:autoSpaceDN w:val="0"/>
      <w:adjustRightInd w:val="0"/>
      <w:jc w:val="left"/>
    </w:pPr>
    <w:rPr>
      <w:rFonts w:ascii="Times New Roman" w:hAnsi="Times New Roman" w:cs="Times New Roman"/>
      <w:color w:val="auto"/>
      <w:sz w:val="24"/>
      <w:szCs w:val="24"/>
    </w:rPr>
  </w:style>
  <w:style w:type="character" w:customStyle="1" w:styleId="99">
    <w:name w:val="font71"/>
    <w:basedOn w:val="35"/>
    <w:qFormat/>
    <w:uiPriority w:val="0"/>
    <w:rPr>
      <w:rFonts w:hint="eastAsia" w:ascii="宋体" w:hAnsi="宋体" w:eastAsia="宋体"/>
      <w:b/>
      <w:bCs/>
      <w:color w:val="000000"/>
      <w:sz w:val="22"/>
      <w:szCs w:val="22"/>
      <w:u w:val="none"/>
    </w:rPr>
  </w:style>
  <w:style w:type="character" w:customStyle="1" w:styleId="100">
    <w:name w:val="font81"/>
    <w:basedOn w:val="35"/>
    <w:qFormat/>
    <w:uiPriority w:val="0"/>
    <w:rPr>
      <w:rFonts w:hint="eastAsia" w:ascii="宋体" w:hAnsi="宋体" w:eastAsia="宋体"/>
      <w:color w:val="000000"/>
      <w:sz w:val="22"/>
      <w:szCs w:val="22"/>
      <w:u w:val="none"/>
    </w:rPr>
  </w:style>
  <w:style w:type="paragraph" w:customStyle="1" w:styleId="101">
    <w:name w:val="修订4"/>
    <w:hidden/>
    <w:semiHidden/>
    <w:qFormat/>
    <w:uiPriority w:val="99"/>
    <w:rPr>
      <w:rFonts w:ascii="Calibri" w:hAnsi="Calibri" w:eastAsia="宋体" w:cs="Calibri"/>
      <w:color w:val="000000"/>
      <w:sz w:val="21"/>
      <w:szCs w:val="22"/>
      <w:lang w:val="en-US" w:eastAsia="zh-CN" w:bidi="ar-SA"/>
    </w:rPr>
  </w:style>
  <w:style w:type="character" w:customStyle="1" w:styleId="102">
    <w:name w:val="批注文字 字符1"/>
    <w:qFormat/>
    <w:uiPriority w:val="0"/>
    <w:rPr>
      <w:rFonts w:ascii="Calibri" w:hAnsi="Calibri" w:eastAsia="宋体" w:cs="Calibri"/>
      <w:color w:val="000000"/>
      <w:szCs w:val="24"/>
      <w:lang w:val="zh-CN" w:eastAsia="zh-CN" w:bidi="ar-SA"/>
    </w:rPr>
  </w:style>
  <w:style w:type="paragraph" w:customStyle="1" w:styleId="103">
    <w:name w:val="修订5"/>
    <w:hidden/>
    <w:semiHidden/>
    <w:qFormat/>
    <w:uiPriority w:val="99"/>
    <w:rPr>
      <w:rFonts w:ascii="Calibri" w:hAnsi="Calibri" w:eastAsia="宋体" w:cs="Calibri"/>
      <w:color w:val="000000"/>
      <w:sz w:val="21"/>
      <w:szCs w:val="22"/>
      <w:lang w:val="en-US" w:eastAsia="zh-CN" w:bidi="ar-SA"/>
    </w:rPr>
  </w:style>
  <w:style w:type="character" w:customStyle="1" w:styleId="104">
    <w:name w:val="font61"/>
    <w:basedOn w:val="35"/>
    <w:qFormat/>
    <w:uiPriority w:val="0"/>
    <w:rPr>
      <w:rFonts w:hint="eastAsia" w:ascii="宋体" w:hAnsi="宋体" w:eastAsia="宋体" w:cs="宋体"/>
      <w:color w:val="000000"/>
      <w:sz w:val="22"/>
      <w:szCs w:val="22"/>
      <w:u w:val="none"/>
    </w:rPr>
  </w:style>
  <w:style w:type="character" w:customStyle="1" w:styleId="105">
    <w:name w:val="font91"/>
    <w:basedOn w:val="35"/>
    <w:qFormat/>
    <w:uiPriority w:val="0"/>
    <w:rPr>
      <w:rFonts w:hint="eastAsia" w:ascii="宋体" w:hAnsi="宋体" w:eastAsia="宋体" w:cs="宋体"/>
      <w:color w:val="000000"/>
      <w:sz w:val="22"/>
      <w:szCs w:val="22"/>
      <w:u w:val="none"/>
    </w:rPr>
  </w:style>
  <w:style w:type="paragraph" w:customStyle="1" w:styleId="106">
    <w:name w:val="修订6"/>
    <w:hidden/>
    <w:semiHidden/>
    <w:qFormat/>
    <w:uiPriority w:val="99"/>
    <w:rPr>
      <w:rFonts w:ascii="Calibri" w:hAnsi="Calibri" w:eastAsia="宋体" w:cs="Calibri"/>
      <w:color w:val="000000"/>
      <w:sz w:val="21"/>
      <w:szCs w:val="22"/>
      <w:lang w:val="en-US" w:eastAsia="zh-CN" w:bidi="ar-SA"/>
    </w:rPr>
  </w:style>
  <w:style w:type="paragraph" w:customStyle="1" w:styleId="107">
    <w:name w:val="Table Text"/>
    <w:basedOn w:val="1"/>
    <w:semiHidden/>
    <w:qFormat/>
    <w:uiPriority w:val="0"/>
    <w:rPr>
      <w:rFonts w:ascii="宋体" w:hAnsi="宋体" w:cs="宋体"/>
      <w:sz w:val="24"/>
      <w:szCs w:val="24"/>
      <w:lang w:eastAsia="en-US"/>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customStyle="1" w:styleId="109">
    <w:name w:val="Body text|3"/>
    <w:basedOn w:val="1"/>
    <w:qFormat/>
    <w:uiPriority w:val="0"/>
    <w:rPr>
      <w:rFonts w:ascii="宋体" w:hAnsi="宋体" w:cs="宋体"/>
      <w:sz w:val="20"/>
      <w:szCs w:val="20"/>
      <w:lang w:val="zh-TW" w:eastAsia="zh-TW" w:bidi="zh-TW"/>
    </w:rPr>
  </w:style>
  <w:style w:type="paragraph" w:customStyle="1" w:styleId="1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1">
    <w:name w:val="页眉 字符"/>
    <w:basedOn w:val="35"/>
    <w:link w:val="23"/>
    <w:qFormat/>
    <w:uiPriority w:val="99"/>
    <w:rPr>
      <w:rFonts w:ascii="Calibri" w:hAnsi="Calibri" w:cs="Calibr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E6DF22-03E7-4E97-9DE6-5E4AE616C723}">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83</Pages>
  <Words>22621</Words>
  <Characters>23822</Characters>
  <Lines>343</Lines>
  <Paragraphs>96</Paragraphs>
  <TotalTime>11</TotalTime>
  <ScaleCrop>false</ScaleCrop>
  <LinksUpToDate>false</LinksUpToDate>
  <CharactersWithSpaces>24395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2025-10-13T09:10:00Z</dcterms:created>
  <dc:creator>KO</dc:creator>
  <cp:lastModifiedBy>admin</cp:lastModifiedBy>
  <cp:lastPrinted>2025-06-09T08:40:00Z</cp:lastPrinted>
  <dcterms:modified xsi:type="dcterms:W3CDTF">2025-10-21T09:15:33Z</dcterms:modified>
  <dc:title>设计施工总承包（EPC）</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252FCCFF81844777868247C369DDC105_13</vt:lpwstr>
  </property>
  <property fmtid="{D5CDD505-2E9C-101B-9397-08002B2CF9AE}" pid="4" name="KSOTemplateDocerSaveRecord">
    <vt:lpwstr>eyJoZGlkIjoiZWZmOGM1OGUxYzFjMTMxNjQ2YTUxNjQ3YmZmZjA3MGEiLCJ1c2VySWQiOiIyOTM0NTIyNDYifQ==</vt:lpwstr>
  </property>
</Properties>
</file>