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A27D6">
      <w:pPr>
        <w:spacing w:line="360" w:lineRule="auto"/>
        <w:ind w:left="359" w:leftChars="171"/>
        <w:jc w:val="left"/>
        <w:rPr>
          <w:rFonts w:ascii="宋体" w:hAnsi="宋体" w:cs="宋体"/>
          <w:b/>
          <w:bCs/>
          <w:spacing w:val="40"/>
          <w:sz w:val="44"/>
          <w:szCs w:val="44"/>
        </w:rPr>
      </w:pPr>
    </w:p>
    <w:p w14:paraId="65D55210">
      <w:pPr>
        <w:pStyle w:val="41"/>
        <w:ind w:left="420" w:firstLine="420"/>
        <w:rPr>
          <w:rFonts w:ascii="宋体" w:hAnsi="宋体" w:cs="宋体"/>
          <w:color w:val="auto"/>
          <w:highlight w:val="yellow"/>
        </w:rPr>
      </w:pPr>
    </w:p>
    <w:p w14:paraId="305DBBDA">
      <w:pPr>
        <w:spacing w:line="360" w:lineRule="auto"/>
        <w:ind w:right="-168" w:rightChars="-80"/>
        <w:jc w:val="center"/>
        <w:rPr>
          <w:rFonts w:ascii="宋体" w:hAnsi="宋体" w:cs="宋体"/>
          <w:b/>
          <w:bCs/>
          <w:spacing w:val="26"/>
          <w:sz w:val="52"/>
          <w:szCs w:val="52"/>
        </w:rPr>
      </w:pPr>
      <w:r>
        <w:rPr>
          <w:rFonts w:hint="eastAsia" w:ascii="宋体" w:hAnsi="宋体" w:cs="宋体"/>
          <w:b/>
          <w:bCs/>
          <w:spacing w:val="26"/>
          <w:sz w:val="52"/>
          <w:szCs w:val="52"/>
        </w:rPr>
        <w:t>光华公司搬迁装修工程</w:t>
      </w:r>
    </w:p>
    <w:p w14:paraId="3BABB55E">
      <w:pPr>
        <w:pStyle w:val="22"/>
        <w:rPr>
          <w:rFonts w:hAnsi="宋体" w:cs="宋体"/>
        </w:rPr>
      </w:pPr>
    </w:p>
    <w:p w14:paraId="786F9392">
      <w:pPr>
        <w:spacing w:line="360" w:lineRule="auto"/>
        <w:jc w:val="center"/>
        <w:rPr>
          <w:rFonts w:ascii="宋体" w:hAnsi="宋体" w:cs="宋体"/>
          <w:b/>
          <w:bCs/>
          <w:spacing w:val="26"/>
          <w:sz w:val="72"/>
          <w:szCs w:val="72"/>
        </w:rPr>
      </w:pPr>
    </w:p>
    <w:p w14:paraId="2C3C1395">
      <w:pPr>
        <w:pStyle w:val="41"/>
        <w:ind w:left="420" w:firstLine="420"/>
        <w:rPr>
          <w:rFonts w:ascii="宋体" w:hAnsi="宋体" w:cs="宋体"/>
          <w:color w:val="auto"/>
          <w:lang w:eastAsia="zh-CN"/>
        </w:rPr>
      </w:pPr>
    </w:p>
    <w:p w14:paraId="16C11DE5">
      <w:pPr>
        <w:spacing w:line="360" w:lineRule="auto"/>
        <w:jc w:val="center"/>
        <w:rPr>
          <w:rFonts w:ascii="宋体" w:hAnsi="宋体" w:cs="宋体"/>
          <w:b/>
          <w:bCs/>
          <w:spacing w:val="26"/>
          <w:sz w:val="72"/>
          <w:szCs w:val="72"/>
        </w:rPr>
      </w:pPr>
    </w:p>
    <w:p w14:paraId="01AACB35">
      <w:pPr>
        <w:spacing w:line="360" w:lineRule="auto"/>
        <w:jc w:val="center"/>
        <w:rPr>
          <w:rFonts w:ascii="宋体" w:hAnsi="宋体" w:cs="宋体"/>
          <w:b/>
          <w:bCs/>
          <w:spacing w:val="26"/>
          <w:sz w:val="72"/>
          <w:szCs w:val="72"/>
        </w:rPr>
      </w:pPr>
      <w:r>
        <w:rPr>
          <w:rFonts w:hint="eastAsia" w:ascii="宋体" w:hAnsi="宋体" w:cs="宋体"/>
          <w:b/>
          <w:bCs/>
          <w:spacing w:val="26"/>
          <w:sz w:val="72"/>
          <w:szCs w:val="72"/>
        </w:rPr>
        <w:t>招标文件</w:t>
      </w:r>
    </w:p>
    <w:p w14:paraId="6D559EBD">
      <w:pPr>
        <w:spacing w:line="360" w:lineRule="auto"/>
        <w:jc w:val="center"/>
        <w:rPr>
          <w:rFonts w:ascii="宋体" w:hAnsi="宋体" w:cs="宋体"/>
          <w:sz w:val="32"/>
        </w:rPr>
      </w:pPr>
    </w:p>
    <w:p w14:paraId="4665A881">
      <w:pPr>
        <w:spacing w:line="360" w:lineRule="auto"/>
        <w:ind w:firstLine="2560" w:firstLineChars="800"/>
        <w:rPr>
          <w:rFonts w:ascii="宋体" w:hAnsi="宋体" w:cs="宋体"/>
          <w:sz w:val="32"/>
        </w:rPr>
      </w:pPr>
    </w:p>
    <w:p w14:paraId="5F272F8E">
      <w:pPr>
        <w:rPr>
          <w:rFonts w:ascii="宋体" w:hAnsi="宋体" w:cs="宋体"/>
          <w:sz w:val="30"/>
          <w:szCs w:val="30"/>
        </w:rPr>
      </w:pPr>
    </w:p>
    <w:p w14:paraId="27DF84BF">
      <w:pPr>
        <w:rPr>
          <w:rFonts w:ascii="宋体" w:hAnsi="宋体" w:cs="宋体"/>
          <w:sz w:val="30"/>
          <w:szCs w:val="30"/>
        </w:rPr>
      </w:pPr>
    </w:p>
    <w:p w14:paraId="2C5FAC30">
      <w:pPr>
        <w:rPr>
          <w:rFonts w:ascii="宋体" w:hAnsi="宋体" w:cs="宋体"/>
          <w:sz w:val="30"/>
          <w:szCs w:val="30"/>
        </w:rPr>
      </w:pPr>
    </w:p>
    <w:p w14:paraId="7ADD492C">
      <w:pPr>
        <w:rPr>
          <w:rFonts w:ascii="宋体" w:hAnsi="宋体" w:cs="宋体"/>
          <w:sz w:val="30"/>
          <w:szCs w:val="30"/>
        </w:rPr>
      </w:pPr>
    </w:p>
    <w:p w14:paraId="335A5BA4">
      <w:pPr>
        <w:pStyle w:val="22"/>
        <w:rPr>
          <w:rFonts w:hAnsi="宋体" w:cs="宋体"/>
        </w:rPr>
      </w:pPr>
    </w:p>
    <w:p w14:paraId="3F360805">
      <w:pPr>
        <w:rPr>
          <w:rFonts w:ascii="宋体" w:hAnsi="宋体" w:cs="宋体"/>
          <w:highlight w:val="yellow"/>
        </w:rPr>
      </w:pPr>
    </w:p>
    <w:p w14:paraId="0E391EF3">
      <w:pPr>
        <w:spacing w:line="360" w:lineRule="auto"/>
        <w:ind w:firstLine="900" w:firstLineChars="300"/>
        <w:rPr>
          <w:rFonts w:ascii="宋体" w:hAnsi="宋体" w:cs="宋体"/>
          <w:sz w:val="30"/>
          <w:szCs w:val="30"/>
          <w:u w:val="single"/>
        </w:rPr>
      </w:pPr>
      <w:r>
        <w:rPr>
          <w:rFonts w:hint="eastAsia" w:ascii="宋体" w:hAnsi="宋体" w:cs="宋体"/>
          <w:sz w:val="30"/>
          <w:szCs w:val="30"/>
        </w:rPr>
        <w:t>招  标 单 位：</w:t>
      </w:r>
      <w:r>
        <w:rPr>
          <w:rFonts w:hint="eastAsia" w:ascii="宋体" w:hAnsi="宋体" w:cs="宋体"/>
          <w:sz w:val="30"/>
          <w:szCs w:val="30"/>
          <w:u w:val="single"/>
        </w:rPr>
        <w:t>广州印钞有限公司</w:t>
      </w:r>
    </w:p>
    <w:p w14:paraId="2A09E37B">
      <w:pPr>
        <w:spacing w:line="360" w:lineRule="auto"/>
        <w:ind w:firstLine="900" w:firstLineChars="300"/>
        <w:rPr>
          <w:rFonts w:ascii="宋体" w:hAnsi="宋体" w:cs="宋体"/>
          <w:color w:val="auto"/>
          <w:sz w:val="30"/>
          <w:szCs w:val="30"/>
        </w:rPr>
      </w:pPr>
      <w:r>
        <w:rPr>
          <w:rFonts w:hint="eastAsia" w:ascii="宋体" w:hAnsi="宋体" w:cs="宋体"/>
          <w:sz w:val="30"/>
          <w:szCs w:val="30"/>
        </w:rPr>
        <w:t>招标代理单位：</w:t>
      </w:r>
      <w:r>
        <w:rPr>
          <w:rFonts w:hint="eastAsia" w:ascii="宋体" w:hAnsi="宋体" w:cs="宋体"/>
          <w:color w:val="auto"/>
          <w:sz w:val="30"/>
          <w:szCs w:val="30"/>
          <w:u w:val="single"/>
        </w:rPr>
        <w:t>广东国科招标有限公司</w:t>
      </w:r>
    </w:p>
    <w:p w14:paraId="02A969E5">
      <w:pPr>
        <w:spacing w:line="360" w:lineRule="auto"/>
        <w:ind w:firstLine="900" w:firstLineChars="300"/>
        <w:rPr>
          <w:rFonts w:ascii="宋体" w:hAnsi="宋体" w:cs="宋体"/>
          <w:color w:val="auto"/>
          <w:sz w:val="30"/>
          <w:szCs w:val="30"/>
          <w:highlight w:val="yellow"/>
        </w:rPr>
      </w:pPr>
      <w:r>
        <w:rPr>
          <w:rFonts w:hint="eastAsia" w:ascii="宋体" w:hAnsi="宋体" w:cs="宋体"/>
          <w:color w:val="auto"/>
          <w:sz w:val="30"/>
          <w:szCs w:val="30"/>
        </w:rPr>
        <w:t>日        期：</w:t>
      </w:r>
      <w:r>
        <w:rPr>
          <w:rFonts w:hint="eastAsia" w:ascii="宋体" w:hAnsi="宋体" w:cs="宋体"/>
          <w:color w:val="auto"/>
          <w:sz w:val="30"/>
          <w:szCs w:val="30"/>
          <w:u w:val="single"/>
        </w:rPr>
        <w:t>2025年10月</w:t>
      </w:r>
    </w:p>
    <w:p w14:paraId="3F345749">
      <w:pPr>
        <w:spacing w:before="312" w:beforeLines="100" w:after="312" w:afterLines="100" w:line="360" w:lineRule="auto"/>
        <w:jc w:val="center"/>
        <w:rPr>
          <w:rFonts w:ascii="宋体" w:hAnsi="宋体" w:cs="宋体"/>
          <w:b/>
          <w:caps/>
          <w:kern w:val="0"/>
        </w:rPr>
      </w:pPr>
      <w:r>
        <w:rPr>
          <w:rFonts w:hint="eastAsia" w:ascii="宋体" w:hAnsi="宋体" w:cs="宋体"/>
          <w:sz w:val="30"/>
          <w:szCs w:val="30"/>
        </w:rPr>
        <w:br w:type="page"/>
      </w:r>
      <w:r>
        <w:rPr>
          <w:rStyle w:val="49"/>
          <w:rFonts w:hint="eastAsia" w:ascii="宋体" w:hAnsi="宋体" w:cs="宋体"/>
          <w:b/>
          <w:bCs/>
          <w:color w:val="auto"/>
          <w:sz w:val="44"/>
          <w:szCs w:val="44"/>
          <w:u w:val="none"/>
        </w:rPr>
        <w:t>目录</w:t>
      </w:r>
    </w:p>
    <w:p w14:paraId="1D69C539">
      <w:pPr>
        <w:pStyle w:val="30"/>
        <w:tabs>
          <w:tab w:val="right" w:leader="dot" w:pos="9070"/>
          <w:tab w:val="clear" w:pos="9060"/>
        </w:tabs>
        <w:rPr>
          <w:rFonts w:hAnsi="宋体" w:cs="宋体"/>
        </w:rPr>
      </w:pPr>
      <w:r>
        <w:rPr>
          <w:rFonts w:hint="eastAsia" w:hAnsi="宋体" w:cs="宋体"/>
          <w:sz w:val="32"/>
        </w:rPr>
        <w:fldChar w:fldCharType="begin"/>
      </w:r>
      <w:r>
        <w:rPr>
          <w:rFonts w:hint="eastAsia" w:hAnsi="宋体" w:cs="宋体"/>
          <w:sz w:val="32"/>
        </w:rPr>
        <w:instrText xml:space="preserve"> TOC \o "1-3" \h \z \u </w:instrText>
      </w:r>
      <w:r>
        <w:rPr>
          <w:rFonts w:hint="eastAsia" w:hAnsi="宋体" w:cs="宋体"/>
          <w:sz w:val="32"/>
        </w:rPr>
        <w:fldChar w:fldCharType="separate"/>
      </w:r>
      <w:r>
        <w:fldChar w:fldCharType="begin"/>
      </w:r>
      <w:r>
        <w:instrText xml:space="preserve"> HYPERLINK \l "_Toc4593" </w:instrText>
      </w:r>
      <w:r>
        <w:fldChar w:fldCharType="separate"/>
      </w:r>
      <w:r>
        <w:rPr>
          <w:rFonts w:hint="eastAsia" w:hAnsi="宋体" w:cs="宋体"/>
        </w:rPr>
        <w:t>第一章  投标须知</w:t>
      </w:r>
      <w:r>
        <w:rPr>
          <w:rFonts w:hint="eastAsia" w:hAnsi="宋体" w:cs="宋体"/>
        </w:rPr>
        <w:tab/>
      </w:r>
      <w:r>
        <w:rPr>
          <w:rFonts w:hint="eastAsia" w:hAnsi="宋体" w:cs="宋体"/>
        </w:rPr>
        <w:fldChar w:fldCharType="begin"/>
      </w:r>
      <w:r>
        <w:rPr>
          <w:rFonts w:hint="eastAsia" w:hAnsi="宋体" w:cs="宋体"/>
        </w:rPr>
        <w:instrText xml:space="preserve"> PAGEREF _Toc4593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173165AB">
      <w:pPr>
        <w:pStyle w:val="34"/>
        <w:tabs>
          <w:tab w:val="right" w:leader="dot" w:pos="9070"/>
          <w:tab w:val="clear" w:pos="9060"/>
        </w:tabs>
        <w:ind w:left="420"/>
        <w:rPr>
          <w:rFonts w:ascii="宋体" w:hAnsi="宋体" w:cs="宋体"/>
        </w:rPr>
      </w:pPr>
      <w:r>
        <w:fldChar w:fldCharType="begin"/>
      </w:r>
      <w:r>
        <w:instrText xml:space="preserve"> HYPERLINK \l "_Toc10597" </w:instrText>
      </w:r>
      <w:r>
        <w:fldChar w:fldCharType="separate"/>
      </w:r>
      <w:r>
        <w:rPr>
          <w:rFonts w:hint="eastAsia" w:ascii="宋体" w:hAnsi="宋体" w:cs="宋体"/>
          <w:szCs w:val="28"/>
        </w:rPr>
        <w:t>一、投标须知前附表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_Toc10597 \h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14:paraId="683A14D6">
      <w:pPr>
        <w:pStyle w:val="34"/>
        <w:tabs>
          <w:tab w:val="right" w:leader="dot" w:pos="9070"/>
          <w:tab w:val="clear" w:pos="9060"/>
        </w:tabs>
        <w:ind w:left="420"/>
        <w:rPr>
          <w:rFonts w:ascii="宋体" w:hAnsi="宋体" w:cs="宋体"/>
        </w:rPr>
      </w:pPr>
      <w:r>
        <w:fldChar w:fldCharType="begin"/>
      </w:r>
      <w:r>
        <w:instrText xml:space="preserve"> HYPERLINK \l "_Toc23812" </w:instrText>
      </w:r>
      <w:r>
        <w:fldChar w:fldCharType="separate"/>
      </w:r>
      <w:r>
        <w:rPr>
          <w:rFonts w:hint="eastAsia" w:ascii="宋体" w:hAnsi="宋体" w:cs="宋体"/>
          <w:szCs w:val="28"/>
        </w:rPr>
        <w:t>二、投标须知修改表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_Toc23812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14:paraId="7F3B03A1">
      <w:pPr>
        <w:pStyle w:val="34"/>
        <w:tabs>
          <w:tab w:val="right" w:leader="dot" w:pos="9070"/>
          <w:tab w:val="clear" w:pos="9060"/>
        </w:tabs>
        <w:ind w:left="420"/>
        <w:rPr>
          <w:rFonts w:ascii="宋体" w:hAnsi="宋体" w:cs="宋体"/>
        </w:rPr>
      </w:pPr>
      <w:r>
        <w:fldChar w:fldCharType="begin"/>
      </w:r>
      <w:r>
        <w:instrText xml:space="preserve"> HYPERLINK \l "_Toc11734" </w:instrText>
      </w:r>
      <w:r>
        <w:fldChar w:fldCharType="separate"/>
      </w:r>
      <w:r>
        <w:rPr>
          <w:rFonts w:hint="eastAsia" w:ascii="宋体" w:hAnsi="宋体" w:cs="宋体"/>
          <w:szCs w:val="28"/>
        </w:rPr>
        <w:t>三、投标须知通用条款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_Toc11734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14:paraId="02086ED5">
      <w:pPr>
        <w:pStyle w:val="21"/>
        <w:tabs>
          <w:tab w:val="right" w:leader="dot" w:pos="9070"/>
        </w:tabs>
        <w:ind w:left="840"/>
        <w:rPr>
          <w:rFonts w:ascii="宋体" w:hAnsi="宋体" w:cs="宋体"/>
        </w:rPr>
      </w:pPr>
      <w:r>
        <w:fldChar w:fldCharType="begin"/>
      </w:r>
      <w:r>
        <w:instrText xml:space="preserve"> HYPERLINK \l "_Toc9393" </w:instrText>
      </w:r>
      <w:r>
        <w:fldChar w:fldCharType="separate"/>
      </w:r>
      <w:r>
        <w:rPr>
          <w:rFonts w:hint="eastAsia" w:ascii="宋体" w:hAnsi="宋体" w:cs="宋体"/>
        </w:rPr>
        <w:t>（一）总则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_Toc9393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14:paraId="0E2A5B0A">
      <w:pPr>
        <w:pStyle w:val="21"/>
        <w:tabs>
          <w:tab w:val="right" w:leader="dot" w:pos="9070"/>
        </w:tabs>
        <w:ind w:left="840"/>
        <w:rPr>
          <w:rFonts w:ascii="宋体" w:hAnsi="宋体" w:cs="宋体"/>
        </w:rPr>
      </w:pPr>
      <w:r>
        <w:fldChar w:fldCharType="begin"/>
      </w:r>
      <w:r>
        <w:instrText xml:space="preserve"> HYPERLINK \l "_Toc14112" </w:instrText>
      </w:r>
      <w:r>
        <w:fldChar w:fldCharType="separate"/>
      </w:r>
      <w:r>
        <w:rPr>
          <w:rFonts w:hint="eastAsia" w:ascii="宋体" w:hAnsi="宋体" w:cs="宋体"/>
        </w:rPr>
        <w:t>（二）招标文件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_Toc14112 \h </w:instrText>
      </w:r>
      <w:r>
        <w:rPr>
          <w:rFonts w:hint="eastAsia" w:ascii="宋体" w:hAnsi="宋体" w:cs="宋体"/>
        </w:rPr>
        <w:fldChar w:fldCharType="separate"/>
      </w:r>
      <w:r>
        <w:rPr>
          <w:rFonts w:hint="eastAsia" w:ascii="宋体" w:hAnsi="宋体" w:cs="宋体"/>
        </w:rPr>
        <w:t>21</w:t>
      </w:r>
      <w:r>
        <w:rPr>
          <w:rFonts w:hint="eastAsia" w:ascii="宋体" w:hAnsi="宋体" w:cs="宋体"/>
        </w:rPr>
        <w:fldChar w:fldCharType="end"/>
      </w:r>
      <w:r>
        <w:rPr>
          <w:rFonts w:hint="eastAsia" w:ascii="宋体" w:hAnsi="宋体" w:cs="宋体"/>
        </w:rPr>
        <w:fldChar w:fldCharType="end"/>
      </w:r>
    </w:p>
    <w:p w14:paraId="335DEA92">
      <w:pPr>
        <w:pStyle w:val="21"/>
        <w:tabs>
          <w:tab w:val="right" w:leader="dot" w:pos="9070"/>
        </w:tabs>
        <w:ind w:left="840"/>
        <w:rPr>
          <w:rFonts w:ascii="宋体" w:hAnsi="宋体" w:cs="宋体"/>
        </w:rPr>
      </w:pPr>
      <w:r>
        <w:fldChar w:fldCharType="begin"/>
      </w:r>
      <w:r>
        <w:instrText xml:space="preserve"> HYPERLINK \l "_Toc16897" </w:instrText>
      </w:r>
      <w:r>
        <w:fldChar w:fldCharType="separate"/>
      </w:r>
      <w:r>
        <w:rPr>
          <w:rFonts w:hint="eastAsia" w:ascii="宋体" w:hAnsi="宋体" w:cs="宋体"/>
        </w:rPr>
        <w:t>（三）投标文件的编制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_Toc16897 \h </w:instrText>
      </w:r>
      <w:r>
        <w:rPr>
          <w:rFonts w:hint="eastAsia" w:ascii="宋体" w:hAnsi="宋体" w:cs="宋体"/>
        </w:rPr>
        <w:fldChar w:fldCharType="separate"/>
      </w:r>
      <w:r>
        <w:rPr>
          <w:rFonts w:hint="eastAsia" w:ascii="宋体" w:hAnsi="宋体" w:cs="宋体"/>
        </w:rPr>
        <w:t>22</w:t>
      </w:r>
      <w:r>
        <w:rPr>
          <w:rFonts w:hint="eastAsia" w:ascii="宋体" w:hAnsi="宋体" w:cs="宋体"/>
        </w:rPr>
        <w:fldChar w:fldCharType="end"/>
      </w:r>
      <w:r>
        <w:rPr>
          <w:rFonts w:hint="eastAsia" w:ascii="宋体" w:hAnsi="宋体" w:cs="宋体"/>
        </w:rPr>
        <w:fldChar w:fldCharType="end"/>
      </w:r>
    </w:p>
    <w:p w14:paraId="42F9CCC7">
      <w:pPr>
        <w:pStyle w:val="21"/>
        <w:tabs>
          <w:tab w:val="right" w:leader="dot" w:pos="9070"/>
        </w:tabs>
        <w:ind w:left="840"/>
        <w:rPr>
          <w:rFonts w:ascii="宋体" w:hAnsi="宋体" w:cs="宋体"/>
        </w:rPr>
      </w:pPr>
      <w:r>
        <w:fldChar w:fldCharType="begin"/>
      </w:r>
      <w:r>
        <w:instrText xml:space="preserve"> HYPERLINK \l "_Toc9535" </w:instrText>
      </w:r>
      <w:r>
        <w:fldChar w:fldCharType="separate"/>
      </w:r>
      <w:r>
        <w:rPr>
          <w:rFonts w:hint="eastAsia" w:ascii="宋体" w:hAnsi="宋体" w:cs="宋体"/>
        </w:rPr>
        <w:t>（四）投标文件的提交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_Toc9535 \h </w:instrText>
      </w:r>
      <w:r>
        <w:rPr>
          <w:rFonts w:hint="eastAsia" w:ascii="宋体" w:hAnsi="宋体" w:cs="宋体"/>
        </w:rPr>
        <w:fldChar w:fldCharType="separate"/>
      </w:r>
      <w:r>
        <w:rPr>
          <w:rFonts w:hint="eastAsia" w:ascii="宋体" w:hAnsi="宋体" w:cs="宋体"/>
        </w:rPr>
        <w:t>29</w:t>
      </w:r>
      <w:r>
        <w:rPr>
          <w:rFonts w:hint="eastAsia" w:ascii="宋体" w:hAnsi="宋体" w:cs="宋体"/>
        </w:rPr>
        <w:fldChar w:fldCharType="end"/>
      </w:r>
      <w:r>
        <w:rPr>
          <w:rFonts w:hint="eastAsia" w:ascii="宋体" w:hAnsi="宋体" w:cs="宋体"/>
        </w:rPr>
        <w:fldChar w:fldCharType="end"/>
      </w:r>
    </w:p>
    <w:p w14:paraId="596EF2D1">
      <w:pPr>
        <w:pStyle w:val="21"/>
        <w:tabs>
          <w:tab w:val="right" w:leader="dot" w:pos="9070"/>
        </w:tabs>
        <w:ind w:left="840"/>
        <w:rPr>
          <w:rFonts w:ascii="宋体" w:hAnsi="宋体" w:cs="宋体"/>
        </w:rPr>
      </w:pPr>
      <w:r>
        <w:fldChar w:fldCharType="begin"/>
      </w:r>
      <w:r>
        <w:instrText xml:space="preserve"> HYPERLINK \l "_Toc20628" </w:instrText>
      </w:r>
      <w:r>
        <w:fldChar w:fldCharType="separate"/>
      </w:r>
      <w:r>
        <w:rPr>
          <w:rFonts w:hint="eastAsia" w:ascii="宋体" w:hAnsi="宋体" w:cs="宋体"/>
        </w:rPr>
        <w:t>（五）开标、评标、定标及合同签定</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_Toc20628 \h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14:paraId="295A651A">
      <w:pPr>
        <w:pStyle w:val="30"/>
        <w:tabs>
          <w:tab w:val="right" w:leader="dot" w:pos="9070"/>
          <w:tab w:val="clear" w:pos="9060"/>
        </w:tabs>
        <w:rPr>
          <w:rFonts w:hAnsi="宋体" w:cs="宋体"/>
        </w:rPr>
      </w:pPr>
      <w:r>
        <w:fldChar w:fldCharType="begin"/>
      </w:r>
      <w:r>
        <w:instrText xml:space="preserve"> HYPERLINK \l "_Toc27994" </w:instrText>
      </w:r>
      <w:r>
        <w:fldChar w:fldCharType="separate"/>
      </w:r>
      <w:r>
        <w:rPr>
          <w:rFonts w:hint="eastAsia" w:hAnsi="宋体" w:cs="宋体"/>
        </w:rPr>
        <w:t>第二章  开标、评标及定标办法</w:t>
      </w:r>
      <w:r>
        <w:rPr>
          <w:rFonts w:hint="eastAsia" w:hAnsi="宋体" w:cs="宋体"/>
        </w:rPr>
        <w:tab/>
      </w:r>
      <w:r>
        <w:rPr>
          <w:rFonts w:hint="eastAsia" w:hAnsi="宋体" w:cs="宋体"/>
        </w:rPr>
        <w:fldChar w:fldCharType="begin"/>
      </w:r>
      <w:r>
        <w:rPr>
          <w:rFonts w:hint="eastAsia" w:hAnsi="宋体" w:cs="宋体"/>
        </w:rPr>
        <w:instrText xml:space="preserve"> PAGEREF _Toc27994 \h </w:instrText>
      </w:r>
      <w:r>
        <w:rPr>
          <w:rFonts w:hint="eastAsia" w:hAnsi="宋体" w:cs="宋体"/>
        </w:rPr>
        <w:fldChar w:fldCharType="separate"/>
      </w:r>
      <w:r>
        <w:rPr>
          <w:rFonts w:hint="eastAsia" w:hAnsi="宋体" w:cs="宋体"/>
        </w:rPr>
        <w:t>33</w:t>
      </w:r>
      <w:r>
        <w:rPr>
          <w:rFonts w:hint="eastAsia" w:hAnsi="宋体" w:cs="宋体"/>
        </w:rPr>
        <w:fldChar w:fldCharType="end"/>
      </w:r>
      <w:r>
        <w:rPr>
          <w:rFonts w:hint="eastAsia" w:hAnsi="宋体" w:cs="宋体"/>
        </w:rPr>
        <w:fldChar w:fldCharType="end"/>
      </w:r>
    </w:p>
    <w:p w14:paraId="375ACCE9">
      <w:pPr>
        <w:pStyle w:val="34"/>
        <w:tabs>
          <w:tab w:val="right" w:leader="dot" w:pos="9070"/>
          <w:tab w:val="clear" w:pos="9060"/>
        </w:tabs>
        <w:ind w:left="420"/>
        <w:rPr>
          <w:rFonts w:ascii="宋体" w:hAnsi="宋体" w:cs="宋体"/>
        </w:rPr>
      </w:pPr>
      <w:r>
        <w:fldChar w:fldCharType="begin"/>
      </w:r>
      <w:r>
        <w:instrText xml:space="preserve"> HYPERLINK \l "_Toc8427" </w:instrText>
      </w:r>
      <w:r>
        <w:fldChar w:fldCharType="separate"/>
      </w:r>
      <w:r>
        <w:rPr>
          <w:rFonts w:hint="eastAsia" w:ascii="宋体" w:hAnsi="宋体" w:cs="宋体"/>
          <w:szCs w:val="28"/>
        </w:rPr>
        <w:t>一、开标、评标及定标办法修改表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_Toc8427 \h </w:instrText>
      </w:r>
      <w:r>
        <w:rPr>
          <w:rFonts w:hint="eastAsia" w:ascii="宋体" w:hAnsi="宋体" w:cs="宋体"/>
        </w:rPr>
        <w:fldChar w:fldCharType="separate"/>
      </w:r>
      <w:r>
        <w:rPr>
          <w:rFonts w:hint="eastAsia" w:ascii="宋体" w:hAnsi="宋体" w:cs="宋体"/>
        </w:rPr>
        <w:t>33</w:t>
      </w:r>
      <w:r>
        <w:rPr>
          <w:rFonts w:hint="eastAsia" w:ascii="宋体" w:hAnsi="宋体" w:cs="宋体"/>
        </w:rPr>
        <w:fldChar w:fldCharType="end"/>
      </w:r>
      <w:r>
        <w:rPr>
          <w:rFonts w:hint="eastAsia" w:ascii="宋体" w:hAnsi="宋体" w:cs="宋体"/>
        </w:rPr>
        <w:fldChar w:fldCharType="end"/>
      </w:r>
    </w:p>
    <w:p w14:paraId="07FE545C">
      <w:pPr>
        <w:pStyle w:val="34"/>
        <w:tabs>
          <w:tab w:val="right" w:leader="dot" w:pos="9070"/>
          <w:tab w:val="clear" w:pos="9060"/>
        </w:tabs>
        <w:ind w:left="420"/>
        <w:rPr>
          <w:rFonts w:ascii="宋体" w:hAnsi="宋体" w:cs="宋体"/>
        </w:rPr>
      </w:pPr>
      <w:r>
        <w:fldChar w:fldCharType="begin"/>
      </w:r>
      <w:r>
        <w:instrText xml:space="preserve"> HYPERLINK \l "_Toc30203" </w:instrText>
      </w:r>
      <w:r>
        <w:fldChar w:fldCharType="separate"/>
      </w:r>
      <w:r>
        <w:rPr>
          <w:rFonts w:hint="eastAsia" w:ascii="宋体" w:hAnsi="宋体" w:cs="宋体"/>
          <w:szCs w:val="28"/>
        </w:rPr>
        <w:t>二、开标、评标及定标办法</w:t>
      </w:r>
      <w:r>
        <w:rPr>
          <w:rFonts w:hint="eastAsia" w:ascii="宋体" w:hAnsi="宋体" w:cs="宋体"/>
          <w:szCs w:val="32"/>
        </w:rPr>
        <w:t>通用条款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_Toc30203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14:paraId="1C4C08CE">
      <w:pPr>
        <w:pStyle w:val="21"/>
        <w:tabs>
          <w:tab w:val="right" w:leader="dot" w:pos="9070"/>
        </w:tabs>
        <w:ind w:left="840"/>
        <w:rPr>
          <w:rFonts w:ascii="宋体" w:hAnsi="宋体" w:cs="宋体"/>
        </w:rPr>
      </w:pPr>
      <w:r>
        <w:fldChar w:fldCharType="begin"/>
      </w:r>
      <w:r>
        <w:instrText xml:space="preserve"> HYPERLINK \l "_Toc16181" </w:instrText>
      </w:r>
      <w:r>
        <w:fldChar w:fldCharType="separate"/>
      </w:r>
      <w:r>
        <w:rPr>
          <w:rFonts w:hint="eastAsia" w:ascii="宋体" w:hAnsi="宋体" w:cs="宋体"/>
        </w:rPr>
        <w:t>（一）总则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_Toc16181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14:paraId="67D64752">
      <w:pPr>
        <w:pStyle w:val="21"/>
        <w:tabs>
          <w:tab w:val="right" w:leader="dot" w:pos="9070"/>
        </w:tabs>
        <w:ind w:left="840"/>
        <w:rPr>
          <w:rFonts w:ascii="宋体" w:hAnsi="宋体" w:cs="宋体"/>
        </w:rPr>
      </w:pPr>
      <w:r>
        <w:fldChar w:fldCharType="begin"/>
      </w:r>
      <w:r>
        <w:instrText xml:space="preserve"> HYPERLINK \l "_Toc825" </w:instrText>
      </w:r>
      <w:r>
        <w:fldChar w:fldCharType="separate"/>
      </w:r>
      <w:r>
        <w:rPr>
          <w:rFonts w:hint="eastAsia" w:ascii="宋体" w:hAnsi="宋体" w:cs="宋体"/>
          <w:szCs w:val="24"/>
        </w:rPr>
        <w:t>（二）开标评标办法程序和细则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_Toc825 \h </w:instrText>
      </w:r>
      <w:r>
        <w:rPr>
          <w:rFonts w:hint="eastAsia" w:ascii="宋体" w:hAnsi="宋体" w:cs="宋体"/>
        </w:rPr>
        <w:fldChar w:fldCharType="separate"/>
      </w:r>
      <w:r>
        <w:rPr>
          <w:rFonts w:hint="eastAsia" w:ascii="宋体" w:hAnsi="宋体" w:cs="宋体"/>
        </w:rPr>
        <w:t>45</w:t>
      </w:r>
      <w:r>
        <w:rPr>
          <w:rFonts w:hint="eastAsia" w:ascii="宋体" w:hAnsi="宋体" w:cs="宋体"/>
        </w:rPr>
        <w:fldChar w:fldCharType="end"/>
      </w:r>
      <w:r>
        <w:rPr>
          <w:rFonts w:hint="eastAsia" w:ascii="宋体" w:hAnsi="宋体" w:cs="宋体"/>
        </w:rPr>
        <w:fldChar w:fldCharType="end"/>
      </w:r>
    </w:p>
    <w:p w14:paraId="240E773F">
      <w:pPr>
        <w:pStyle w:val="30"/>
        <w:tabs>
          <w:tab w:val="right" w:leader="dot" w:pos="9070"/>
          <w:tab w:val="clear" w:pos="9060"/>
        </w:tabs>
        <w:rPr>
          <w:rFonts w:hAnsi="宋体" w:cs="宋体"/>
        </w:rPr>
      </w:pPr>
      <w:r>
        <w:fldChar w:fldCharType="begin"/>
      </w:r>
      <w:r>
        <w:instrText xml:space="preserve"> HYPERLINK \l "_Toc11586" </w:instrText>
      </w:r>
      <w:r>
        <w:fldChar w:fldCharType="separate"/>
      </w:r>
      <w:r>
        <w:rPr>
          <w:rFonts w:hint="eastAsia" w:hAnsi="宋体" w:cs="宋体"/>
        </w:rPr>
        <w:t>第三章  合同条款</w:t>
      </w:r>
      <w:r>
        <w:rPr>
          <w:rFonts w:hint="eastAsia" w:hAnsi="宋体" w:cs="宋体"/>
        </w:rPr>
        <w:tab/>
      </w:r>
      <w:r>
        <w:rPr>
          <w:rFonts w:hint="eastAsia" w:hAnsi="宋体" w:cs="宋体"/>
        </w:rPr>
        <w:fldChar w:fldCharType="begin"/>
      </w:r>
      <w:r>
        <w:rPr>
          <w:rFonts w:hint="eastAsia" w:hAnsi="宋体" w:cs="宋体"/>
        </w:rPr>
        <w:instrText xml:space="preserve"> PAGEREF _Toc11586 \h </w:instrText>
      </w:r>
      <w:r>
        <w:rPr>
          <w:rFonts w:hint="eastAsia" w:hAnsi="宋体" w:cs="宋体"/>
        </w:rPr>
        <w:fldChar w:fldCharType="separate"/>
      </w:r>
      <w:r>
        <w:rPr>
          <w:rFonts w:hint="eastAsia" w:hAnsi="宋体" w:cs="宋体"/>
        </w:rPr>
        <w:t>61</w:t>
      </w:r>
      <w:r>
        <w:rPr>
          <w:rFonts w:hint="eastAsia" w:hAnsi="宋体" w:cs="宋体"/>
        </w:rPr>
        <w:fldChar w:fldCharType="end"/>
      </w:r>
      <w:r>
        <w:rPr>
          <w:rFonts w:hint="eastAsia" w:hAnsi="宋体" w:cs="宋体"/>
        </w:rPr>
        <w:fldChar w:fldCharType="end"/>
      </w:r>
    </w:p>
    <w:p w14:paraId="3A743E1A">
      <w:pPr>
        <w:pStyle w:val="30"/>
        <w:tabs>
          <w:tab w:val="right" w:leader="dot" w:pos="9070"/>
          <w:tab w:val="clear" w:pos="9060"/>
        </w:tabs>
        <w:rPr>
          <w:rFonts w:hAnsi="宋体" w:cs="宋体"/>
        </w:rPr>
      </w:pPr>
      <w:r>
        <w:fldChar w:fldCharType="begin"/>
      </w:r>
      <w:r>
        <w:instrText xml:space="preserve"> HYPERLINK \l "_Toc3417" </w:instrText>
      </w:r>
      <w:r>
        <w:fldChar w:fldCharType="separate"/>
      </w:r>
      <w:r>
        <w:rPr>
          <w:rFonts w:hint="eastAsia" w:hAnsi="宋体" w:cs="宋体"/>
        </w:rPr>
        <w:t>第四章 投标文件格式</w:t>
      </w:r>
      <w:r>
        <w:rPr>
          <w:rFonts w:hint="eastAsia" w:hAnsi="宋体" w:cs="宋体"/>
        </w:rPr>
        <w:tab/>
      </w:r>
      <w:r>
        <w:rPr>
          <w:rFonts w:hint="eastAsia" w:hAnsi="宋体" w:cs="宋体"/>
        </w:rPr>
        <w:fldChar w:fldCharType="begin"/>
      </w:r>
      <w:r>
        <w:rPr>
          <w:rFonts w:hint="eastAsia" w:hAnsi="宋体" w:cs="宋体"/>
        </w:rPr>
        <w:instrText xml:space="preserve"> PAGEREF _Toc3417 \h </w:instrText>
      </w:r>
      <w:r>
        <w:rPr>
          <w:rFonts w:hint="eastAsia" w:hAnsi="宋体" w:cs="宋体"/>
        </w:rPr>
        <w:fldChar w:fldCharType="separate"/>
      </w:r>
      <w:r>
        <w:rPr>
          <w:rFonts w:hint="eastAsia" w:hAnsi="宋体" w:cs="宋体"/>
        </w:rPr>
        <w:t>65</w:t>
      </w:r>
      <w:r>
        <w:rPr>
          <w:rFonts w:hint="eastAsia" w:hAnsi="宋体" w:cs="宋体"/>
        </w:rPr>
        <w:fldChar w:fldCharType="end"/>
      </w:r>
      <w:r>
        <w:rPr>
          <w:rFonts w:hint="eastAsia" w:hAnsi="宋体" w:cs="宋体"/>
        </w:rPr>
        <w:fldChar w:fldCharType="end"/>
      </w:r>
    </w:p>
    <w:p w14:paraId="2DDA0909">
      <w:pPr>
        <w:pStyle w:val="30"/>
        <w:tabs>
          <w:tab w:val="right" w:leader="dot" w:pos="9070"/>
          <w:tab w:val="clear" w:pos="9060"/>
        </w:tabs>
        <w:rPr>
          <w:rFonts w:hAnsi="宋体" w:cs="宋体"/>
        </w:rPr>
      </w:pPr>
      <w:r>
        <w:fldChar w:fldCharType="begin"/>
      </w:r>
      <w:r>
        <w:instrText xml:space="preserve"> HYPERLINK \l "_Toc14026" </w:instrText>
      </w:r>
      <w:r>
        <w:fldChar w:fldCharType="separate"/>
      </w:r>
      <w:r>
        <w:rPr>
          <w:rFonts w:hint="eastAsia" w:hAnsi="宋体" w:cs="宋体"/>
          <w:kern w:val="44"/>
        </w:rPr>
        <w:t>第五章  技术条件（工程建设标准）</w:t>
      </w:r>
      <w:r>
        <w:rPr>
          <w:rFonts w:hint="eastAsia" w:hAnsi="宋体" w:cs="宋体"/>
        </w:rPr>
        <w:tab/>
      </w:r>
      <w:r>
        <w:rPr>
          <w:rFonts w:hint="eastAsia" w:hAnsi="宋体" w:cs="宋体"/>
        </w:rPr>
        <w:fldChar w:fldCharType="begin"/>
      </w:r>
      <w:r>
        <w:rPr>
          <w:rFonts w:hint="eastAsia" w:hAnsi="宋体" w:cs="宋体"/>
        </w:rPr>
        <w:instrText xml:space="preserve"> PAGEREF _Toc14026 \h </w:instrText>
      </w:r>
      <w:r>
        <w:rPr>
          <w:rFonts w:hint="eastAsia" w:hAnsi="宋体" w:cs="宋体"/>
        </w:rPr>
        <w:fldChar w:fldCharType="separate"/>
      </w:r>
      <w:r>
        <w:rPr>
          <w:rFonts w:hint="eastAsia" w:hAnsi="宋体" w:cs="宋体"/>
        </w:rPr>
        <w:t>82</w:t>
      </w:r>
      <w:r>
        <w:rPr>
          <w:rFonts w:hint="eastAsia" w:hAnsi="宋体" w:cs="宋体"/>
        </w:rPr>
        <w:fldChar w:fldCharType="end"/>
      </w:r>
      <w:r>
        <w:rPr>
          <w:rFonts w:hint="eastAsia" w:hAnsi="宋体" w:cs="宋体"/>
        </w:rPr>
        <w:fldChar w:fldCharType="end"/>
      </w:r>
    </w:p>
    <w:p w14:paraId="47D09B0E">
      <w:pPr>
        <w:pStyle w:val="30"/>
        <w:tabs>
          <w:tab w:val="right" w:leader="dot" w:pos="9070"/>
          <w:tab w:val="clear" w:pos="9060"/>
        </w:tabs>
        <w:rPr>
          <w:rFonts w:hAnsi="宋体" w:cs="宋体"/>
        </w:rPr>
      </w:pPr>
      <w:r>
        <w:fldChar w:fldCharType="begin"/>
      </w:r>
      <w:r>
        <w:instrText xml:space="preserve"> HYPERLINK \l "_Toc1964" </w:instrText>
      </w:r>
      <w:r>
        <w:fldChar w:fldCharType="separate"/>
      </w:r>
      <w:r>
        <w:rPr>
          <w:rFonts w:hint="eastAsia" w:hAnsi="宋体" w:cs="宋体"/>
          <w:kern w:val="44"/>
        </w:rPr>
        <w:t>第六章  图纸及勘察资料</w:t>
      </w:r>
      <w:r>
        <w:rPr>
          <w:rFonts w:hint="eastAsia" w:hAnsi="宋体" w:cs="宋体"/>
        </w:rPr>
        <w:tab/>
      </w:r>
      <w:r>
        <w:rPr>
          <w:rFonts w:hint="eastAsia" w:hAnsi="宋体" w:cs="宋体"/>
        </w:rPr>
        <w:fldChar w:fldCharType="begin"/>
      </w:r>
      <w:r>
        <w:rPr>
          <w:rFonts w:hint="eastAsia" w:hAnsi="宋体" w:cs="宋体"/>
        </w:rPr>
        <w:instrText xml:space="preserve"> PAGEREF _Toc1964 \h </w:instrText>
      </w:r>
      <w:r>
        <w:rPr>
          <w:rFonts w:hint="eastAsia" w:hAnsi="宋体" w:cs="宋体"/>
        </w:rPr>
        <w:fldChar w:fldCharType="separate"/>
      </w:r>
      <w:r>
        <w:rPr>
          <w:rFonts w:hint="eastAsia" w:hAnsi="宋体" w:cs="宋体"/>
        </w:rPr>
        <w:t>90</w:t>
      </w:r>
      <w:r>
        <w:rPr>
          <w:rFonts w:hint="eastAsia" w:hAnsi="宋体" w:cs="宋体"/>
        </w:rPr>
        <w:fldChar w:fldCharType="end"/>
      </w:r>
      <w:r>
        <w:rPr>
          <w:rFonts w:hint="eastAsia" w:hAnsi="宋体" w:cs="宋体"/>
        </w:rPr>
        <w:fldChar w:fldCharType="end"/>
      </w:r>
    </w:p>
    <w:p w14:paraId="44829592">
      <w:pPr>
        <w:pStyle w:val="30"/>
        <w:tabs>
          <w:tab w:val="right" w:leader="dot" w:pos="9070"/>
          <w:tab w:val="clear" w:pos="9060"/>
        </w:tabs>
        <w:rPr>
          <w:rFonts w:hAnsi="宋体" w:cs="宋体"/>
        </w:rPr>
      </w:pPr>
      <w:r>
        <w:fldChar w:fldCharType="begin"/>
      </w:r>
      <w:r>
        <w:instrText xml:space="preserve"> HYPERLINK \l "_Toc8441" </w:instrText>
      </w:r>
      <w:r>
        <w:fldChar w:fldCharType="separate"/>
      </w:r>
      <w:r>
        <w:rPr>
          <w:rFonts w:hint="eastAsia" w:hAnsi="宋体" w:cs="宋体"/>
          <w:kern w:val="44"/>
          <w:szCs w:val="28"/>
        </w:rPr>
        <w:t>（另册）</w:t>
      </w:r>
      <w:r>
        <w:rPr>
          <w:rFonts w:hint="eastAsia" w:hAnsi="宋体" w:cs="宋体"/>
        </w:rPr>
        <w:tab/>
      </w:r>
      <w:r>
        <w:rPr>
          <w:rFonts w:hint="eastAsia" w:hAnsi="宋体" w:cs="宋体"/>
        </w:rPr>
        <w:fldChar w:fldCharType="begin"/>
      </w:r>
      <w:r>
        <w:rPr>
          <w:rFonts w:hint="eastAsia" w:hAnsi="宋体" w:cs="宋体"/>
        </w:rPr>
        <w:instrText xml:space="preserve"> PAGEREF _Toc8441 \h </w:instrText>
      </w:r>
      <w:r>
        <w:rPr>
          <w:rFonts w:hint="eastAsia" w:hAnsi="宋体" w:cs="宋体"/>
        </w:rPr>
        <w:fldChar w:fldCharType="separate"/>
      </w:r>
      <w:r>
        <w:rPr>
          <w:rFonts w:hint="eastAsia" w:hAnsi="宋体" w:cs="宋体"/>
        </w:rPr>
        <w:t>90</w:t>
      </w:r>
      <w:r>
        <w:rPr>
          <w:rFonts w:hint="eastAsia" w:hAnsi="宋体" w:cs="宋体"/>
        </w:rPr>
        <w:fldChar w:fldCharType="end"/>
      </w:r>
      <w:r>
        <w:rPr>
          <w:rFonts w:hint="eastAsia" w:hAnsi="宋体" w:cs="宋体"/>
        </w:rPr>
        <w:fldChar w:fldCharType="end"/>
      </w:r>
    </w:p>
    <w:p w14:paraId="24AEC71C">
      <w:pPr>
        <w:pStyle w:val="30"/>
        <w:tabs>
          <w:tab w:val="right" w:leader="dot" w:pos="9070"/>
          <w:tab w:val="clear" w:pos="9060"/>
        </w:tabs>
        <w:rPr>
          <w:rFonts w:hAnsi="宋体" w:cs="宋体"/>
        </w:rPr>
      </w:pPr>
      <w:r>
        <w:fldChar w:fldCharType="begin"/>
      </w:r>
      <w:r>
        <w:instrText xml:space="preserve"> HYPERLINK \l "_Toc26404" </w:instrText>
      </w:r>
      <w:r>
        <w:fldChar w:fldCharType="separate"/>
      </w:r>
      <w:r>
        <w:rPr>
          <w:rFonts w:hint="eastAsia" w:hAnsi="宋体" w:cs="宋体"/>
          <w:kern w:val="44"/>
        </w:rPr>
        <w:t>第七章  工程量清单</w:t>
      </w:r>
      <w:r>
        <w:rPr>
          <w:rFonts w:hint="eastAsia" w:hAnsi="宋体" w:cs="宋体"/>
        </w:rPr>
        <w:tab/>
      </w:r>
      <w:r>
        <w:rPr>
          <w:rFonts w:hint="eastAsia" w:hAnsi="宋体" w:cs="宋体"/>
        </w:rPr>
        <w:fldChar w:fldCharType="begin"/>
      </w:r>
      <w:r>
        <w:rPr>
          <w:rFonts w:hint="eastAsia" w:hAnsi="宋体" w:cs="宋体"/>
        </w:rPr>
        <w:instrText xml:space="preserve"> PAGEREF _Toc26404 \h </w:instrText>
      </w:r>
      <w:r>
        <w:rPr>
          <w:rFonts w:hint="eastAsia" w:hAnsi="宋体" w:cs="宋体"/>
        </w:rPr>
        <w:fldChar w:fldCharType="separate"/>
      </w:r>
      <w:r>
        <w:rPr>
          <w:rFonts w:hint="eastAsia" w:hAnsi="宋体" w:cs="宋体"/>
        </w:rPr>
        <w:t>91</w:t>
      </w:r>
      <w:r>
        <w:rPr>
          <w:rFonts w:hint="eastAsia" w:hAnsi="宋体" w:cs="宋体"/>
        </w:rPr>
        <w:fldChar w:fldCharType="end"/>
      </w:r>
      <w:r>
        <w:rPr>
          <w:rFonts w:hint="eastAsia" w:hAnsi="宋体" w:cs="宋体"/>
        </w:rPr>
        <w:fldChar w:fldCharType="end"/>
      </w:r>
    </w:p>
    <w:p w14:paraId="4488A390">
      <w:pPr>
        <w:pStyle w:val="30"/>
        <w:tabs>
          <w:tab w:val="right" w:leader="dot" w:pos="9070"/>
          <w:tab w:val="clear" w:pos="9060"/>
        </w:tabs>
        <w:rPr>
          <w:rFonts w:hAnsi="宋体" w:cs="宋体"/>
        </w:rPr>
      </w:pPr>
      <w:r>
        <w:fldChar w:fldCharType="begin"/>
      </w:r>
      <w:r>
        <w:instrText xml:space="preserve"> HYPERLINK \l "_Toc31901" </w:instrText>
      </w:r>
      <w:r>
        <w:fldChar w:fldCharType="separate"/>
      </w:r>
      <w:r>
        <w:rPr>
          <w:rFonts w:hint="eastAsia" w:hAnsi="宋体" w:cs="宋体"/>
          <w:kern w:val="44"/>
        </w:rPr>
        <w:t>第八章  最高投标限价</w:t>
      </w:r>
      <w:r>
        <w:rPr>
          <w:rFonts w:hint="eastAsia" w:hAnsi="宋体" w:cs="宋体"/>
        </w:rPr>
        <w:tab/>
      </w:r>
      <w:r>
        <w:rPr>
          <w:rFonts w:hint="eastAsia" w:hAnsi="宋体" w:cs="宋体"/>
        </w:rPr>
        <w:fldChar w:fldCharType="begin"/>
      </w:r>
      <w:r>
        <w:rPr>
          <w:rFonts w:hint="eastAsia" w:hAnsi="宋体" w:cs="宋体"/>
        </w:rPr>
        <w:instrText xml:space="preserve"> PAGEREF _Toc31901 \h </w:instrText>
      </w:r>
      <w:r>
        <w:rPr>
          <w:rFonts w:hint="eastAsia" w:hAnsi="宋体" w:cs="宋体"/>
        </w:rPr>
        <w:fldChar w:fldCharType="separate"/>
      </w:r>
      <w:r>
        <w:rPr>
          <w:rFonts w:hint="eastAsia" w:hAnsi="宋体" w:cs="宋体"/>
        </w:rPr>
        <w:t>92</w:t>
      </w:r>
      <w:r>
        <w:rPr>
          <w:rFonts w:hint="eastAsia" w:hAnsi="宋体" w:cs="宋体"/>
        </w:rPr>
        <w:fldChar w:fldCharType="end"/>
      </w:r>
      <w:r>
        <w:rPr>
          <w:rFonts w:hint="eastAsia" w:hAnsi="宋体" w:cs="宋体"/>
        </w:rPr>
        <w:fldChar w:fldCharType="end"/>
      </w:r>
    </w:p>
    <w:p w14:paraId="35474682">
      <w:pPr>
        <w:pStyle w:val="3"/>
        <w:rPr>
          <w:rFonts w:ascii="宋体" w:hAnsi="宋体" w:cs="宋体"/>
        </w:rPr>
        <w:sectPr>
          <w:footerReference r:id="rId7" w:type="first"/>
          <w:headerReference r:id="rId3" w:type="default"/>
          <w:footerReference r:id="rId5" w:type="default"/>
          <w:headerReference r:id="rId4" w:type="even"/>
          <w:footerReference r:id="rId6" w:type="even"/>
          <w:pgSz w:w="11906" w:h="16838"/>
          <w:pgMar w:top="1440" w:right="1080" w:bottom="1440" w:left="1080" w:header="851" w:footer="907" w:gutter="0"/>
          <w:cols w:space="720" w:num="1"/>
          <w:titlePg/>
          <w:docGrid w:type="lines" w:linePitch="312" w:charSpace="0"/>
        </w:sectPr>
      </w:pPr>
      <w:r>
        <w:rPr>
          <w:rFonts w:hint="eastAsia" w:ascii="宋体" w:hAnsi="宋体" w:cs="宋体"/>
          <w:szCs w:val="32"/>
        </w:rPr>
        <w:fldChar w:fldCharType="end"/>
      </w:r>
    </w:p>
    <w:p w14:paraId="7177EEFA">
      <w:pPr>
        <w:pStyle w:val="3"/>
        <w:spacing w:before="0" w:after="0"/>
        <w:jc w:val="center"/>
        <w:rPr>
          <w:rFonts w:ascii="宋体" w:hAnsi="宋体" w:cs="宋体"/>
          <w:sz w:val="32"/>
          <w:szCs w:val="32"/>
        </w:rPr>
      </w:pPr>
      <w:bookmarkStart w:id="0" w:name="_Toc4593"/>
      <w:r>
        <w:rPr>
          <w:rFonts w:hint="eastAsia" w:ascii="宋体" w:hAnsi="宋体" w:cs="宋体"/>
          <w:sz w:val="32"/>
          <w:szCs w:val="32"/>
        </w:rPr>
        <w:t>第一章  投标须知</w:t>
      </w:r>
      <w:bookmarkEnd w:id="0"/>
    </w:p>
    <w:p w14:paraId="1C0B058A">
      <w:pPr>
        <w:pStyle w:val="6"/>
        <w:spacing w:before="0" w:after="0" w:line="360" w:lineRule="auto"/>
        <w:ind w:left="0"/>
        <w:rPr>
          <w:rFonts w:ascii="宋体" w:hAnsi="宋体" w:cs="宋体"/>
          <w:color w:val="auto"/>
          <w:sz w:val="28"/>
          <w:szCs w:val="28"/>
        </w:rPr>
      </w:pPr>
      <w:bookmarkStart w:id="1" w:name="_Toc10597"/>
      <w:r>
        <w:rPr>
          <w:rFonts w:hint="eastAsia" w:ascii="宋体" w:hAnsi="宋体" w:cs="宋体"/>
          <w:color w:val="auto"/>
          <w:sz w:val="28"/>
          <w:szCs w:val="28"/>
        </w:rPr>
        <w:t>一、投标须知前附表</w:t>
      </w:r>
      <w:bookmarkEnd w:id="1"/>
    </w:p>
    <w:p w14:paraId="5827AC33">
      <w:pPr>
        <w:pStyle w:val="10"/>
        <w:snapToGrid w:val="0"/>
        <w:spacing w:line="400" w:lineRule="exact"/>
        <w:ind w:firstLine="422" w:firstLineChars="200"/>
        <w:jc w:val="left"/>
        <w:rPr>
          <w:rFonts w:ascii="宋体" w:hAnsi="宋体" w:cs="宋体"/>
          <w:b/>
          <w:szCs w:val="21"/>
        </w:rPr>
      </w:pPr>
      <w:r>
        <w:rPr>
          <w:rFonts w:hint="eastAsia" w:ascii="宋体" w:hAnsi="宋体" w:cs="宋体"/>
          <w:b/>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2"/>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944"/>
        <w:gridCol w:w="1825"/>
        <w:gridCol w:w="6442"/>
      </w:tblGrid>
      <w:tr w14:paraId="6ECF97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75" w:type="pct"/>
            <w:tcBorders>
              <w:top w:val="double" w:color="auto" w:sz="4" w:space="0"/>
              <w:left w:val="double" w:color="auto" w:sz="4" w:space="0"/>
              <w:bottom w:val="single" w:color="auto" w:sz="4" w:space="0"/>
              <w:right w:val="single" w:color="auto" w:sz="4" w:space="0"/>
            </w:tcBorders>
            <w:vAlign w:val="center"/>
          </w:tcPr>
          <w:p w14:paraId="72DAD50D">
            <w:pPr>
              <w:snapToGrid w:val="0"/>
              <w:spacing w:line="400" w:lineRule="exact"/>
              <w:jc w:val="center"/>
              <w:rPr>
                <w:rFonts w:ascii="宋体" w:hAnsi="宋体" w:cs="宋体"/>
                <w:b/>
                <w:bCs/>
                <w:sz w:val="24"/>
                <w:szCs w:val="24"/>
              </w:rPr>
            </w:pPr>
            <w:r>
              <w:rPr>
                <w:rFonts w:hint="eastAsia" w:ascii="宋体" w:hAnsi="宋体" w:cs="宋体"/>
                <w:b/>
                <w:bCs/>
                <w:sz w:val="24"/>
                <w:szCs w:val="24"/>
              </w:rPr>
              <w:t>项目</w:t>
            </w:r>
          </w:p>
        </w:tc>
        <w:tc>
          <w:tcPr>
            <w:tcW w:w="474" w:type="pct"/>
            <w:tcBorders>
              <w:top w:val="double" w:color="auto" w:sz="4" w:space="0"/>
              <w:left w:val="single" w:color="auto" w:sz="4" w:space="0"/>
              <w:bottom w:val="single" w:color="auto" w:sz="4" w:space="0"/>
              <w:right w:val="single" w:color="auto" w:sz="4" w:space="0"/>
            </w:tcBorders>
            <w:vAlign w:val="center"/>
          </w:tcPr>
          <w:p w14:paraId="799A52E7">
            <w:pPr>
              <w:snapToGrid w:val="0"/>
              <w:spacing w:line="400" w:lineRule="exact"/>
              <w:jc w:val="center"/>
              <w:rPr>
                <w:rFonts w:ascii="宋体" w:hAnsi="宋体" w:cs="宋体"/>
                <w:b/>
                <w:bCs/>
                <w:sz w:val="24"/>
                <w:szCs w:val="24"/>
              </w:rPr>
            </w:pPr>
            <w:r>
              <w:rPr>
                <w:rFonts w:hint="eastAsia" w:ascii="宋体" w:hAnsi="宋体" w:cs="宋体"/>
                <w:b/>
                <w:bCs/>
                <w:sz w:val="24"/>
                <w:szCs w:val="24"/>
              </w:rPr>
              <w:t>条款号</w:t>
            </w:r>
          </w:p>
        </w:tc>
        <w:tc>
          <w:tcPr>
            <w:tcW w:w="916" w:type="pct"/>
            <w:tcBorders>
              <w:top w:val="double" w:color="auto" w:sz="4" w:space="0"/>
              <w:left w:val="single" w:color="auto" w:sz="4" w:space="0"/>
              <w:bottom w:val="single" w:color="auto" w:sz="4" w:space="0"/>
              <w:right w:val="single" w:color="auto" w:sz="4" w:space="0"/>
            </w:tcBorders>
            <w:vAlign w:val="center"/>
          </w:tcPr>
          <w:p w14:paraId="31F67B75">
            <w:pPr>
              <w:snapToGrid w:val="0"/>
              <w:spacing w:line="400" w:lineRule="exact"/>
              <w:jc w:val="center"/>
              <w:rPr>
                <w:rFonts w:ascii="宋体" w:hAnsi="宋体" w:cs="宋体"/>
                <w:b/>
                <w:bCs/>
                <w:sz w:val="24"/>
                <w:szCs w:val="24"/>
              </w:rPr>
            </w:pPr>
            <w:r>
              <w:rPr>
                <w:rFonts w:hint="eastAsia" w:ascii="宋体" w:hAnsi="宋体" w:cs="宋体"/>
                <w:b/>
                <w:bCs/>
                <w:sz w:val="24"/>
                <w:szCs w:val="24"/>
              </w:rPr>
              <w:t>内容</w:t>
            </w:r>
          </w:p>
        </w:tc>
        <w:tc>
          <w:tcPr>
            <w:tcW w:w="3234" w:type="pct"/>
            <w:tcBorders>
              <w:top w:val="double" w:color="auto" w:sz="4" w:space="0"/>
              <w:left w:val="single" w:color="auto" w:sz="4" w:space="0"/>
              <w:bottom w:val="single" w:color="auto" w:sz="4" w:space="0"/>
              <w:right w:val="double" w:color="auto" w:sz="4" w:space="0"/>
            </w:tcBorders>
            <w:vAlign w:val="center"/>
          </w:tcPr>
          <w:p w14:paraId="6B22D55A">
            <w:pPr>
              <w:pStyle w:val="23"/>
              <w:snapToGrid w:val="0"/>
              <w:spacing w:line="400" w:lineRule="exact"/>
              <w:jc w:val="center"/>
              <w:rPr>
                <w:rFonts w:ascii="宋体" w:hAnsi="宋体" w:cs="宋体"/>
                <w:b/>
                <w:bCs/>
                <w:kern w:val="2"/>
                <w:sz w:val="24"/>
                <w:szCs w:val="24"/>
              </w:rPr>
            </w:pPr>
            <w:r>
              <w:rPr>
                <w:rFonts w:hint="eastAsia" w:ascii="宋体" w:hAnsi="宋体" w:cs="宋体"/>
                <w:b/>
                <w:bCs/>
                <w:kern w:val="2"/>
                <w:sz w:val="24"/>
                <w:szCs w:val="24"/>
              </w:rPr>
              <w:t>说明与要求</w:t>
            </w:r>
          </w:p>
        </w:tc>
      </w:tr>
      <w:tr w14:paraId="4489DD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44C49A50">
            <w:pPr>
              <w:snapToGrid w:val="0"/>
              <w:spacing w:line="400" w:lineRule="exact"/>
              <w:jc w:val="center"/>
              <w:rPr>
                <w:rFonts w:ascii="宋体" w:hAnsi="宋体" w:cs="宋体"/>
                <w:sz w:val="24"/>
                <w:szCs w:val="24"/>
              </w:rPr>
            </w:pPr>
            <w:r>
              <w:rPr>
                <w:rFonts w:hint="eastAsia" w:ascii="宋体" w:hAnsi="宋体" w:cs="宋体"/>
                <w:sz w:val="24"/>
                <w:szCs w:val="24"/>
              </w:rPr>
              <w:t>1</w:t>
            </w:r>
          </w:p>
        </w:tc>
        <w:tc>
          <w:tcPr>
            <w:tcW w:w="474" w:type="pct"/>
            <w:tcBorders>
              <w:top w:val="single" w:color="auto" w:sz="4" w:space="0"/>
              <w:left w:val="single" w:color="auto" w:sz="4" w:space="0"/>
              <w:bottom w:val="single" w:color="auto" w:sz="4" w:space="0"/>
              <w:right w:val="single" w:color="auto" w:sz="4" w:space="0"/>
            </w:tcBorders>
            <w:vAlign w:val="center"/>
          </w:tcPr>
          <w:p w14:paraId="2EBAF25D">
            <w:pPr>
              <w:snapToGrid w:val="0"/>
              <w:spacing w:line="400" w:lineRule="exact"/>
              <w:jc w:val="center"/>
              <w:rPr>
                <w:rFonts w:ascii="宋体" w:hAnsi="宋体" w:cs="宋体"/>
                <w:sz w:val="24"/>
                <w:szCs w:val="24"/>
              </w:rPr>
            </w:pPr>
            <w:r>
              <w:rPr>
                <w:rFonts w:hint="eastAsia" w:ascii="宋体" w:hAnsi="宋体" w:cs="宋体"/>
                <w:sz w:val="24"/>
                <w:szCs w:val="24"/>
              </w:rPr>
              <w:t>1</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14:paraId="3569DC64">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定义</w:t>
            </w:r>
          </w:p>
        </w:tc>
        <w:tc>
          <w:tcPr>
            <w:tcW w:w="3234" w:type="pct"/>
            <w:tcBorders>
              <w:top w:val="single" w:color="auto" w:sz="4" w:space="0"/>
              <w:left w:val="single" w:color="auto" w:sz="4" w:space="0"/>
              <w:bottom w:val="single" w:color="auto" w:sz="4" w:space="0"/>
              <w:right w:val="double" w:color="auto" w:sz="4" w:space="0"/>
            </w:tcBorders>
            <w:shd w:val="clear" w:color="auto" w:fill="auto"/>
            <w:vAlign w:val="center"/>
          </w:tcPr>
          <w:p w14:paraId="4E368F2D">
            <w:pPr>
              <w:snapToGrid w:val="0"/>
              <w:spacing w:line="40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招标人（即发包人）：</w:t>
            </w:r>
            <w:r>
              <w:rPr>
                <w:rFonts w:hint="eastAsia" w:ascii="宋体" w:hAnsi="宋体" w:cs="宋体"/>
                <w:color w:val="auto"/>
                <w:sz w:val="24"/>
                <w:szCs w:val="24"/>
                <w:highlight w:val="none"/>
                <w:u w:val="single"/>
              </w:rPr>
              <w:t>广州印钞有限公司</w:t>
            </w:r>
          </w:p>
          <w:p w14:paraId="002D5F42">
            <w:pPr>
              <w:snapToGrid w:val="0"/>
              <w:spacing w:line="40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招标代理：</w:t>
            </w:r>
            <w:r>
              <w:rPr>
                <w:rFonts w:hint="eastAsia" w:ascii="宋体" w:hAnsi="宋体" w:cs="宋体"/>
                <w:color w:val="auto"/>
                <w:sz w:val="24"/>
                <w:szCs w:val="24"/>
                <w:highlight w:val="none"/>
                <w:u w:val="single"/>
              </w:rPr>
              <w:t>广东国科招标有限公司</w:t>
            </w:r>
          </w:p>
          <w:p w14:paraId="5811BB24">
            <w:pPr>
              <w:snapToGrid w:val="0"/>
              <w:spacing w:line="40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设计单位：广东建筑艺术设计院有限公司</w:t>
            </w:r>
          </w:p>
          <w:p w14:paraId="653A11BC">
            <w:pPr>
              <w:snapToGrid w:val="0"/>
              <w:spacing w:line="40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监理单位：</w:t>
            </w:r>
            <w:r>
              <w:rPr>
                <w:rFonts w:hint="eastAsia" w:ascii="宋体" w:hAnsi="宋体" w:cs="宋体"/>
                <w:color w:val="auto"/>
                <w:sz w:val="24"/>
                <w:szCs w:val="24"/>
                <w:highlight w:val="none"/>
                <w:u w:val="single"/>
              </w:rPr>
              <w:t>广州万安建设监理有限公司</w:t>
            </w:r>
          </w:p>
          <w:p w14:paraId="3113CA92">
            <w:pPr>
              <w:rPr>
                <w:rFonts w:ascii="宋体" w:hAnsi="宋体" w:cs="宋体"/>
                <w:color w:val="auto"/>
                <w:highlight w:val="none"/>
              </w:rPr>
            </w:pPr>
            <w:bookmarkStart w:id="2" w:name="_Toc6216"/>
            <w:bookmarkStart w:id="3" w:name="_Toc31153"/>
            <w:r>
              <w:rPr>
                <w:rFonts w:hint="eastAsia" w:ascii="宋体" w:hAnsi="宋体" w:cs="宋体"/>
                <w:color w:val="auto"/>
                <w:sz w:val="24"/>
                <w:szCs w:val="24"/>
                <w:highlight w:val="none"/>
              </w:rPr>
              <w:t>检测机构：</w:t>
            </w:r>
            <w:bookmarkEnd w:id="2"/>
            <w:bookmarkEnd w:id="3"/>
            <w:r>
              <w:rPr>
                <w:rFonts w:hint="eastAsia" w:ascii="宋体" w:hAnsi="宋体" w:cs="宋体"/>
                <w:color w:val="auto"/>
                <w:sz w:val="24"/>
                <w:szCs w:val="24"/>
                <w:highlight w:val="none"/>
                <w:u w:val="single"/>
              </w:rPr>
              <w:t>广东稳固检测鉴定有限公司</w:t>
            </w:r>
          </w:p>
        </w:tc>
      </w:tr>
      <w:tr w14:paraId="550B0B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34F930FF">
            <w:pPr>
              <w:snapToGrid w:val="0"/>
              <w:spacing w:line="400" w:lineRule="exact"/>
              <w:jc w:val="center"/>
              <w:rPr>
                <w:rFonts w:ascii="宋体" w:hAnsi="宋体" w:cs="宋体"/>
                <w:sz w:val="24"/>
                <w:szCs w:val="24"/>
              </w:rPr>
            </w:pPr>
            <w:r>
              <w:rPr>
                <w:rFonts w:hint="eastAsia" w:ascii="宋体" w:hAnsi="宋体" w:cs="宋体"/>
                <w:sz w:val="24"/>
                <w:szCs w:val="24"/>
              </w:rPr>
              <w:t>2</w:t>
            </w:r>
          </w:p>
        </w:tc>
        <w:tc>
          <w:tcPr>
            <w:tcW w:w="474" w:type="pct"/>
            <w:tcBorders>
              <w:top w:val="single" w:color="auto" w:sz="4" w:space="0"/>
              <w:left w:val="single" w:color="auto" w:sz="4" w:space="0"/>
              <w:bottom w:val="single" w:color="auto" w:sz="4" w:space="0"/>
              <w:right w:val="single" w:color="auto" w:sz="4" w:space="0"/>
            </w:tcBorders>
            <w:vAlign w:val="center"/>
          </w:tcPr>
          <w:p w14:paraId="4C7F9C11">
            <w:pPr>
              <w:snapToGrid w:val="0"/>
              <w:spacing w:line="400" w:lineRule="exact"/>
              <w:jc w:val="center"/>
              <w:rPr>
                <w:rFonts w:ascii="宋体" w:hAnsi="宋体" w:cs="宋体"/>
                <w:sz w:val="24"/>
                <w:szCs w:val="24"/>
              </w:rPr>
            </w:pPr>
            <w:r>
              <w:rPr>
                <w:rFonts w:hint="eastAsia" w:ascii="宋体" w:hAnsi="宋体" w:cs="宋体"/>
                <w:sz w:val="24"/>
                <w:szCs w:val="24"/>
              </w:rPr>
              <w:t>2.2</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14:paraId="75A07896">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工程名称</w:t>
            </w:r>
          </w:p>
        </w:tc>
        <w:tc>
          <w:tcPr>
            <w:tcW w:w="3234" w:type="pct"/>
            <w:tcBorders>
              <w:top w:val="single" w:color="auto" w:sz="4" w:space="0"/>
              <w:left w:val="single" w:color="auto" w:sz="4" w:space="0"/>
              <w:bottom w:val="single" w:color="auto" w:sz="4" w:space="0"/>
              <w:right w:val="double" w:color="auto" w:sz="4" w:space="0"/>
            </w:tcBorders>
            <w:shd w:val="clear" w:color="auto" w:fill="auto"/>
            <w:vAlign w:val="center"/>
          </w:tcPr>
          <w:p w14:paraId="59136989">
            <w:pPr>
              <w:snapToGrid w:val="0"/>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光华公司搬迁装修工程</w:t>
            </w:r>
          </w:p>
        </w:tc>
      </w:tr>
      <w:tr w14:paraId="517804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59F56014">
            <w:pPr>
              <w:snapToGrid w:val="0"/>
              <w:spacing w:line="400" w:lineRule="exact"/>
              <w:jc w:val="center"/>
              <w:rPr>
                <w:rFonts w:ascii="宋体" w:hAnsi="宋体" w:cs="宋体"/>
                <w:sz w:val="24"/>
                <w:szCs w:val="24"/>
              </w:rPr>
            </w:pPr>
            <w:r>
              <w:rPr>
                <w:rFonts w:hint="eastAsia" w:ascii="宋体" w:hAnsi="宋体" w:cs="宋体"/>
                <w:sz w:val="24"/>
                <w:szCs w:val="24"/>
              </w:rPr>
              <w:t>3</w:t>
            </w:r>
          </w:p>
        </w:tc>
        <w:tc>
          <w:tcPr>
            <w:tcW w:w="474" w:type="pct"/>
            <w:tcBorders>
              <w:top w:val="single" w:color="auto" w:sz="4" w:space="0"/>
              <w:left w:val="single" w:color="auto" w:sz="4" w:space="0"/>
              <w:bottom w:val="single" w:color="auto" w:sz="4" w:space="0"/>
              <w:right w:val="single" w:color="auto" w:sz="4" w:space="0"/>
            </w:tcBorders>
            <w:vAlign w:val="center"/>
          </w:tcPr>
          <w:p w14:paraId="5D2BDD42">
            <w:pPr>
              <w:snapToGrid w:val="0"/>
              <w:spacing w:line="400" w:lineRule="exact"/>
              <w:jc w:val="center"/>
              <w:rPr>
                <w:rFonts w:ascii="宋体" w:hAnsi="宋体" w:cs="宋体"/>
                <w:sz w:val="24"/>
                <w:szCs w:val="24"/>
              </w:rPr>
            </w:pPr>
            <w:r>
              <w:rPr>
                <w:rFonts w:hint="eastAsia" w:ascii="宋体" w:hAnsi="宋体" w:cs="宋体"/>
                <w:sz w:val="24"/>
                <w:szCs w:val="24"/>
              </w:rPr>
              <w:t>2.2</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14:paraId="72E9CAF6">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建设地点</w:t>
            </w:r>
          </w:p>
        </w:tc>
        <w:tc>
          <w:tcPr>
            <w:tcW w:w="3234" w:type="pct"/>
            <w:tcBorders>
              <w:top w:val="single" w:color="auto" w:sz="4" w:space="0"/>
              <w:left w:val="single" w:color="auto" w:sz="4" w:space="0"/>
              <w:bottom w:val="single" w:color="auto" w:sz="4" w:space="0"/>
              <w:right w:val="double" w:color="auto" w:sz="4" w:space="0"/>
            </w:tcBorders>
            <w:shd w:val="clear" w:color="auto" w:fill="auto"/>
            <w:vAlign w:val="center"/>
          </w:tcPr>
          <w:p w14:paraId="7806EB13">
            <w:pPr>
              <w:snapToGrid w:val="0"/>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广州市黄埔区开泰大道99号</w:t>
            </w:r>
          </w:p>
        </w:tc>
      </w:tr>
      <w:tr w14:paraId="768532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5B70E14B">
            <w:pPr>
              <w:snapToGrid w:val="0"/>
              <w:spacing w:line="400" w:lineRule="exact"/>
              <w:jc w:val="center"/>
              <w:rPr>
                <w:rFonts w:ascii="宋体" w:hAnsi="宋体" w:cs="宋体"/>
                <w:sz w:val="24"/>
                <w:szCs w:val="24"/>
              </w:rPr>
            </w:pPr>
            <w:r>
              <w:rPr>
                <w:rFonts w:hint="eastAsia" w:ascii="宋体" w:hAnsi="宋体" w:cs="宋体"/>
                <w:sz w:val="24"/>
                <w:szCs w:val="24"/>
              </w:rPr>
              <w:t>4</w:t>
            </w:r>
          </w:p>
        </w:tc>
        <w:tc>
          <w:tcPr>
            <w:tcW w:w="474" w:type="pct"/>
            <w:tcBorders>
              <w:top w:val="single" w:color="auto" w:sz="4" w:space="0"/>
              <w:left w:val="single" w:color="auto" w:sz="4" w:space="0"/>
              <w:bottom w:val="single" w:color="auto" w:sz="4" w:space="0"/>
              <w:right w:val="single" w:color="auto" w:sz="4" w:space="0"/>
            </w:tcBorders>
            <w:vAlign w:val="center"/>
          </w:tcPr>
          <w:p w14:paraId="3BD0A920">
            <w:pPr>
              <w:snapToGrid w:val="0"/>
              <w:spacing w:line="400" w:lineRule="exact"/>
              <w:jc w:val="center"/>
              <w:rPr>
                <w:rFonts w:ascii="宋体" w:hAnsi="宋体" w:cs="宋体"/>
                <w:sz w:val="24"/>
                <w:szCs w:val="24"/>
              </w:rPr>
            </w:pPr>
            <w:r>
              <w:rPr>
                <w:rFonts w:hint="eastAsia" w:ascii="宋体" w:hAnsi="宋体" w:cs="宋体"/>
                <w:sz w:val="24"/>
                <w:szCs w:val="24"/>
              </w:rPr>
              <w:t>2.2</w:t>
            </w:r>
          </w:p>
        </w:tc>
        <w:tc>
          <w:tcPr>
            <w:tcW w:w="916" w:type="pct"/>
            <w:tcBorders>
              <w:top w:val="single" w:color="auto" w:sz="4" w:space="0"/>
              <w:left w:val="single" w:color="auto" w:sz="4" w:space="0"/>
              <w:bottom w:val="single" w:color="auto" w:sz="4" w:space="0"/>
              <w:right w:val="single" w:color="auto" w:sz="4" w:space="0"/>
            </w:tcBorders>
            <w:vAlign w:val="center"/>
          </w:tcPr>
          <w:p w14:paraId="3F0AA92E">
            <w:pPr>
              <w:snapToGrid w:val="0"/>
              <w:spacing w:line="400" w:lineRule="exact"/>
              <w:jc w:val="center"/>
              <w:rPr>
                <w:rFonts w:ascii="宋体" w:hAnsi="宋体" w:cs="宋体"/>
                <w:sz w:val="24"/>
                <w:szCs w:val="24"/>
              </w:rPr>
            </w:pPr>
            <w:r>
              <w:rPr>
                <w:rFonts w:hint="eastAsia" w:ascii="宋体" w:hAnsi="宋体" w:cs="宋体"/>
                <w:sz w:val="24"/>
                <w:szCs w:val="24"/>
              </w:rPr>
              <w:t>建设规模</w:t>
            </w:r>
          </w:p>
        </w:tc>
        <w:tc>
          <w:tcPr>
            <w:tcW w:w="3234" w:type="pct"/>
            <w:tcBorders>
              <w:top w:val="single" w:color="auto" w:sz="4" w:space="0"/>
              <w:left w:val="single" w:color="auto" w:sz="4" w:space="0"/>
              <w:bottom w:val="single" w:color="auto" w:sz="4" w:space="0"/>
              <w:right w:val="double" w:color="auto" w:sz="4" w:space="0"/>
            </w:tcBorders>
            <w:vAlign w:val="center"/>
          </w:tcPr>
          <w:p w14:paraId="4FC3532D">
            <w:pPr>
              <w:snapToGrid w:val="0"/>
              <w:spacing w:line="400" w:lineRule="exact"/>
              <w:rPr>
                <w:rFonts w:ascii="宋体" w:hAnsi="宋体" w:cs="宋体"/>
                <w:sz w:val="24"/>
                <w:szCs w:val="24"/>
                <w:u w:val="single"/>
              </w:rPr>
            </w:pPr>
            <w:r>
              <w:rPr>
                <w:rFonts w:hint="eastAsia" w:ascii="宋体" w:hAnsi="宋体" w:cs="宋体"/>
                <w:sz w:val="24"/>
                <w:szCs w:val="24"/>
                <w:u w:val="single"/>
              </w:rPr>
              <w:t>详见本工程招标公告</w:t>
            </w:r>
          </w:p>
        </w:tc>
      </w:tr>
      <w:tr w14:paraId="79E2E2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58AF9218">
            <w:pPr>
              <w:snapToGrid w:val="0"/>
              <w:spacing w:line="400" w:lineRule="exact"/>
              <w:jc w:val="center"/>
              <w:rPr>
                <w:rFonts w:ascii="宋体" w:hAnsi="宋体" w:cs="宋体"/>
                <w:sz w:val="24"/>
                <w:szCs w:val="24"/>
              </w:rPr>
            </w:pPr>
            <w:r>
              <w:rPr>
                <w:rFonts w:hint="eastAsia" w:ascii="宋体" w:hAnsi="宋体" w:cs="宋体"/>
                <w:sz w:val="24"/>
                <w:szCs w:val="24"/>
              </w:rPr>
              <w:t>5</w:t>
            </w:r>
          </w:p>
        </w:tc>
        <w:tc>
          <w:tcPr>
            <w:tcW w:w="474" w:type="pct"/>
            <w:tcBorders>
              <w:top w:val="single" w:color="auto" w:sz="4" w:space="0"/>
              <w:left w:val="single" w:color="auto" w:sz="4" w:space="0"/>
              <w:bottom w:val="single" w:color="auto" w:sz="4" w:space="0"/>
              <w:right w:val="single" w:color="auto" w:sz="4" w:space="0"/>
            </w:tcBorders>
            <w:vAlign w:val="center"/>
          </w:tcPr>
          <w:p w14:paraId="3D7997FC">
            <w:pPr>
              <w:snapToGrid w:val="0"/>
              <w:spacing w:line="400" w:lineRule="exact"/>
              <w:jc w:val="center"/>
              <w:rPr>
                <w:rFonts w:ascii="宋体" w:hAnsi="宋体" w:cs="宋体"/>
                <w:sz w:val="24"/>
                <w:szCs w:val="24"/>
              </w:rPr>
            </w:pPr>
            <w:r>
              <w:rPr>
                <w:rFonts w:hint="eastAsia" w:ascii="宋体" w:hAnsi="宋体" w:cs="宋体"/>
                <w:sz w:val="24"/>
                <w:szCs w:val="24"/>
              </w:rPr>
              <w:t>2.2</w:t>
            </w:r>
          </w:p>
        </w:tc>
        <w:tc>
          <w:tcPr>
            <w:tcW w:w="916" w:type="pct"/>
            <w:tcBorders>
              <w:top w:val="single" w:color="auto" w:sz="4" w:space="0"/>
              <w:left w:val="single" w:color="auto" w:sz="4" w:space="0"/>
              <w:bottom w:val="single" w:color="auto" w:sz="4" w:space="0"/>
              <w:right w:val="single" w:color="auto" w:sz="4" w:space="0"/>
            </w:tcBorders>
            <w:vAlign w:val="center"/>
          </w:tcPr>
          <w:p w14:paraId="51FBEF5E">
            <w:pPr>
              <w:snapToGrid w:val="0"/>
              <w:spacing w:line="400" w:lineRule="exact"/>
              <w:jc w:val="center"/>
              <w:rPr>
                <w:rFonts w:ascii="宋体" w:hAnsi="宋体" w:cs="宋体"/>
                <w:sz w:val="24"/>
                <w:szCs w:val="24"/>
              </w:rPr>
            </w:pPr>
            <w:r>
              <w:rPr>
                <w:rFonts w:hint="eastAsia" w:ascii="宋体" w:hAnsi="宋体" w:cs="宋体"/>
                <w:sz w:val="24"/>
                <w:szCs w:val="24"/>
              </w:rPr>
              <w:t>承包方式</w:t>
            </w:r>
          </w:p>
        </w:tc>
        <w:tc>
          <w:tcPr>
            <w:tcW w:w="3234" w:type="pct"/>
            <w:tcBorders>
              <w:top w:val="single" w:color="auto" w:sz="4" w:space="0"/>
              <w:left w:val="single" w:color="auto" w:sz="4" w:space="0"/>
              <w:bottom w:val="single" w:color="auto" w:sz="4" w:space="0"/>
              <w:right w:val="double" w:color="auto" w:sz="4" w:space="0"/>
            </w:tcBorders>
            <w:vAlign w:val="center"/>
          </w:tcPr>
          <w:p w14:paraId="2BA4BF4C">
            <w:pPr>
              <w:snapToGrid w:val="0"/>
              <w:spacing w:line="400" w:lineRule="exact"/>
              <w:rPr>
                <w:rFonts w:ascii="宋体" w:hAnsi="宋体" w:cs="宋体"/>
                <w:color w:val="auto"/>
                <w:sz w:val="24"/>
                <w:szCs w:val="24"/>
                <w:u w:val="single"/>
              </w:rPr>
            </w:pPr>
            <w:r>
              <w:rPr>
                <w:rFonts w:hint="eastAsia" w:ascii="宋体" w:hAnsi="宋体" w:cs="宋体"/>
                <w:color w:val="auto"/>
                <w:sz w:val="24"/>
                <w:szCs w:val="24"/>
                <w:u w:val="single"/>
              </w:rPr>
              <w:t>包工、包料、包工期、包质量、包安全生产、包文明施工、包验收、包保修的承包方式。本工程为综合单价包干，工程量按实结算，绿色施工安全防护措施费总价包干形式。</w:t>
            </w:r>
          </w:p>
        </w:tc>
      </w:tr>
      <w:tr w14:paraId="14094B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654CEC56">
            <w:pPr>
              <w:snapToGrid w:val="0"/>
              <w:spacing w:line="400" w:lineRule="exact"/>
              <w:jc w:val="center"/>
              <w:rPr>
                <w:rFonts w:ascii="宋体" w:hAnsi="宋体" w:cs="宋体"/>
                <w:sz w:val="24"/>
                <w:szCs w:val="24"/>
              </w:rPr>
            </w:pPr>
            <w:r>
              <w:rPr>
                <w:rFonts w:hint="eastAsia" w:ascii="宋体" w:hAnsi="宋体" w:cs="宋体"/>
                <w:sz w:val="24"/>
                <w:szCs w:val="24"/>
              </w:rPr>
              <w:t>6</w:t>
            </w:r>
          </w:p>
        </w:tc>
        <w:tc>
          <w:tcPr>
            <w:tcW w:w="474" w:type="pct"/>
            <w:tcBorders>
              <w:top w:val="single" w:color="auto" w:sz="4" w:space="0"/>
              <w:left w:val="single" w:color="auto" w:sz="4" w:space="0"/>
              <w:bottom w:val="single" w:color="auto" w:sz="4" w:space="0"/>
              <w:right w:val="single" w:color="auto" w:sz="4" w:space="0"/>
            </w:tcBorders>
            <w:vAlign w:val="center"/>
          </w:tcPr>
          <w:p w14:paraId="0166BC3B">
            <w:pPr>
              <w:snapToGrid w:val="0"/>
              <w:spacing w:line="400" w:lineRule="exact"/>
              <w:jc w:val="center"/>
              <w:rPr>
                <w:rFonts w:ascii="宋体" w:hAnsi="宋体" w:cs="宋体"/>
                <w:sz w:val="24"/>
                <w:szCs w:val="24"/>
              </w:rPr>
            </w:pPr>
            <w:r>
              <w:rPr>
                <w:rFonts w:hint="eastAsia" w:ascii="宋体" w:hAnsi="宋体" w:cs="宋体"/>
                <w:sz w:val="24"/>
                <w:szCs w:val="24"/>
              </w:rPr>
              <w:t>2.2</w:t>
            </w:r>
          </w:p>
        </w:tc>
        <w:tc>
          <w:tcPr>
            <w:tcW w:w="916" w:type="pct"/>
            <w:tcBorders>
              <w:top w:val="single" w:color="auto" w:sz="4" w:space="0"/>
              <w:left w:val="single" w:color="auto" w:sz="4" w:space="0"/>
              <w:bottom w:val="single" w:color="auto" w:sz="4" w:space="0"/>
              <w:right w:val="single" w:color="auto" w:sz="4" w:space="0"/>
            </w:tcBorders>
            <w:vAlign w:val="center"/>
          </w:tcPr>
          <w:p w14:paraId="5FEB2A1B">
            <w:pPr>
              <w:snapToGrid w:val="0"/>
              <w:spacing w:line="400" w:lineRule="exact"/>
              <w:jc w:val="center"/>
              <w:rPr>
                <w:rFonts w:ascii="宋体" w:hAnsi="宋体" w:cs="宋体"/>
                <w:sz w:val="24"/>
                <w:szCs w:val="24"/>
              </w:rPr>
            </w:pPr>
            <w:r>
              <w:rPr>
                <w:rFonts w:hint="eastAsia" w:ascii="宋体" w:hAnsi="宋体" w:cs="宋体"/>
                <w:sz w:val="24"/>
                <w:szCs w:val="24"/>
              </w:rPr>
              <w:t>质量标准</w:t>
            </w:r>
          </w:p>
        </w:tc>
        <w:tc>
          <w:tcPr>
            <w:tcW w:w="3234" w:type="pct"/>
            <w:tcBorders>
              <w:top w:val="single" w:color="auto" w:sz="4" w:space="0"/>
              <w:left w:val="single" w:color="auto" w:sz="4" w:space="0"/>
              <w:bottom w:val="single" w:color="auto" w:sz="4" w:space="0"/>
              <w:right w:val="double" w:color="auto" w:sz="4" w:space="0"/>
            </w:tcBorders>
            <w:vAlign w:val="center"/>
          </w:tcPr>
          <w:p w14:paraId="465A248A">
            <w:pPr>
              <w:snapToGrid w:val="0"/>
              <w:spacing w:line="400" w:lineRule="exact"/>
              <w:rPr>
                <w:rFonts w:ascii="宋体" w:hAnsi="宋体" w:cs="宋体"/>
                <w:sz w:val="24"/>
                <w:szCs w:val="24"/>
                <w:u w:val="single"/>
              </w:rPr>
            </w:pPr>
            <w:r>
              <w:rPr>
                <w:rFonts w:hint="eastAsia" w:ascii="宋体" w:hAnsi="宋体" w:cs="宋体"/>
                <w:sz w:val="24"/>
                <w:szCs w:val="24"/>
                <w:u w:val="single"/>
              </w:rPr>
              <w:t>合格。</w:t>
            </w:r>
          </w:p>
        </w:tc>
      </w:tr>
      <w:tr w14:paraId="2A3F2A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5245C642">
            <w:pPr>
              <w:snapToGrid w:val="0"/>
              <w:spacing w:line="400" w:lineRule="exact"/>
              <w:jc w:val="center"/>
              <w:rPr>
                <w:rFonts w:ascii="宋体" w:hAnsi="宋体" w:cs="宋体"/>
                <w:sz w:val="24"/>
                <w:szCs w:val="24"/>
              </w:rPr>
            </w:pPr>
            <w:r>
              <w:rPr>
                <w:rFonts w:hint="eastAsia" w:ascii="宋体" w:hAnsi="宋体" w:cs="宋体"/>
                <w:sz w:val="24"/>
                <w:szCs w:val="24"/>
              </w:rPr>
              <w:t>7</w:t>
            </w:r>
          </w:p>
        </w:tc>
        <w:tc>
          <w:tcPr>
            <w:tcW w:w="474" w:type="pct"/>
            <w:tcBorders>
              <w:top w:val="single" w:color="auto" w:sz="4" w:space="0"/>
              <w:left w:val="single" w:color="auto" w:sz="4" w:space="0"/>
              <w:bottom w:val="single" w:color="auto" w:sz="4" w:space="0"/>
              <w:right w:val="single" w:color="auto" w:sz="4" w:space="0"/>
            </w:tcBorders>
            <w:vAlign w:val="center"/>
          </w:tcPr>
          <w:p w14:paraId="2095A7B9">
            <w:pPr>
              <w:snapToGrid w:val="0"/>
              <w:spacing w:line="400" w:lineRule="exact"/>
              <w:jc w:val="center"/>
              <w:rPr>
                <w:rFonts w:ascii="宋体" w:hAnsi="宋体" w:cs="宋体"/>
                <w:sz w:val="24"/>
                <w:szCs w:val="24"/>
              </w:rPr>
            </w:pPr>
            <w:r>
              <w:rPr>
                <w:rFonts w:hint="eastAsia" w:ascii="宋体" w:hAnsi="宋体" w:cs="宋体"/>
                <w:sz w:val="24"/>
                <w:szCs w:val="24"/>
              </w:rPr>
              <w:t>2.2</w:t>
            </w:r>
          </w:p>
        </w:tc>
        <w:tc>
          <w:tcPr>
            <w:tcW w:w="916" w:type="pct"/>
            <w:tcBorders>
              <w:top w:val="single" w:color="auto" w:sz="4" w:space="0"/>
              <w:left w:val="single" w:color="auto" w:sz="4" w:space="0"/>
              <w:bottom w:val="single" w:color="auto" w:sz="4" w:space="0"/>
              <w:right w:val="single" w:color="auto" w:sz="4" w:space="0"/>
            </w:tcBorders>
            <w:vAlign w:val="center"/>
          </w:tcPr>
          <w:p w14:paraId="72657772">
            <w:pPr>
              <w:snapToGrid w:val="0"/>
              <w:spacing w:line="400" w:lineRule="exact"/>
              <w:jc w:val="center"/>
              <w:rPr>
                <w:rFonts w:ascii="宋体" w:hAnsi="宋体" w:cs="宋体"/>
                <w:sz w:val="24"/>
                <w:szCs w:val="24"/>
              </w:rPr>
            </w:pPr>
            <w:r>
              <w:rPr>
                <w:rFonts w:hint="eastAsia" w:ascii="宋体" w:hAnsi="宋体" w:cs="宋体"/>
                <w:sz w:val="24"/>
                <w:szCs w:val="24"/>
              </w:rPr>
              <w:t>招标范围</w:t>
            </w:r>
          </w:p>
        </w:tc>
        <w:tc>
          <w:tcPr>
            <w:tcW w:w="3234" w:type="pct"/>
            <w:tcBorders>
              <w:top w:val="single" w:color="auto" w:sz="4" w:space="0"/>
              <w:left w:val="single" w:color="auto" w:sz="4" w:space="0"/>
              <w:bottom w:val="single" w:color="auto" w:sz="4" w:space="0"/>
              <w:right w:val="double" w:color="auto" w:sz="4" w:space="0"/>
            </w:tcBorders>
            <w:vAlign w:val="center"/>
          </w:tcPr>
          <w:p w14:paraId="0CFDEEA6">
            <w:pPr>
              <w:snapToGrid w:val="0"/>
              <w:spacing w:line="400" w:lineRule="exact"/>
              <w:rPr>
                <w:rFonts w:ascii="宋体" w:hAnsi="宋体" w:cs="宋体"/>
                <w:sz w:val="24"/>
                <w:szCs w:val="24"/>
                <w:u w:val="single"/>
              </w:rPr>
            </w:pPr>
            <w:r>
              <w:rPr>
                <w:rFonts w:hint="eastAsia" w:ascii="宋体" w:hAnsi="宋体" w:cs="宋体"/>
                <w:sz w:val="24"/>
                <w:szCs w:val="24"/>
                <w:u w:val="single"/>
              </w:rPr>
              <w:t>详见本工程招标公告，具体以工程量清单及图纸为准</w:t>
            </w:r>
          </w:p>
        </w:tc>
      </w:tr>
      <w:tr w14:paraId="0D87D8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3D1F5CF7">
            <w:pPr>
              <w:snapToGrid w:val="0"/>
              <w:spacing w:line="400" w:lineRule="exact"/>
              <w:jc w:val="center"/>
              <w:rPr>
                <w:rFonts w:ascii="宋体" w:hAnsi="宋体" w:cs="宋体"/>
                <w:sz w:val="24"/>
                <w:szCs w:val="24"/>
              </w:rPr>
            </w:pPr>
            <w:r>
              <w:rPr>
                <w:rFonts w:hint="eastAsia" w:ascii="宋体" w:hAnsi="宋体" w:cs="宋体"/>
                <w:sz w:val="24"/>
                <w:szCs w:val="24"/>
              </w:rPr>
              <w:t>8</w:t>
            </w:r>
          </w:p>
        </w:tc>
        <w:tc>
          <w:tcPr>
            <w:tcW w:w="474" w:type="pct"/>
            <w:tcBorders>
              <w:top w:val="single" w:color="auto" w:sz="4" w:space="0"/>
              <w:left w:val="single" w:color="auto" w:sz="4" w:space="0"/>
              <w:bottom w:val="single" w:color="auto" w:sz="4" w:space="0"/>
              <w:right w:val="single" w:color="auto" w:sz="4" w:space="0"/>
            </w:tcBorders>
            <w:vAlign w:val="center"/>
          </w:tcPr>
          <w:p w14:paraId="41CCC7E7">
            <w:pPr>
              <w:snapToGrid w:val="0"/>
              <w:spacing w:line="400" w:lineRule="exact"/>
              <w:jc w:val="center"/>
              <w:rPr>
                <w:rFonts w:ascii="宋体" w:hAnsi="宋体" w:cs="宋体"/>
                <w:sz w:val="24"/>
                <w:szCs w:val="24"/>
              </w:rPr>
            </w:pPr>
            <w:r>
              <w:rPr>
                <w:rFonts w:hint="eastAsia" w:ascii="宋体" w:hAnsi="宋体" w:cs="宋体"/>
                <w:sz w:val="24"/>
                <w:szCs w:val="24"/>
              </w:rPr>
              <w:t>2.2</w:t>
            </w:r>
          </w:p>
        </w:tc>
        <w:tc>
          <w:tcPr>
            <w:tcW w:w="916" w:type="pct"/>
            <w:tcBorders>
              <w:top w:val="single" w:color="auto" w:sz="4" w:space="0"/>
              <w:left w:val="single" w:color="auto" w:sz="4" w:space="0"/>
              <w:bottom w:val="single" w:color="auto" w:sz="4" w:space="0"/>
              <w:right w:val="single" w:color="auto" w:sz="4" w:space="0"/>
            </w:tcBorders>
            <w:vAlign w:val="center"/>
          </w:tcPr>
          <w:p w14:paraId="7C1C6096">
            <w:pPr>
              <w:snapToGrid w:val="0"/>
              <w:spacing w:line="400" w:lineRule="exact"/>
              <w:jc w:val="center"/>
              <w:rPr>
                <w:rFonts w:ascii="宋体" w:hAnsi="宋体" w:cs="宋体"/>
                <w:sz w:val="24"/>
                <w:szCs w:val="24"/>
              </w:rPr>
            </w:pPr>
            <w:r>
              <w:rPr>
                <w:rFonts w:hint="eastAsia" w:ascii="宋体" w:hAnsi="宋体" w:cs="宋体"/>
                <w:sz w:val="24"/>
                <w:szCs w:val="24"/>
              </w:rPr>
              <w:t>工期要求</w:t>
            </w:r>
          </w:p>
        </w:tc>
        <w:tc>
          <w:tcPr>
            <w:tcW w:w="3234" w:type="pct"/>
            <w:tcBorders>
              <w:top w:val="single" w:color="auto" w:sz="4" w:space="0"/>
              <w:left w:val="single" w:color="auto" w:sz="4" w:space="0"/>
              <w:bottom w:val="single" w:color="auto" w:sz="4" w:space="0"/>
              <w:right w:val="double" w:color="auto" w:sz="4" w:space="0"/>
            </w:tcBorders>
            <w:vAlign w:val="center"/>
          </w:tcPr>
          <w:p w14:paraId="21F579A5">
            <w:pPr>
              <w:snapToGrid w:val="0"/>
              <w:spacing w:line="400" w:lineRule="exact"/>
              <w:rPr>
                <w:rFonts w:ascii="宋体" w:hAnsi="宋体" w:cs="宋体"/>
                <w:sz w:val="24"/>
                <w:szCs w:val="24"/>
                <w:u w:val="single"/>
              </w:rPr>
            </w:pPr>
            <w:r>
              <w:rPr>
                <w:rFonts w:hint="eastAsia" w:ascii="宋体" w:hAnsi="宋体" w:cs="宋体"/>
                <w:sz w:val="24"/>
                <w:szCs w:val="24"/>
                <w:u w:val="single"/>
              </w:rPr>
              <w:t>计划工期为自招标人发出进场通知后150个日历天内完成验收交付，具体进场日期以招标人通知为准。</w:t>
            </w:r>
          </w:p>
          <w:p w14:paraId="3C3B0DD4">
            <w:pPr>
              <w:snapToGrid w:val="0"/>
              <w:spacing w:line="400" w:lineRule="exact"/>
              <w:rPr>
                <w:rFonts w:ascii="宋体" w:hAnsi="宋体" w:cs="宋体"/>
                <w:sz w:val="24"/>
                <w:szCs w:val="24"/>
              </w:rPr>
            </w:pPr>
            <w:r>
              <w:rPr>
                <w:rFonts w:hint="eastAsia" w:ascii="宋体" w:hAnsi="宋体" w:cs="宋体"/>
                <w:sz w:val="24"/>
                <w:szCs w:val="24"/>
                <w:u w:val="single"/>
              </w:rPr>
              <w:t>注：本工程正式签署合同时，施工工期按中标投标文件承诺工期。</w:t>
            </w:r>
          </w:p>
        </w:tc>
      </w:tr>
      <w:tr w14:paraId="05F3D3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18593D44">
            <w:pPr>
              <w:snapToGrid w:val="0"/>
              <w:spacing w:line="400" w:lineRule="exact"/>
              <w:jc w:val="center"/>
              <w:rPr>
                <w:rFonts w:ascii="宋体" w:hAnsi="宋体" w:cs="宋体"/>
                <w:sz w:val="24"/>
                <w:szCs w:val="24"/>
              </w:rPr>
            </w:pPr>
            <w:r>
              <w:rPr>
                <w:rFonts w:hint="eastAsia" w:ascii="宋体" w:hAnsi="宋体" w:cs="宋体"/>
                <w:sz w:val="24"/>
                <w:szCs w:val="24"/>
              </w:rPr>
              <w:t>9</w:t>
            </w:r>
          </w:p>
        </w:tc>
        <w:tc>
          <w:tcPr>
            <w:tcW w:w="474" w:type="pct"/>
            <w:tcBorders>
              <w:top w:val="single" w:color="auto" w:sz="4" w:space="0"/>
              <w:left w:val="single" w:color="auto" w:sz="4" w:space="0"/>
              <w:bottom w:val="single" w:color="auto" w:sz="4" w:space="0"/>
              <w:right w:val="single" w:color="auto" w:sz="4" w:space="0"/>
            </w:tcBorders>
            <w:vAlign w:val="center"/>
          </w:tcPr>
          <w:p w14:paraId="5F2AEE51">
            <w:pPr>
              <w:snapToGrid w:val="0"/>
              <w:spacing w:line="400" w:lineRule="exact"/>
              <w:jc w:val="center"/>
              <w:rPr>
                <w:rFonts w:ascii="宋体" w:hAnsi="宋体" w:cs="宋体"/>
                <w:sz w:val="24"/>
                <w:szCs w:val="24"/>
              </w:rPr>
            </w:pPr>
            <w:r>
              <w:rPr>
                <w:rFonts w:hint="eastAsia" w:ascii="宋体" w:hAnsi="宋体" w:cs="宋体"/>
                <w:sz w:val="24"/>
                <w:szCs w:val="24"/>
              </w:rPr>
              <w:t>3.1</w:t>
            </w:r>
          </w:p>
        </w:tc>
        <w:tc>
          <w:tcPr>
            <w:tcW w:w="916" w:type="pct"/>
            <w:tcBorders>
              <w:top w:val="single" w:color="auto" w:sz="4" w:space="0"/>
              <w:left w:val="single" w:color="auto" w:sz="4" w:space="0"/>
              <w:bottom w:val="single" w:color="auto" w:sz="4" w:space="0"/>
              <w:right w:val="single" w:color="auto" w:sz="4" w:space="0"/>
            </w:tcBorders>
            <w:vAlign w:val="center"/>
          </w:tcPr>
          <w:p w14:paraId="5B0F8842">
            <w:pPr>
              <w:snapToGrid w:val="0"/>
              <w:spacing w:line="400" w:lineRule="exact"/>
              <w:jc w:val="center"/>
              <w:rPr>
                <w:rFonts w:ascii="宋体" w:hAnsi="宋体" w:cs="宋体"/>
                <w:sz w:val="24"/>
                <w:szCs w:val="24"/>
              </w:rPr>
            </w:pPr>
            <w:r>
              <w:rPr>
                <w:rFonts w:hint="eastAsia" w:ascii="宋体" w:hAnsi="宋体" w:cs="宋体"/>
                <w:sz w:val="24"/>
                <w:szCs w:val="24"/>
              </w:rPr>
              <w:t>资金来源</w:t>
            </w:r>
          </w:p>
        </w:tc>
        <w:tc>
          <w:tcPr>
            <w:tcW w:w="3234" w:type="pct"/>
            <w:tcBorders>
              <w:top w:val="single" w:color="auto" w:sz="4" w:space="0"/>
              <w:left w:val="single" w:color="auto" w:sz="4" w:space="0"/>
              <w:bottom w:val="single" w:color="auto" w:sz="4" w:space="0"/>
              <w:right w:val="double" w:color="auto" w:sz="4" w:space="0"/>
            </w:tcBorders>
            <w:shd w:val="clear" w:color="auto" w:fill="auto"/>
            <w:vAlign w:val="center"/>
          </w:tcPr>
          <w:p w14:paraId="38DAC17C">
            <w:pPr>
              <w:snapToGrid w:val="0"/>
              <w:spacing w:line="400" w:lineRule="exact"/>
              <w:rPr>
                <w:rFonts w:ascii="宋体" w:hAnsi="宋体" w:cs="宋体"/>
                <w:sz w:val="24"/>
                <w:szCs w:val="24"/>
                <w:u w:val="single"/>
              </w:rPr>
            </w:pPr>
            <w:r>
              <w:rPr>
                <w:rFonts w:hint="eastAsia" w:ascii="宋体" w:hAnsi="宋体" w:cs="宋体"/>
                <w:sz w:val="24"/>
                <w:szCs w:val="24"/>
                <w:u w:val="single"/>
              </w:rPr>
              <w:t>国有自筹资金</w:t>
            </w:r>
          </w:p>
        </w:tc>
      </w:tr>
      <w:tr w14:paraId="162ECB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1BE539CD">
            <w:pPr>
              <w:snapToGrid w:val="0"/>
              <w:spacing w:line="400" w:lineRule="exact"/>
              <w:jc w:val="center"/>
              <w:rPr>
                <w:rFonts w:ascii="宋体" w:hAnsi="宋体" w:cs="宋体"/>
                <w:sz w:val="24"/>
                <w:szCs w:val="24"/>
              </w:rPr>
            </w:pPr>
            <w:r>
              <w:rPr>
                <w:rFonts w:hint="eastAsia" w:ascii="宋体" w:hAnsi="宋体" w:cs="宋体"/>
                <w:sz w:val="24"/>
                <w:szCs w:val="24"/>
              </w:rPr>
              <w:t>10</w:t>
            </w:r>
          </w:p>
        </w:tc>
        <w:tc>
          <w:tcPr>
            <w:tcW w:w="474" w:type="pct"/>
            <w:tcBorders>
              <w:top w:val="single" w:color="auto" w:sz="4" w:space="0"/>
              <w:left w:val="single" w:color="auto" w:sz="4" w:space="0"/>
              <w:bottom w:val="single" w:color="auto" w:sz="4" w:space="0"/>
              <w:right w:val="single" w:color="auto" w:sz="4" w:space="0"/>
            </w:tcBorders>
            <w:vAlign w:val="center"/>
          </w:tcPr>
          <w:p w14:paraId="57F88CD1">
            <w:pPr>
              <w:snapToGrid w:val="0"/>
              <w:spacing w:line="400" w:lineRule="exact"/>
              <w:jc w:val="center"/>
              <w:rPr>
                <w:rFonts w:ascii="宋体" w:hAnsi="宋体" w:cs="宋体"/>
                <w:sz w:val="24"/>
                <w:szCs w:val="24"/>
              </w:rPr>
            </w:pPr>
            <w:r>
              <w:rPr>
                <w:rFonts w:hint="eastAsia" w:ascii="宋体" w:hAnsi="宋体" w:cs="宋体"/>
                <w:sz w:val="24"/>
                <w:szCs w:val="24"/>
              </w:rPr>
              <w:t>4.1</w:t>
            </w:r>
          </w:p>
        </w:tc>
        <w:tc>
          <w:tcPr>
            <w:tcW w:w="916" w:type="pct"/>
            <w:tcBorders>
              <w:top w:val="single" w:color="auto" w:sz="4" w:space="0"/>
              <w:left w:val="single" w:color="auto" w:sz="4" w:space="0"/>
              <w:bottom w:val="single" w:color="auto" w:sz="4" w:space="0"/>
              <w:right w:val="single" w:color="auto" w:sz="4" w:space="0"/>
            </w:tcBorders>
            <w:vAlign w:val="center"/>
          </w:tcPr>
          <w:p w14:paraId="005694E9">
            <w:pPr>
              <w:snapToGrid w:val="0"/>
              <w:spacing w:line="400" w:lineRule="exact"/>
              <w:jc w:val="center"/>
              <w:rPr>
                <w:rFonts w:ascii="宋体" w:hAnsi="宋体" w:cs="宋体"/>
                <w:sz w:val="24"/>
                <w:szCs w:val="24"/>
              </w:rPr>
            </w:pPr>
            <w:r>
              <w:rPr>
                <w:rFonts w:hint="eastAsia" w:ascii="宋体" w:hAnsi="宋体" w:cs="宋体"/>
                <w:sz w:val="24"/>
                <w:szCs w:val="24"/>
              </w:rPr>
              <w:t>投标人资质等级及项目负责人等级要求</w:t>
            </w:r>
          </w:p>
        </w:tc>
        <w:tc>
          <w:tcPr>
            <w:tcW w:w="3234" w:type="pct"/>
            <w:tcBorders>
              <w:top w:val="single" w:color="auto" w:sz="4" w:space="0"/>
              <w:left w:val="single" w:color="auto" w:sz="4" w:space="0"/>
              <w:bottom w:val="single" w:color="auto" w:sz="4" w:space="0"/>
              <w:right w:val="double" w:color="auto" w:sz="4" w:space="0"/>
            </w:tcBorders>
            <w:vAlign w:val="center"/>
          </w:tcPr>
          <w:p w14:paraId="0870B8CB">
            <w:pPr>
              <w:snapToGrid w:val="0"/>
              <w:spacing w:line="400" w:lineRule="exact"/>
              <w:rPr>
                <w:rFonts w:ascii="宋体" w:hAnsi="宋体" w:cs="宋体"/>
                <w:sz w:val="24"/>
                <w:szCs w:val="24"/>
              </w:rPr>
            </w:pPr>
            <w:r>
              <w:rPr>
                <w:rFonts w:hint="eastAsia" w:ascii="宋体" w:hAnsi="宋体" w:cs="宋体"/>
                <w:sz w:val="24"/>
                <w:szCs w:val="24"/>
                <w:u w:val="single"/>
              </w:rPr>
              <w:t>详见本工程招标公告。</w:t>
            </w:r>
          </w:p>
        </w:tc>
      </w:tr>
      <w:tr w14:paraId="536166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689A9983">
            <w:pPr>
              <w:snapToGrid w:val="0"/>
              <w:spacing w:line="400" w:lineRule="exact"/>
              <w:jc w:val="center"/>
              <w:rPr>
                <w:rFonts w:ascii="宋体" w:hAnsi="宋体" w:cs="宋体"/>
                <w:sz w:val="24"/>
                <w:szCs w:val="24"/>
              </w:rPr>
            </w:pPr>
            <w:r>
              <w:rPr>
                <w:rFonts w:hint="eastAsia" w:ascii="宋体" w:hAnsi="宋体" w:cs="宋体"/>
                <w:sz w:val="24"/>
                <w:szCs w:val="24"/>
              </w:rPr>
              <w:t>11</w:t>
            </w:r>
          </w:p>
        </w:tc>
        <w:tc>
          <w:tcPr>
            <w:tcW w:w="474" w:type="pct"/>
            <w:tcBorders>
              <w:top w:val="single" w:color="auto" w:sz="4" w:space="0"/>
              <w:left w:val="single" w:color="auto" w:sz="4" w:space="0"/>
              <w:bottom w:val="single" w:color="auto" w:sz="4" w:space="0"/>
              <w:right w:val="single" w:color="auto" w:sz="4" w:space="0"/>
            </w:tcBorders>
            <w:vAlign w:val="center"/>
          </w:tcPr>
          <w:p w14:paraId="782651D5">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5A3113BC">
            <w:pPr>
              <w:snapToGrid w:val="0"/>
              <w:spacing w:line="400" w:lineRule="exact"/>
              <w:jc w:val="center"/>
              <w:rPr>
                <w:rFonts w:ascii="宋体" w:hAnsi="宋体" w:cs="宋体"/>
                <w:sz w:val="24"/>
                <w:szCs w:val="24"/>
              </w:rPr>
            </w:pPr>
            <w:r>
              <w:rPr>
                <w:rFonts w:hint="eastAsia" w:ascii="宋体" w:hAnsi="宋体" w:cs="宋体"/>
                <w:sz w:val="24"/>
                <w:szCs w:val="24"/>
              </w:rPr>
              <w:t>资格审查方式</w:t>
            </w:r>
          </w:p>
        </w:tc>
        <w:tc>
          <w:tcPr>
            <w:tcW w:w="3234" w:type="pct"/>
            <w:tcBorders>
              <w:top w:val="single" w:color="auto" w:sz="4" w:space="0"/>
              <w:left w:val="single" w:color="auto" w:sz="4" w:space="0"/>
              <w:bottom w:val="single" w:color="auto" w:sz="4" w:space="0"/>
              <w:right w:val="double" w:color="auto" w:sz="4" w:space="0"/>
            </w:tcBorders>
            <w:vAlign w:val="center"/>
          </w:tcPr>
          <w:p w14:paraId="580F7151">
            <w:pPr>
              <w:snapToGrid w:val="0"/>
              <w:spacing w:line="400" w:lineRule="exact"/>
              <w:rPr>
                <w:rFonts w:ascii="宋体" w:hAnsi="宋体" w:cs="宋体"/>
                <w:sz w:val="24"/>
                <w:szCs w:val="24"/>
              </w:rPr>
            </w:pPr>
            <w:r>
              <w:rPr>
                <w:rFonts w:hint="eastAsia" w:ascii="宋体" w:hAnsi="宋体" w:cs="宋体"/>
                <w:sz w:val="24"/>
                <w:szCs w:val="24"/>
                <w:u w:val="single"/>
              </w:rPr>
              <w:t>详见本工程招标公告。</w:t>
            </w:r>
          </w:p>
        </w:tc>
      </w:tr>
      <w:tr w14:paraId="06F506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7B84868E">
            <w:pPr>
              <w:snapToGrid w:val="0"/>
              <w:spacing w:line="400" w:lineRule="exact"/>
              <w:jc w:val="center"/>
              <w:rPr>
                <w:rFonts w:ascii="宋体" w:hAnsi="宋体" w:cs="宋体"/>
                <w:sz w:val="24"/>
                <w:szCs w:val="24"/>
              </w:rPr>
            </w:pPr>
            <w:r>
              <w:rPr>
                <w:rFonts w:hint="eastAsia" w:ascii="宋体" w:hAnsi="宋体" w:cs="宋体"/>
                <w:sz w:val="24"/>
                <w:szCs w:val="24"/>
              </w:rPr>
              <w:t>12</w:t>
            </w:r>
          </w:p>
        </w:tc>
        <w:tc>
          <w:tcPr>
            <w:tcW w:w="474" w:type="pct"/>
            <w:tcBorders>
              <w:top w:val="single" w:color="auto" w:sz="4" w:space="0"/>
              <w:left w:val="single" w:color="auto" w:sz="4" w:space="0"/>
              <w:bottom w:val="single" w:color="auto" w:sz="4" w:space="0"/>
              <w:right w:val="single" w:color="auto" w:sz="4" w:space="0"/>
            </w:tcBorders>
            <w:vAlign w:val="center"/>
          </w:tcPr>
          <w:p w14:paraId="0D9CF4F4">
            <w:pPr>
              <w:snapToGrid w:val="0"/>
              <w:spacing w:line="400" w:lineRule="exact"/>
              <w:jc w:val="center"/>
              <w:rPr>
                <w:rFonts w:ascii="宋体" w:hAnsi="宋体" w:cs="宋体"/>
                <w:sz w:val="24"/>
                <w:szCs w:val="24"/>
              </w:rPr>
            </w:pPr>
            <w:r>
              <w:rPr>
                <w:rFonts w:hint="eastAsia" w:ascii="宋体" w:hAnsi="宋体" w:cs="宋体"/>
                <w:sz w:val="24"/>
                <w:szCs w:val="24"/>
              </w:rPr>
              <w:t>13.1</w:t>
            </w:r>
          </w:p>
        </w:tc>
        <w:tc>
          <w:tcPr>
            <w:tcW w:w="916" w:type="pct"/>
            <w:tcBorders>
              <w:top w:val="single" w:color="auto" w:sz="4" w:space="0"/>
              <w:left w:val="single" w:color="auto" w:sz="4" w:space="0"/>
              <w:bottom w:val="single" w:color="auto" w:sz="4" w:space="0"/>
              <w:right w:val="single" w:color="auto" w:sz="4" w:space="0"/>
            </w:tcBorders>
            <w:vAlign w:val="center"/>
          </w:tcPr>
          <w:p w14:paraId="7AAD7459">
            <w:pPr>
              <w:snapToGrid w:val="0"/>
              <w:spacing w:line="400" w:lineRule="exact"/>
              <w:jc w:val="center"/>
              <w:rPr>
                <w:rFonts w:ascii="宋体" w:hAnsi="宋体" w:cs="宋体"/>
                <w:sz w:val="24"/>
                <w:szCs w:val="24"/>
              </w:rPr>
            </w:pPr>
            <w:r>
              <w:rPr>
                <w:rFonts w:hint="eastAsia" w:ascii="宋体" w:hAnsi="宋体" w:cs="宋体"/>
                <w:sz w:val="24"/>
                <w:szCs w:val="24"/>
              </w:rPr>
              <w:t>报价以及单价和总价计算方式</w:t>
            </w:r>
          </w:p>
        </w:tc>
        <w:tc>
          <w:tcPr>
            <w:tcW w:w="3234" w:type="pct"/>
            <w:tcBorders>
              <w:top w:val="single" w:color="auto" w:sz="4" w:space="0"/>
              <w:left w:val="single" w:color="auto" w:sz="4" w:space="0"/>
              <w:bottom w:val="single" w:color="auto" w:sz="4" w:space="0"/>
              <w:right w:val="double" w:color="auto" w:sz="4" w:space="0"/>
            </w:tcBorders>
            <w:vAlign w:val="center"/>
          </w:tcPr>
          <w:p w14:paraId="166D27BD">
            <w:pPr>
              <w:snapToGrid w:val="0"/>
              <w:spacing w:line="400" w:lineRule="exact"/>
              <w:rPr>
                <w:rFonts w:ascii="宋体" w:hAnsi="宋体" w:cs="宋体"/>
                <w:sz w:val="24"/>
                <w:szCs w:val="24"/>
              </w:rPr>
            </w:pPr>
            <w:r>
              <w:rPr>
                <w:rFonts w:hint="eastAsia" w:ascii="宋体" w:hAnsi="宋体" w:cs="宋体"/>
                <w:sz w:val="24"/>
                <w:szCs w:val="24"/>
                <w:u w:val="single"/>
              </w:rPr>
              <w:t>工程量清单计价，按国家、省有关计价规范执行。</w:t>
            </w:r>
          </w:p>
        </w:tc>
      </w:tr>
      <w:tr w14:paraId="5E0B43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3CAF196D">
            <w:pPr>
              <w:snapToGrid w:val="0"/>
              <w:spacing w:line="400" w:lineRule="exact"/>
              <w:jc w:val="center"/>
              <w:rPr>
                <w:rFonts w:ascii="宋体" w:hAnsi="宋体" w:cs="宋体"/>
                <w:sz w:val="24"/>
                <w:szCs w:val="24"/>
              </w:rPr>
            </w:pPr>
            <w:r>
              <w:rPr>
                <w:rFonts w:hint="eastAsia" w:ascii="宋体" w:hAnsi="宋体" w:cs="宋体"/>
                <w:sz w:val="24"/>
                <w:szCs w:val="24"/>
              </w:rPr>
              <w:t>13</w:t>
            </w:r>
          </w:p>
        </w:tc>
        <w:tc>
          <w:tcPr>
            <w:tcW w:w="474" w:type="pct"/>
            <w:tcBorders>
              <w:top w:val="single" w:color="auto" w:sz="4" w:space="0"/>
              <w:left w:val="single" w:color="auto" w:sz="4" w:space="0"/>
              <w:bottom w:val="single" w:color="auto" w:sz="4" w:space="0"/>
              <w:right w:val="single" w:color="auto" w:sz="4" w:space="0"/>
            </w:tcBorders>
            <w:vAlign w:val="center"/>
          </w:tcPr>
          <w:p w14:paraId="527A2075">
            <w:pPr>
              <w:snapToGrid w:val="0"/>
              <w:spacing w:line="400" w:lineRule="exact"/>
              <w:jc w:val="center"/>
              <w:rPr>
                <w:rFonts w:ascii="宋体" w:hAnsi="宋体" w:cs="宋体"/>
                <w:sz w:val="24"/>
                <w:szCs w:val="24"/>
              </w:rPr>
            </w:pPr>
            <w:r>
              <w:rPr>
                <w:rFonts w:hint="eastAsia" w:ascii="宋体" w:hAnsi="宋体" w:cs="宋体"/>
                <w:sz w:val="24"/>
                <w:szCs w:val="24"/>
              </w:rPr>
              <w:t>15.1</w:t>
            </w:r>
          </w:p>
        </w:tc>
        <w:tc>
          <w:tcPr>
            <w:tcW w:w="916" w:type="pct"/>
            <w:tcBorders>
              <w:top w:val="single" w:color="auto" w:sz="4" w:space="0"/>
              <w:left w:val="single" w:color="auto" w:sz="4" w:space="0"/>
              <w:bottom w:val="single" w:color="auto" w:sz="4" w:space="0"/>
              <w:right w:val="single" w:color="auto" w:sz="4" w:space="0"/>
            </w:tcBorders>
            <w:vAlign w:val="center"/>
          </w:tcPr>
          <w:p w14:paraId="3BC47357">
            <w:pPr>
              <w:snapToGrid w:val="0"/>
              <w:spacing w:line="400" w:lineRule="exact"/>
              <w:jc w:val="center"/>
              <w:rPr>
                <w:rFonts w:ascii="宋体" w:hAnsi="宋体" w:cs="宋体"/>
                <w:sz w:val="24"/>
                <w:szCs w:val="24"/>
              </w:rPr>
            </w:pPr>
            <w:r>
              <w:rPr>
                <w:rFonts w:hint="eastAsia" w:ascii="宋体" w:hAnsi="宋体" w:cs="宋体"/>
                <w:sz w:val="24"/>
                <w:szCs w:val="24"/>
              </w:rPr>
              <w:t>投标有效期</w:t>
            </w:r>
          </w:p>
        </w:tc>
        <w:tc>
          <w:tcPr>
            <w:tcW w:w="3234" w:type="pct"/>
            <w:tcBorders>
              <w:top w:val="single" w:color="auto" w:sz="4" w:space="0"/>
              <w:left w:val="single" w:color="auto" w:sz="4" w:space="0"/>
              <w:bottom w:val="single" w:color="auto" w:sz="4" w:space="0"/>
              <w:right w:val="double" w:color="auto" w:sz="4" w:space="0"/>
            </w:tcBorders>
            <w:vAlign w:val="center"/>
          </w:tcPr>
          <w:p w14:paraId="604B4877">
            <w:pPr>
              <w:snapToGrid w:val="0"/>
              <w:spacing w:line="400" w:lineRule="exact"/>
              <w:rPr>
                <w:rFonts w:ascii="宋体" w:hAnsi="宋体" w:cs="宋体"/>
                <w:sz w:val="24"/>
                <w:szCs w:val="24"/>
              </w:rPr>
            </w:pPr>
            <w:r>
              <w:rPr>
                <w:rFonts w:hint="eastAsia" w:ascii="宋体" w:hAnsi="宋体" w:cs="宋体"/>
                <w:sz w:val="24"/>
                <w:szCs w:val="24"/>
                <w:u w:val="single"/>
              </w:rPr>
              <w:t>90</w:t>
            </w:r>
            <w:r>
              <w:rPr>
                <w:rFonts w:hint="eastAsia" w:ascii="宋体" w:hAnsi="宋体" w:cs="宋体"/>
                <w:sz w:val="24"/>
                <w:szCs w:val="24"/>
              </w:rPr>
              <w:t>日历天。（从投标截止之日计起）</w:t>
            </w:r>
            <w:r>
              <w:rPr>
                <w:rFonts w:hint="eastAsia" w:ascii="宋体" w:hAnsi="宋体" w:cs="宋体"/>
                <w:sz w:val="24"/>
                <w:szCs w:val="24"/>
                <w:u w:val="single"/>
              </w:rPr>
              <w:t>如出现异议或投诉超过90日历天的，则投标有效期自动延长至异议或投诉处理结束。</w:t>
            </w:r>
          </w:p>
        </w:tc>
      </w:tr>
      <w:tr w14:paraId="617059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11888053">
            <w:pPr>
              <w:snapToGrid w:val="0"/>
              <w:spacing w:line="400" w:lineRule="exact"/>
              <w:jc w:val="center"/>
              <w:rPr>
                <w:rFonts w:ascii="宋体" w:hAnsi="宋体" w:cs="宋体"/>
                <w:sz w:val="24"/>
                <w:szCs w:val="24"/>
              </w:rPr>
            </w:pPr>
            <w:r>
              <w:rPr>
                <w:rFonts w:hint="eastAsia" w:ascii="宋体" w:hAnsi="宋体" w:cs="宋体"/>
                <w:sz w:val="24"/>
                <w:szCs w:val="24"/>
              </w:rPr>
              <w:t>14</w:t>
            </w:r>
          </w:p>
        </w:tc>
        <w:tc>
          <w:tcPr>
            <w:tcW w:w="474" w:type="pct"/>
            <w:tcBorders>
              <w:top w:val="single" w:color="auto" w:sz="4" w:space="0"/>
              <w:left w:val="single" w:color="auto" w:sz="4" w:space="0"/>
              <w:bottom w:val="single" w:color="auto" w:sz="4" w:space="0"/>
              <w:right w:val="single" w:color="auto" w:sz="4" w:space="0"/>
            </w:tcBorders>
            <w:vAlign w:val="center"/>
          </w:tcPr>
          <w:p w14:paraId="1BDFE2E9">
            <w:pPr>
              <w:snapToGrid w:val="0"/>
              <w:spacing w:line="400" w:lineRule="exact"/>
              <w:jc w:val="center"/>
              <w:rPr>
                <w:rFonts w:ascii="宋体" w:hAnsi="宋体" w:cs="宋体"/>
                <w:sz w:val="24"/>
                <w:szCs w:val="24"/>
              </w:rPr>
            </w:pPr>
            <w:r>
              <w:rPr>
                <w:rFonts w:hint="eastAsia" w:ascii="宋体" w:hAnsi="宋体" w:cs="宋体"/>
                <w:sz w:val="24"/>
                <w:szCs w:val="24"/>
              </w:rPr>
              <w:t>16.1</w:t>
            </w:r>
          </w:p>
        </w:tc>
        <w:tc>
          <w:tcPr>
            <w:tcW w:w="916" w:type="pct"/>
            <w:tcBorders>
              <w:top w:val="single" w:color="auto" w:sz="4" w:space="0"/>
              <w:left w:val="single" w:color="auto" w:sz="4" w:space="0"/>
              <w:bottom w:val="single" w:color="auto" w:sz="4" w:space="0"/>
              <w:right w:val="single" w:color="auto" w:sz="4" w:space="0"/>
            </w:tcBorders>
            <w:vAlign w:val="center"/>
          </w:tcPr>
          <w:p w14:paraId="69FE8E28">
            <w:pPr>
              <w:snapToGrid w:val="0"/>
              <w:spacing w:line="400" w:lineRule="exact"/>
              <w:jc w:val="center"/>
              <w:rPr>
                <w:rFonts w:ascii="宋体" w:hAnsi="宋体" w:cs="宋体"/>
                <w:sz w:val="24"/>
                <w:szCs w:val="24"/>
              </w:rPr>
            </w:pPr>
            <w:r>
              <w:rPr>
                <w:rFonts w:hint="eastAsia" w:ascii="宋体" w:hAnsi="宋体" w:cs="宋体"/>
                <w:sz w:val="24"/>
                <w:szCs w:val="24"/>
              </w:rPr>
              <w:t>投标保证金</w:t>
            </w:r>
          </w:p>
        </w:tc>
        <w:tc>
          <w:tcPr>
            <w:tcW w:w="3234" w:type="pct"/>
            <w:tcBorders>
              <w:top w:val="single" w:color="auto" w:sz="4" w:space="0"/>
              <w:left w:val="single" w:color="auto" w:sz="4" w:space="0"/>
              <w:bottom w:val="single" w:color="auto" w:sz="4" w:space="0"/>
              <w:right w:val="double" w:color="auto" w:sz="4" w:space="0"/>
            </w:tcBorders>
            <w:vAlign w:val="center"/>
          </w:tcPr>
          <w:p w14:paraId="34EAD74F">
            <w:pPr>
              <w:wordWrap w:val="0"/>
              <w:adjustRightInd w:val="0"/>
              <w:snapToGrid w:val="0"/>
              <w:spacing w:line="400" w:lineRule="exact"/>
              <w:jc w:val="left"/>
              <w:rPr>
                <w:rFonts w:ascii="宋体" w:hAnsi="宋体" w:cs="宋体"/>
                <w:sz w:val="24"/>
                <w:szCs w:val="24"/>
              </w:rPr>
            </w:pPr>
            <w:r>
              <w:rPr>
                <w:rFonts w:hint="eastAsia" w:ascii="宋体" w:hAnsi="宋体" w:cs="宋体"/>
                <w:sz w:val="24"/>
                <w:szCs w:val="24"/>
              </w:rPr>
              <w:t>是否要求投标人递交投标保证金：</w:t>
            </w:r>
          </w:p>
          <w:p w14:paraId="20CF8509">
            <w:pPr>
              <w:wordWrap w:val="0"/>
              <w:adjustRightInd w:val="0"/>
              <w:snapToGrid w:val="0"/>
              <w:spacing w:line="400" w:lineRule="exact"/>
              <w:rPr>
                <w:rStyle w:val="50"/>
                <w:rFonts w:ascii="宋体" w:hAnsi="宋体" w:cs="宋体"/>
                <w:sz w:val="24"/>
                <w:szCs w:val="24"/>
                <w:u w:val="single"/>
              </w:rPr>
            </w:pPr>
            <w:r>
              <w:rPr>
                <w:rFonts w:hint="eastAsia" w:ascii="宋体" w:hAnsi="宋体" w:cs="宋体"/>
                <w:sz w:val="24"/>
                <w:szCs w:val="24"/>
              </w:rPr>
              <w:sym w:font="Wingdings 2" w:char="00A3"/>
            </w:r>
            <w:r>
              <w:rPr>
                <w:rFonts w:hint="eastAsia" w:ascii="宋体" w:hAnsi="宋体" w:cs="宋体"/>
                <w:sz w:val="24"/>
                <w:szCs w:val="24"/>
              </w:rPr>
              <w:t>要求</w:t>
            </w:r>
          </w:p>
          <w:p w14:paraId="1402C09C">
            <w:pPr>
              <w:wordWrap w:val="0"/>
              <w:adjustRightInd w:val="0"/>
              <w:snapToGrid w:val="0"/>
              <w:spacing w:line="400" w:lineRule="exact"/>
              <w:rPr>
                <w:rStyle w:val="50"/>
                <w:rFonts w:ascii="宋体" w:hAnsi="宋体" w:cs="宋体"/>
                <w:sz w:val="24"/>
                <w:szCs w:val="24"/>
                <w:u w:val="single"/>
              </w:rPr>
            </w:pPr>
            <w:r>
              <w:rPr>
                <w:rStyle w:val="50"/>
                <w:rFonts w:hint="eastAsia" w:ascii="宋体" w:hAnsi="宋体" w:cs="宋体"/>
                <w:sz w:val="24"/>
                <w:szCs w:val="24"/>
                <w:u w:val="single"/>
              </w:rPr>
              <w:t>☑不要求</w:t>
            </w:r>
          </w:p>
          <w:p w14:paraId="69682BE2">
            <w:pPr>
              <w:wordWrap w:val="0"/>
              <w:adjustRightInd w:val="0"/>
              <w:snapToGrid w:val="0"/>
              <w:spacing w:line="400" w:lineRule="exact"/>
              <w:rPr>
                <w:rStyle w:val="50"/>
                <w:rFonts w:ascii="宋体" w:hAnsi="宋体" w:cs="宋体"/>
                <w:sz w:val="24"/>
                <w:szCs w:val="24"/>
                <w:u w:val="single"/>
              </w:rPr>
            </w:pPr>
            <w:r>
              <w:rPr>
                <w:rStyle w:val="50"/>
                <w:rFonts w:hint="eastAsia" w:ascii="宋体" w:hAnsi="宋体" w:cs="宋体"/>
                <w:sz w:val="24"/>
                <w:szCs w:val="24"/>
                <w:u w:val="single"/>
              </w:rPr>
              <w:t>注：1、政府投资项目不得收取投标保证金。鼓励招标人对简单小额项目不要求提供投标担保，对中小企业投标人免除投标担保。</w:t>
            </w:r>
          </w:p>
          <w:p w14:paraId="1BD4312F">
            <w:pPr>
              <w:wordWrap w:val="0"/>
              <w:adjustRightInd w:val="0"/>
              <w:snapToGrid w:val="0"/>
              <w:spacing w:line="400" w:lineRule="exact"/>
              <w:rPr>
                <w:rStyle w:val="50"/>
                <w:rFonts w:ascii="宋体" w:hAnsi="宋体" w:cs="宋体"/>
                <w:sz w:val="24"/>
                <w:szCs w:val="24"/>
                <w:u w:val="single"/>
              </w:rPr>
            </w:pPr>
            <w:r>
              <w:rPr>
                <w:rStyle w:val="50"/>
                <w:rFonts w:hint="eastAsia" w:ascii="宋体" w:hAnsi="宋体" w:cs="宋体"/>
                <w:sz w:val="24"/>
                <w:szCs w:val="24"/>
                <w:u w:val="single"/>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34270B79">
            <w:pPr>
              <w:wordWrap w:val="0"/>
              <w:adjustRightInd w:val="0"/>
              <w:snapToGrid w:val="0"/>
              <w:spacing w:line="400" w:lineRule="exact"/>
              <w:rPr>
                <w:rFonts w:ascii="宋体" w:hAnsi="宋体" w:cs="宋体"/>
                <w:sz w:val="24"/>
                <w:szCs w:val="24"/>
              </w:rPr>
            </w:pPr>
            <w:r>
              <w:rPr>
                <w:rStyle w:val="50"/>
                <w:rFonts w:hint="eastAsia" w:ascii="宋体" w:hAnsi="宋体" w:cs="宋体"/>
                <w:sz w:val="24"/>
                <w:szCs w:val="24"/>
                <w:u w:val="single"/>
              </w:rPr>
              <w:t>3、招标人在免收投标保证金的同时，应约定免交投标保证金的投标人存在16.4条款所列情形的后续处理措施。</w:t>
            </w:r>
          </w:p>
        </w:tc>
      </w:tr>
      <w:tr w14:paraId="11A1A5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0538760D">
            <w:pPr>
              <w:snapToGrid w:val="0"/>
              <w:spacing w:line="400" w:lineRule="exact"/>
              <w:jc w:val="center"/>
              <w:rPr>
                <w:rFonts w:ascii="宋体" w:hAnsi="宋体" w:cs="宋体"/>
                <w:sz w:val="24"/>
                <w:szCs w:val="24"/>
              </w:rPr>
            </w:pPr>
            <w:r>
              <w:rPr>
                <w:rFonts w:hint="eastAsia" w:ascii="宋体" w:hAnsi="宋体" w:cs="宋体"/>
                <w:sz w:val="24"/>
                <w:szCs w:val="24"/>
              </w:rPr>
              <w:t>15</w:t>
            </w:r>
          </w:p>
        </w:tc>
        <w:tc>
          <w:tcPr>
            <w:tcW w:w="474" w:type="pct"/>
            <w:tcBorders>
              <w:top w:val="single" w:color="auto" w:sz="4" w:space="0"/>
              <w:left w:val="single" w:color="auto" w:sz="4" w:space="0"/>
              <w:bottom w:val="single" w:color="auto" w:sz="4" w:space="0"/>
              <w:right w:val="single" w:color="auto" w:sz="4" w:space="0"/>
            </w:tcBorders>
            <w:vAlign w:val="center"/>
          </w:tcPr>
          <w:p w14:paraId="6BAFBA1F">
            <w:pPr>
              <w:snapToGrid w:val="0"/>
              <w:spacing w:line="400" w:lineRule="exact"/>
              <w:jc w:val="center"/>
              <w:rPr>
                <w:rFonts w:ascii="宋体" w:hAnsi="宋体" w:cs="宋体"/>
                <w:sz w:val="24"/>
                <w:szCs w:val="24"/>
              </w:rPr>
            </w:pPr>
            <w:r>
              <w:rPr>
                <w:rFonts w:hint="eastAsia" w:ascii="宋体" w:hAnsi="宋体" w:cs="宋体"/>
                <w:sz w:val="24"/>
                <w:szCs w:val="24"/>
              </w:rPr>
              <w:t>5</w:t>
            </w:r>
          </w:p>
        </w:tc>
        <w:tc>
          <w:tcPr>
            <w:tcW w:w="916" w:type="pct"/>
            <w:tcBorders>
              <w:top w:val="single" w:color="auto" w:sz="4" w:space="0"/>
              <w:left w:val="single" w:color="auto" w:sz="4" w:space="0"/>
              <w:bottom w:val="single" w:color="auto" w:sz="4" w:space="0"/>
              <w:right w:val="single" w:color="auto" w:sz="4" w:space="0"/>
            </w:tcBorders>
            <w:vAlign w:val="center"/>
          </w:tcPr>
          <w:p w14:paraId="7C93D185">
            <w:pPr>
              <w:snapToGrid w:val="0"/>
              <w:spacing w:line="400" w:lineRule="exact"/>
              <w:jc w:val="center"/>
              <w:rPr>
                <w:rFonts w:ascii="宋体" w:hAnsi="宋体" w:cs="宋体"/>
                <w:sz w:val="24"/>
                <w:szCs w:val="24"/>
              </w:rPr>
            </w:pPr>
            <w:r>
              <w:rPr>
                <w:rFonts w:hint="eastAsia" w:ascii="宋体" w:hAnsi="宋体" w:cs="宋体"/>
                <w:sz w:val="24"/>
                <w:szCs w:val="24"/>
              </w:rPr>
              <w:t>踏勘现场</w:t>
            </w:r>
          </w:p>
        </w:tc>
        <w:tc>
          <w:tcPr>
            <w:tcW w:w="3234" w:type="pct"/>
            <w:tcBorders>
              <w:top w:val="single" w:color="auto" w:sz="4" w:space="0"/>
              <w:left w:val="single" w:color="auto" w:sz="4" w:space="0"/>
              <w:bottom w:val="single" w:color="auto" w:sz="4" w:space="0"/>
              <w:right w:val="double" w:color="auto" w:sz="4" w:space="0"/>
            </w:tcBorders>
            <w:vAlign w:val="center"/>
          </w:tcPr>
          <w:p w14:paraId="09FD516C">
            <w:pPr>
              <w:pStyle w:val="23"/>
              <w:snapToGrid w:val="0"/>
              <w:spacing w:line="400" w:lineRule="exact"/>
              <w:rPr>
                <w:rFonts w:ascii="宋体" w:hAnsi="宋体" w:cs="宋体"/>
                <w:kern w:val="2"/>
                <w:sz w:val="24"/>
                <w:szCs w:val="24"/>
                <w:u w:val="single"/>
              </w:rPr>
            </w:pPr>
            <w:r>
              <w:rPr>
                <w:rFonts w:hint="eastAsia" w:ascii="宋体" w:hAnsi="宋体" w:cs="宋体"/>
                <w:kern w:val="2"/>
                <w:sz w:val="24"/>
                <w:szCs w:val="24"/>
                <w:u w:val="single"/>
              </w:rPr>
              <w:t>否。</w:t>
            </w:r>
          </w:p>
        </w:tc>
      </w:tr>
      <w:tr w14:paraId="261BDF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20F3826C">
            <w:pPr>
              <w:snapToGrid w:val="0"/>
              <w:spacing w:line="400" w:lineRule="exact"/>
              <w:jc w:val="center"/>
              <w:rPr>
                <w:rFonts w:ascii="宋体" w:hAnsi="宋体" w:cs="宋体"/>
                <w:sz w:val="24"/>
                <w:szCs w:val="24"/>
              </w:rPr>
            </w:pPr>
            <w:r>
              <w:rPr>
                <w:rFonts w:hint="eastAsia" w:ascii="宋体" w:hAnsi="宋体" w:cs="宋体"/>
                <w:sz w:val="24"/>
                <w:szCs w:val="24"/>
              </w:rPr>
              <w:t>16</w:t>
            </w:r>
          </w:p>
        </w:tc>
        <w:tc>
          <w:tcPr>
            <w:tcW w:w="474" w:type="pct"/>
            <w:tcBorders>
              <w:top w:val="single" w:color="auto" w:sz="4" w:space="0"/>
              <w:left w:val="single" w:color="auto" w:sz="4" w:space="0"/>
              <w:bottom w:val="single" w:color="auto" w:sz="4" w:space="0"/>
              <w:right w:val="single" w:color="auto" w:sz="4" w:space="0"/>
            </w:tcBorders>
            <w:vAlign w:val="center"/>
          </w:tcPr>
          <w:p w14:paraId="73EBBB41">
            <w:pPr>
              <w:snapToGrid w:val="0"/>
              <w:spacing w:line="400" w:lineRule="exact"/>
              <w:jc w:val="center"/>
              <w:rPr>
                <w:rFonts w:ascii="宋体" w:hAnsi="宋体" w:cs="宋体"/>
                <w:sz w:val="24"/>
                <w:szCs w:val="24"/>
              </w:rPr>
            </w:pPr>
            <w:r>
              <w:rPr>
                <w:rFonts w:hint="eastAsia" w:ascii="宋体" w:hAnsi="宋体" w:cs="宋体"/>
                <w:sz w:val="24"/>
                <w:szCs w:val="24"/>
              </w:rPr>
              <w:t>8</w:t>
            </w:r>
          </w:p>
        </w:tc>
        <w:tc>
          <w:tcPr>
            <w:tcW w:w="916" w:type="pct"/>
            <w:tcBorders>
              <w:top w:val="single" w:color="auto" w:sz="4" w:space="0"/>
              <w:left w:val="single" w:color="auto" w:sz="4" w:space="0"/>
              <w:bottom w:val="single" w:color="auto" w:sz="4" w:space="0"/>
              <w:right w:val="single" w:color="auto" w:sz="4" w:space="0"/>
            </w:tcBorders>
            <w:vAlign w:val="center"/>
          </w:tcPr>
          <w:p w14:paraId="090F04EC">
            <w:pPr>
              <w:snapToGrid w:val="0"/>
              <w:spacing w:line="400" w:lineRule="exact"/>
              <w:jc w:val="center"/>
              <w:rPr>
                <w:rFonts w:ascii="宋体" w:hAnsi="宋体" w:cs="宋体"/>
                <w:sz w:val="24"/>
                <w:szCs w:val="24"/>
              </w:rPr>
            </w:pPr>
            <w:r>
              <w:rPr>
                <w:rFonts w:hint="eastAsia" w:ascii="宋体" w:hAnsi="宋体" w:cs="宋体"/>
                <w:sz w:val="24"/>
                <w:szCs w:val="24"/>
              </w:rPr>
              <w:t>投标答疑</w:t>
            </w:r>
          </w:p>
        </w:tc>
        <w:tc>
          <w:tcPr>
            <w:tcW w:w="3234" w:type="pct"/>
            <w:tcBorders>
              <w:top w:val="single" w:color="auto" w:sz="4" w:space="0"/>
              <w:left w:val="single" w:color="auto" w:sz="4" w:space="0"/>
              <w:bottom w:val="single" w:color="auto" w:sz="4" w:space="0"/>
              <w:right w:val="double" w:color="auto" w:sz="4" w:space="0"/>
            </w:tcBorders>
            <w:vAlign w:val="center"/>
          </w:tcPr>
          <w:p w14:paraId="1FAA04DB">
            <w:pPr>
              <w:snapToGrid w:val="0"/>
              <w:spacing w:line="400" w:lineRule="exact"/>
              <w:rPr>
                <w:rFonts w:ascii="宋体" w:hAnsi="宋体" w:cs="宋体"/>
                <w:sz w:val="24"/>
                <w:szCs w:val="24"/>
              </w:rPr>
            </w:pPr>
            <w:r>
              <w:rPr>
                <w:rFonts w:hint="eastAsia" w:ascii="宋体" w:hAnsi="宋体" w:cs="宋体"/>
                <w:sz w:val="24"/>
                <w:szCs w:val="24"/>
              </w:rPr>
              <w:t>1、疑问提交时间：</w:t>
            </w:r>
            <w:r>
              <w:rPr>
                <w:rFonts w:hint="eastAsia" w:ascii="宋体" w:hAnsi="宋体" w:cs="宋体"/>
                <w:sz w:val="24"/>
                <w:szCs w:val="24"/>
                <w:u w:val="single"/>
              </w:rPr>
              <w:t>在递交投标文件截止日期前18日；</w:t>
            </w:r>
          </w:p>
          <w:p w14:paraId="734FFE97">
            <w:pPr>
              <w:snapToGrid w:val="0"/>
              <w:spacing w:line="400" w:lineRule="exact"/>
              <w:rPr>
                <w:rFonts w:ascii="宋体" w:hAnsi="宋体" w:cs="宋体"/>
                <w:sz w:val="24"/>
                <w:szCs w:val="24"/>
              </w:rPr>
            </w:pPr>
            <w:r>
              <w:rPr>
                <w:rFonts w:hint="eastAsia" w:ascii="宋体" w:hAnsi="宋体" w:cs="宋体"/>
                <w:sz w:val="24"/>
                <w:szCs w:val="24"/>
              </w:rPr>
              <w:t>2、形式：投标人的疑问通过</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交易平台提交。</w:t>
            </w:r>
          </w:p>
          <w:p w14:paraId="02BBFBFE">
            <w:pPr>
              <w:snapToGrid w:val="0"/>
              <w:spacing w:line="400" w:lineRule="exact"/>
              <w:rPr>
                <w:rFonts w:ascii="宋体" w:hAnsi="宋体" w:cs="宋体"/>
                <w:sz w:val="24"/>
                <w:szCs w:val="24"/>
              </w:rPr>
            </w:pPr>
            <w:r>
              <w:rPr>
                <w:rFonts w:hint="eastAsia" w:ascii="宋体" w:hAnsi="宋体" w:cs="宋体"/>
                <w:sz w:val="24"/>
                <w:szCs w:val="24"/>
              </w:rPr>
              <w:t>3、</w:t>
            </w:r>
            <w:r>
              <w:rPr>
                <w:rFonts w:hint="eastAsia" w:ascii="宋体" w:hAnsi="宋体" w:cs="宋体"/>
                <w:sz w:val="24"/>
                <w:szCs w:val="24"/>
                <w:u w:val="single"/>
              </w:rPr>
              <w:t>招标人澄清、修补或答疑期限：在递交投标文件截止日期前15日；</w:t>
            </w:r>
          </w:p>
          <w:p w14:paraId="65F1D7E6">
            <w:pPr>
              <w:snapToGrid w:val="0"/>
              <w:spacing w:line="400" w:lineRule="exact"/>
              <w:rPr>
                <w:rFonts w:ascii="宋体" w:hAnsi="宋体" w:cs="宋体"/>
                <w:sz w:val="24"/>
                <w:szCs w:val="24"/>
              </w:rPr>
            </w:pPr>
            <w:r>
              <w:rPr>
                <w:rFonts w:hint="eastAsia" w:ascii="宋体" w:hAnsi="宋体" w:cs="宋体"/>
                <w:sz w:val="24"/>
                <w:szCs w:val="24"/>
              </w:rPr>
              <w:t>4、</w:t>
            </w:r>
            <w:r>
              <w:rPr>
                <w:rFonts w:hint="eastAsia" w:ascii="宋体" w:hAnsi="宋体" w:cs="宋体"/>
                <w:sz w:val="24"/>
                <w:szCs w:val="24"/>
                <w:u w:val="single"/>
              </w:rPr>
              <w:t>网上答疑的操作指南为：投标人登录广州交易集团有限公司（广州公共资源交易中心）数字交易平台→进入“我是投标人”页面→进入“招标答疑提问”页面→通过项目编号或名称找到所需的项目→在上述答疑时间内点击“答疑提问”→无记名或匿名提出问题。</w:t>
            </w:r>
          </w:p>
        </w:tc>
      </w:tr>
      <w:tr w14:paraId="4454A8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3E6581C3">
            <w:pPr>
              <w:snapToGrid w:val="0"/>
              <w:spacing w:line="400" w:lineRule="exact"/>
              <w:jc w:val="center"/>
              <w:rPr>
                <w:rFonts w:ascii="宋体" w:hAnsi="宋体" w:cs="宋体"/>
                <w:sz w:val="24"/>
                <w:szCs w:val="24"/>
              </w:rPr>
            </w:pPr>
            <w:r>
              <w:rPr>
                <w:rFonts w:hint="eastAsia" w:ascii="宋体" w:hAnsi="宋体" w:cs="宋体"/>
                <w:sz w:val="24"/>
                <w:szCs w:val="24"/>
              </w:rPr>
              <w:t>17</w:t>
            </w:r>
          </w:p>
        </w:tc>
        <w:tc>
          <w:tcPr>
            <w:tcW w:w="474" w:type="pct"/>
            <w:tcBorders>
              <w:top w:val="single" w:color="auto" w:sz="4" w:space="0"/>
              <w:left w:val="single" w:color="auto" w:sz="4" w:space="0"/>
              <w:bottom w:val="single" w:color="auto" w:sz="4" w:space="0"/>
              <w:right w:val="single" w:color="auto" w:sz="4" w:space="0"/>
            </w:tcBorders>
            <w:vAlign w:val="center"/>
          </w:tcPr>
          <w:p w14:paraId="725983C4">
            <w:pPr>
              <w:snapToGrid w:val="0"/>
              <w:spacing w:line="400" w:lineRule="exact"/>
              <w:jc w:val="center"/>
              <w:rPr>
                <w:rFonts w:ascii="宋体" w:hAnsi="宋体" w:cs="宋体"/>
                <w:sz w:val="24"/>
                <w:szCs w:val="24"/>
              </w:rPr>
            </w:pPr>
            <w:r>
              <w:rPr>
                <w:rFonts w:hint="eastAsia" w:ascii="宋体" w:hAnsi="宋体" w:cs="宋体"/>
                <w:sz w:val="24"/>
                <w:szCs w:val="24"/>
              </w:rPr>
              <w:t>20.1</w:t>
            </w:r>
          </w:p>
        </w:tc>
        <w:tc>
          <w:tcPr>
            <w:tcW w:w="916" w:type="pct"/>
            <w:tcBorders>
              <w:top w:val="single" w:color="auto" w:sz="4" w:space="0"/>
              <w:left w:val="single" w:color="auto" w:sz="4" w:space="0"/>
              <w:bottom w:val="single" w:color="auto" w:sz="4" w:space="0"/>
              <w:right w:val="single" w:color="auto" w:sz="4" w:space="0"/>
            </w:tcBorders>
            <w:vAlign w:val="center"/>
          </w:tcPr>
          <w:p w14:paraId="5A46D128">
            <w:pPr>
              <w:snapToGrid w:val="0"/>
              <w:spacing w:line="400" w:lineRule="exact"/>
              <w:jc w:val="center"/>
              <w:rPr>
                <w:rFonts w:ascii="宋体" w:hAnsi="宋体" w:cs="宋体"/>
                <w:sz w:val="24"/>
                <w:szCs w:val="24"/>
              </w:rPr>
            </w:pPr>
            <w:r>
              <w:rPr>
                <w:rFonts w:hint="eastAsia" w:ascii="宋体" w:hAnsi="宋体" w:cs="宋体"/>
                <w:sz w:val="24"/>
                <w:szCs w:val="24"/>
              </w:rPr>
              <w:t>投标截止时间</w:t>
            </w:r>
          </w:p>
        </w:tc>
        <w:tc>
          <w:tcPr>
            <w:tcW w:w="3234" w:type="pct"/>
            <w:tcBorders>
              <w:top w:val="single" w:color="auto" w:sz="4" w:space="0"/>
              <w:left w:val="single" w:color="auto" w:sz="4" w:space="0"/>
              <w:bottom w:val="single" w:color="auto" w:sz="4" w:space="0"/>
              <w:right w:val="double" w:color="auto" w:sz="4" w:space="0"/>
            </w:tcBorders>
            <w:vAlign w:val="center"/>
          </w:tcPr>
          <w:p w14:paraId="09D2613C">
            <w:pPr>
              <w:snapToGrid w:val="0"/>
              <w:spacing w:line="400" w:lineRule="exact"/>
              <w:rPr>
                <w:rFonts w:ascii="宋体" w:hAnsi="宋体" w:cs="宋体"/>
                <w:strike/>
                <w:sz w:val="24"/>
                <w:szCs w:val="24"/>
              </w:rPr>
            </w:pPr>
            <w:r>
              <w:rPr>
                <w:rFonts w:hint="eastAsia" w:ascii="宋体" w:hAnsi="宋体" w:cs="宋体"/>
                <w:sz w:val="24"/>
                <w:szCs w:val="24"/>
                <w:u w:val="single"/>
              </w:rPr>
              <w:t>2025</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分（北京时间）。</w:t>
            </w:r>
          </w:p>
        </w:tc>
      </w:tr>
      <w:tr w14:paraId="4DA654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4E112014">
            <w:pPr>
              <w:snapToGrid w:val="0"/>
              <w:spacing w:line="400" w:lineRule="exact"/>
              <w:jc w:val="center"/>
              <w:rPr>
                <w:rFonts w:ascii="宋体" w:hAnsi="宋体" w:cs="宋体"/>
                <w:sz w:val="24"/>
                <w:szCs w:val="24"/>
              </w:rPr>
            </w:pPr>
            <w:r>
              <w:rPr>
                <w:rFonts w:hint="eastAsia" w:ascii="宋体" w:hAnsi="宋体" w:cs="宋体"/>
                <w:sz w:val="24"/>
                <w:szCs w:val="24"/>
              </w:rPr>
              <w:t>18</w:t>
            </w:r>
          </w:p>
        </w:tc>
        <w:tc>
          <w:tcPr>
            <w:tcW w:w="474" w:type="pct"/>
            <w:tcBorders>
              <w:top w:val="single" w:color="auto" w:sz="4" w:space="0"/>
              <w:left w:val="single" w:color="auto" w:sz="4" w:space="0"/>
              <w:bottom w:val="single" w:color="auto" w:sz="4" w:space="0"/>
              <w:right w:val="single" w:color="auto" w:sz="4" w:space="0"/>
            </w:tcBorders>
            <w:vAlign w:val="center"/>
          </w:tcPr>
          <w:p w14:paraId="0C6D42B0">
            <w:pPr>
              <w:snapToGrid w:val="0"/>
              <w:spacing w:line="400" w:lineRule="exact"/>
              <w:jc w:val="center"/>
              <w:rPr>
                <w:rFonts w:ascii="宋体" w:hAnsi="宋体" w:cs="宋体"/>
                <w:sz w:val="24"/>
                <w:szCs w:val="24"/>
              </w:rPr>
            </w:pPr>
            <w:r>
              <w:rPr>
                <w:rFonts w:hint="eastAsia" w:ascii="宋体" w:hAnsi="宋体" w:cs="宋体"/>
                <w:sz w:val="24"/>
                <w:szCs w:val="24"/>
              </w:rPr>
              <w:t>20.1</w:t>
            </w:r>
          </w:p>
        </w:tc>
        <w:tc>
          <w:tcPr>
            <w:tcW w:w="916" w:type="pct"/>
            <w:tcBorders>
              <w:top w:val="single" w:color="auto" w:sz="4" w:space="0"/>
              <w:left w:val="single" w:color="auto" w:sz="4" w:space="0"/>
              <w:bottom w:val="single" w:color="auto" w:sz="4" w:space="0"/>
              <w:right w:val="single" w:color="auto" w:sz="4" w:space="0"/>
            </w:tcBorders>
            <w:vAlign w:val="center"/>
          </w:tcPr>
          <w:p w14:paraId="7DAFC4FE">
            <w:pPr>
              <w:snapToGrid w:val="0"/>
              <w:spacing w:line="400" w:lineRule="exact"/>
              <w:jc w:val="center"/>
              <w:rPr>
                <w:rFonts w:ascii="宋体" w:hAnsi="宋体" w:cs="宋体"/>
                <w:sz w:val="24"/>
                <w:szCs w:val="24"/>
              </w:rPr>
            </w:pPr>
            <w:r>
              <w:rPr>
                <w:rFonts w:hint="eastAsia" w:ascii="宋体" w:hAnsi="宋体" w:cs="宋体"/>
                <w:sz w:val="24"/>
                <w:szCs w:val="24"/>
              </w:rPr>
              <w:t>开标开始时间和地点</w:t>
            </w:r>
          </w:p>
        </w:tc>
        <w:tc>
          <w:tcPr>
            <w:tcW w:w="3234" w:type="pct"/>
            <w:tcBorders>
              <w:top w:val="single" w:color="auto" w:sz="4" w:space="0"/>
              <w:left w:val="single" w:color="auto" w:sz="4" w:space="0"/>
              <w:bottom w:val="single" w:color="auto" w:sz="4" w:space="0"/>
              <w:right w:val="double" w:color="auto" w:sz="4" w:space="0"/>
            </w:tcBorders>
            <w:vAlign w:val="center"/>
          </w:tcPr>
          <w:p w14:paraId="25C38734">
            <w:pPr>
              <w:widowControl/>
              <w:snapToGrid w:val="0"/>
              <w:spacing w:line="400" w:lineRule="exact"/>
              <w:jc w:val="left"/>
              <w:rPr>
                <w:rFonts w:ascii="宋体" w:hAnsi="宋体" w:cs="宋体"/>
                <w:bCs/>
                <w:kern w:val="0"/>
                <w:sz w:val="24"/>
                <w:szCs w:val="24"/>
              </w:rPr>
            </w:pPr>
            <w:r>
              <w:rPr>
                <w:rFonts w:hint="eastAsia" w:ascii="宋体" w:hAnsi="宋体" w:cs="宋体"/>
                <w:bCs/>
                <w:kern w:val="0"/>
                <w:sz w:val="24"/>
                <w:szCs w:val="24"/>
              </w:rPr>
              <w:t>（技术标和经济标同时开标）</w:t>
            </w:r>
          </w:p>
          <w:p w14:paraId="4A1E6522">
            <w:pPr>
              <w:widowControl/>
              <w:snapToGrid w:val="0"/>
              <w:spacing w:line="400" w:lineRule="exact"/>
              <w:jc w:val="left"/>
              <w:rPr>
                <w:rFonts w:ascii="宋体" w:hAnsi="宋体" w:cs="宋体"/>
                <w:bCs/>
                <w:kern w:val="0"/>
                <w:sz w:val="24"/>
                <w:szCs w:val="24"/>
              </w:rPr>
            </w:pPr>
            <w:r>
              <w:rPr>
                <w:rFonts w:hint="eastAsia" w:ascii="宋体" w:hAnsi="宋体" w:cs="宋体"/>
                <w:bCs/>
                <w:kern w:val="0"/>
                <w:sz w:val="24"/>
                <w:szCs w:val="24"/>
              </w:rPr>
              <w:t>1、开标开始时间：</w:t>
            </w:r>
            <w:r>
              <w:rPr>
                <w:rFonts w:hint="eastAsia" w:ascii="宋体" w:hAnsi="宋体" w:cs="宋体"/>
                <w:bCs/>
                <w:kern w:val="0"/>
                <w:sz w:val="24"/>
                <w:szCs w:val="24"/>
                <w:u w:val="single"/>
              </w:rPr>
              <w:t>2025年   月  日  时  分</w:t>
            </w:r>
            <w:r>
              <w:rPr>
                <w:rFonts w:hint="eastAsia" w:ascii="宋体" w:hAnsi="宋体" w:cs="宋体"/>
                <w:bCs/>
                <w:kern w:val="0"/>
                <w:sz w:val="24"/>
                <w:szCs w:val="24"/>
              </w:rPr>
              <w:t>（与投标截止时间为同一时间），地点：广州交易集团有限公司（广州公共资源交易中心）黄埔交易部指定开标室。</w:t>
            </w:r>
            <w:r>
              <w:rPr>
                <w:rFonts w:hint="eastAsia" w:ascii="宋体" w:hAnsi="宋体" w:cs="宋体"/>
                <w:bCs/>
                <w:kern w:val="0"/>
                <w:sz w:val="24"/>
                <w:szCs w:val="24"/>
                <w:u w:val="single"/>
              </w:rPr>
              <w:t>投标人也可选择参加在线开标，具体按照交易平台相关指南进行操作。详见：http：//www.gzggzy.cn/fwznbszyjsgc/index.jhtml。</w:t>
            </w:r>
          </w:p>
          <w:p w14:paraId="5B270475">
            <w:pPr>
              <w:widowControl/>
              <w:snapToGrid w:val="0"/>
              <w:spacing w:line="400" w:lineRule="exact"/>
              <w:jc w:val="left"/>
              <w:rPr>
                <w:rFonts w:ascii="宋体" w:hAnsi="宋体" w:cs="宋体"/>
                <w:bCs/>
                <w:kern w:val="0"/>
                <w:sz w:val="24"/>
                <w:szCs w:val="24"/>
              </w:rPr>
            </w:pPr>
            <w:r>
              <w:rPr>
                <w:rFonts w:hint="eastAsia" w:ascii="宋体" w:hAnsi="宋体" w:cs="宋体"/>
                <w:bCs/>
                <w:kern w:val="0"/>
                <w:sz w:val="24"/>
                <w:szCs w:val="24"/>
              </w:rPr>
              <w:t>2、递交投标文件备用光盘时间：</w:t>
            </w:r>
            <w:r>
              <w:rPr>
                <w:rFonts w:hint="eastAsia" w:ascii="宋体" w:hAnsi="宋体" w:cs="宋体"/>
                <w:bCs/>
                <w:kern w:val="0"/>
                <w:sz w:val="24"/>
                <w:szCs w:val="24"/>
                <w:u w:val="single"/>
              </w:rPr>
              <w:t>2025年  月  日 时  分至2025年  月  日  时  分</w:t>
            </w:r>
            <w:r>
              <w:rPr>
                <w:rFonts w:hint="eastAsia" w:ascii="宋体" w:hAnsi="宋体" w:cs="宋体"/>
                <w:bCs/>
                <w:kern w:val="0"/>
                <w:sz w:val="24"/>
                <w:szCs w:val="24"/>
              </w:rPr>
              <w:t>；递交地点：广州交易集团有限公司（广州公共资源交易中心）黄埔交易部指定开标室。</w:t>
            </w:r>
            <w:r>
              <w:rPr>
                <w:rFonts w:hint="eastAsia" w:ascii="宋体" w:hAnsi="宋体" w:cs="宋体"/>
                <w:b/>
                <w:bCs/>
                <w:sz w:val="24"/>
                <w:szCs w:val="24"/>
                <w:u w:val="single"/>
              </w:rPr>
              <w:t>注：投标人递交投标文件备用光盘时应附上法定代表人证明书及法定代表人授权委托书（授权代表递交时出具)，并出示本人身份证原件</w:t>
            </w:r>
            <w:r>
              <w:rPr>
                <w:rFonts w:hint="eastAsia" w:ascii="宋体" w:hAnsi="宋体" w:cs="宋体"/>
                <w:bCs/>
                <w:kern w:val="0"/>
                <w:sz w:val="24"/>
                <w:szCs w:val="24"/>
              </w:rPr>
              <w:t>(建议安排在投标文件截止时间前15分钟至投标文件截止时间）。</w:t>
            </w:r>
          </w:p>
          <w:p w14:paraId="0AC3E43F">
            <w:pPr>
              <w:pStyle w:val="22"/>
              <w:snapToGrid w:val="0"/>
              <w:spacing w:line="400" w:lineRule="exact"/>
              <w:rPr>
                <w:rFonts w:hAnsi="宋体" w:cs="宋体"/>
                <w:bCs/>
                <w:sz w:val="24"/>
                <w:szCs w:val="24"/>
              </w:rPr>
            </w:pPr>
            <w:r>
              <w:rPr>
                <w:rFonts w:hint="eastAsia" w:hAnsi="宋体" w:cs="宋体"/>
                <w:b/>
                <w:bCs/>
                <w:sz w:val="24"/>
                <w:szCs w:val="24"/>
              </w:rPr>
              <w:t>3、</w:t>
            </w:r>
            <w:r>
              <w:rPr>
                <w:rFonts w:hint="eastAsia" w:hAnsi="宋体" w:cs="宋体"/>
                <w:b/>
                <w:bCs/>
                <w:sz w:val="24"/>
                <w:szCs w:val="24"/>
                <w:u w:val="single"/>
              </w:rPr>
              <w:t>投标人应在投标文件递交截止时间前通过广州交易集团有限公司（广州公共资源交易中心）电子招标投标交易平台递交电子投标文件。</w:t>
            </w:r>
          </w:p>
          <w:p w14:paraId="14003C09">
            <w:pPr>
              <w:snapToGrid w:val="0"/>
              <w:spacing w:line="400" w:lineRule="exact"/>
              <w:rPr>
                <w:rFonts w:ascii="宋体" w:hAnsi="宋体" w:cs="宋体"/>
                <w:sz w:val="24"/>
                <w:szCs w:val="24"/>
              </w:rPr>
            </w:pPr>
            <w:r>
              <w:rPr>
                <w:rFonts w:hint="eastAsia" w:ascii="宋体" w:hAnsi="宋体" w:cs="宋体"/>
                <w:bCs/>
                <w:kern w:val="0"/>
                <w:sz w:val="24"/>
                <w:szCs w:val="24"/>
              </w:rPr>
              <w:t>上述时间及地点是否有改变，请密切留意补充公告和招标答疑纪要的相关信息。</w:t>
            </w:r>
          </w:p>
        </w:tc>
      </w:tr>
      <w:tr w14:paraId="4CA848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vMerge w:val="restart"/>
            <w:tcBorders>
              <w:top w:val="single" w:color="auto" w:sz="4" w:space="0"/>
              <w:left w:val="double" w:color="auto" w:sz="4" w:space="0"/>
              <w:right w:val="single" w:color="auto" w:sz="4" w:space="0"/>
            </w:tcBorders>
            <w:vAlign w:val="center"/>
          </w:tcPr>
          <w:p w14:paraId="4EDB1907">
            <w:pPr>
              <w:snapToGrid w:val="0"/>
              <w:spacing w:line="400" w:lineRule="exact"/>
              <w:jc w:val="center"/>
              <w:rPr>
                <w:rFonts w:ascii="宋体" w:hAnsi="宋体" w:cs="宋体"/>
                <w:sz w:val="24"/>
                <w:szCs w:val="24"/>
              </w:rPr>
            </w:pPr>
            <w:r>
              <w:rPr>
                <w:rFonts w:hint="eastAsia" w:ascii="宋体" w:hAnsi="宋体" w:cs="宋体"/>
                <w:sz w:val="24"/>
                <w:szCs w:val="24"/>
              </w:rPr>
              <w:t>19</w:t>
            </w:r>
          </w:p>
        </w:tc>
        <w:tc>
          <w:tcPr>
            <w:tcW w:w="474" w:type="pct"/>
            <w:vMerge w:val="restart"/>
            <w:tcBorders>
              <w:top w:val="single" w:color="auto" w:sz="4" w:space="0"/>
              <w:left w:val="single" w:color="auto" w:sz="4" w:space="0"/>
              <w:right w:val="single" w:color="auto" w:sz="4" w:space="0"/>
            </w:tcBorders>
            <w:vAlign w:val="center"/>
          </w:tcPr>
          <w:p w14:paraId="394D5A75">
            <w:pPr>
              <w:snapToGrid w:val="0"/>
              <w:spacing w:line="400" w:lineRule="exact"/>
              <w:jc w:val="center"/>
              <w:rPr>
                <w:rFonts w:ascii="宋体" w:hAnsi="宋体" w:cs="宋体"/>
                <w:sz w:val="24"/>
                <w:szCs w:val="24"/>
              </w:rPr>
            </w:pPr>
            <w:r>
              <w:rPr>
                <w:rFonts w:hint="eastAsia" w:ascii="宋体" w:hAnsi="宋体" w:cs="宋体"/>
                <w:sz w:val="24"/>
                <w:szCs w:val="24"/>
              </w:rPr>
              <w:t>26</w:t>
            </w:r>
          </w:p>
        </w:tc>
        <w:tc>
          <w:tcPr>
            <w:tcW w:w="916" w:type="pct"/>
            <w:vMerge w:val="restart"/>
            <w:tcBorders>
              <w:top w:val="single" w:color="auto" w:sz="4" w:space="0"/>
              <w:left w:val="single" w:color="auto" w:sz="4" w:space="0"/>
              <w:right w:val="single" w:color="auto" w:sz="4" w:space="0"/>
            </w:tcBorders>
            <w:vAlign w:val="center"/>
          </w:tcPr>
          <w:p w14:paraId="4BD498F7">
            <w:pPr>
              <w:snapToGrid w:val="0"/>
              <w:spacing w:line="400" w:lineRule="exact"/>
              <w:jc w:val="center"/>
              <w:rPr>
                <w:rFonts w:ascii="宋体" w:hAnsi="宋体" w:cs="宋体"/>
                <w:sz w:val="24"/>
                <w:szCs w:val="24"/>
              </w:rPr>
            </w:pPr>
            <w:r>
              <w:rPr>
                <w:rFonts w:hint="eastAsia" w:ascii="宋体" w:hAnsi="宋体" w:cs="宋体"/>
                <w:sz w:val="24"/>
                <w:szCs w:val="24"/>
              </w:rPr>
              <w:t>开标评标办法</w:t>
            </w:r>
          </w:p>
        </w:tc>
        <w:tc>
          <w:tcPr>
            <w:tcW w:w="3234" w:type="pct"/>
            <w:tcBorders>
              <w:top w:val="single" w:color="auto" w:sz="4" w:space="0"/>
              <w:left w:val="single" w:color="auto" w:sz="4" w:space="0"/>
              <w:bottom w:val="single" w:color="auto" w:sz="4" w:space="0"/>
              <w:right w:val="double" w:color="auto" w:sz="4" w:space="0"/>
            </w:tcBorders>
            <w:vAlign w:val="center"/>
          </w:tcPr>
          <w:p w14:paraId="162FB00C">
            <w:pPr>
              <w:wordWrap w:val="0"/>
              <w:snapToGrid w:val="0"/>
              <w:spacing w:line="400" w:lineRule="exact"/>
              <w:rPr>
                <w:rFonts w:ascii="宋体" w:hAnsi="宋体" w:cs="宋体"/>
                <w:sz w:val="24"/>
                <w:szCs w:val="24"/>
                <w:u w:val="single"/>
              </w:rPr>
            </w:pPr>
            <w:r>
              <w:rPr>
                <w:rFonts w:hint="eastAsia" w:ascii="宋体" w:hAnsi="宋体" w:cs="宋体"/>
                <w:sz w:val="24"/>
                <w:szCs w:val="24"/>
                <w:u w:val="single"/>
              </w:rPr>
              <w:t>本项目采用“评定分离”办法。</w:t>
            </w:r>
          </w:p>
          <w:p w14:paraId="0A8CF95A">
            <w:pPr>
              <w:wordWrap w:val="0"/>
              <w:snapToGrid w:val="0"/>
              <w:spacing w:line="400" w:lineRule="exact"/>
              <w:rPr>
                <w:rFonts w:ascii="宋体" w:hAnsi="宋体" w:cs="宋体"/>
                <w:sz w:val="24"/>
                <w:szCs w:val="24"/>
              </w:rPr>
            </w:pPr>
            <w:r>
              <w:rPr>
                <w:rFonts w:hint="eastAsia" w:ascii="宋体" w:hAnsi="宋体" w:cs="宋体"/>
                <w:sz w:val="24"/>
                <w:szCs w:val="24"/>
              </w:rPr>
              <w:t>评标办法：</w:t>
            </w:r>
            <w:r>
              <w:rPr>
                <w:rFonts w:hint="eastAsia" w:ascii="宋体" w:hAnsi="宋体" w:cs="宋体"/>
                <w:sz w:val="24"/>
                <w:szCs w:val="24"/>
                <w:u w:val="single"/>
              </w:rPr>
              <w:t>采用“通过制”评审法</w:t>
            </w:r>
          </w:p>
          <w:p w14:paraId="5B3DB9EA">
            <w:pPr>
              <w:pStyle w:val="5"/>
              <w:snapToGrid w:val="0"/>
              <w:spacing w:after="0" w:line="400" w:lineRule="exact"/>
              <w:ind w:firstLine="0"/>
              <w:rPr>
                <w:rFonts w:ascii="宋体" w:hAnsi="宋体" w:cs="宋体"/>
                <w:sz w:val="24"/>
                <w:szCs w:val="24"/>
              </w:rPr>
            </w:pPr>
            <w:r>
              <w:rPr>
                <w:rFonts w:hint="eastAsia" w:ascii="宋体" w:hAnsi="宋体" w:cs="宋体"/>
                <w:sz w:val="24"/>
                <w:szCs w:val="24"/>
              </w:rPr>
              <w:t>评标委员会对投标文件进行资格审查，再对通过资格审查的投标文件进行技术标有效性审查和经济标有效性审查。若通过资格审查、技术标有效性审查和经济标有效性审查的合格投标人数量大于等于3家的，则将其全部推荐为合格的中标候选人，进入定标阶段。</w:t>
            </w:r>
          </w:p>
        </w:tc>
      </w:tr>
      <w:tr w14:paraId="490929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vMerge w:val="continue"/>
            <w:tcBorders>
              <w:left w:val="double" w:color="auto" w:sz="4" w:space="0"/>
              <w:bottom w:val="single" w:color="auto" w:sz="4" w:space="0"/>
              <w:right w:val="single" w:color="auto" w:sz="4" w:space="0"/>
            </w:tcBorders>
            <w:vAlign w:val="center"/>
          </w:tcPr>
          <w:p w14:paraId="74E630D1">
            <w:pPr>
              <w:snapToGrid w:val="0"/>
              <w:spacing w:line="400" w:lineRule="exact"/>
              <w:jc w:val="center"/>
              <w:rPr>
                <w:rFonts w:ascii="宋体" w:hAnsi="宋体" w:cs="宋体"/>
                <w:sz w:val="24"/>
                <w:szCs w:val="24"/>
              </w:rPr>
            </w:pPr>
          </w:p>
        </w:tc>
        <w:tc>
          <w:tcPr>
            <w:tcW w:w="474" w:type="pct"/>
            <w:vMerge w:val="continue"/>
            <w:tcBorders>
              <w:left w:val="single" w:color="auto" w:sz="4" w:space="0"/>
              <w:bottom w:val="single" w:color="auto" w:sz="4" w:space="0"/>
              <w:right w:val="single" w:color="auto" w:sz="4" w:space="0"/>
            </w:tcBorders>
            <w:shd w:val="clear" w:color="auto" w:fill="auto"/>
            <w:vAlign w:val="center"/>
          </w:tcPr>
          <w:p w14:paraId="13020444">
            <w:pPr>
              <w:snapToGrid w:val="0"/>
              <w:spacing w:line="400" w:lineRule="exact"/>
              <w:jc w:val="center"/>
              <w:rPr>
                <w:rFonts w:ascii="宋体" w:hAnsi="宋体" w:cs="宋体"/>
                <w:sz w:val="24"/>
                <w:szCs w:val="24"/>
              </w:rPr>
            </w:pPr>
          </w:p>
        </w:tc>
        <w:tc>
          <w:tcPr>
            <w:tcW w:w="916" w:type="pct"/>
            <w:vMerge w:val="continue"/>
            <w:tcBorders>
              <w:left w:val="single" w:color="auto" w:sz="4" w:space="0"/>
              <w:bottom w:val="single" w:color="auto" w:sz="4" w:space="0"/>
              <w:right w:val="single" w:color="auto" w:sz="4" w:space="0"/>
            </w:tcBorders>
            <w:shd w:val="clear" w:color="auto" w:fill="auto"/>
            <w:vAlign w:val="center"/>
          </w:tcPr>
          <w:p w14:paraId="60560272">
            <w:pPr>
              <w:snapToGrid w:val="0"/>
              <w:spacing w:line="400" w:lineRule="exact"/>
              <w:jc w:val="center"/>
              <w:rPr>
                <w:rFonts w:ascii="宋体" w:hAnsi="宋体" w:cs="宋体"/>
                <w:sz w:val="24"/>
                <w:szCs w:val="24"/>
                <w:u w:val="single"/>
              </w:rPr>
            </w:pPr>
          </w:p>
        </w:tc>
        <w:tc>
          <w:tcPr>
            <w:tcW w:w="3234" w:type="pct"/>
            <w:tcBorders>
              <w:top w:val="single" w:color="auto" w:sz="4" w:space="0"/>
              <w:left w:val="single" w:color="auto" w:sz="4" w:space="0"/>
              <w:bottom w:val="single" w:color="auto" w:sz="4" w:space="0"/>
              <w:right w:val="double" w:color="auto" w:sz="4" w:space="0"/>
            </w:tcBorders>
            <w:shd w:val="clear" w:color="auto" w:fill="auto"/>
            <w:vAlign w:val="center"/>
          </w:tcPr>
          <w:p w14:paraId="675A888B">
            <w:pPr>
              <w:pStyle w:val="5"/>
              <w:snapToGrid w:val="0"/>
              <w:spacing w:after="0" w:line="400" w:lineRule="exact"/>
              <w:ind w:firstLine="0"/>
              <w:rPr>
                <w:rFonts w:ascii="宋体" w:hAnsi="宋体" w:cs="宋体"/>
                <w:kern w:val="2"/>
                <w:sz w:val="24"/>
                <w:szCs w:val="24"/>
                <w:u w:val="single"/>
              </w:rPr>
            </w:pPr>
            <w:r>
              <w:rPr>
                <w:rFonts w:hint="eastAsia" w:ascii="宋体" w:hAnsi="宋体" w:cs="宋体"/>
                <w:kern w:val="2"/>
                <w:sz w:val="24"/>
                <w:szCs w:val="24"/>
                <w:u w:val="single"/>
              </w:rPr>
              <w:t>定标办法：资信因素+方案因素+价格因素。</w:t>
            </w:r>
          </w:p>
          <w:p w14:paraId="490AA0EB">
            <w:pPr>
              <w:pStyle w:val="5"/>
              <w:snapToGrid w:val="0"/>
              <w:spacing w:after="0" w:line="400" w:lineRule="exact"/>
              <w:ind w:firstLine="0"/>
              <w:rPr>
                <w:rFonts w:ascii="宋体" w:hAnsi="宋体" w:cs="宋体"/>
                <w:sz w:val="24"/>
                <w:szCs w:val="24"/>
              </w:rPr>
            </w:pPr>
            <w:r>
              <w:rPr>
                <w:rFonts w:hint="eastAsia" w:ascii="宋体" w:hAnsi="宋体" w:cs="宋体"/>
                <w:kern w:val="2"/>
                <w:sz w:val="24"/>
                <w:szCs w:val="24"/>
                <w:u w:val="single"/>
              </w:rPr>
              <w:t>具体要求详见第二章 开标、评标及定标办法</w:t>
            </w:r>
          </w:p>
        </w:tc>
      </w:tr>
      <w:tr w14:paraId="67B846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694478F2">
            <w:pPr>
              <w:snapToGrid w:val="0"/>
              <w:spacing w:line="400" w:lineRule="exact"/>
              <w:jc w:val="center"/>
              <w:rPr>
                <w:rFonts w:ascii="宋体" w:hAnsi="宋体" w:cs="宋体"/>
                <w:sz w:val="24"/>
                <w:szCs w:val="24"/>
              </w:rPr>
            </w:pPr>
            <w:r>
              <w:rPr>
                <w:rFonts w:hint="eastAsia" w:ascii="宋体" w:hAnsi="宋体" w:cs="宋体"/>
                <w:sz w:val="24"/>
                <w:szCs w:val="24"/>
              </w:rPr>
              <w:t>20</w:t>
            </w:r>
          </w:p>
        </w:tc>
        <w:tc>
          <w:tcPr>
            <w:tcW w:w="474" w:type="pct"/>
            <w:tcBorders>
              <w:top w:val="single" w:color="auto" w:sz="4" w:space="0"/>
              <w:left w:val="single" w:color="auto" w:sz="4" w:space="0"/>
              <w:bottom w:val="single" w:color="auto" w:sz="4" w:space="0"/>
              <w:right w:val="single" w:color="auto" w:sz="4" w:space="0"/>
            </w:tcBorders>
            <w:vAlign w:val="center"/>
          </w:tcPr>
          <w:p w14:paraId="31359AA8">
            <w:pPr>
              <w:snapToGrid w:val="0"/>
              <w:spacing w:line="400" w:lineRule="exact"/>
              <w:jc w:val="center"/>
              <w:rPr>
                <w:rFonts w:ascii="宋体" w:hAnsi="宋体" w:cs="宋体"/>
                <w:sz w:val="24"/>
                <w:szCs w:val="24"/>
              </w:rPr>
            </w:pPr>
            <w:r>
              <w:rPr>
                <w:rFonts w:hint="eastAsia" w:ascii="宋体" w:hAnsi="宋体" w:cs="宋体"/>
                <w:sz w:val="24"/>
                <w:szCs w:val="24"/>
              </w:rPr>
              <w:t>29.1</w:t>
            </w:r>
          </w:p>
        </w:tc>
        <w:tc>
          <w:tcPr>
            <w:tcW w:w="916" w:type="pct"/>
            <w:tcBorders>
              <w:top w:val="single" w:color="auto" w:sz="4" w:space="0"/>
              <w:left w:val="single" w:color="auto" w:sz="4" w:space="0"/>
              <w:bottom w:val="single" w:color="auto" w:sz="4" w:space="0"/>
              <w:right w:val="single" w:color="auto" w:sz="4" w:space="0"/>
            </w:tcBorders>
            <w:vAlign w:val="center"/>
          </w:tcPr>
          <w:p w14:paraId="526FC315">
            <w:pPr>
              <w:snapToGrid w:val="0"/>
              <w:spacing w:line="400" w:lineRule="exact"/>
              <w:jc w:val="center"/>
              <w:rPr>
                <w:rFonts w:ascii="宋体" w:hAnsi="宋体" w:cs="宋体"/>
                <w:sz w:val="24"/>
                <w:szCs w:val="24"/>
              </w:rPr>
            </w:pPr>
            <w:r>
              <w:rPr>
                <w:rFonts w:hint="eastAsia" w:ascii="宋体" w:hAnsi="宋体" w:cs="宋体"/>
                <w:sz w:val="24"/>
                <w:szCs w:val="24"/>
              </w:rPr>
              <w:t>履约担保</w:t>
            </w:r>
          </w:p>
        </w:tc>
        <w:tc>
          <w:tcPr>
            <w:tcW w:w="3234" w:type="pct"/>
            <w:tcBorders>
              <w:top w:val="single" w:color="auto" w:sz="4" w:space="0"/>
              <w:left w:val="single" w:color="auto" w:sz="4" w:space="0"/>
              <w:bottom w:val="single" w:color="auto" w:sz="4" w:space="0"/>
              <w:right w:val="double" w:color="auto" w:sz="4" w:space="0"/>
            </w:tcBorders>
            <w:vAlign w:val="center"/>
          </w:tcPr>
          <w:p w14:paraId="4A6B3747">
            <w:pPr>
              <w:pStyle w:val="5"/>
              <w:snapToGrid w:val="0"/>
              <w:spacing w:after="0" w:line="400" w:lineRule="exact"/>
              <w:ind w:firstLine="0"/>
              <w:rPr>
                <w:rFonts w:ascii="宋体" w:hAnsi="宋体" w:cs="宋体"/>
                <w:kern w:val="2"/>
                <w:sz w:val="24"/>
                <w:szCs w:val="24"/>
                <w:u w:val="single"/>
              </w:rPr>
            </w:pPr>
            <w:r>
              <w:rPr>
                <w:rFonts w:hint="eastAsia" w:ascii="宋体" w:hAnsi="宋体" w:cs="宋体"/>
                <w:sz w:val="24"/>
                <w:szCs w:val="24"/>
              </w:rPr>
              <w:t>中标人提供的履约保证金为中标价款的10%。</w:t>
            </w:r>
          </w:p>
        </w:tc>
      </w:tr>
      <w:tr w14:paraId="162542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37071CC2">
            <w:pPr>
              <w:snapToGrid w:val="0"/>
              <w:spacing w:line="400" w:lineRule="exact"/>
              <w:jc w:val="center"/>
              <w:rPr>
                <w:rFonts w:ascii="宋体" w:hAnsi="宋体" w:cs="宋体"/>
                <w:sz w:val="24"/>
                <w:szCs w:val="24"/>
              </w:rPr>
            </w:pPr>
            <w:r>
              <w:rPr>
                <w:rFonts w:hint="eastAsia" w:ascii="宋体" w:hAnsi="宋体" w:cs="宋体"/>
                <w:sz w:val="24"/>
                <w:szCs w:val="24"/>
              </w:rPr>
              <w:t>21</w:t>
            </w:r>
          </w:p>
        </w:tc>
        <w:tc>
          <w:tcPr>
            <w:tcW w:w="474" w:type="pct"/>
            <w:tcBorders>
              <w:top w:val="single" w:color="auto" w:sz="4" w:space="0"/>
              <w:left w:val="single" w:color="auto" w:sz="4" w:space="0"/>
              <w:bottom w:val="single" w:color="auto" w:sz="4" w:space="0"/>
              <w:right w:val="single" w:color="auto" w:sz="4" w:space="0"/>
            </w:tcBorders>
            <w:vAlign w:val="center"/>
          </w:tcPr>
          <w:p w14:paraId="79D5E26A">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21EB5ED7">
            <w:pPr>
              <w:snapToGrid w:val="0"/>
              <w:spacing w:line="400" w:lineRule="exact"/>
              <w:jc w:val="center"/>
              <w:rPr>
                <w:rFonts w:ascii="宋体" w:hAnsi="宋体" w:cs="宋体"/>
                <w:sz w:val="24"/>
                <w:szCs w:val="24"/>
              </w:rPr>
            </w:pPr>
            <w:r>
              <w:rPr>
                <w:rFonts w:hint="eastAsia" w:ascii="宋体" w:hAnsi="宋体" w:cs="宋体"/>
                <w:sz w:val="24"/>
                <w:szCs w:val="24"/>
              </w:rPr>
              <w:t>最高投标限价</w:t>
            </w:r>
          </w:p>
        </w:tc>
        <w:tc>
          <w:tcPr>
            <w:tcW w:w="3234" w:type="pct"/>
            <w:tcBorders>
              <w:top w:val="single" w:color="auto" w:sz="4" w:space="0"/>
              <w:left w:val="single" w:color="auto" w:sz="4" w:space="0"/>
              <w:bottom w:val="single" w:color="auto" w:sz="4" w:space="0"/>
              <w:right w:val="double" w:color="auto" w:sz="4" w:space="0"/>
            </w:tcBorders>
            <w:vAlign w:val="center"/>
          </w:tcPr>
          <w:p w14:paraId="575EF1D9">
            <w:pPr>
              <w:snapToGrid w:val="0"/>
              <w:spacing w:line="400" w:lineRule="exact"/>
              <w:rPr>
                <w:rFonts w:ascii="宋体" w:hAnsi="宋体" w:cs="宋体"/>
                <w:sz w:val="24"/>
                <w:szCs w:val="24"/>
                <w:highlight w:val="none"/>
              </w:rPr>
            </w:pPr>
            <w:r>
              <w:rPr>
                <w:rFonts w:hint="eastAsia" w:ascii="宋体" w:hAnsi="宋体" w:cs="宋体"/>
                <w:b/>
                <w:bCs/>
                <w:sz w:val="24"/>
                <w:szCs w:val="24"/>
                <w:highlight w:val="none"/>
                <w:u w:val="single"/>
              </w:rPr>
              <w:t>本项目最高投标限价为人民币4,827,531.00元。</w:t>
            </w:r>
          </w:p>
        </w:tc>
      </w:tr>
      <w:tr w14:paraId="3AA1FE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0FD71810">
            <w:pPr>
              <w:snapToGrid w:val="0"/>
              <w:spacing w:line="400" w:lineRule="exact"/>
              <w:jc w:val="center"/>
              <w:rPr>
                <w:rFonts w:ascii="宋体" w:hAnsi="宋体" w:cs="宋体"/>
                <w:sz w:val="24"/>
                <w:szCs w:val="24"/>
              </w:rPr>
            </w:pPr>
            <w:r>
              <w:rPr>
                <w:rFonts w:hint="eastAsia" w:ascii="宋体" w:hAnsi="宋体" w:cs="宋体"/>
                <w:sz w:val="24"/>
                <w:szCs w:val="24"/>
              </w:rPr>
              <w:t>22</w:t>
            </w:r>
          </w:p>
        </w:tc>
        <w:tc>
          <w:tcPr>
            <w:tcW w:w="474" w:type="pct"/>
            <w:tcBorders>
              <w:top w:val="single" w:color="auto" w:sz="4" w:space="0"/>
              <w:left w:val="single" w:color="auto" w:sz="4" w:space="0"/>
              <w:bottom w:val="single" w:color="auto" w:sz="4" w:space="0"/>
              <w:right w:val="single" w:color="auto" w:sz="4" w:space="0"/>
            </w:tcBorders>
            <w:vAlign w:val="center"/>
          </w:tcPr>
          <w:p w14:paraId="2D2FF025">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059E4FC7">
            <w:pPr>
              <w:snapToGrid w:val="0"/>
              <w:spacing w:line="400" w:lineRule="exact"/>
              <w:jc w:val="center"/>
              <w:rPr>
                <w:rFonts w:ascii="宋体" w:hAnsi="宋体" w:cs="宋体"/>
                <w:sz w:val="24"/>
                <w:szCs w:val="24"/>
              </w:rPr>
            </w:pPr>
            <w:r>
              <w:rPr>
                <w:rFonts w:hint="eastAsia" w:ascii="宋体" w:hAnsi="宋体" w:cs="宋体"/>
                <w:sz w:val="24"/>
                <w:szCs w:val="24"/>
              </w:rPr>
              <w:t>非竞争费用</w:t>
            </w:r>
          </w:p>
        </w:tc>
        <w:tc>
          <w:tcPr>
            <w:tcW w:w="3234" w:type="pct"/>
            <w:tcBorders>
              <w:top w:val="single" w:color="auto" w:sz="4" w:space="0"/>
              <w:left w:val="single" w:color="auto" w:sz="4" w:space="0"/>
              <w:bottom w:val="single" w:color="auto" w:sz="4" w:space="0"/>
              <w:right w:val="double" w:color="auto" w:sz="4" w:space="0"/>
            </w:tcBorders>
            <w:vAlign w:val="center"/>
          </w:tcPr>
          <w:p w14:paraId="75DE8F64">
            <w:pPr>
              <w:snapToGrid w:val="0"/>
              <w:spacing w:line="400" w:lineRule="exact"/>
              <w:rPr>
                <w:rFonts w:ascii="宋体" w:hAnsi="宋体" w:cs="宋体"/>
                <w:sz w:val="24"/>
                <w:szCs w:val="24"/>
                <w:highlight w:val="none"/>
              </w:rPr>
            </w:pPr>
            <w:r>
              <w:rPr>
                <w:rFonts w:hint="eastAsia" w:ascii="宋体" w:hAnsi="宋体" w:cs="宋体"/>
                <w:b/>
                <w:bCs/>
                <w:sz w:val="24"/>
                <w:szCs w:val="24"/>
                <w:highlight w:val="none"/>
                <w:u w:val="single"/>
              </w:rPr>
              <w:t>本项目绿色施工安全防护措施费为人民币261,455.13元，暂列金额为人民币194,282.49元，详见最高投标限价公布函（未按招标文件规定的金额填写的，由评标委员会按照招标文件规定的金额进行修正）。</w:t>
            </w:r>
          </w:p>
        </w:tc>
      </w:tr>
      <w:tr w14:paraId="00865E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38DE24C9">
            <w:pPr>
              <w:snapToGrid w:val="0"/>
              <w:spacing w:line="400" w:lineRule="exact"/>
              <w:jc w:val="center"/>
              <w:rPr>
                <w:rFonts w:ascii="宋体" w:hAnsi="宋体" w:cs="宋体"/>
                <w:sz w:val="24"/>
                <w:szCs w:val="24"/>
              </w:rPr>
            </w:pPr>
            <w:r>
              <w:rPr>
                <w:rFonts w:hint="eastAsia" w:ascii="宋体" w:hAnsi="宋体" w:cs="宋体"/>
                <w:sz w:val="24"/>
                <w:szCs w:val="24"/>
              </w:rPr>
              <w:t>23</w:t>
            </w:r>
          </w:p>
        </w:tc>
        <w:tc>
          <w:tcPr>
            <w:tcW w:w="474" w:type="pct"/>
            <w:tcBorders>
              <w:top w:val="single" w:color="auto" w:sz="4" w:space="0"/>
              <w:left w:val="single" w:color="auto" w:sz="4" w:space="0"/>
              <w:bottom w:val="single" w:color="auto" w:sz="4" w:space="0"/>
              <w:right w:val="single" w:color="auto" w:sz="4" w:space="0"/>
            </w:tcBorders>
            <w:vAlign w:val="center"/>
          </w:tcPr>
          <w:p w14:paraId="68B6D591">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539BB486">
            <w:pPr>
              <w:pStyle w:val="5"/>
              <w:snapToGrid w:val="0"/>
              <w:spacing w:after="0" w:line="400" w:lineRule="exact"/>
              <w:ind w:firstLine="0"/>
              <w:jc w:val="center"/>
              <w:rPr>
                <w:rFonts w:ascii="宋体" w:hAnsi="宋体" w:cs="宋体"/>
                <w:kern w:val="2"/>
                <w:sz w:val="24"/>
                <w:szCs w:val="24"/>
              </w:rPr>
            </w:pPr>
            <w:r>
              <w:rPr>
                <w:rFonts w:hint="eastAsia" w:ascii="宋体" w:hAnsi="宋体" w:cs="宋体"/>
                <w:kern w:val="2"/>
                <w:sz w:val="24"/>
                <w:szCs w:val="24"/>
              </w:rPr>
              <w:t>保修期</w:t>
            </w:r>
          </w:p>
        </w:tc>
        <w:tc>
          <w:tcPr>
            <w:tcW w:w="3234" w:type="pct"/>
            <w:tcBorders>
              <w:top w:val="single" w:color="auto" w:sz="4" w:space="0"/>
              <w:left w:val="single" w:color="auto" w:sz="4" w:space="0"/>
              <w:bottom w:val="single" w:color="auto" w:sz="4" w:space="0"/>
              <w:right w:val="double" w:color="auto" w:sz="4" w:space="0"/>
            </w:tcBorders>
            <w:vAlign w:val="center"/>
          </w:tcPr>
          <w:p w14:paraId="3D6154BC">
            <w:pPr>
              <w:snapToGrid w:val="0"/>
              <w:spacing w:line="400" w:lineRule="exact"/>
              <w:rPr>
                <w:rFonts w:ascii="宋体" w:hAnsi="宋体" w:cs="宋体"/>
                <w:sz w:val="24"/>
                <w:szCs w:val="24"/>
              </w:rPr>
            </w:pPr>
            <w:r>
              <w:rPr>
                <w:rFonts w:hint="eastAsia" w:ascii="宋体" w:hAnsi="宋体" w:cs="宋体"/>
                <w:sz w:val="24"/>
                <w:szCs w:val="24"/>
              </w:rPr>
              <w:t>按照《建设工程质量管理条例》规定。</w:t>
            </w:r>
          </w:p>
        </w:tc>
      </w:tr>
      <w:tr w14:paraId="4441A5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66A33CE3">
            <w:pPr>
              <w:snapToGrid w:val="0"/>
              <w:spacing w:line="400" w:lineRule="exact"/>
              <w:jc w:val="center"/>
              <w:rPr>
                <w:rFonts w:ascii="宋体" w:hAnsi="宋体" w:cs="宋体"/>
                <w:sz w:val="24"/>
                <w:szCs w:val="24"/>
              </w:rPr>
            </w:pPr>
            <w:r>
              <w:rPr>
                <w:rFonts w:hint="eastAsia" w:ascii="宋体" w:hAnsi="宋体" w:cs="宋体"/>
                <w:sz w:val="24"/>
                <w:szCs w:val="24"/>
              </w:rPr>
              <w:t>24</w:t>
            </w:r>
          </w:p>
        </w:tc>
        <w:tc>
          <w:tcPr>
            <w:tcW w:w="474" w:type="pct"/>
            <w:tcBorders>
              <w:top w:val="single" w:color="auto" w:sz="4" w:space="0"/>
              <w:left w:val="single" w:color="auto" w:sz="4" w:space="0"/>
              <w:bottom w:val="single" w:color="auto" w:sz="4" w:space="0"/>
              <w:right w:val="single" w:color="auto" w:sz="4" w:space="0"/>
            </w:tcBorders>
            <w:vAlign w:val="center"/>
          </w:tcPr>
          <w:p w14:paraId="0438A7CF">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7251471D">
            <w:pPr>
              <w:wordWrap w:val="0"/>
              <w:snapToGrid w:val="0"/>
              <w:spacing w:line="400" w:lineRule="exact"/>
              <w:rPr>
                <w:rFonts w:ascii="宋体" w:hAnsi="宋体" w:cs="宋体"/>
                <w:sz w:val="24"/>
                <w:szCs w:val="24"/>
                <w:u w:val="single"/>
              </w:rPr>
            </w:pPr>
            <w:r>
              <w:rPr>
                <w:rFonts w:hint="eastAsia" w:ascii="宋体" w:hAnsi="宋体" w:cs="宋体"/>
                <w:sz w:val="24"/>
                <w:szCs w:val="24"/>
              </w:rPr>
              <w:t>计算评标参考价的等分点值</w:t>
            </w:r>
          </w:p>
        </w:tc>
        <w:tc>
          <w:tcPr>
            <w:tcW w:w="3234" w:type="pct"/>
            <w:tcBorders>
              <w:top w:val="single" w:color="auto" w:sz="4" w:space="0"/>
              <w:left w:val="single" w:color="auto" w:sz="4" w:space="0"/>
              <w:bottom w:val="single" w:color="auto" w:sz="4" w:space="0"/>
              <w:right w:val="double" w:color="auto" w:sz="4" w:space="0"/>
            </w:tcBorders>
            <w:vAlign w:val="center"/>
          </w:tcPr>
          <w:p w14:paraId="6E4ED407">
            <w:pPr>
              <w:wordWrap w:val="0"/>
              <w:snapToGrid w:val="0"/>
              <w:spacing w:line="400" w:lineRule="exact"/>
              <w:rPr>
                <w:rFonts w:ascii="宋体" w:hAnsi="宋体" w:cs="宋体"/>
                <w:sz w:val="24"/>
                <w:szCs w:val="24"/>
                <w:u w:val="single"/>
              </w:rPr>
            </w:pPr>
            <w:r>
              <w:rPr>
                <w:rFonts w:hint="eastAsia" w:ascii="宋体" w:hAnsi="宋体" w:cs="宋体"/>
                <w:sz w:val="24"/>
                <w:szCs w:val="24"/>
              </w:rPr>
              <w:t>本项目不适用。</w:t>
            </w:r>
          </w:p>
        </w:tc>
      </w:tr>
      <w:tr w14:paraId="32D2C7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6663046B">
            <w:pPr>
              <w:snapToGrid w:val="0"/>
              <w:spacing w:line="400" w:lineRule="exact"/>
              <w:jc w:val="center"/>
              <w:rPr>
                <w:rFonts w:ascii="宋体" w:hAnsi="宋体" w:cs="宋体"/>
                <w:sz w:val="24"/>
                <w:szCs w:val="24"/>
              </w:rPr>
            </w:pPr>
            <w:r>
              <w:rPr>
                <w:rFonts w:hint="eastAsia" w:ascii="宋体" w:hAnsi="宋体" w:cs="宋体"/>
                <w:sz w:val="24"/>
                <w:szCs w:val="24"/>
              </w:rPr>
              <w:t>25</w:t>
            </w:r>
          </w:p>
        </w:tc>
        <w:tc>
          <w:tcPr>
            <w:tcW w:w="474" w:type="pct"/>
            <w:tcBorders>
              <w:top w:val="single" w:color="auto" w:sz="4" w:space="0"/>
              <w:left w:val="single" w:color="auto" w:sz="4" w:space="0"/>
              <w:bottom w:val="single" w:color="auto" w:sz="4" w:space="0"/>
              <w:right w:val="single" w:color="auto" w:sz="4" w:space="0"/>
            </w:tcBorders>
            <w:vAlign w:val="center"/>
          </w:tcPr>
          <w:p w14:paraId="568B9A2A">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3B4B9710">
            <w:pPr>
              <w:snapToGrid w:val="0"/>
              <w:spacing w:line="400" w:lineRule="exact"/>
              <w:jc w:val="center"/>
              <w:rPr>
                <w:rFonts w:ascii="宋体" w:hAnsi="宋体" w:cs="宋体"/>
                <w:sz w:val="24"/>
                <w:szCs w:val="24"/>
              </w:rPr>
            </w:pPr>
            <w:r>
              <w:rPr>
                <w:rFonts w:hint="eastAsia" w:ascii="宋体" w:hAnsi="宋体" w:cs="宋体"/>
                <w:sz w:val="24"/>
                <w:szCs w:val="24"/>
              </w:rPr>
              <w:t>进入第二阶段评审的家数</w:t>
            </w:r>
          </w:p>
        </w:tc>
        <w:tc>
          <w:tcPr>
            <w:tcW w:w="3234" w:type="pct"/>
            <w:tcBorders>
              <w:top w:val="single" w:color="auto" w:sz="4" w:space="0"/>
              <w:left w:val="single" w:color="auto" w:sz="4" w:space="0"/>
              <w:bottom w:val="single" w:color="auto" w:sz="4" w:space="0"/>
              <w:right w:val="double" w:color="auto" w:sz="4" w:space="0"/>
            </w:tcBorders>
            <w:vAlign w:val="center"/>
          </w:tcPr>
          <w:p w14:paraId="55931E00">
            <w:pPr>
              <w:snapToGrid w:val="0"/>
              <w:spacing w:line="400" w:lineRule="exact"/>
              <w:rPr>
                <w:rFonts w:ascii="宋体" w:hAnsi="宋体" w:cs="宋体"/>
                <w:sz w:val="24"/>
                <w:szCs w:val="24"/>
              </w:rPr>
            </w:pPr>
            <w:r>
              <w:rPr>
                <w:rFonts w:hint="eastAsia" w:ascii="宋体" w:hAnsi="宋体" w:cs="宋体"/>
                <w:sz w:val="24"/>
                <w:szCs w:val="24"/>
              </w:rPr>
              <w:t>本项目不适用。</w:t>
            </w:r>
          </w:p>
        </w:tc>
      </w:tr>
      <w:tr w14:paraId="49956B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787263A3">
            <w:pPr>
              <w:snapToGrid w:val="0"/>
              <w:spacing w:line="400" w:lineRule="exact"/>
              <w:jc w:val="center"/>
              <w:rPr>
                <w:rFonts w:ascii="宋体" w:hAnsi="宋体" w:cs="宋体"/>
                <w:sz w:val="24"/>
                <w:szCs w:val="24"/>
              </w:rPr>
            </w:pPr>
            <w:r>
              <w:rPr>
                <w:rFonts w:hint="eastAsia" w:ascii="宋体" w:hAnsi="宋体" w:cs="宋体"/>
                <w:sz w:val="24"/>
                <w:szCs w:val="24"/>
              </w:rPr>
              <w:t>26</w:t>
            </w:r>
          </w:p>
        </w:tc>
        <w:tc>
          <w:tcPr>
            <w:tcW w:w="474" w:type="pct"/>
            <w:tcBorders>
              <w:top w:val="single" w:color="auto" w:sz="4" w:space="0"/>
              <w:left w:val="single" w:color="auto" w:sz="4" w:space="0"/>
              <w:bottom w:val="single" w:color="auto" w:sz="4" w:space="0"/>
              <w:right w:val="single" w:color="auto" w:sz="4" w:space="0"/>
            </w:tcBorders>
            <w:vAlign w:val="center"/>
          </w:tcPr>
          <w:p w14:paraId="1CA80AA1">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0DE57EEF">
            <w:pPr>
              <w:snapToGrid w:val="0"/>
              <w:spacing w:line="400" w:lineRule="exact"/>
              <w:jc w:val="center"/>
              <w:rPr>
                <w:rFonts w:ascii="宋体" w:hAnsi="宋体" w:cs="宋体"/>
                <w:sz w:val="24"/>
                <w:szCs w:val="24"/>
              </w:rPr>
            </w:pPr>
            <w:r>
              <w:rPr>
                <w:rFonts w:hint="eastAsia" w:ascii="宋体" w:hAnsi="宋体" w:cs="宋体"/>
                <w:sz w:val="24"/>
                <w:szCs w:val="24"/>
              </w:rPr>
              <w:t>工程成本警戒价</w:t>
            </w:r>
          </w:p>
        </w:tc>
        <w:tc>
          <w:tcPr>
            <w:tcW w:w="3234" w:type="pct"/>
            <w:tcBorders>
              <w:top w:val="single" w:color="auto" w:sz="4" w:space="0"/>
              <w:left w:val="single" w:color="auto" w:sz="4" w:space="0"/>
              <w:bottom w:val="single" w:color="auto" w:sz="4" w:space="0"/>
              <w:right w:val="double" w:color="auto" w:sz="4" w:space="0"/>
            </w:tcBorders>
            <w:vAlign w:val="center"/>
          </w:tcPr>
          <w:p w14:paraId="49FE5BBF">
            <w:pPr>
              <w:snapToGrid w:val="0"/>
              <w:spacing w:line="400" w:lineRule="exact"/>
              <w:rPr>
                <w:rFonts w:ascii="宋体" w:hAnsi="宋体" w:cs="宋体"/>
                <w:sz w:val="24"/>
                <w:szCs w:val="24"/>
                <w:highlight w:val="none"/>
              </w:rPr>
            </w:pPr>
            <w:r>
              <w:rPr>
                <w:rFonts w:hint="eastAsia" w:ascii="宋体" w:hAnsi="宋体" w:cs="宋体"/>
                <w:sz w:val="24"/>
                <w:szCs w:val="24"/>
                <w:highlight w:val="none"/>
                <w:u w:val="single"/>
              </w:rPr>
              <w:t>工程成本警戒价为人民币4,103,401.35元（按最高投标限价的85%）。</w:t>
            </w:r>
            <w:r>
              <w:rPr>
                <w:rFonts w:hint="eastAsia" w:ascii="宋体" w:hAnsi="宋体" w:cs="宋体"/>
                <w:sz w:val="24"/>
                <w:szCs w:val="24"/>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56F49140">
            <w:pPr>
              <w:snapToGrid w:val="0"/>
              <w:spacing w:line="400" w:lineRule="exact"/>
              <w:rPr>
                <w:rFonts w:ascii="宋体" w:hAnsi="宋体" w:cs="宋体"/>
                <w:sz w:val="24"/>
                <w:szCs w:val="24"/>
                <w:highlight w:val="none"/>
                <w:u w:val="single"/>
              </w:rPr>
            </w:pPr>
            <w:r>
              <w:rPr>
                <w:rFonts w:hint="eastAsia" w:ascii="宋体" w:hAnsi="宋体" w:cs="宋体"/>
                <w:sz w:val="24"/>
                <w:szCs w:val="24"/>
                <w:highlight w:val="none"/>
              </w:rPr>
              <w:t>注：为充分体现招标人意愿及落实项目招标人负责制，警戒价由招标人决定。</w:t>
            </w:r>
          </w:p>
        </w:tc>
      </w:tr>
      <w:tr w14:paraId="3689E0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431BD0C2">
            <w:pPr>
              <w:snapToGrid w:val="0"/>
              <w:spacing w:line="400" w:lineRule="exact"/>
              <w:jc w:val="center"/>
              <w:rPr>
                <w:rFonts w:ascii="宋体" w:hAnsi="宋体" w:cs="宋体"/>
                <w:sz w:val="24"/>
                <w:szCs w:val="24"/>
              </w:rPr>
            </w:pPr>
            <w:r>
              <w:rPr>
                <w:rFonts w:hint="eastAsia" w:ascii="宋体" w:hAnsi="宋体" w:cs="宋体"/>
                <w:sz w:val="24"/>
                <w:szCs w:val="24"/>
              </w:rPr>
              <w:t>27</w:t>
            </w:r>
          </w:p>
        </w:tc>
        <w:tc>
          <w:tcPr>
            <w:tcW w:w="474" w:type="pct"/>
            <w:tcBorders>
              <w:top w:val="single" w:color="auto" w:sz="4" w:space="0"/>
              <w:left w:val="single" w:color="auto" w:sz="4" w:space="0"/>
              <w:bottom w:val="single" w:color="auto" w:sz="4" w:space="0"/>
              <w:right w:val="single" w:color="auto" w:sz="4" w:space="0"/>
            </w:tcBorders>
            <w:vAlign w:val="center"/>
          </w:tcPr>
          <w:p w14:paraId="047D1A74">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28AB1C71">
            <w:pPr>
              <w:snapToGrid w:val="0"/>
              <w:spacing w:line="400" w:lineRule="exact"/>
              <w:jc w:val="center"/>
              <w:rPr>
                <w:rFonts w:ascii="宋体" w:hAnsi="宋体" w:cs="宋体"/>
                <w:sz w:val="24"/>
                <w:szCs w:val="24"/>
              </w:rPr>
            </w:pPr>
            <w:r>
              <w:rPr>
                <w:rFonts w:hint="eastAsia" w:ascii="宋体" w:hAnsi="宋体" w:cs="宋体"/>
                <w:sz w:val="24"/>
                <w:szCs w:val="24"/>
              </w:rPr>
              <w:t>第一阶段各分值的权重</w:t>
            </w:r>
          </w:p>
        </w:tc>
        <w:tc>
          <w:tcPr>
            <w:tcW w:w="3234" w:type="pct"/>
            <w:tcBorders>
              <w:top w:val="single" w:color="auto" w:sz="4" w:space="0"/>
              <w:left w:val="single" w:color="auto" w:sz="4" w:space="0"/>
              <w:bottom w:val="single" w:color="auto" w:sz="4" w:space="0"/>
              <w:right w:val="double" w:color="auto" w:sz="4" w:space="0"/>
            </w:tcBorders>
            <w:vAlign w:val="center"/>
          </w:tcPr>
          <w:p w14:paraId="12E3F60F">
            <w:pPr>
              <w:snapToGrid w:val="0"/>
              <w:spacing w:line="400" w:lineRule="exact"/>
              <w:rPr>
                <w:rFonts w:ascii="宋体" w:hAnsi="宋体" w:cs="宋体"/>
                <w:sz w:val="24"/>
                <w:szCs w:val="24"/>
              </w:rPr>
            </w:pPr>
            <w:r>
              <w:rPr>
                <w:rFonts w:hint="eastAsia" w:ascii="宋体" w:hAnsi="宋体" w:cs="宋体"/>
                <w:sz w:val="24"/>
                <w:szCs w:val="24"/>
              </w:rPr>
              <w:t>本项目不适用。</w:t>
            </w:r>
          </w:p>
        </w:tc>
      </w:tr>
      <w:tr w14:paraId="7E6719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vMerge w:val="restart"/>
            <w:tcBorders>
              <w:top w:val="single" w:color="auto" w:sz="4" w:space="0"/>
              <w:left w:val="double" w:color="auto" w:sz="4" w:space="0"/>
              <w:right w:val="single" w:color="auto" w:sz="4" w:space="0"/>
            </w:tcBorders>
            <w:vAlign w:val="center"/>
          </w:tcPr>
          <w:p w14:paraId="614D39DA">
            <w:pPr>
              <w:snapToGrid w:val="0"/>
              <w:spacing w:line="400" w:lineRule="exact"/>
              <w:jc w:val="center"/>
              <w:rPr>
                <w:rFonts w:ascii="宋体" w:hAnsi="宋体" w:cs="宋体"/>
                <w:sz w:val="24"/>
                <w:szCs w:val="24"/>
              </w:rPr>
            </w:pPr>
            <w:r>
              <w:rPr>
                <w:rFonts w:hint="eastAsia" w:ascii="宋体" w:hAnsi="宋体" w:cs="宋体"/>
                <w:sz w:val="24"/>
                <w:szCs w:val="24"/>
              </w:rPr>
              <w:t>28</w:t>
            </w:r>
          </w:p>
        </w:tc>
        <w:tc>
          <w:tcPr>
            <w:tcW w:w="474" w:type="pct"/>
            <w:vMerge w:val="restart"/>
            <w:tcBorders>
              <w:top w:val="single" w:color="auto" w:sz="4" w:space="0"/>
              <w:left w:val="single" w:color="auto" w:sz="4" w:space="0"/>
              <w:right w:val="single" w:color="auto" w:sz="4" w:space="0"/>
            </w:tcBorders>
            <w:vAlign w:val="center"/>
          </w:tcPr>
          <w:p w14:paraId="51909952">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7B024863">
            <w:pPr>
              <w:snapToGrid w:val="0"/>
              <w:spacing w:line="400" w:lineRule="exact"/>
              <w:jc w:val="center"/>
              <w:rPr>
                <w:rFonts w:ascii="宋体" w:hAnsi="宋体" w:cs="宋体"/>
                <w:sz w:val="24"/>
                <w:szCs w:val="24"/>
              </w:rPr>
            </w:pPr>
            <w:r>
              <w:rPr>
                <w:rFonts w:hint="eastAsia" w:ascii="宋体" w:hAnsi="宋体" w:cs="宋体"/>
                <w:sz w:val="24"/>
                <w:szCs w:val="24"/>
              </w:rPr>
              <w:t>评标委员会人数</w:t>
            </w:r>
          </w:p>
        </w:tc>
        <w:tc>
          <w:tcPr>
            <w:tcW w:w="3234" w:type="pct"/>
            <w:tcBorders>
              <w:top w:val="single" w:color="auto" w:sz="4" w:space="0"/>
              <w:left w:val="single" w:color="auto" w:sz="4" w:space="0"/>
              <w:bottom w:val="single" w:color="auto" w:sz="4" w:space="0"/>
              <w:right w:val="double" w:color="auto" w:sz="4" w:space="0"/>
            </w:tcBorders>
            <w:vAlign w:val="center"/>
          </w:tcPr>
          <w:p w14:paraId="58414946">
            <w:pPr>
              <w:snapToGrid w:val="0"/>
              <w:spacing w:line="400" w:lineRule="exact"/>
              <w:rPr>
                <w:rFonts w:ascii="宋体" w:hAnsi="宋体" w:cs="宋体"/>
                <w:sz w:val="24"/>
                <w:szCs w:val="24"/>
              </w:rPr>
            </w:pPr>
            <w:r>
              <w:rPr>
                <w:rFonts w:hint="eastAsia" w:ascii="宋体" w:hAnsi="宋体" w:cs="宋体"/>
                <w:sz w:val="24"/>
                <w:szCs w:val="24"/>
              </w:rPr>
              <w:t>评标委员会由招标人依法组建。</w:t>
            </w:r>
          </w:p>
        </w:tc>
      </w:tr>
      <w:tr w14:paraId="4C643C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vMerge w:val="continue"/>
            <w:tcBorders>
              <w:left w:val="double" w:color="auto" w:sz="4" w:space="0"/>
              <w:right w:val="single" w:color="auto" w:sz="4" w:space="0"/>
            </w:tcBorders>
            <w:vAlign w:val="center"/>
          </w:tcPr>
          <w:p w14:paraId="42B975C6">
            <w:pPr>
              <w:snapToGrid w:val="0"/>
              <w:spacing w:line="400" w:lineRule="exact"/>
              <w:jc w:val="center"/>
              <w:rPr>
                <w:rFonts w:ascii="宋体" w:hAnsi="宋体" w:cs="宋体"/>
                <w:sz w:val="24"/>
                <w:szCs w:val="24"/>
              </w:rPr>
            </w:pPr>
          </w:p>
        </w:tc>
        <w:tc>
          <w:tcPr>
            <w:tcW w:w="474" w:type="pct"/>
            <w:vMerge w:val="continue"/>
            <w:tcBorders>
              <w:left w:val="single" w:color="auto" w:sz="4" w:space="0"/>
              <w:right w:val="single" w:color="auto" w:sz="4" w:space="0"/>
            </w:tcBorders>
            <w:vAlign w:val="center"/>
          </w:tcPr>
          <w:p w14:paraId="7D8AD2BA">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25783F91">
            <w:pPr>
              <w:snapToGrid w:val="0"/>
              <w:spacing w:line="400" w:lineRule="exact"/>
              <w:jc w:val="center"/>
              <w:rPr>
                <w:rFonts w:ascii="宋体" w:hAnsi="宋体" w:cs="宋体"/>
                <w:sz w:val="24"/>
                <w:szCs w:val="24"/>
              </w:rPr>
            </w:pPr>
            <w:r>
              <w:rPr>
                <w:rFonts w:hint="eastAsia" w:ascii="宋体" w:hAnsi="宋体" w:cs="宋体"/>
                <w:sz w:val="24"/>
                <w:szCs w:val="24"/>
              </w:rPr>
              <w:t>定标委员会人数</w:t>
            </w:r>
          </w:p>
        </w:tc>
        <w:tc>
          <w:tcPr>
            <w:tcW w:w="3234" w:type="pct"/>
            <w:tcBorders>
              <w:top w:val="single" w:color="auto" w:sz="4" w:space="0"/>
              <w:left w:val="single" w:color="auto" w:sz="4" w:space="0"/>
              <w:bottom w:val="single" w:color="auto" w:sz="4" w:space="0"/>
              <w:right w:val="double" w:color="auto" w:sz="4" w:space="0"/>
            </w:tcBorders>
            <w:vAlign w:val="center"/>
          </w:tcPr>
          <w:p w14:paraId="38113D88">
            <w:pPr>
              <w:snapToGrid w:val="0"/>
              <w:spacing w:line="400" w:lineRule="exact"/>
              <w:rPr>
                <w:rFonts w:ascii="宋体" w:hAnsi="宋体" w:cs="宋体"/>
                <w:sz w:val="24"/>
                <w:szCs w:val="24"/>
              </w:rPr>
            </w:pPr>
            <w:r>
              <w:rPr>
                <w:rFonts w:hint="eastAsia" w:ascii="宋体" w:hAnsi="宋体" w:cs="宋体"/>
                <w:sz w:val="24"/>
                <w:szCs w:val="24"/>
              </w:rPr>
              <w:t>定标委员会由招标人依法依规组建。</w:t>
            </w:r>
          </w:p>
        </w:tc>
      </w:tr>
      <w:tr w14:paraId="144104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vMerge w:val="continue"/>
            <w:tcBorders>
              <w:left w:val="double" w:color="auto" w:sz="4" w:space="0"/>
              <w:bottom w:val="single" w:color="auto" w:sz="4" w:space="0"/>
              <w:right w:val="single" w:color="auto" w:sz="4" w:space="0"/>
            </w:tcBorders>
            <w:vAlign w:val="center"/>
          </w:tcPr>
          <w:p w14:paraId="732CAE7F">
            <w:pPr>
              <w:snapToGrid w:val="0"/>
              <w:spacing w:line="400" w:lineRule="exact"/>
              <w:jc w:val="center"/>
              <w:rPr>
                <w:rFonts w:ascii="宋体" w:hAnsi="宋体" w:cs="宋体"/>
                <w:sz w:val="24"/>
                <w:szCs w:val="24"/>
              </w:rPr>
            </w:pPr>
          </w:p>
        </w:tc>
        <w:tc>
          <w:tcPr>
            <w:tcW w:w="474" w:type="pct"/>
            <w:vMerge w:val="continue"/>
            <w:tcBorders>
              <w:left w:val="single" w:color="auto" w:sz="4" w:space="0"/>
              <w:bottom w:val="single" w:color="auto" w:sz="4" w:space="0"/>
              <w:right w:val="single" w:color="auto" w:sz="4" w:space="0"/>
            </w:tcBorders>
            <w:vAlign w:val="center"/>
          </w:tcPr>
          <w:p w14:paraId="631AF82F">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752A5E99">
            <w:pPr>
              <w:snapToGrid w:val="0"/>
              <w:spacing w:line="400" w:lineRule="exact"/>
              <w:jc w:val="center"/>
              <w:rPr>
                <w:rFonts w:ascii="宋体" w:hAnsi="宋体" w:cs="宋体"/>
                <w:sz w:val="24"/>
                <w:szCs w:val="24"/>
              </w:rPr>
            </w:pPr>
            <w:r>
              <w:rPr>
                <w:rFonts w:hint="eastAsia" w:ascii="宋体" w:hAnsi="宋体" w:cs="宋体"/>
                <w:sz w:val="24"/>
                <w:szCs w:val="24"/>
              </w:rPr>
              <w:t>定标监督小组</w:t>
            </w:r>
          </w:p>
        </w:tc>
        <w:tc>
          <w:tcPr>
            <w:tcW w:w="3234" w:type="pct"/>
            <w:tcBorders>
              <w:top w:val="single" w:color="auto" w:sz="4" w:space="0"/>
              <w:left w:val="single" w:color="auto" w:sz="4" w:space="0"/>
              <w:bottom w:val="single" w:color="auto" w:sz="4" w:space="0"/>
              <w:right w:val="double" w:color="auto" w:sz="4" w:space="0"/>
            </w:tcBorders>
            <w:vAlign w:val="center"/>
          </w:tcPr>
          <w:p w14:paraId="399C5DC0">
            <w:pPr>
              <w:snapToGrid w:val="0"/>
              <w:spacing w:line="400" w:lineRule="exact"/>
              <w:jc w:val="left"/>
              <w:rPr>
                <w:rFonts w:ascii="宋体" w:hAnsi="宋体" w:cs="宋体"/>
                <w:sz w:val="24"/>
                <w:szCs w:val="24"/>
              </w:rPr>
            </w:pPr>
            <w:r>
              <w:rPr>
                <w:rFonts w:hint="eastAsia" w:ascii="宋体" w:hAnsi="宋体" w:cs="宋体"/>
                <w:sz w:val="24"/>
                <w:szCs w:val="24"/>
              </w:rPr>
              <w:t>定标监督小组由招标人依法依规组建，负责监督定标委员会是否按既定的定标方法定标，定标方法及定标过程是否存在不公平、不公正的情形。</w:t>
            </w:r>
          </w:p>
        </w:tc>
      </w:tr>
      <w:tr w14:paraId="77BDBD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0F0FF035">
            <w:pPr>
              <w:snapToGrid w:val="0"/>
              <w:spacing w:line="400" w:lineRule="exact"/>
              <w:jc w:val="center"/>
              <w:rPr>
                <w:rFonts w:ascii="宋体" w:hAnsi="宋体" w:cs="宋体"/>
                <w:sz w:val="24"/>
                <w:szCs w:val="24"/>
              </w:rPr>
            </w:pPr>
            <w:r>
              <w:rPr>
                <w:rFonts w:hint="eastAsia" w:ascii="宋体" w:hAnsi="宋体" w:cs="宋体"/>
                <w:sz w:val="24"/>
                <w:szCs w:val="24"/>
              </w:rPr>
              <w:t>29</w:t>
            </w:r>
          </w:p>
        </w:tc>
        <w:tc>
          <w:tcPr>
            <w:tcW w:w="474" w:type="pct"/>
            <w:tcBorders>
              <w:top w:val="single" w:color="auto" w:sz="4" w:space="0"/>
              <w:left w:val="single" w:color="auto" w:sz="4" w:space="0"/>
              <w:bottom w:val="single" w:color="auto" w:sz="4" w:space="0"/>
              <w:right w:val="single" w:color="auto" w:sz="4" w:space="0"/>
            </w:tcBorders>
            <w:vAlign w:val="center"/>
          </w:tcPr>
          <w:p w14:paraId="2CD43ADB">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1E42FE19">
            <w:pPr>
              <w:snapToGrid w:val="0"/>
              <w:spacing w:line="400" w:lineRule="exact"/>
              <w:jc w:val="center"/>
              <w:rPr>
                <w:rFonts w:ascii="宋体" w:hAnsi="宋体" w:cs="宋体"/>
                <w:sz w:val="24"/>
                <w:szCs w:val="24"/>
              </w:rPr>
            </w:pPr>
            <w:r>
              <w:rPr>
                <w:rFonts w:hint="eastAsia" w:ascii="宋体" w:hAnsi="宋体" w:cs="宋体"/>
                <w:sz w:val="24"/>
                <w:szCs w:val="24"/>
              </w:rPr>
              <w:t>企业综合诚信评价分数</w:t>
            </w:r>
          </w:p>
        </w:tc>
        <w:tc>
          <w:tcPr>
            <w:tcW w:w="3234" w:type="pct"/>
            <w:tcBorders>
              <w:top w:val="single" w:color="auto" w:sz="4" w:space="0"/>
              <w:left w:val="single" w:color="auto" w:sz="4" w:space="0"/>
              <w:bottom w:val="single" w:color="auto" w:sz="4" w:space="0"/>
              <w:right w:val="double" w:color="auto" w:sz="4" w:space="0"/>
            </w:tcBorders>
            <w:vAlign w:val="center"/>
          </w:tcPr>
          <w:p w14:paraId="0280C228">
            <w:pPr>
              <w:snapToGrid w:val="0"/>
              <w:spacing w:line="400" w:lineRule="exact"/>
              <w:rPr>
                <w:rFonts w:ascii="宋体" w:hAnsi="宋体" w:cs="宋体"/>
                <w:sz w:val="24"/>
                <w:szCs w:val="24"/>
              </w:rPr>
            </w:pPr>
            <w:r>
              <w:rPr>
                <w:rFonts w:hint="eastAsia" w:ascii="宋体" w:hAnsi="宋体" w:cs="宋体"/>
                <w:sz w:val="24"/>
                <w:szCs w:val="24"/>
              </w:rPr>
              <w:t>本项目不适用。</w:t>
            </w:r>
          </w:p>
        </w:tc>
      </w:tr>
      <w:tr w14:paraId="0E422F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1EA89EFF">
            <w:pPr>
              <w:snapToGrid w:val="0"/>
              <w:spacing w:line="400" w:lineRule="exact"/>
              <w:jc w:val="center"/>
              <w:rPr>
                <w:rFonts w:ascii="宋体" w:hAnsi="宋体" w:cs="宋体"/>
                <w:sz w:val="24"/>
                <w:szCs w:val="24"/>
              </w:rPr>
            </w:pPr>
            <w:r>
              <w:rPr>
                <w:rFonts w:hint="eastAsia" w:ascii="宋体" w:hAnsi="宋体" w:cs="宋体"/>
                <w:sz w:val="24"/>
                <w:szCs w:val="24"/>
              </w:rPr>
              <w:t>30</w:t>
            </w:r>
          </w:p>
        </w:tc>
        <w:tc>
          <w:tcPr>
            <w:tcW w:w="474" w:type="pct"/>
            <w:tcBorders>
              <w:top w:val="single" w:color="auto" w:sz="4" w:space="0"/>
              <w:left w:val="single" w:color="auto" w:sz="4" w:space="0"/>
              <w:bottom w:val="single" w:color="auto" w:sz="4" w:space="0"/>
              <w:right w:val="single" w:color="auto" w:sz="4" w:space="0"/>
            </w:tcBorders>
            <w:vAlign w:val="center"/>
          </w:tcPr>
          <w:p w14:paraId="2AF1A7A9">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38B652F7">
            <w:pPr>
              <w:snapToGrid w:val="0"/>
              <w:spacing w:line="400" w:lineRule="exact"/>
              <w:jc w:val="center"/>
              <w:rPr>
                <w:rFonts w:ascii="宋体" w:hAnsi="宋体" w:cs="宋体"/>
                <w:sz w:val="24"/>
                <w:szCs w:val="24"/>
              </w:rPr>
            </w:pPr>
            <w:r>
              <w:rPr>
                <w:rFonts w:hint="eastAsia" w:ascii="宋体" w:hAnsi="宋体" w:cs="宋体"/>
                <w:sz w:val="24"/>
                <w:szCs w:val="24"/>
              </w:rPr>
              <w:t>第二阶段投标人名次的排序方法（适用于办法一、办法二）</w:t>
            </w:r>
          </w:p>
        </w:tc>
        <w:tc>
          <w:tcPr>
            <w:tcW w:w="3234" w:type="pct"/>
            <w:tcBorders>
              <w:top w:val="single" w:color="auto" w:sz="4" w:space="0"/>
              <w:left w:val="single" w:color="auto" w:sz="4" w:space="0"/>
              <w:bottom w:val="single" w:color="auto" w:sz="4" w:space="0"/>
              <w:right w:val="double" w:color="auto" w:sz="4" w:space="0"/>
            </w:tcBorders>
            <w:vAlign w:val="center"/>
          </w:tcPr>
          <w:p w14:paraId="13F24C25">
            <w:pPr>
              <w:snapToGrid w:val="0"/>
              <w:spacing w:line="400" w:lineRule="exact"/>
              <w:rPr>
                <w:rFonts w:ascii="宋体" w:hAnsi="宋体" w:cs="宋体"/>
                <w:sz w:val="24"/>
                <w:szCs w:val="24"/>
              </w:rPr>
            </w:pPr>
            <w:r>
              <w:rPr>
                <w:rFonts w:hint="eastAsia" w:ascii="宋体" w:hAnsi="宋体" w:cs="宋体"/>
                <w:sz w:val="24"/>
                <w:szCs w:val="24"/>
              </w:rPr>
              <w:t>本项目不适用。</w:t>
            </w:r>
          </w:p>
        </w:tc>
      </w:tr>
      <w:tr w14:paraId="4C06F4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4C8C77D6">
            <w:pPr>
              <w:snapToGrid w:val="0"/>
              <w:spacing w:line="400" w:lineRule="exact"/>
              <w:jc w:val="center"/>
              <w:rPr>
                <w:rFonts w:ascii="宋体" w:hAnsi="宋体" w:cs="宋体"/>
                <w:sz w:val="24"/>
                <w:szCs w:val="24"/>
              </w:rPr>
            </w:pPr>
            <w:r>
              <w:rPr>
                <w:rFonts w:hint="eastAsia" w:ascii="宋体" w:hAnsi="宋体" w:cs="宋体"/>
                <w:sz w:val="24"/>
                <w:szCs w:val="24"/>
              </w:rPr>
              <w:t>31</w:t>
            </w:r>
          </w:p>
        </w:tc>
        <w:tc>
          <w:tcPr>
            <w:tcW w:w="474" w:type="pct"/>
            <w:tcBorders>
              <w:top w:val="single" w:color="auto" w:sz="4" w:space="0"/>
              <w:left w:val="single" w:color="auto" w:sz="4" w:space="0"/>
              <w:bottom w:val="single" w:color="auto" w:sz="4" w:space="0"/>
              <w:right w:val="single" w:color="auto" w:sz="4" w:space="0"/>
            </w:tcBorders>
            <w:vAlign w:val="center"/>
          </w:tcPr>
          <w:p w14:paraId="1869273C">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23050239">
            <w:pPr>
              <w:snapToGrid w:val="0"/>
              <w:spacing w:line="400" w:lineRule="exact"/>
              <w:jc w:val="center"/>
              <w:rPr>
                <w:rFonts w:ascii="宋体" w:hAnsi="宋体" w:cs="宋体"/>
                <w:sz w:val="24"/>
                <w:szCs w:val="24"/>
              </w:rPr>
            </w:pPr>
            <w:r>
              <w:rPr>
                <w:rFonts w:hint="eastAsia" w:ascii="宋体" w:hAnsi="宋体" w:cs="宋体"/>
                <w:sz w:val="24"/>
                <w:szCs w:val="24"/>
              </w:rPr>
              <w:t>经济分相同情况下的排序方法（适用于办法三、办法四）</w:t>
            </w:r>
          </w:p>
        </w:tc>
        <w:tc>
          <w:tcPr>
            <w:tcW w:w="3234" w:type="pct"/>
            <w:tcBorders>
              <w:top w:val="single" w:color="auto" w:sz="4" w:space="0"/>
              <w:left w:val="single" w:color="auto" w:sz="4" w:space="0"/>
              <w:bottom w:val="single" w:color="auto" w:sz="4" w:space="0"/>
              <w:right w:val="double" w:color="auto" w:sz="4" w:space="0"/>
            </w:tcBorders>
            <w:vAlign w:val="center"/>
          </w:tcPr>
          <w:p w14:paraId="09FF4E2C">
            <w:pPr>
              <w:snapToGrid w:val="0"/>
              <w:spacing w:line="400" w:lineRule="exact"/>
              <w:rPr>
                <w:rFonts w:ascii="宋体" w:hAnsi="宋体" w:cs="宋体"/>
                <w:sz w:val="24"/>
                <w:szCs w:val="24"/>
              </w:rPr>
            </w:pPr>
            <w:r>
              <w:rPr>
                <w:rFonts w:hint="eastAsia" w:ascii="宋体" w:hAnsi="宋体" w:cs="宋体"/>
                <w:sz w:val="24"/>
                <w:szCs w:val="24"/>
              </w:rPr>
              <w:t>本项目不适用。</w:t>
            </w:r>
          </w:p>
        </w:tc>
      </w:tr>
      <w:tr w14:paraId="325E46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52C52B06">
            <w:pPr>
              <w:snapToGrid w:val="0"/>
              <w:spacing w:line="400" w:lineRule="exact"/>
              <w:jc w:val="center"/>
              <w:rPr>
                <w:rFonts w:ascii="宋体" w:hAnsi="宋体" w:cs="宋体"/>
                <w:sz w:val="24"/>
                <w:szCs w:val="24"/>
              </w:rPr>
            </w:pPr>
            <w:r>
              <w:rPr>
                <w:rFonts w:hint="eastAsia" w:ascii="宋体" w:hAnsi="宋体" w:cs="宋体"/>
                <w:sz w:val="24"/>
                <w:szCs w:val="24"/>
              </w:rPr>
              <w:t>32</w:t>
            </w:r>
          </w:p>
        </w:tc>
        <w:tc>
          <w:tcPr>
            <w:tcW w:w="474" w:type="pct"/>
            <w:tcBorders>
              <w:top w:val="single" w:color="auto" w:sz="4" w:space="0"/>
              <w:left w:val="single" w:color="auto" w:sz="4" w:space="0"/>
              <w:bottom w:val="single" w:color="auto" w:sz="4" w:space="0"/>
              <w:right w:val="single" w:color="auto" w:sz="4" w:space="0"/>
            </w:tcBorders>
            <w:vAlign w:val="center"/>
          </w:tcPr>
          <w:p w14:paraId="4A599BBD">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71361E91">
            <w:pPr>
              <w:snapToGrid w:val="0"/>
              <w:spacing w:line="400" w:lineRule="exact"/>
              <w:jc w:val="center"/>
              <w:rPr>
                <w:rFonts w:ascii="宋体" w:hAnsi="宋体" w:cs="宋体"/>
                <w:sz w:val="24"/>
                <w:szCs w:val="24"/>
              </w:rPr>
            </w:pPr>
            <w:r>
              <w:rPr>
                <w:rFonts w:hint="eastAsia" w:ascii="宋体" w:hAnsi="宋体" w:cs="宋体"/>
                <w:sz w:val="24"/>
                <w:szCs w:val="24"/>
              </w:rPr>
              <w:t>第二阶段投标人名次的排序方法（适用于办法五、办法六）</w:t>
            </w:r>
          </w:p>
        </w:tc>
        <w:tc>
          <w:tcPr>
            <w:tcW w:w="3234" w:type="pct"/>
            <w:tcBorders>
              <w:top w:val="single" w:color="auto" w:sz="4" w:space="0"/>
              <w:left w:val="single" w:color="auto" w:sz="4" w:space="0"/>
              <w:bottom w:val="single" w:color="auto" w:sz="4" w:space="0"/>
              <w:right w:val="double" w:color="auto" w:sz="4" w:space="0"/>
            </w:tcBorders>
            <w:vAlign w:val="center"/>
          </w:tcPr>
          <w:p w14:paraId="0947A53F">
            <w:pPr>
              <w:snapToGrid w:val="0"/>
              <w:spacing w:line="400" w:lineRule="exact"/>
              <w:rPr>
                <w:rFonts w:ascii="宋体" w:hAnsi="宋体" w:cs="宋体"/>
                <w:sz w:val="24"/>
                <w:szCs w:val="24"/>
              </w:rPr>
            </w:pPr>
            <w:r>
              <w:rPr>
                <w:rFonts w:hint="eastAsia" w:ascii="宋体" w:hAnsi="宋体" w:cs="宋体"/>
                <w:sz w:val="24"/>
                <w:szCs w:val="24"/>
              </w:rPr>
              <w:t>本项目不适用。</w:t>
            </w:r>
          </w:p>
        </w:tc>
      </w:tr>
      <w:tr w14:paraId="05945D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0CE0096B">
            <w:pPr>
              <w:snapToGrid w:val="0"/>
              <w:spacing w:line="400" w:lineRule="exact"/>
              <w:jc w:val="center"/>
              <w:rPr>
                <w:rFonts w:ascii="宋体" w:hAnsi="宋体" w:cs="宋体"/>
                <w:sz w:val="24"/>
                <w:szCs w:val="24"/>
              </w:rPr>
            </w:pPr>
            <w:r>
              <w:rPr>
                <w:rFonts w:hint="eastAsia" w:ascii="宋体" w:hAnsi="宋体" w:cs="宋体"/>
                <w:sz w:val="24"/>
                <w:szCs w:val="24"/>
              </w:rPr>
              <w:t>33</w:t>
            </w:r>
          </w:p>
        </w:tc>
        <w:tc>
          <w:tcPr>
            <w:tcW w:w="474" w:type="pct"/>
            <w:tcBorders>
              <w:top w:val="single" w:color="auto" w:sz="4" w:space="0"/>
              <w:left w:val="single" w:color="auto" w:sz="4" w:space="0"/>
              <w:bottom w:val="single" w:color="auto" w:sz="4" w:space="0"/>
              <w:right w:val="single" w:color="auto" w:sz="4" w:space="0"/>
            </w:tcBorders>
            <w:vAlign w:val="center"/>
          </w:tcPr>
          <w:p w14:paraId="38916CF4">
            <w:pPr>
              <w:snapToGrid w:val="0"/>
              <w:spacing w:line="400" w:lineRule="exact"/>
              <w:jc w:val="center"/>
              <w:rPr>
                <w:rFonts w:ascii="宋体" w:hAnsi="宋体" w:cs="宋体"/>
                <w:sz w:val="24"/>
                <w:szCs w:val="24"/>
              </w:rPr>
            </w:pPr>
            <w:r>
              <w:rPr>
                <w:rFonts w:hint="eastAsia" w:ascii="宋体" w:hAnsi="宋体" w:cs="宋体"/>
                <w:sz w:val="24"/>
                <w:szCs w:val="24"/>
              </w:rPr>
              <w:t>13.4、13.5.2</w:t>
            </w:r>
          </w:p>
        </w:tc>
        <w:tc>
          <w:tcPr>
            <w:tcW w:w="916" w:type="pct"/>
            <w:tcBorders>
              <w:top w:val="single" w:color="auto" w:sz="4" w:space="0"/>
              <w:left w:val="single" w:color="auto" w:sz="4" w:space="0"/>
              <w:bottom w:val="single" w:color="auto" w:sz="4" w:space="0"/>
              <w:right w:val="single" w:color="auto" w:sz="4" w:space="0"/>
            </w:tcBorders>
            <w:vAlign w:val="center"/>
          </w:tcPr>
          <w:p w14:paraId="4B795299">
            <w:pPr>
              <w:snapToGrid w:val="0"/>
              <w:spacing w:line="400" w:lineRule="exact"/>
              <w:jc w:val="center"/>
              <w:rPr>
                <w:rFonts w:ascii="宋体" w:hAnsi="宋体" w:cs="宋体"/>
                <w:sz w:val="24"/>
                <w:szCs w:val="24"/>
              </w:rPr>
            </w:pPr>
            <w:r>
              <w:rPr>
                <w:rFonts w:hint="eastAsia" w:ascii="宋体" w:hAnsi="宋体" w:cs="宋体"/>
                <w:sz w:val="24"/>
                <w:szCs w:val="24"/>
              </w:rPr>
              <w:t>合同价款的调整办法</w:t>
            </w:r>
          </w:p>
        </w:tc>
        <w:tc>
          <w:tcPr>
            <w:tcW w:w="3234" w:type="pct"/>
            <w:tcBorders>
              <w:top w:val="single" w:color="auto" w:sz="4" w:space="0"/>
              <w:left w:val="single" w:color="auto" w:sz="4" w:space="0"/>
              <w:bottom w:val="single" w:color="auto" w:sz="4" w:space="0"/>
              <w:right w:val="double" w:color="auto" w:sz="4" w:space="0"/>
            </w:tcBorders>
            <w:vAlign w:val="center"/>
          </w:tcPr>
          <w:p w14:paraId="733010E0">
            <w:pPr>
              <w:snapToGrid w:val="0"/>
              <w:spacing w:line="400" w:lineRule="exact"/>
              <w:rPr>
                <w:rFonts w:ascii="宋体" w:hAnsi="宋体" w:cs="宋体"/>
                <w:sz w:val="24"/>
                <w:szCs w:val="24"/>
                <w:u w:val="single"/>
              </w:rPr>
            </w:pPr>
            <w:r>
              <w:rPr>
                <w:rFonts w:hint="eastAsia" w:ascii="宋体" w:hAnsi="宋体" w:cs="宋体"/>
                <w:sz w:val="24"/>
                <w:szCs w:val="24"/>
                <w:u w:val="single"/>
              </w:rPr>
              <w:t>按合同条款相关约定调整。</w:t>
            </w:r>
          </w:p>
        </w:tc>
      </w:tr>
      <w:tr w14:paraId="7565EE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4B06A0B2">
            <w:pPr>
              <w:snapToGrid w:val="0"/>
              <w:spacing w:line="400" w:lineRule="exact"/>
              <w:jc w:val="center"/>
              <w:rPr>
                <w:rFonts w:ascii="宋体" w:hAnsi="宋体" w:cs="宋体"/>
                <w:sz w:val="24"/>
                <w:szCs w:val="24"/>
              </w:rPr>
            </w:pPr>
            <w:r>
              <w:rPr>
                <w:rFonts w:hint="eastAsia" w:ascii="宋体" w:hAnsi="宋体" w:cs="宋体"/>
                <w:sz w:val="24"/>
                <w:szCs w:val="24"/>
              </w:rPr>
              <w:t>34</w:t>
            </w:r>
          </w:p>
        </w:tc>
        <w:tc>
          <w:tcPr>
            <w:tcW w:w="474" w:type="pct"/>
            <w:tcBorders>
              <w:top w:val="single" w:color="auto" w:sz="4" w:space="0"/>
              <w:left w:val="single" w:color="auto" w:sz="4" w:space="0"/>
              <w:bottom w:val="single" w:color="auto" w:sz="4" w:space="0"/>
              <w:right w:val="single" w:color="auto" w:sz="4" w:space="0"/>
            </w:tcBorders>
            <w:vAlign w:val="center"/>
          </w:tcPr>
          <w:p w14:paraId="6C3BD5A5">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2329770A">
            <w:pPr>
              <w:snapToGrid w:val="0"/>
              <w:spacing w:line="400" w:lineRule="exact"/>
              <w:jc w:val="center"/>
              <w:rPr>
                <w:rFonts w:ascii="宋体" w:hAnsi="宋体" w:cs="宋体"/>
                <w:sz w:val="24"/>
                <w:szCs w:val="24"/>
              </w:rPr>
            </w:pPr>
            <w:r>
              <w:rPr>
                <w:rFonts w:hint="eastAsia" w:ascii="宋体" w:hAnsi="宋体" w:cs="宋体"/>
                <w:sz w:val="24"/>
                <w:szCs w:val="24"/>
              </w:rPr>
              <w:t>建设工程质量检测单位</w:t>
            </w:r>
          </w:p>
        </w:tc>
        <w:tc>
          <w:tcPr>
            <w:tcW w:w="3234" w:type="pct"/>
            <w:tcBorders>
              <w:top w:val="single" w:color="auto" w:sz="4" w:space="0"/>
              <w:left w:val="single" w:color="auto" w:sz="4" w:space="0"/>
              <w:bottom w:val="single" w:color="auto" w:sz="4" w:space="0"/>
              <w:right w:val="double" w:color="auto" w:sz="4" w:space="0"/>
            </w:tcBorders>
            <w:vAlign w:val="center"/>
          </w:tcPr>
          <w:p w14:paraId="756FCC6E">
            <w:pPr>
              <w:snapToGrid w:val="0"/>
              <w:spacing w:line="400" w:lineRule="exact"/>
              <w:rPr>
                <w:rFonts w:ascii="宋体" w:hAnsi="宋体" w:cs="宋体"/>
                <w:kern w:val="0"/>
                <w:sz w:val="24"/>
                <w:szCs w:val="24"/>
              </w:rPr>
            </w:pPr>
            <w:r>
              <w:rPr>
                <w:rFonts w:hint="eastAsia" w:ascii="宋体" w:hAnsi="宋体" w:cs="宋体"/>
                <w:kern w:val="0"/>
                <w:sz w:val="24"/>
                <w:szCs w:val="24"/>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59FC1E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7A0ED5C0">
            <w:pPr>
              <w:snapToGrid w:val="0"/>
              <w:spacing w:line="400" w:lineRule="exact"/>
              <w:jc w:val="center"/>
              <w:rPr>
                <w:rFonts w:ascii="宋体" w:hAnsi="宋体" w:cs="宋体"/>
                <w:sz w:val="24"/>
                <w:szCs w:val="24"/>
              </w:rPr>
            </w:pPr>
            <w:r>
              <w:rPr>
                <w:rFonts w:hint="eastAsia" w:ascii="宋体" w:hAnsi="宋体" w:cs="宋体"/>
                <w:sz w:val="24"/>
                <w:szCs w:val="24"/>
              </w:rPr>
              <w:t>35</w:t>
            </w:r>
          </w:p>
        </w:tc>
        <w:tc>
          <w:tcPr>
            <w:tcW w:w="474" w:type="pct"/>
            <w:tcBorders>
              <w:top w:val="single" w:color="auto" w:sz="4" w:space="0"/>
              <w:left w:val="single" w:color="auto" w:sz="4" w:space="0"/>
              <w:bottom w:val="single" w:color="auto" w:sz="4" w:space="0"/>
              <w:right w:val="single" w:color="auto" w:sz="4" w:space="0"/>
            </w:tcBorders>
            <w:vAlign w:val="center"/>
          </w:tcPr>
          <w:p w14:paraId="3575E7D9">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045AC03D">
            <w:pPr>
              <w:snapToGrid w:val="0"/>
              <w:spacing w:line="400" w:lineRule="exact"/>
              <w:jc w:val="center"/>
              <w:rPr>
                <w:rFonts w:ascii="宋体" w:hAnsi="宋体" w:cs="宋体"/>
                <w:kern w:val="0"/>
                <w:sz w:val="24"/>
                <w:szCs w:val="24"/>
                <w:lang w:val="zh-CN"/>
              </w:rPr>
            </w:pPr>
            <w:r>
              <w:rPr>
                <w:rFonts w:hint="eastAsia" w:ascii="宋体" w:hAnsi="宋体" w:cs="宋体"/>
                <w:kern w:val="0"/>
                <w:sz w:val="24"/>
                <w:szCs w:val="24"/>
                <w:lang w:val="zh-CN"/>
              </w:rPr>
              <w:t>分包</w:t>
            </w:r>
          </w:p>
        </w:tc>
        <w:tc>
          <w:tcPr>
            <w:tcW w:w="3234" w:type="pct"/>
            <w:tcBorders>
              <w:top w:val="single" w:color="auto" w:sz="4" w:space="0"/>
              <w:left w:val="single" w:color="auto" w:sz="4" w:space="0"/>
              <w:bottom w:val="single" w:color="auto" w:sz="4" w:space="0"/>
              <w:right w:val="double" w:color="auto" w:sz="4" w:space="0"/>
            </w:tcBorders>
            <w:vAlign w:val="center"/>
          </w:tcPr>
          <w:p w14:paraId="0763372B">
            <w:pPr>
              <w:snapToGrid w:val="0"/>
              <w:spacing w:line="400" w:lineRule="exact"/>
              <w:rPr>
                <w:rFonts w:ascii="宋体" w:hAnsi="宋体" w:cs="宋体"/>
                <w:sz w:val="24"/>
                <w:szCs w:val="24"/>
                <w:lang w:val="zh-CN"/>
              </w:rPr>
            </w:pPr>
            <w:r>
              <w:rPr>
                <w:rFonts w:hint="eastAsia" w:ascii="宋体" w:hAnsi="宋体" w:cs="宋体"/>
                <w:sz w:val="24"/>
                <w:szCs w:val="24"/>
                <w:lang w:val="zh-CN"/>
              </w:rPr>
              <w:t>☑不允许；</w:t>
            </w:r>
          </w:p>
          <w:p w14:paraId="1F903B6B">
            <w:pPr>
              <w:snapToGrid w:val="0"/>
              <w:spacing w:line="400" w:lineRule="exact"/>
              <w:rPr>
                <w:rFonts w:ascii="宋体" w:hAnsi="宋体" w:cs="宋体"/>
                <w:sz w:val="24"/>
                <w:szCs w:val="24"/>
              </w:rPr>
            </w:pPr>
            <w:r>
              <w:rPr>
                <w:rFonts w:hint="eastAsia" w:ascii="宋体" w:hAnsi="宋体" w:cs="宋体"/>
                <w:sz w:val="24"/>
                <w:szCs w:val="24"/>
                <w:lang w:val="zh-CN"/>
              </w:rPr>
              <w:t>□允许：分包内容要求：非主体的工程、非关键性的工作。</w:t>
            </w:r>
          </w:p>
          <w:p w14:paraId="3BBE4B52">
            <w:pPr>
              <w:snapToGrid w:val="0"/>
              <w:spacing w:line="400" w:lineRule="exact"/>
              <w:rPr>
                <w:rFonts w:ascii="宋体" w:hAnsi="宋体" w:cs="宋体"/>
                <w:sz w:val="24"/>
                <w:szCs w:val="24"/>
              </w:rPr>
            </w:pPr>
            <w:r>
              <w:rPr>
                <w:rFonts w:hint="eastAsia" w:ascii="宋体" w:hAnsi="宋体" w:cs="宋体"/>
                <w:sz w:val="24"/>
                <w:szCs w:val="24"/>
                <w:lang w:val="zh-CN"/>
              </w:rPr>
              <w:t xml:space="preserve">        分包金额要求：</w:t>
            </w:r>
            <w:r>
              <w:rPr>
                <w:rFonts w:hint="eastAsia" w:ascii="宋体" w:hAnsi="宋体" w:cs="宋体"/>
                <w:sz w:val="24"/>
                <w:szCs w:val="24"/>
              </w:rPr>
              <w:t>/</w:t>
            </w:r>
          </w:p>
          <w:p w14:paraId="1B649245">
            <w:pPr>
              <w:snapToGrid w:val="0"/>
              <w:spacing w:line="400" w:lineRule="exact"/>
              <w:rPr>
                <w:rFonts w:ascii="宋体" w:hAnsi="宋体" w:cs="宋体"/>
                <w:sz w:val="24"/>
                <w:szCs w:val="24"/>
              </w:rPr>
            </w:pPr>
            <w:r>
              <w:rPr>
                <w:rFonts w:hint="eastAsia" w:ascii="宋体" w:hAnsi="宋体" w:cs="宋体"/>
                <w:sz w:val="24"/>
                <w:szCs w:val="24"/>
                <w:lang w:val="zh-CN"/>
              </w:rPr>
              <w:t xml:space="preserve">        对分包人的资质要求：</w:t>
            </w:r>
            <w:r>
              <w:rPr>
                <w:rFonts w:hint="eastAsia" w:ascii="宋体" w:hAnsi="宋体" w:cs="宋体"/>
                <w:sz w:val="24"/>
                <w:szCs w:val="24"/>
              </w:rPr>
              <w:t>相对应的资质。</w:t>
            </w:r>
          </w:p>
          <w:p w14:paraId="4345B7D7">
            <w:pPr>
              <w:pStyle w:val="22"/>
              <w:snapToGrid w:val="0"/>
              <w:spacing w:line="400" w:lineRule="exact"/>
              <w:rPr>
                <w:rFonts w:hAnsi="宋体" w:cs="宋体"/>
                <w:sz w:val="24"/>
                <w:szCs w:val="24"/>
              </w:rPr>
            </w:pPr>
            <w:r>
              <w:rPr>
                <w:rFonts w:hint="eastAsia" w:hAnsi="宋体" w:cs="宋体"/>
                <w:sz w:val="24"/>
                <w:szCs w:val="24"/>
                <w:lang w:val="zh-CN"/>
              </w:rPr>
              <w:t xml:space="preserve">        对分包人的其他要求：未在以往工程中因不诚信行为或不充分履约行为被本项目招标人书面拒绝投标的，或未被纳入联合惩戒范围的。</w:t>
            </w:r>
            <w:r>
              <w:rPr>
                <w:rFonts w:hint="eastAsia" w:hAnsi="宋体" w:cs="宋体"/>
                <w:sz w:val="24"/>
                <w:szCs w:val="24"/>
              </w:rPr>
              <w:t>须经发包人和总监理工程师书面同意。</w:t>
            </w:r>
          </w:p>
        </w:tc>
      </w:tr>
      <w:tr w14:paraId="5DF1B5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2B2C0C65">
            <w:pPr>
              <w:snapToGrid w:val="0"/>
              <w:spacing w:line="400" w:lineRule="exact"/>
              <w:jc w:val="center"/>
              <w:rPr>
                <w:rFonts w:ascii="宋体" w:hAnsi="宋体" w:cs="宋体"/>
                <w:sz w:val="24"/>
                <w:szCs w:val="24"/>
              </w:rPr>
            </w:pPr>
            <w:r>
              <w:rPr>
                <w:rFonts w:hint="eastAsia" w:ascii="宋体" w:hAnsi="宋体" w:cs="宋体"/>
                <w:sz w:val="24"/>
                <w:szCs w:val="24"/>
              </w:rPr>
              <w:t>36</w:t>
            </w:r>
          </w:p>
        </w:tc>
        <w:tc>
          <w:tcPr>
            <w:tcW w:w="474" w:type="pct"/>
            <w:tcBorders>
              <w:top w:val="single" w:color="auto" w:sz="4" w:space="0"/>
              <w:left w:val="single" w:color="auto" w:sz="4" w:space="0"/>
              <w:bottom w:val="single" w:color="auto" w:sz="4" w:space="0"/>
              <w:right w:val="single" w:color="auto" w:sz="4" w:space="0"/>
            </w:tcBorders>
            <w:vAlign w:val="center"/>
          </w:tcPr>
          <w:p w14:paraId="2CB5755D">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5F487DB2">
            <w:pPr>
              <w:snapToGrid w:val="0"/>
              <w:spacing w:line="400" w:lineRule="exact"/>
              <w:jc w:val="center"/>
              <w:rPr>
                <w:rFonts w:ascii="宋体" w:hAnsi="宋体" w:cs="宋体"/>
                <w:sz w:val="24"/>
                <w:szCs w:val="24"/>
              </w:rPr>
            </w:pPr>
            <w:r>
              <w:rPr>
                <w:rFonts w:hint="eastAsia" w:ascii="宋体" w:hAnsi="宋体" w:cs="宋体"/>
                <w:sz w:val="24"/>
                <w:szCs w:val="24"/>
              </w:rPr>
              <w:t>电子招标投标解密失败及突发情况的补救</w:t>
            </w:r>
          </w:p>
        </w:tc>
        <w:tc>
          <w:tcPr>
            <w:tcW w:w="3234" w:type="pct"/>
            <w:tcBorders>
              <w:top w:val="single" w:color="auto" w:sz="4" w:space="0"/>
              <w:left w:val="single" w:color="auto" w:sz="4" w:space="0"/>
              <w:bottom w:val="single" w:color="auto" w:sz="4" w:space="0"/>
              <w:right w:val="double" w:color="auto" w:sz="4" w:space="0"/>
            </w:tcBorders>
            <w:vAlign w:val="center"/>
          </w:tcPr>
          <w:p w14:paraId="38134736">
            <w:pPr>
              <w:snapToGrid w:val="0"/>
              <w:spacing w:line="400" w:lineRule="exact"/>
              <w:rPr>
                <w:rFonts w:ascii="宋体" w:hAnsi="宋体" w:cs="宋体"/>
                <w:sz w:val="24"/>
                <w:szCs w:val="24"/>
              </w:rPr>
            </w:pPr>
            <w:r>
              <w:rPr>
                <w:rFonts w:hint="eastAsia" w:ascii="宋体" w:hAnsi="宋体" w:cs="宋体"/>
                <w:sz w:val="24"/>
                <w:szCs w:val="24"/>
              </w:rPr>
              <w:t>1、按照交易平台关于全流程电子化项目的相关指南进行操作。详见：</w:t>
            </w:r>
            <w:r>
              <w:rPr>
                <w:rFonts w:hint="eastAsia" w:ascii="宋体" w:hAnsi="宋体" w:cs="宋体"/>
                <w:sz w:val="24"/>
                <w:szCs w:val="24"/>
                <w:u w:val="single"/>
              </w:rPr>
              <w:t>广州交易集团有限公司（广州公共资源交易中心）网站（http：//www.gzggzy.cn/）</w:t>
            </w:r>
            <w:r>
              <w:rPr>
                <w:rFonts w:hint="eastAsia" w:ascii="宋体" w:hAnsi="宋体" w:cs="宋体"/>
                <w:sz w:val="24"/>
                <w:szCs w:val="24"/>
              </w:rPr>
              <w:t>。</w:t>
            </w:r>
          </w:p>
          <w:p w14:paraId="3F535CB3">
            <w:pPr>
              <w:snapToGrid w:val="0"/>
              <w:spacing w:line="400" w:lineRule="exact"/>
              <w:rPr>
                <w:rFonts w:ascii="宋体" w:hAnsi="宋体" w:cs="宋体"/>
                <w:sz w:val="24"/>
                <w:szCs w:val="24"/>
              </w:rPr>
            </w:pPr>
            <w:r>
              <w:rPr>
                <w:rFonts w:hint="eastAsia" w:ascii="宋体" w:hAnsi="宋体" w:cs="宋体"/>
                <w:sz w:val="24"/>
                <w:szCs w:val="24"/>
              </w:rPr>
              <w:t>2、提交投标文件光盘备用</w:t>
            </w:r>
          </w:p>
          <w:p w14:paraId="4AF0C0A6">
            <w:pPr>
              <w:snapToGrid w:val="0"/>
              <w:spacing w:line="400" w:lineRule="exact"/>
              <w:rPr>
                <w:rFonts w:ascii="宋体" w:hAnsi="宋体" w:cs="宋体"/>
                <w:sz w:val="24"/>
                <w:szCs w:val="24"/>
              </w:rPr>
            </w:pPr>
            <w:r>
              <w:rPr>
                <w:rFonts w:hint="eastAsia" w:ascii="宋体" w:hAnsi="宋体" w:cs="宋体"/>
                <w:sz w:val="24"/>
                <w:szCs w:val="24"/>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1BFD6274">
            <w:pPr>
              <w:snapToGrid w:val="0"/>
              <w:spacing w:line="400" w:lineRule="exact"/>
              <w:rPr>
                <w:rFonts w:ascii="宋体" w:hAnsi="宋体" w:cs="宋体"/>
                <w:sz w:val="24"/>
                <w:szCs w:val="24"/>
              </w:rPr>
            </w:pPr>
            <w:r>
              <w:rPr>
                <w:rFonts w:hint="eastAsia" w:ascii="宋体" w:hAnsi="宋体" w:cs="宋体"/>
                <w:sz w:val="24"/>
                <w:szCs w:val="24"/>
              </w:rPr>
              <w:t>3、补救方案</w:t>
            </w:r>
          </w:p>
          <w:p w14:paraId="333BB458">
            <w:pPr>
              <w:snapToGrid w:val="0"/>
              <w:spacing w:line="400" w:lineRule="exact"/>
              <w:rPr>
                <w:rFonts w:ascii="宋体" w:hAnsi="宋体" w:cs="宋体"/>
                <w:sz w:val="24"/>
                <w:szCs w:val="24"/>
              </w:rPr>
            </w:pPr>
            <w:r>
              <w:rPr>
                <w:rFonts w:hint="eastAsia" w:ascii="宋体" w:hAnsi="宋体" w:cs="宋体"/>
                <w:sz w:val="24"/>
                <w:szCs w:val="24"/>
              </w:rPr>
              <w:t>（1）投标文件解密失败的补救方案：</w:t>
            </w:r>
          </w:p>
          <w:p w14:paraId="1FD38AD4">
            <w:pPr>
              <w:snapToGrid w:val="0"/>
              <w:spacing w:line="400" w:lineRule="exact"/>
              <w:rPr>
                <w:rFonts w:ascii="宋体" w:hAnsi="宋体" w:cs="宋体"/>
                <w:sz w:val="24"/>
                <w:szCs w:val="24"/>
              </w:rPr>
            </w:pPr>
            <w:r>
              <w:rPr>
                <w:rFonts w:hint="eastAsia" w:ascii="宋体" w:hAnsi="宋体" w:cs="宋体"/>
                <w:sz w:val="24"/>
                <w:szCs w:val="24"/>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EF8BEA2">
            <w:pPr>
              <w:snapToGrid w:val="0"/>
              <w:spacing w:line="400" w:lineRule="exact"/>
              <w:rPr>
                <w:rFonts w:ascii="宋体" w:hAnsi="宋体" w:cs="宋体"/>
                <w:sz w:val="24"/>
                <w:szCs w:val="24"/>
              </w:rPr>
            </w:pPr>
            <w:r>
              <w:rPr>
                <w:rFonts w:hint="eastAsia" w:ascii="宋体" w:hAnsi="宋体" w:cs="宋体"/>
                <w:sz w:val="24"/>
                <w:szCs w:val="24"/>
              </w:rPr>
              <w:t>（2）评标时突发情况的补救方案</w:t>
            </w:r>
          </w:p>
          <w:p w14:paraId="0D377953">
            <w:pPr>
              <w:snapToGrid w:val="0"/>
              <w:spacing w:line="400" w:lineRule="exact"/>
              <w:rPr>
                <w:rFonts w:ascii="宋体" w:hAnsi="宋体" w:cs="宋体"/>
                <w:sz w:val="24"/>
                <w:szCs w:val="24"/>
              </w:rPr>
            </w:pPr>
            <w:r>
              <w:rPr>
                <w:rFonts w:hint="eastAsia" w:ascii="宋体" w:hAnsi="宋体" w:cs="宋体"/>
                <w:sz w:val="24"/>
                <w:szCs w:val="24"/>
              </w:rPr>
              <w:t>若遇不可抗力发生（指网络瘫痪、服务器损坏、交易系统故障短期无法恢复等因素），由评标委员会开启投标人递交的全部投标文件光盘，并按光盘内容进行评审。</w:t>
            </w:r>
          </w:p>
          <w:p w14:paraId="27E5B3BB">
            <w:pPr>
              <w:snapToGrid w:val="0"/>
              <w:spacing w:line="400" w:lineRule="exact"/>
              <w:rPr>
                <w:rFonts w:ascii="宋体" w:hAnsi="宋体" w:cs="宋体"/>
                <w:sz w:val="24"/>
                <w:szCs w:val="24"/>
              </w:rPr>
            </w:pPr>
            <w:r>
              <w:rPr>
                <w:rFonts w:hint="eastAsia" w:ascii="宋体" w:hAnsi="宋体" w:cs="宋体"/>
                <w:sz w:val="24"/>
                <w:szCs w:val="24"/>
              </w:rPr>
              <w:t>（3）除发生上述情况外，开标评标均以投标人通过交易平台网上递交的电子投标文件为准。</w:t>
            </w:r>
          </w:p>
        </w:tc>
      </w:tr>
      <w:tr w14:paraId="66AA05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04B2BF99">
            <w:pPr>
              <w:snapToGrid w:val="0"/>
              <w:spacing w:line="400" w:lineRule="exact"/>
              <w:jc w:val="center"/>
              <w:rPr>
                <w:rFonts w:ascii="宋体" w:hAnsi="宋体" w:cs="宋体"/>
                <w:sz w:val="24"/>
                <w:szCs w:val="24"/>
              </w:rPr>
            </w:pPr>
            <w:r>
              <w:rPr>
                <w:rFonts w:hint="eastAsia" w:ascii="宋体" w:hAnsi="宋体" w:cs="宋体"/>
                <w:sz w:val="24"/>
                <w:szCs w:val="24"/>
              </w:rPr>
              <w:t>37</w:t>
            </w:r>
          </w:p>
        </w:tc>
        <w:tc>
          <w:tcPr>
            <w:tcW w:w="474" w:type="pct"/>
            <w:tcBorders>
              <w:top w:val="single" w:color="auto" w:sz="4" w:space="0"/>
              <w:left w:val="single" w:color="auto" w:sz="4" w:space="0"/>
              <w:bottom w:val="single" w:color="auto" w:sz="4" w:space="0"/>
              <w:right w:val="single" w:color="auto" w:sz="4" w:space="0"/>
            </w:tcBorders>
            <w:vAlign w:val="center"/>
          </w:tcPr>
          <w:p w14:paraId="493CCF4D">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3B6D37ED">
            <w:pPr>
              <w:snapToGrid w:val="0"/>
              <w:spacing w:line="400" w:lineRule="exact"/>
              <w:rPr>
                <w:rFonts w:ascii="宋体" w:hAnsi="宋体" w:cs="宋体"/>
                <w:sz w:val="24"/>
                <w:szCs w:val="24"/>
              </w:rPr>
            </w:pPr>
            <w:r>
              <w:rPr>
                <w:rFonts w:hint="eastAsia" w:ascii="宋体" w:hAnsi="宋体" w:cs="宋体"/>
                <w:sz w:val="24"/>
                <w:szCs w:val="24"/>
              </w:rPr>
              <w:t>招标人拒绝接收投标文件备用光盘的情况</w:t>
            </w:r>
          </w:p>
        </w:tc>
        <w:tc>
          <w:tcPr>
            <w:tcW w:w="3234" w:type="pct"/>
            <w:tcBorders>
              <w:top w:val="single" w:color="auto" w:sz="4" w:space="0"/>
              <w:left w:val="single" w:color="auto" w:sz="4" w:space="0"/>
              <w:bottom w:val="single" w:color="auto" w:sz="4" w:space="0"/>
              <w:right w:val="double" w:color="auto" w:sz="4" w:space="0"/>
            </w:tcBorders>
            <w:vAlign w:val="center"/>
          </w:tcPr>
          <w:p w14:paraId="552A9E77">
            <w:pPr>
              <w:snapToGrid w:val="0"/>
              <w:spacing w:line="400" w:lineRule="exact"/>
              <w:rPr>
                <w:rFonts w:ascii="宋体" w:hAnsi="宋体" w:cs="宋体"/>
                <w:sz w:val="24"/>
                <w:szCs w:val="24"/>
              </w:rPr>
            </w:pPr>
            <w:r>
              <w:rPr>
                <w:rFonts w:hint="eastAsia" w:ascii="宋体" w:hAnsi="宋体" w:cs="宋体"/>
                <w:sz w:val="24"/>
                <w:szCs w:val="24"/>
              </w:rPr>
              <w:t>1、在投标截止期后逾期或未在指定地点递交投标文件备用光盘的；</w:t>
            </w:r>
          </w:p>
          <w:p w14:paraId="789271B7">
            <w:pPr>
              <w:snapToGrid w:val="0"/>
              <w:spacing w:line="400" w:lineRule="exact"/>
              <w:rPr>
                <w:rFonts w:ascii="宋体" w:hAnsi="宋体" w:cs="宋体"/>
                <w:sz w:val="24"/>
                <w:szCs w:val="24"/>
              </w:rPr>
            </w:pPr>
            <w:r>
              <w:rPr>
                <w:rFonts w:hint="eastAsia" w:ascii="宋体" w:hAnsi="宋体" w:cs="宋体"/>
                <w:sz w:val="24"/>
                <w:szCs w:val="24"/>
              </w:rPr>
              <w:t>2、投标文件备用光盘未按招标文件要求密封或未在密封处盖章的；</w:t>
            </w:r>
          </w:p>
          <w:p w14:paraId="0F679129">
            <w:pPr>
              <w:snapToGrid w:val="0"/>
              <w:spacing w:line="400" w:lineRule="exact"/>
              <w:rPr>
                <w:rFonts w:ascii="宋体" w:hAnsi="宋体" w:cs="宋体"/>
                <w:sz w:val="24"/>
                <w:szCs w:val="24"/>
              </w:rPr>
            </w:pPr>
            <w:r>
              <w:rPr>
                <w:rFonts w:hint="eastAsia" w:ascii="宋体" w:hAnsi="宋体" w:cs="宋体"/>
                <w:sz w:val="24"/>
                <w:szCs w:val="24"/>
              </w:rPr>
              <w:t>3、投标人代表未凭法定代表人证明书（原件）、授权委托书原件（仅限于非法定代表人）、本人身份证原件递交投标文件备用光盘的。</w:t>
            </w:r>
          </w:p>
        </w:tc>
      </w:tr>
      <w:tr w14:paraId="03E2F2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15D4711D">
            <w:pPr>
              <w:snapToGrid w:val="0"/>
              <w:spacing w:line="400" w:lineRule="exact"/>
              <w:jc w:val="center"/>
              <w:rPr>
                <w:rFonts w:ascii="宋体" w:hAnsi="宋体" w:cs="宋体"/>
                <w:sz w:val="24"/>
                <w:szCs w:val="24"/>
              </w:rPr>
            </w:pPr>
            <w:r>
              <w:rPr>
                <w:rFonts w:hint="eastAsia" w:ascii="宋体" w:hAnsi="宋体" w:cs="宋体"/>
                <w:sz w:val="24"/>
                <w:szCs w:val="24"/>
              </w:rPr>
              <w:t>38</w:t>
            </w:r>
          </w:p>
        </w:tc>
        <w:tc>
          <w:tcPr>
            <w:tcW w:w="474" w:type="pct"/>
            <w:tcBorders>
              <w:top w:val="single" w:color="auto" w:sz="4" w:space="0"/>
              <w:left w:val="single" w:color="auto" w:sz="4" w:space="0"/>
              <w:bottom w:val="single" w:color="auto" w:sz="4" w:space="0"/>
              <w:right w:val="single" w:color="auto" w:sz="4" w:space="0"/>
            </w:tcBorders>
            <w:vAlign w:val="center"/>
          </w:tcPr>
          <w:p w14:paraId="4F26C5C3">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0A293090">
            <w:pPr>
              <w:snapToGrid w:val="0"/>
              <w:spacing w:line="400" w:lineRule="exact"/>
              <w:rPr>
                <w:rFonts w:ascii="宋体" w:hAnsi="宋体" w:cs="宋体"/>
                <w:sz w:val="24"/>
                <w:szCs w:val="24"/>
              </w:rPr>
            </w:pPr>
            <w:r>
              <w:rPr>
                <w:rFonts w:hint="eastAsia" w:ascii="宋体" w:hAnsi="宋体" w:cs="宋体"/>
                <w:sz w:val="24"/>
                <w:szCs w:val="24"/>
              </w:rPr>
              <w:t>招标人对中标人参与“百千万工程”的具体要求</w:t>
            </w:r>
          </w:p>
        </w:tc>
        <w:tc>
          <w:tcPr>
            <w:tcW w:w="3234" w:type="pct"/>
            <w:tcBorders>
              <w:top w:val="single" w:color="auto" w:sz="4" w:space="0"/>
              <w:left w:val="single" w:color="auto" w:sz="4" w:space="0"/>
              <w:bottom w:val="single" w:color="auto" w:sz="4" w:space="0"/>
              <w:right w:val="double" w:color="auto" w:sz="4" w:space="0"/>
            </w:tcBorders>
            <w:vAlign w:val="center"/>
          </w:tcPr>
          <w:p w14:paraId="41742DAB">
            <w:pPr>
              <w:snapToGrid w:val="0"/>
              <w:spacing w:line="400" w:lineRule="exact"/>
              <w:rPr>
                <w:rFonts w:ascii="宋体" w:hAnsi="宋体" w:cs="宋体"/>
                <w:sz w:val="24"/>
                <w:szCs w:val="24"/>
              </w:rPr>
            </w:pPr>
            <w:r>
              <w:rPr>
                <w:rFonts w:hint="eastAsia" w:ascii="宋体" w:hAnsi="宋体" w:cs="宋体"/>
                <w:sz w:val="24"/>
                <w:szCs w:val="24"/>
              </w:rPr>
              <w:t>☑具体要求在中标后按照投标承诺和招标人的要求执行。</w:t>
            </w:r>
          </w:p>
          <w:p w14:paraId="162DC377">
            <w:pPr>
              <w:snapToGrid w:val="0"/>
              <w:spacing w:line="400" w:lineRule="exact"/>
              <w:rPr>
                <w:rFonts w:ascii="宋体" w:hAnsi="宋体" w:cs="宋体"/>
                <w:sz w:val="24"/>
                <w:szCs w:val="24"/>
              </w:rPr>
            </w:pPr>
            <w:r>
              <w:rPr>
                <w:rFonts w:hint="eastAsia" w:ascii="宋体" w:hAnsi="宋体" w:cs="宋体"/>
                <w:sz w:val="24"/>
                <w:szCs w:val="24"/>
              </w:rPr>
              <w:t>□具体要求：</w:t>
            </w:r>
            <w:r>
              <w:rPr>
                <w:rFonts w:hint="eastAsia" w:ascii="宋体" w:hAnsi="宋体" w:cs="宋体"/>
                <w:sz w:val="24"/>
                <w:szCs w:val="24"/>
                <w:u w:val="single"/>
              </w:rPr>
              <w:t>/</w:t>
            </w:r>
          </w:p>
        </w:tc>
      </w:tr>
      <w:tr w14:paraId="7D2CE6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77A8C6F8">
            <w:pPr>
              <w:snapToGrid w:val="0"/>
              <w:spacing w:line="400" w:lineRule="exact"/>
              <w:jc w:val="center"/>
              <w:rPr>
                <w:rFonts w:ascii="宋体" w:hAnsi="宋体" w:cs="宋体"/>
                <w:sz w:val="24"/>
                <w:szCs w:val="24"/>
              </w:rPr>
            </w:pPr>
            <w:r>
              <w:rPr>
                <w:rFonts w:hint="eastAsia" w:ascii="宋体" w:hAnsi="宋体" w:cs="宋体"/>
                <w:sz w:val="24"/>
                <w:szCs w:val="24"/>
              </w:rPr>
              <w:t>39</w:t>
            </w:r>
          </w:p>
        </w:tc>
        <w:tc>
          <w:tcPr>
            <w:tcW w:w="474" w:type="pct"/>
            <w:tcBorders>
              <w:top w:val="single" w:color="auto" w:sz="4" w:space="0"/>
              <w:left w:val="single" w:color="auto" w:sz="4" w:space="0"/>
              <w:bottom w:val="single" w:color="auto" w:sz="4" w:space="0"/>
              <w:right w:val="single" w:color="auto" w:sz="4" w:space="0"/>
            </w:tcBorders>
            <w:vAlign w:val="center"/>
          </w:tcPr>
          <w:p w14:paraId="7B2343AE">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740A7123">
            <w:pPr>
              <w:snapToGrid w:val="0"/>
              <w:spacing w:line="400" w:lineRule="exact"/>
              <w:rPr>
                <w:rFonts w:ascii="宋体" w:hAnsi="宋体" w:cs="宋体"/>
                <w:sz w:val="24"/>
                <w:szCs w:val="24"/>
              </w:rPr>
            </w:pPr>
            <w:r>
              <w:rPr>
                <w:rFonts w:hint="eastAsia" w:ascii="宋体" w:hAnsi="宋体" w:cs="宋体"/>
                <w:sz w:val="24"/>
                <w:szCs w:val="24"/>
              </w:rPr>
              <w:t>交易服务费</w:t>
            </w:r>
          </w:p>
        </w:tc>
        <w:tc>
          <w:tcPr>
            <w:tcW w:w="3234" w:type="pct"/>
            <w:tcBorders>
              <w:top w:val="single" w:color="auto" w:sz="4" w:space="0"/>
              <w:left w:val="single" w:color="auto" w:sz="4" w:space="0"/>
              <w:bottom w:val="single" w:color="auto" w:sz="4" w:space="0"/>
              <w:right w:val="double" w:color="auto" w:sz="4" w:space="0"/>
            </w:tcBorders>
            <w:vAlign w:val="center"/>
          </w:tcPr>
          <w:p w14:paraId="2D8B701B">
            <w:pPr>
              <w:snapToGrid w:val="0"/>
              <w:spacing w:line="400" w:lineRule="exact"/>
              <w:rPr>
                <w:rFonts w:ascii="宋体" w:hAnsi="宋体" w:cs="宋体"/>
                <w:sz w:val="24"/>
                <w:szCs w:val="24"/>
              </w:rPr>
            </w:pPr>
            <w:r>
              <w:rPr>
                <w:rFonts w:hint="eastAsia" w:ascii="宋体" w:hAnsi="宋体" w:cs="宋体"/>
                <w:sz w:val="24"/>
                <w:szCs w:val="24"/>
              </w:rPr>
              <w:t>中标人应根据政府有关规定，向广州公共资源交易中心缴纳公共资源交易服务费，投标单位应自行了解公共资源交易服务费收费标准，在投标报价中考虑此项费用。</w:t>
            </w:r>
          </w:p>
        </w:tc>
      </w:tr>
      <w:tr w14:paraId="52749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5" w:type="pct"/>
            <w:tcBorders>
              <w:top w:val="single" w:color="auto" w:sz="4" w:space="0"/>
              <w:left w:val="double" w:color="auto" w:sz="4" w:space="0"/>
              <w:bottom w:val="single" w:color="auto" w:sz="4" w:space="0"/>
              <w:right w:val="single" w:color="auto" w:sz="4" w:space="0"/>
            </w:tcBorders>
            <w:vAlign w:val="center"/>
          </w:tcPr>
          <w:p w14:paraId="463BF100">
            <w:pPr>
              <w:snapToGrid w:val="0"/>
              <w:spacing w:line="400" w:lineRule="exact"/>
              <w:jc w:val="center"/>
              <w:rPr>
                <w:rFonts w:ascii="宋体" w:hAnsi="宋体" w:cs="宋体"/>
                <w:sz w:val="24"/>
                <w:szCs w:val="24"/>
              </w:rPr>
            </w:pPr>
            <w:r>
              <w:rPr>
                <w:rFonts w:hint="eastAsia" w:ascii="宋体" w:hAnsi="宋体" w:cs="宋体"/>
                <w:sz w:val="24"/>
                <w:szCs w:val="24"/>
              </w:rPr>
              <w:t>40</w:t>
            </w:r>
          </w:p>
        </w:tc>
        <w:tc>
          <w:tcPr>
            <w:tcW w:w="474" w:type="pct"/>
            <w:tcBorders>
              <w:top w:val="single" w:color="auto" w:sz="4" w:space="0"/>
              <w:left w:val="single" w:color="auto" w:sz="4" w:space="0"/>
              <w:bottom w:val="single" w:color="auto" w:sz="4" w:space="0"/>
              <w:right w:val="single" w:color="auto" w:sz="4" w:space="0"/>
            </w:tcBorders>
            <w:vAlign w:val="center"/>
          </w:tcPr>
          <w:p w14:paraId="4AEEADF4">
            <w:pPr>
              <w:snapToGrid w:val="0"/>
              <w:spacing w:line="400" w:lineRule="exact"/>
              <w:jc w:val="center"/>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7FB986B5">
            <w:pPr>
              <w:snapToGrid w:val="0"/>
              <w:spacing w:line="400" w:lineRule="exact"/>
              <w:rPr>
                <w:rFonts w:ascii="宋体" w:hAnsi="宋体" w:cs="宋体"/>
                <w:sz w:val="24"/>
                <w:szCs w:val="24"/>
              </w:rPr>
            </w:pPr>
            <w:r>
              <w:rPr>
                <w:rFonts w:hint="eastAsia" w:ascii="宋体" w:hAnsi="宋体" w:cs="宋体"/>
                <w:sz w:val="24"/>
                <w:szCs w:val="24"/>
              </w:rPr>
              <w:t>工人工资支付分账及建筑安装工程费支付专户</w:t>
            </w:r>
          </w:p>
        </w:tc>
        <w:tc>
          <w:tcPr>
            <w:tcW w:w="3234" w:type="pct"/>
            <w:tcBorders>
              <w:top w:val="single" w:color="auto" w:sz="4" w:space="0"/>
              <w:left w:val="single" w:color="auto" w:sz="4" w:space="0"/>
              <w:bottom w:val="single" w:color="auto" w:sz="4" w:space="0"/>
              <w:right w:val="double" w:color="auto" w:sz="4" w:space="0"/>
            </w:tcBorders>
            <w:vAlign w:val="center"/>
          </w:tcPr>
          <w:p w14:paraId="43993264">
            <w:pPr>
              <w:snapToGrid w:val="0"/>
              <w:spacing w:line="400" w:lineRule="exact"/>
              <w:rPr>
                <w:rFonts w:ascii="宋体" w:hAnsi="宋体" w:cs="宋体"/>
                <w:sz w:val="24"/>
                <w:szCs w:val="24"/>
              </w:rPr>
            </w:pPr>
            <w:r>
              <w:rPr>
                <w:rFonts w:hint="eastAsia" w:ascii="宋体" w:hAnsi="宋体" w:cs="宋体"/>
                <w:sz w:val="24"/>
                <w:szCs w:val="24"/>
              </w:rPr>
              <w:t>1、工人工资支付分账：承包人须依法建立、落实工人工资支付专户管理制度和用工实名制管理制度。工人工资支付专用账户的监督和管理按照《广州市住房和城乡建设局 广州市人力资源和社会保障局 广州市交通运输局 广州市水务局 广州市林业和园林局 中国人民银行广州分行营业管理部关于印发广州市建设领域工人工资支付分账管理实施细则的通知》（穗建规字〔2020〕37号）及《广州市住房和城乡建设局关于我市房建市政工程贯彻省用工实名及工人工资支付专用账户管理办法有关要求的通知》（穗建筑〔2019〕352号）等相关规定执行，相关规定如有更新按最新执行。</w:t>
            </w:r>
          </w:p>
        </w:tc>
      </w:tr>
      <w:tr w14:paraId="01FF5B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5" w:type="pct"/>
            <w:tcBorders>
              <w:top w:val="single" w:color="auto" w:sz="4" w:space="0"/>
              <w:left w:val="double" w:color="auto" w:sz="4" w:space="0"/>
              <w:bottom w:val="single" w:color="auto" w:sz="4" w:space="0"/>
              <w:right w:val="single" w:color="auto" w:sz="4" w:space="0"/>
            </w:tcBorders>
            <w:vAlign w:val="center"/>
          </w:tcPr>
          <w:p w14:paraId="4466AA7F">
            <w:pPr>
              <w:snapToGrid w:val="0"/>
              <w:spacing w:line="400" w:lineRule="exact"/>
              <w:jc w:val="left"/>
              <w:rPr>
                <w:rFonts w:ascii="宋体" w:hAnsi="宋体" w:cs="宋体"/>
                <w:sz w:val="24"/>
                <w:szCs w:val="24"/>
              </w:rPr>
            </w:pPr>
            <w:r>
              <w:rPr>
                <w:rFonts w:hint="eastAsia" w:ascii="宋体" w:hAnsi="宋体" w:cs="宋体"/>
                <w:sz w:val="24"/>
                <w:szCs w:val="24"/>
              </w:rPr>
              <w:t>41</w:t>
            </w:r>
          </w:p>
        </w:tc>
        <w:tc>
          <w:tcPr>
            <w:tcW w:w="474" w:type="pct"/>
            <w:tcBorders>
              <w:top w:val="single" w:color="auto" w:sz="4" w:space="0"/>
              <w:left w:val="single" w:color="auto" w:sz="4" w:space="0"/>
              <w:bottom w:val="single" w:color="auto" w:sz="4" w:space="0"/>
              <w:right w:val="single" w:color="auto" w:sz="4" w:space="0"/>
            </w:tcBorders>
            <w:vAlign w:val="center"/>
          </w:tcPr>
          <w:p w14:paraId="32A1C5EB">
            <w:pPr>
              <w:snapToGrid w:val="0"/>
              <w:spacing w:line="400" w:lineRule="exact"/>
              <w:jc w:val="left"/>
              <w:rPr>
                <w:rFonts w:ascii="宋体" w:hAnsi="宋体" w:cs="宋体"/>
                <w:sz w:val="24"/>
                <w:szCs w:val="24"/>
              </w:rPr>
            </w:pPr>
          </w:p>
        </w:tc>
        <w:tc>
          <w:tcPr>
            <w:tcW w:w="916" w:type="pct"/>
            <w:tcBorders>
              <w:top w:val="single" w:color="auto" w:sz="4" w:space="0"/>
              <w:left w:val="single" w:color="auto" w:sz="4" w:space="0"/>
              <w:bottom w:val="single" w:color="auto" w:sz="4" w:space="0"/>
              <w:right w:val="single" w:color="auto" w:sz="4" w:space="0"/>
            </w:tcBorders>
            <w:vAlign w:val="center"/>
          </w:tcPr>
          <w:p w14:paraId="7CDD5D4E">
            <w:pPr>
              <w:snapToGrid w:val="0"/>
              <w:spacing w:line="400" w:lineRule="exact"/>
              <w:rPr>
                <w:rFonts w:ascii="宋体" w:hAnsi="宋体" w:cs="宋体"/>
                <w:sz w:val="24"/>
                <w:szCs w:val="24"/>
              </w:rPr>
            </w:pPr>
            <w:r>
              <w:rPr>
                <w:rFonts w:hint="eastAsia" w:ascii="宋体" w:hAnsi="宋体" w:cs="宋体"/>
                <w:sz w:val="24"/>
                <w:szCs w:val="24"/>
              </w:rPr>
              <w:t>否决投标条款</w:t>
            </w:r>
          </w:p>
        </w:tc>
        <w:tc>
          <w:tcPr>
            <w:tcW w:w="3234" w:type="pct"/>
            <w:tcBorders>
              <w:top w:val="single" w:color="auto" w:sz="4" w:space="0"/>
              <w:left w:val="single" w:color="auto" w:sz="4" w:space="0"/>
              <w:bottom w:val="single" w:color="auto" w:sz="4" w:space="0"/>
              <w:right w:val="double" w:color="auto" w:sz="4" w:space="0"/>
            </w:tcBorders>
            <w:vAlign w:val="center"/>
          </w:tcPr>
          <w:p w14:paraId="2824234A">
            <w:pPr>
              <w:widowControl/>
              <w:snapToGrid w:val="0"/>
              <w:spacing w:line="400" w:lineRule="exact"/>
              <w:jc w:val="left"/>
              <w:rPr>
                <w:rFonts w:ascii="宋体" w:hAnsi="宋体" w:cs="宋体"/>
                <w:sz w:val="24"/>
                <w:szCs w:val="24"/>
              </w:rPr>
            </w:pPr>
            <w:r>
              <w:rPr>
                <w:rFonts w:hint="eastAsia" w:ascii="宋体" w:hAnsi="宋体" w:cs="宋体"/>
                <w:sz w:val="24"/>
                <w:szCs w:val="24"/>
              </w:rPr>
              <w:t>否决投标条款：</w:t>
            </w:r>
          </w:p>
          <w:p w14:paraId="5562E4D5">
            <w:pPr>
              <w:snapToGrid w:val="0"/>
              <w:spacing w:line="400" w:lineRule="exact"/>
              <w:rPr>
                <w:rFonts w:ascii="宋体" w:hAnsi="宋体" w:cs="宋体"/>
                <w:sz w:val="24"/>
                <w:szCs w:val="24"/>
              </w:rPr>
            </w:pPr>
            <w:r>
              <w:rPr>
                <w:rFonts w:hint="eastAsia" w:ascii="宋体" w:hAnsi="宋体" w:cs="宋体"/>
                <w:sz w:val="24"/>
                <w:szCs w:val="24"/>
              </w:rPr>
              <w:t>投标文件符合第二章开标、评标及定标办法《资格审查表》的规定，没有出现第二章开标、评标及定标办法《技术标有效性审查表》和《经济标有效性审查表》中所有情形的，为有效投标文件。任一情形不符合均为无效投标文件，经评标委员会认定后，其投标文件将被否决。</w:t>
            </w:r>
          </w:p>
        </w:tc>
      </w:tr>
    </w:tbl>
    <w:p w14:paraId="2124950E">
      <w:pPr>
        <w:jc w:val="left"/>
        <w:rPr>
          <w:rFonts w:ascii="宋体" w:hAnsi="宋体" w:cs="宋体"/>
          <w:strike/>
          <w:kern w:val="0"/>
          <w:szCs w:val="20"/>
        </w:rPr>
      </w:pPr>
      <w:r>
        <w:rPr>
          <w:rFonts w:hint="eastAsia" w:ascii="宋体" w:hAnsi="宋体" w:cs="宋体"/>
          <w:strike/>
          <w:szCs w:val="20"/>
        </w:rPr>
        <w:t>注：企业</w:t>
      </w:r>
      <w:r>
        <w:rPr>
          <w:rFonts w:hint="eastAsia" w:ascii="宋体" w:hAnsi="宋体" w:cs="宋体"/>
          <w:strike/>
          <w:kern w:val="0"/>
          <w:szCs w:val="20"/>
        </w:rPr>
        <w:t>综合诚信评价得分即</w:t>
      </w:r>
      <w:r>
        <w:rPr>
          <w:rFonts w:hint="eastAsia" w:ascii="宋体" w:hAnsi="宋体" w:cs="宋体"/>
          <w:strike/>
          <w:szCs w:val="20"/>
        </w:rPr>
        <w:t>企业</w:t>
      </w:r>
      <w:r>
        <w:rPr>
          <w:rFonts w:hint="eastAsia" w:ascii="宋体" w:hAnsi="宋体" w:cs="宋体"/>
          <w:strike/>
          <w:kern w:val="0"/>
          <w:szCs w:val="20"/>
        </w:rPr>
        <w:t>综合诚信评价60日诚信分，以下同。</w:t>
      </w:r>
    </w:p>
    <w:p w14:paraId="47B2EB7F">
      <w:pPr>
        <w:jc w:val="left"/>
        <w:rPr>
          <w:rFonts w:hint="eastAsia" w:ascii="宋体" w:hAnsi="宋体" w:eastAsia="宋体" w:cs="宋体"/>
          <w:kern w:val="0"/>
          <w:szCs w:val="20"/>
          <w:lang w:eastAsia="zh-CN"/>
        </w:rPr>
      </w:pPr>
      <w:r>
        <w:rPr>
          <w:rFonts w:hint="eastAsia" w:ascii="宋体" w:hAnsi="宋体" w:cs="宋体"/>
          <w:strike w:val="0"/>
          <w:kern w:val="2"/>
          <w:szCs w:val="20"/>
        </w:rPr>
        <w:t>注：</w:t>
      </w:r>
      <w:r>
        <w:rPr>
          <w:rFonts w:hint="eastAsia" w:ascii="宋体" w:hAnsi="宋体" w:cs="宋体"/>
          <w:strike w:val="0"/>
          <w:kern w:val="2"/>
          <w:sz w:val="21"/>
          <w:szCs w:val="20"/>
        </w:rPr>
        <w:t>招标</w:t>
      </w:r>
      <w:r>
        <w:rPr>
          <w:rFonts w:hint="eastAsia" w:ascii="宋体" w:hAnsi="宋体" w:cs="宋体"/>
          <w:strike w:val="0"/>
          <w:kern w:val="2"/>
          <w:sz w:val="21"/>
          <w:szCs w:val="20"/>
          <w:lang w:val="en-US" w:eastAsia="zh-CN"/>
        </w:rPr>
        <w:t>代理</w:t>
      </w:r>
      <w:r>
        <w:rPr>
          <w:rFonts w:hint="eastAsia" w:ascii="宋体" w:hAnsi="宋体" w:cs="宋体"/>
          <w:strike w:val="0"/>
          <w:kern w:val="2"/>
          <w:sz w:val="21"/>
          <w:szCs w:val="20"/>
        </w:rPr>
        <w:t>服务费由招标人支付</w:t>
      </w:r>
      <w:r>
        <w:rPr>
          <w:rFonts w:hint="eastAsia" w:ascii="宋体" w:hAnsi="宋体" w:cs="宋体"/>
          <w:strike w:val="0"/>
          <w:kern w:val="2"/>
          <w:sz w:val="21"/>
          <w:szCs w:val="20"/>
          <w:lang w:eastAsia="zh-CN"/>
        </w:rPr>
        <w:t>。</w:t>
      </w:r>
    </w:p>
    <w:p w14:paraId="1B1C91FB">
      <w:pPr>
        <w:pStyle w:val="6"/>
        <w:spacing w:before="0" w:after="0" w:line="360" w:lineRule="auto"/>
        <w:ind w:left="0"/>
        <w:rPr>
          <w:rFonts w:ascii="宋体" w:hAnsi="宋体" w:cs="宋体"/>
          <w:color w:val="auto"/>
        </w:rPr>
      </w:pPr>
      <w:r>
        <w:rPr>
          <w:rFonts w:hint="eastAsia" w:ascii="宋体" w:hAnsi="宋体" w:cs="宋体"/>
          <w:color w:val="auto"/>
        </w:rPr>
        <w:br w:type="page"/>
      </w:r>
      <w:bookmarkStart w:id="4" w:name="_Toc23812"/>
      <w:r>
        <w:rPr>
          <w:rFonts w:hint="eastAsia" w:ascii="宋体" w:hAnsi="宋体" w:cs="宋体"/>
          <w:color w:val="auto"/>
          <w:sz w:val="28"/>
          <w:szCs w:val="28"/>
        </w:rPr>
        <w:t>二、投标须知修改表</w:t>
      </w:r>
      <w:bookmarkEnd w:id="4"/>
    </w:p>
    <w:p w14:paraId="706FFD4F">
      <w:pPr>
        <w:pStyle w:val="5"/>
        <w:snapToGrid w:val="0"/>
        <w:spacing w:after="0" w:line="440" w:lineRule="exact"/>
        <w:ind w:firstLine="482" w:firstLineChars="200"/>
        <w:jc w:val="left"/>
        <w:rPr>
          <w:rFonts w:ascii="宋体" w:hAnsi="宋体" w:cs="宋体"/>
          <w:b/>
          <w:sz w:val="24"/>
          <w:szCs w:val="24"/>
        </w:rPr>
      </w:pPr>
      <w:r>
        <w:rPr>
          <w:rFonts w:hint="eastAsia" w:ascii="宋体" w:hAnsi="宋体" w:cs="宋体"/>
          <w:b/>
          <w:sz w:val="24"/>
          <w:szCs w:val="24"/>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21B7838C">
      <w:pPr>
        <w:snapToGrid w:val="0"/>
        <w:spacing w:line="400" w:lineRule="exact"/>
        <w:ind w:firstLine="482" w:firstLineChars="200"/>
        <w:jc w:val="left"/>
        <w:rPr>
          <w:rFonts w:ascii="宋体" w:hAnsi="宋体" w:cs="宋体"/>
          <w:b/>
          <w:bCs/>
          <w:sz w:val="24"/>
        </w:rPr>
      </w:pPr>
      <w:r>
        <w:rPr>
          <w:rFonts w:hint="eastAsia" w:ascii="宋体" w:hAnsi="宋体" w:cs="宋体"/>
          <w:b/>
          <w:bCs/>
          <w:sz w:val="24"/>
        </w:rPr>
        <w:t>条款号：2.5                    修改类型：增加</w:t>
      </w:r>
    </w:p>
    <w:p w14:paraId="56116319">
      <w:pPr>
        <w:pBdr>
          <w:bottom w:val="single" w:color="auto" w:sz="6" w:space="1"/>
        </w:pBd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2.5</w:t>
      </w:r>
      <w:r>
        <w:rPr>
          <w:rFonts w:hint="eastAsia" w:ascii="宋体" w:hAnsi="宋体" w:cs="宋体"/>
          <w:kern w:val="0"/>
          <w:sz w:val="24"/>
          <w:szCs w:val="24"/>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6E446494">
      <w:pPr>
        <w:snapToGrid w:val="0"/>
        <w:spacing w:line="400" w:lineRule="exact"/>
        <w:ind w:firstLine="482" w:firstLineChars="200"/>
        <w:jc w:val="left"/>
        <w:rPr>
          <w:rFonts w:ascii="宋体" w:hAnsi="宋体" w:cs="宋体"/>
          <w:b/>
          <w:bCs/>
          <w:sz w:val="24"/>
        </w:rPr>
      </w:pPr>
      <w:r>
        <w:rPr>
          <w:rFonts w:hint="eastAsia" w:ascii="宋体" w:hAnsi="宋体" w:cs="宋体"/>
          <w:b/>
          <w:bCs/>
          <w:sz w:val="24"/>
        </w:rPr>
        <w:t>条款号：5.1                     修改类型：修改</w:t>
      </w:r>
    </w:p>
    <w:p w14:paraId="1518EF61">
      <w:pPr>
        <w:tabs>
          <w:tab w:val="left" w:pos="5620"/>
        </w:tabs>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原文：5</w:t>
      </w:r>
      <w:r>
        <w:rPr>
          <w:rFonts w:hint="eastAsia" w:ascii="宋体" w:hAnsi="宋体" w:cs="宋体"/>
          <w:sz w:val="24"/>
          <w:szCs w:val="24"/>
        </w:rPr>
        <w:t>.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56809AAC">
      <w:pPr>
        <w:pBdr>
          <w:bottom w:val="single" w:color="auto" w:sz="4" w:space="1"/>
        </w:pBdr>
        <w:snapToGrid w:val="0"/>
        <w:spacing w:line="440" w:lineRule="exact"/>
        <w:ind w:firstLine="482" w:firstLineChars="200"/>
        <w:jc w:val="left"/>
        <w:rPr>
          <w:rFonts w:ascii="宋体" w:hAnsi="宋体" w:cs="宋体"/>
          <w:sz w:val="24"/>
          <w:szCs w:val="24"/>
          <w:u w:val="single"/>
        </w:rPr>
      </w:pPr>
      <w:r>
        <w:rPr>
          <w:rFonts w:hint="eastAsia" w:ascii="宋体" w:hAnsi="宋体" w:cs="宋体"/>
          <w:b/>
          <w:sz w:val="24"/>
          <w:szCs w:val="24"/>
        </w:rPr>
        <w:t>现文：</w:t>
      </w:r>
      <w:r>
        <w:rPr>
          <w:rFonts w:hint="eastAsia" w:ascii="宋体" w:hAnsi="宋体" w:cs="宋体"/>
          <w:sz w:val="24"/>
          <w:szCs w:val="24"/>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b/>
          <w:sz w:val="24"/>
          <w:szCs w:val="24"/>
          <w:u w:val="single"/>
        </w:rPr>
        <w:t>投标人不进行踏勘的，视为已孰知现场条件，自行承担相关风险。</w:t>
      </w:r>
      <w:r>
        <w:rPr>
          <w:rFonts w:hint="eastAsia" w:ascii="宋体" w:hAnsi="宋体" w:cs="宋体"/>
          <w:sz w:val="24"/>
          <w:szCs w:val="24"/>
        </w:rPr>
        <w:t>一旦中标，这种考察即被认为其结果已在中标文件中得到充分反映。考察现场的费用由投标人自己承担。</w:t>
      </w:r>
    </w:p>
    <w:p w14:paraId="67E07AD3">
      <w:pPr>
        <w:snapToGrid w:val="0"/>
        <w:spacing w:line="400" w:lineRule="exact"/>
        <w:ind w:firstLine="482" w:firstLineChars="200"/>
        <w:jc w:val="left"/>
        <w:rPr>
          <w:rFonts w:ascii="宋体" w:hAnsi="宋体" w:cs="宋体"/>
          <w:b/>
          <w:bCs/>
          <w:sz w:val="24"/>
        </w:rPr>
      </w:pPr>
      <w:r>
        <w:rPr>
          <w:rFonts w:hint="eastAsia" w:ascii="宋体" w:hAnsi="宋体" w:cs="宋体"/>
          <w:b/>
          <w:bCs/>
          <w:sz w:val="24"/>
        </w:rPr>
        <w:t>条款号：7.1            修改类型：修改</w:t>
      </w:r>
      <w:r>
        <w:rPr>
          <w:rFonts w:hint="eastAsia" w:ascii="宋体" w:hAnsi="宋体" w:cs="宋体"/>
          <w:b/>
          <w:bCs/>
          <w:sz w:val="24"/>
        </w:rPr>
        <w:tab/>
      </w:r>
    </w:p>
    <w:p w14:paraId="63AB498F">
      <w:pPr>
        <w:widowControl/>
        <w:snapToGrid w:val="0"/>
        <w:spacing w:line="440" w:lineRule="exact"/>
        <w:ind w:firstLine="482" w:firstLineChars="200"/>
        <w:jc w:val="left"/>
        <w:rPr>
          <w:rFonts w:ascii="宋体" w:hAnsi="宋体" w:cs="宋体"/>
          <w:kern w:val="0"/>
          <w:sz w:val="24"/>
          <w:szCs w:val="24"/>
        </w:rPr>
      </w:pPr>
      <w:r>
        <w:rPr>
          <w:rFonts w:hint="eastAsia" w:ascii="宋体" w:hAnsi="宋体" w:cs="宋体"/>
          <w:b/>
          <w:sz w:val="24"/>
          <w:szCs w:val="24"/>
        </w:rPr>
        <w:t>原文：</w:t>
      </w:r>
      <w:r>
        <w:rPr>
          <w:rFonts w:hint="eastAsia" w:ascii="宋体" w:hAnsi="宋体" w:cs="宋体"/>
          <w:bCs/>
          <w:sz w:val="24"/>
          <w:szCs w:val="24"/>
        </w:rPr>
        <w:t>7.1</w:t>
      </w:r>
      <w:r>
        <w:rPr>
          <w:rFonts w:hint="eastAsia" w:ascii="宋体" w:hAnsi="宋体" w:cs="宋体"/>
          <w:kern w:val="0"/>
          <w:sz w:val="24"/>
          <w:szCs w:val="24"/>
        </w:rPr>
        <w:t>本招标文件包括下列文件，以及所有按本须知第8条发出的招标答疑会会议纪要和按本须知第9条发出的澄清或修改：</w:t>
      </w:r>
    </w:p>
    <w:p w14:paraId="6C0E7D2E">
      <w:pPr>
        <w:widowControl/>
        <w:snapToGrid w:val="0"/>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第一章  投标须知</w:t>
      </w:r>
    </w:p>
    <w:p w14:paraId="743D5075">
      <w:pPr>
        <w:widowControl/>
        <w:snapToGrid w:val="0"/>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第二章  开标、评标及定标办法</w:t>
      </w:r>
    </w:p>
    <w:p w14:paraId="181E3BC8">
      <w:pPr>
        <w:widowControl/>
        <w:snapToGrid w:val="0"/>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第三章  合同条款</w:t>
      </w:r>
    </w:p>
    <w:p w14:paraId="040E2B52">
      <w:pPr>
        <w:widowControl/>
        <w:snapToGrid w:val="0"/>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第四章  投标文件格式</w:t>
      </w:r>
    </w:p>
    <w:p w14:paraId="584A4062">
      <w:pPr>
        <w:widowControl/>
        <w:snapToGrid w:val="0"/>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第五章  技术条件（工程建设标准）（另册）</w:t>
      </w:r>
    </w:p>
    <w:p w14:paraId="558C9143">
      <w:pPr>
        <w:widowControl/>
        <w:snapToGrid w:val="0"/>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第六章  图纸及勘察资料（另册）</w:t>
      </w:r>
    </w:p>
    <w:p w14:paraId="2CD8730F">
      <w:pPr>
        <w:widowControl/>
        <w:snapToGrid w:val="0"/>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第七章  招标工程量清单（另册）</w:t>
      </w:r>
    </w:p>
    <w:p w14:paraId="78287134">
      <w:pPr>
        <w:widowControl/>
        <w:snapToGrid w:val="0"/>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第八章  最高投标限价</w:t>
      </w:r>
    </w:p>
    <w:p w14:paraId="2F94644C">
      <w:pPr>
        <w:snapToGrid w:val="0"/>
        <w:spacing w:line="440" w:lineRule="exact"/>
        <w:ind w:firstLine="480" w:firstLineChars="200"/>
        <w:jc w:val="left"/>
        <w:rPr>
          <w:rFonts w:ascii="宋体" w:hAnsi="宋体" w:cs="宋体"/>
          <w:sz w:val="24"/>
          <w:szCs w:val="24"/>
        </w:rPr>
      </w:pPr>
      <w:r>
        <w:rPr>
          <w:rFonts w:hint="eastAsia" w:ascii="宋体" w:hAnsi="宋体" w:cs="宋体"/>
          <w:kern w:val="0"/>
          <w:sz w:val="24"/>
          <w:szCs w:val="24"/>
        </w:rPr>
        <w:t>注：</w:t>
      </w:r>
      <w:r>
        <w:rPr>
          <w:rFonts w:hint="eastAsia" w:ascii="宋体" w:hAnsi="宋体" w:cs="宋体"/>
          <w:kern w:val="0"/>
          <w:sz w:val="24"/>
          <w:szCs w:val="24"/>
        </w:rPr>
        <w:fldChar w:fldCharType="begin"/>
      </w:r>
      <w:r>
        <w:rPr>
          <w:rFonts w:hint="eastAsia" w:ascii="宋体" w:hAnsi="宋体" w:cs="宋体"/>
          <w:kern w:val="0"/>
          <w:sz w:val="24"/>
          <w:szCs w:val="24"/>
        </w:rPr>
        <w:instrText xml:space="preserve"> = 1 \* GB3 </w:instrText>
      </w:r>
      <w:r>
        <w:rPr>
          <w:rFonts w:hint="eastAsia" w:ascii="宋体" w:hAnsi="宋体" w:cs="宋体"/>
          <w:kern w:val="0"/>
          <w:sz w:val="24"/>
          <w:szCs w:val="24"/>
        </w:rPr>
        <w:fldChar w:fldCharType="separate"/>
      </w:r>
      <w:r>
        <w:rPr>
          <w:rFonts w:hint="eastAsia" w:ascii="宋体" w:hAnsi="宋体" w:cs="宋体"/>
          <w:kern w:val="0"/>
          <w:sz w:val="24"/>
          <w:szCs w:val="24"/>
        </w:rPr>
        <w:t>①</w:t>
      </w:r>
      <w:r>
        <w:rPr>
          <w:rFonts w:hint="eastAsia" w:ascii="宋体" w:hAnsi="宋体" w:cs="宋体"/>
          <w:kern w:val="0"/>
          <w:sz w:val="24"/>
          <w:szCs w:val="24"/>
        </w:rPr>
        <w:fldChar w:fldCharType="end"/>
      </w:r>
      <w:r>
        <w:rPr>
          <w:rFonts w:hint="eastAsia" w:ascii="宋体" w:hAnsi="宋体" w:cs="宋体"/>
          <w:b/>
          <w:kern w:val="0"/>
          <w:sz w:val="24"/>
          <w:szCs w:val="24"/>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w:t>
      </w:r>
      <w:r>
        <w:rPr>
          <w:rFonts w:hint="eastAsia" w:ascii="宋体" w:hAnsi="宋体" w:cs="宋体"/>
          <w:kern w:val="0"/>
          <w:sz w:val="24"/>
          <w:szCs w:val="24"/>
        </w:rPr>
        <w:t>明确施工现场建筑垃圾源头减量的具体要求以及建筑垃圾综合利用产品的使用要求。</w:t>
      </w:r>
      <w:r>
        <w:rPr>
          <w:rFonts w:hint="eastAsia" w:ascii="宋体" w:hAnsi="宋体" w:cs="宋体"/>
          <w:b/>
          <w:kern w:val="0"/>
          <w:sz w:val="24"/>
          <w:szCs w:val="24"/>
        </w:rPr>
        <w:fldChar w:fldCharType="begin"/>
      </w:r>
      <w:r>
        <w:rPr>
          <w:rFonts w:hint="eastAsia" w:ascii="宋体" w:hAnsi="宋体" w:cs="宋体"/>
          <w:b/>
          <w:kern w:val="0"/>
          <w:sz w:val="24"/>
          <w:szCs w:val="24"/>
        </w:rPr>
        <w:instrText xml:space="preserve"> = 2 \* GB3 </w:instrText>
      </w:r>
      <w:r>
        <w:rPr>
          <w:rFonts w:hint="eastAsia" w:ascii="宋体" w:hAnsi="宋体" w:cs="宋体"/>
          <w:b/>
          <w:kern w:val="0"/>
          <w:sz w:val="24"/>
          <w:szCs w:val="24"/>
        </w:rPr>
        <w:fldChar w:fldCharType="separate"/>
      </w:r>
      <w:r>
        <w:rPr>
          <w:rFonts w:hint="eastAsia" w:ascii="宋体" w:hAnsi="宋体" w:cs="宋体"/>
          <w:b/>
          <w:kern w:val="0"/>
          <w:sz w:val="24"/>
          <w:szCs w:val="24"/>
        </w:rPr>
        <w:t>②</w:t>
      </w:r>
      <w:r>
        <w:rPr>
          <w:rFonts w:hint="eastAsia" w:ascii="宋体" w:hAnsi="宋体" w:cs="宋体"/>
          <w:b/>
          <w:kern w:val="0"/>
          <w:sz w:val="24"/>
          <w:szCs w:val="24"/>
        </w:rPr>
        <w:fldChar w:fldCharType="end"/>
      </w:r>
      <w:r>
        <w:rPr>
          <w:rFonts w:hint="eastAsia" w:ascii="宋体" w:hAnsi="宋体" w:cs="宋体"/>
          <w:b/>
          <w:kern w:val="0"/>
          <w:sz w:val="24"/>
          <w:szCs w:val="24"/>
        </w:rPr>
        <w:t>鼓励招标人对施工组织设计或施工方案实行隐藏投标人信息的暗标评审。</w:t>
      </w:r>
    </w:p>
    <w:p w14:paraId="1AB792B8">
      <w:pP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bCs/>
          <w:sz w:val="24"/>
          <w:szCs w:val="24"/>
        </w:rPr>
        <w:t>7.1</w:t>
      </w:r>
      <w:r>
        <w:rPr>
          <w:rFonts w:hint="eastAsia" w:ascii="宋体" w:hAnsi="宋体" w:cs="宋体"/>
          <w:sz w:val="24"/>
          <w:szCs w:val="24"/>
        </w:rPr>
        <w:t>本招标文件包括下列文件，以及所有按本须知第8条发出的招标答疑会会议纪要和按本须知第9条发出的澄清或修改：</w:t>
      </w:r>
    </w:p>
    <w:p w14:paraId="0DC0C7ED">
      <w:pPr>
        <w:pStyle w:val="5"/>
        <w:snapToGrid w:val="0"/>
        <w:spacing w:after="0" w:line="440" w:lineRule="exact"/>
        <w:ind w:firstLine="480" w:firstLineChars="200"/>
        <w:jc w:val="left"/>
        <w:rPr>
          <w:rFonts w:ascii="宋体" w:hAnsi="宋体" w:cs="宋体"/>
          <w:sz w:val="24"/>
          <w:szCs w:val="24"/>
        </w:rPr>
      </w:pPr>
      <w:r>
        <w:rPr>
          <w:rFonts w:hint="eastAsia" w:ascii="宋体" w:hAnsi="宋体" w:cs="宋体"/>
          <w:bCs/>
          <w:sz w:val="24"/>
          <w:szCs w:val="24"/>
        </w:rPr>
        <w:t xml:space="preserve">第一章  </w:t>
      </w:r>
      <w:r>
        <w:rPr>
          <w:rFonts w:hint="eastAsia" w:ascii="宋体" w:hAnsi="宋体" w:cs="宋体"/>
          <w:sz w:val="24"/>
          <w:szCs w:val="24"/>
        </w:rPr>
        <w:t>投标须知</w:t>
      </w:r>
    </w:p>
    <w:p w14:paraId="2508BDD8">
      <w:pPr>
        <w:pStyle w:val="5"/>
        <w:snapToGrid w:val="0"/>
        <w:spacing w:after="0" w:line="440" w:lineRule="exact"/>
        <w:ind w:firstLine="480" w:firstLineChars="200"/>
        <w:jc w:val="left"/>
        <w:rPr>
          <w:rFonts w:ascii="宋体" w:hAnsi="宋体" w:cs="宋体"/>
          <w:sz w:val="24"/>
          <w:szCs w:val="24"/>
        </w:rPr>
      </w:pPr>
      <w:r>
        <w:rPr>
          <w:rFonts w:hint="eastAsia" w:ascii="宋体" w:hAnsi="宋体" w:cs="宋体"/>
          <w:bCs/>
          <w:sz w:val="24"/>
          <w:szCs w:val="24"/>
        </w:rPr>
        <w:t xml:space="preserve">第二章  </w:t>
      </w:r>
      <w:r>
        <w:rPr>
          <w:rFonts w:hint="eastAsia" w:ascii="宋体" w:hAnsi="宋体" w:cs="宋体"/>
          <w:sz w:val="24"/>
          <w:szCs w:val="24"/>
        </w:rPr>
        <w:t>开标、评标及定标办法</w:t>
      </w:r>
    </w:p>
    <w:p w14:paraId="174EEF7F">
      <w:pPr>
        <w:pStyle w:val="5"/>
        <w:snapToGrid w:val="0"/>
        <w:spacing w:after="0" w:line="440" w:lineRule="exact"/>
        <w:ind w:firstLine="480" w:firstLineChars="200"/>
        <w:jc w:val="left"/>
        <w:rPr>
          <w:rFonts w:ascii="宋体" w:hAnsi="宋体" w:cs="宋体"/>
          <w:sz w:val="24"/>
          <w:szCs w:val="24"/>
        </w:rPr>
      </w:pPr>
      <w:r>
        <w:rPr>
          <w:rFonts w:hint="eastAsia" w:ascii="宋体" w:hAnsi="宋体" w:cs="宋体"/>
          <w:sz w:val="24"/>
          <w:szCs w:val="24"/>
        </w:rPr>
        <w:t>第三章  合同条款</w:t>
      </w:r>
      <w:r>
        <w:rPr>
          <w:rFonts w:hint="eastAsia" w:ascii="宋体" w:hAnsi="宋体" w:cs="宋体"/>
          <w:sz w:val="24"/>
          <w:szCs w:val="24"/>
          <w:u w:val="single"/>
        </w:rPr>
        <w:t>（另册）</w:t>
      </w:r>
    </w:p>
    <w:p w14:paraId="22B67124">
      <w:pPr>
        <w:pStyle w:val="5"/>
        <w:snapToGrid w:val="0"/>
        <w:spacing w:after="0" w:line="440" w:lineRule="exact"/>
        <w:ind w:firstLine="480" w:firstLineChars="200"/>
        <w:jc w:val="left"/>
        <w:rPr>
          <w:rFonts w:ascii="宋体" w:hAnsi="宋体" w:cs="宋体"/>
          <w:sz w:val="24"/>
          <w:szCs w:val="24"/>
        </w:rPr>
      </w:pPr>
      <w:r>
        <w:rPr>
          <w:rFonts w:hint="eastAsia" w:ascii="宋体" w:hAnsi="宋体" w:cs="宋体"/>
          <w:bCs/>
          <w:sz w:val="24"/>
          <w:szCs w:val="24"/>
        </w:rPr>
        <w:t xml:space="preserve">第四章  </w:t>
      </w:r>
      <w:r>
        <w:rPr>
          <w:rFonts w:hint="eastAsia" w:ascii="宋体" w:hAnsi="宋体" w:cs="宋体"/>
          <w:sz w:val="24"/>
          <w:szCs w:val="24"/>
        </w:rPr>
        <w:t>投标文件格式</w:t>
      </w:r>
    </w:p>
    <w:p w14:paraId="4142060D">
      <w:pPr>
        <w:pStyle w:val="5"/>
        <w:snapToGrid w:val="0"/>
        <w:spacing w:after="0" w:line="440" w:lineRule="exact"/>
        <w:ind w:firstLine="480" w:firstLineChars="200"/>
        <w:jc w:val="left"/>
        <w:rPr>
          <w:rFonts w:ascii="宋体" w:hAnsi="宋体" w:cs="宋体"/>
          <w:sz w:val="24"/>
          <w:szCs w:val="24"/>
        </w:rPr>
      </w:pPr>
      <w:r>
        <w:rPr>
          <w:rFonts w:hint="eastAsia" w:ascii="宋体" w:hAnsi="宋体" w:cs="宋体"/>
          <w:bCs/>
          <w:sz w:val="24"/>
          <w:szCs w:val="24"/>
        </w:rPr>
        <w:t xml:space="preserve">第五章  </w:t>
      </w:r>
      <w:r>
        <w:rPr>
          <w:rFonts w:hint="eastAsia" w:ascii="宋体" w:hAnsi="宋体" w:cs="宋体"/>
          <w:sz w:val="24"/>
          <w:szCs w:val="24"/>
        </w:rPr>
        <w:t>技术条件（工程建设标准）</w:t>
      </w:r>
      <w:bookmarkStart w:id="97" w:name="_GoBack"/>
      <w:bookmarkEnd w:id="97"/>
    </w:p>
    <w:p w14:paraId="0D47482E">
      <w:pPr>
        <w:pStyle w:val="5"/>
        <w:snapToGrid w:val="0"/>
        <w:spacing w:after="0" w:line="440" w:lineRule="exact"/>
        <w:ind w:firstLine="480" w:firstLineChars="200"/>
        <w:jc w:val="left"/>
        <w:rPr>
          <w:rFonts w:ascii="宋体" w:hAnsi="宋体" w:cs="宋体"/>
          <w:sz w:val="24"/>
          <w:szCs w:val="24"/>
        </w:rPr>
      </w:pPr>
      <w:r>
        <w:rPr>
          <w:rFonts w:hint="eastAsia" w:ascii="宋体" w:hAnsi="宋体" w:cs="宋体"/>
          <w:bCs/>
          <w:sz w:val="24"/>
          <w:szCs w:val="24"/>
        </w:rPr>
        <w:t xml:space="preserve">第六章  </w:t>
      </w:r>
      <w:r>
        <w:rPr>
          <w:rFonts w:hint="eastAsia" w:ascii="宋体" w:hAnsi="宋体" w:cs="宋体"/>
          <w:sz w:val="24"/>
          <w:szCs w:val="24"/>
        </w:rPr>
        <w:t>图纸及勘察资料（另册）</w:t>
      </w:r>
    </w:p>
    <w:p w14:paraId="01D91A35">
      <w:pPr>
        <w:pStyle w:val="5"/>
        <w:snapToGrid w:val="0"/>
        <w:spacing w:after="0" w:line="440" w:lineRule="exact"/>
        <w:ind w:firstLine="480" w:firstLineChars="200"/>
        <w:jc w:val="left"/>
        <w:rPr>
          <w:rFonts w:ascii="宋体" w:hAnsi="宋体" w:cs="宋体"/>
          <w:sz w:val="24"/>
          <w:szCs w:val="24"/>
        </w:rPr>
      </w:pPr>
      <w:r>
        <w:rPr>
          <w:rFonts w:hint="eastAsia" w:ascii="宋体" w:hAnsi="宋体" w:cs="宋体"/>
          <w:bCs/>
          <w:sz w:val="24"/>
          <w:szCs w:val="24"/>
        </w:rPr>
        <w:t>第七章  招标</w:t>
      </w:r>
      <w:r>
        <w:rPr>
          <w:rFonts w:hint="eastAsia" w:ascii="宋体" w:hAnsi="宋体" w:cs="宋体"/>
          <w:sz w:val="24"/>
          <w:szCs w:val="24"/>
        </w:rPr>
        <w:t xml:space="preserve">工程量清单（另册） </w:t>
      </w:r>
    </w:p>
    <w:p w14:paraId="3D216FA9">
      <w:pPr>
        <w:pBdr>
          <w:bottom w:val="single" w:color="auto" w:sz="6" w:space="1"/>
        </w:pBd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第八章  最高投标限价</w:t>
      </w:r>
      <w:r>
        <w:rPr>
          <w:rFonts w:hint="eastAsia" w:ascii="宋体" w:hAnsi="宋体" w:cs="宋体"/>
          <w:sz w:val="24"/>
          <w:szCs w:val="24"/>
        </w:rPr>
        <w:tab/>
      </w:r>
    </w:p>
    <w:p w14:paraId="72B12639">
      <w:pPr>
        <w:pBdr>
          <w:bottom w:val="single" w:color="auto" w:sz="6" w:space="1"/>
        </w:pBd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37F93C55">
      <w:pPr>
        <w:snapToGrid w:val="0"/>
        <w:spacing w:line="400" w:lineRule="exact"/>
        <w:ind w:firstLine="482" w:firstLineChars="200"/>
        <w:jc w:val="left"/>
        <w:rPr>
          <w:rFonts w:ascii="宋体" w:hAnsi="宋体" w:cs="宋体"/>
          <w:b/>
          <w:sz w:val="24"/>
          <w:szCs w:val="24"/>
        </w:rPr>
      </w:pPr>
      <w:r>
        <w:rPr>
          <w:rFonts w:hint="eastAsia" w:ascii="宋体" w:hAnsi="宋体" w:cs="宋体"/>
          <w:b/>
          <w:sz w:val="24"/>
          <w:szCs w:val="24"/>
        </w:rPr>
        <w:t>条款号：8.1         修改类型：修改</w:t>
      </w:r>
    </w:p>
    <w:p w14:paraId="23370EA4">
      <w:pPr>
        <w:pStyle w:val="5"/>
        <w:snapToGrid w:val="0"/>
        <w:spacing w:after="0"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8.1 投标人若对招标文件（包括招标图纸）中有疑问，可以书面形式通过交易平台提交给招标人或招标代理人，提交形式见本须知前附表第16项。</w:t>
      </w:r>
    </w:p>
    <w:p w14:paraId="03CDD573">
      <w:pPr>
        <w:pBdr>
          <w:bottom w:val="single" w:color="auto" w:sz="6" w:space="1"/>
        </w:pBdr>
        <w:snapToGrid w:val="0"/>
        <w:spacing w:line="440" w:lineRule="exact"/>
        <w:ind w:firstLine="482" w:firstLineChars="200"/>
        <w:jc w:val="left"/>
        <w:rPr>
          <w:rFonts w:ascii="宋体" w:hAnsi="宋体" w:cs="宋体"/>
          <w:sz w:val="24"/>
          <w:szCs w:val="24"/>
          <w:u w:val="single"/>
        </w:rPr>
      </w:pPr>
      <w:r>
        <w:rPr>
          <w:rFonts w:hint="eastAsia" w:ascii="宋体" w:hAnsi="宋体" w:cs="宋体"/>
          <w:b/>
          <w:sz w:val="24"/>
          <w:szCs w:val="24"/>
        </w:rPr>
        <w:t>现文：</w:t>
      </w:r>
      <w:r>
        <w:rPr>
          <w:rFonts w:hint="eastAsia" w:ascii="宋体" w:hAnsi="宋体" w:cs="宋体"/>
          <w:sz w:val="24"/>
          <w:szCs w:val="24"/>
        </w:rPr>
        <w:t>8.1 投标人若对招标文件（包括招标图纸</w:t>
      </w:r>
      <w:r>
        <w:rPr>
          <w:rFonts w:hint="eastAsia" w:ascii="宋体" w:hAnsi="宋体" w:cs="宋体"/>
          <w:sz w:val="24"/>
          <w:szCs w:val="24"/>
          <w:u w:val="single"/>
        </w:rPr>
        <w:t>、技术条件、工程量清单、最高投标限价、合同条款</w:t>
      </w:r>
      <w:r>
        <w:rPr>
          <w:rFonts w:hint="eastAsia" w:ascii="宋体" w:hAnsi="宋体" w:cs="宋体"/>
          <w:sz w:val="24"/>
          <w:szCs w:val="24"/>
        </w:rPr>
        <w:t>）中有疑问，可以书面形式通过</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交易平台提交给招标人或招标代理人，提交形式见本须知前附表第16项。</w:t>
      </w:r>
    </w:p>
    <w:p w14:paraId="2EAD9BA8">
      <w:pPr>
        <w:snapToGrid w:val="0"/>
        <w:spacing w:line="400" w:lineRule="exact"/>
        <w:ind w:firstLine="482" w:firstLineChars="200"/>
        <w:jc w:val="left"/>
        <w:rPr>
          <w:rFonts w:ascii="宋体" w:hAnsi="宋体" w:cs="宋体"/>
          <w:b/>
          <w:sz w:val="24"/>
          <w:szCs w:val="24"/>
        </w:rPr>
      </w:pPr>
      <w:r>
        <w:rPr>
          <w:rFonts w:hint="eastAsia" w:ascii="宋体" w:hAnsi="宋体" w:cs="宋体"/>
          <w:b/>
          <w:sz w:val="24"/>
          <w:szCs w:val="24"/>
        </w:rPr>
        <w:t>条款号：8.2             修改类型：修改</w:t>
      </w:r>
    </w:p>
    <w:p w14:paraId="67A390C9">
      <w:pPr>
        <w:pStyle w:val="5"/>
        <w:snapToGrid w:val="0"/>
        <w:spacing w:after="0"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8.2招标答疑会会议纪要将在提交投标文件截止时间15日前在交易平台 “项目答疑纪要”专区公开发布。答疑纪要一经在交易平台发布，视作已发放给所有投标人。</w:t>
      </w:r>
    </w:p>
    <w:p w14:paraId="152BDF86">
      <w:pPr>
        <w:pBdr>
          <w:bottom w:val="single" w:color="auto" w:sz="6" w:space="1"/>
        </w:pBd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现文：</w:t>
      </w:r>
      <w:r>
        <w:rPr>
          <w:rFonts w:hint="eastAsia" w:ascii="宋体" w:hAnsi="宋体" w:cs="宋体"/>
          <w:bCs/>
          <w:sz w:val="24"/>
          <w:szCs w:val="24"/>
        </w:rPr>
        <w:t>8.2招标答疑会会议纪要将在提交投标文件截止时间15日前在</w:t>
      </w:r>
      <w:r>
        <w:rPr>
          <w:rFonts w:hint="eastAsia" w:ascii="宋体" w:hAnsi="宋体" w:cs="宋体"/>
          <w:sz w:val="24"/>
          <w:szCs w:val="24"/>
          <w:u w:val="single"/>
        </w:rPr>
        <w:t>广州交易集团有限公司（广州公共资源交易中心）</w:t>
      </w:r>
      <w:r>
        <w:rPr>
          <w:rFonts w:hint="eastAsia" w:ascii="宋体" w:hAnsi="宋体" w:cs="宋体"/>
          <w:bCs/>
          <w:sz w:val="24"/>
          <w:szCs w:val="24"/>
        </w:rPr>
        <w:t>交易平台 “</w:t>
      </w:r>
      <w:r>
        <w:rPr>
          <w:rFonts w:hint="eastAsia" w:ascii="宋体" w:hAnsi="宋体" w:cs="宋体"/>
          <w:bCs/>
          <w:sz w:val="24"/>
          <w:szCs w:val="24"/>
          <w:u w:val="single"/>
        </w:rPr>
        <w:t>项目查询(日程安排、答疑纪要)</w:t>
      </w:r>
      <w:r>
        <w:rPr>
          <w:rFonts w:hint="eastAsia" w:ascii="宋体" w:hAnsi="宋体" w:cs="宋体"/>
          <w:bCs/>
          <w:sz w:val="24"/>
          <w:szCs w:val="24"/>
        </w:rPr>
        <w:t>”专区公开发布。答疑纪要一经在</w:t>
      </w:r>
      <w:r>
        <w:rPr>
          <w:rFonts w:hint="eastAsia" w:ascii="宋体" w:hAnsi="宋体" w:cs="宋体"/>
          <w:sz w:val="24"/>
          <w:szCs w:val="24"/>
          <w:u w:val="single"/>
        </w:rPr>
        <w:t>广州交易集团有限公司（广州公共资源交易中心）</w:t>
      </w:r>
      <w:r>
        <w:rPr>
          <w:rFonts w:hint="eastAsia" w:ascii="宋体" w:hAnsi="宋体" w:cs="宋体"/>
          <w:bCs/>
          <w:sz w:val="24"/>
          <w:szCs w:val="24"/>
        </w:rPr>
        <w:t>交易平台发布，视作已发放给所有投标人。</w:t>
      </w:r>
    </w:p>
    <w:p w14:paraId="72C1759C">
      <w:pPr>
        <w:snapToGrid w:val="0"/>
        <w:spacing w:line="400" w:lineRule="exact"/>
        <w:ind w:firstLine="482" w:firstLineChars="200"/>
        <w:jc w:val="left"/>
        <w:rPr>
          <w:rFonts w:ascii="宋体" w:hAnsi="宋体" w:cs="宋体"/>
          <w:b/>
          <w:sz w:val="24"/>
          <w:szCs w:val="24"/>
        </w:rPr>
      </w:pPr>
      <w:r>
        <w:rPr>
          <w:rFonts w:hint="eastAsia" w:ascii="宋体" w:hAnsi="宋体" w:cs="宋体"/>
          <w:b/>
          <w:sz w:val="24"/>
          <w:szCs w:val="24"/>
        </w:rPr>
        <w:t>条款号：9.2             修改类型：修改</w:t>
      </w:r>
    </w:p>
    <w:p w14:paraId="539CBCE6">
      <w:pPr>
        <w:pStyle w:val="5"/>
        <w:snapToGrid w:val="0"/>
        <w:spacing w:after="0"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9.2招标文件的澄清或修改将在交易平台“项目答疑纪要”专区公开发布。答疑纪要一经在交易平台发布，视作已发放给所有投标人，以交易平台上网发布时间作为送达时间。</w:t>
      </w:r>
    </w:p>
    <w:p w14:paraId="23E04ED5">
      <w:pPr>
        <w:pBdr>
          <w:bottom w:val="single" w:color="auto" w:sz="6" w:space="1"/>
        </w:pBd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9.2招标文件的澄清或修改将在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w:t>
      </w:r>
      <w:r>
        <w:rPr>
          <w:rFonts w:hint="eastAsia" w:ascii="宋体" w:hAnsi="宋体" w:cs="宋体"/>
          <w:bCs/>
          <w:sz w:val="24"/>
          <w:szCs w:val="24"/>
          <w:u w:val="single"/>
        </w:rPr>
        <w:t>项目查询(日程安排、答疑纪要)</w:t>
      </w:r>
      <w:r>
        <w:rPr>
          <w:rFonts w:hint="eastAsia" w:ascii="宋体" w:hAnsi="宋体" w:cs="宋体"/>
          <w:sz w:val="24"/>
          <w:szCs w:val="24"/>
        </w:rPr>
        <w:t>”专区公开发布。答疑纪要一经在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交易平台发布，视作已发放给所有投标人，以</w:t>
      </w:r>
      <w:r>
        <w:rPr>
          <w:rFonts w:hint="eastAsia" w:ascii="宋体" w:hAnsi="宋体" w:cs="宋体"/>
          <w:sz w:val="24"/>
          <w:szCs w:val="24"/>
          <w:u w:val="single"/>
        </w:rPr>
        <w:t xml:space="preserve"> 广州交易集团有限公司（广州公共资源交易中心）</w:t>
      </w:r>
      <w:r>
        <w:rPr>
          <w:rFonts w:hint="eastAsia" w:ascii="宋体" w:hAnsi="宋体" w:cs="宋体"/>
          <w:sz w:val="24"/>
          <w:szCs w:val="24"/>
        </w:rPr>
        <w:t>交易平台上网发布时间作为送达时间。</w:t>
      </w:r>
    </w:p>
    <w:p w14:paraId="713388E1">
      <w:pPr>
        <w:snapToGrid w:val="0"/>
        <w:spacing w:line="400" w:lineRule="exact"/>
        <w:ind w:firstLine="482" w:firstLineChars="200"/>
        <w:jc w:val="left"/>
        <w:rPr>
          <w:rFonts w:ascii="宋体" w:hAnsi="宋体" w:cs="宋体"/>
          <w:b/>
          <w:sz w:val="24"/>
          <w:szCs w:val="24"/>
        </w:rPr>
      </w:pPr>
      <w:r>
        <w:rPr>
          <w:rFonts w:hint="eastAsia" w:ascii="宋体" w:hAnsi="宋体" w:cs="宋体"/>
          <w:b/>
          <w:sz w:val="24"/>
          <w:szCs w:val="24"/>
        </w:rPr>
        <w:t>条款号：9.4             修改类型：修改</w:t>
      </w:r>
    </w:p>
    <w:p w14:paraId="41554AB0">
      <w:pPr>
        <w:pBdr>
          <w:bottom w:val="single" w:color="auto" w:sz="6" w:space="1"/>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9.4招标文件的澄清或修改均以书面形式明确的内容为准。当招标文件的澄清、修改、补充等在同一内容的表述不一致时，以最后发出的书面形式的文件为准。</w:t>
      </w:r>
    </w:p>
    <w:p w14:paraId="2A109208">
      <w:pPr>
        <w:pBdr>
          <w:bottom w:val="single" w:color="auto" w:sz="6" w:space="1"/>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9.4</w:t>
      </w:r>
      <w:r>
        <w:rPr>
          <w:rFonts w:hint="eastAsia" w:ascii="宋体" w:hAnsi="宋体" w:cs="宋体"/>
          <w:bCs/>
          <w:sz w:val="24"/>
          <w:szCs w:val="24"/>
        </w:rPr>
        <w:t>招标文件的澄清或修改均以在</w:t>
      </w:r>
      <w:r>
        <w:rPr>
          <w:rFonts w:hint="eastAsia" w:ascii="宋体" w:hAnsi="宋体" w:cs="宋体"/>
          <w:bCs/>
          <w:sz w:val="24"/>
          <w:szCs w:val="24"/>
          <w:u w:val="single"/>
        </w:rPr>
        <w:t>广州交易集团有限公司（广州公共资源交易中心）交易平台“项目查询(日程安排、答疑纪要)”专区公开发布</w:t>
      </w:r>
      <w:r>
        <w:rPr>
          <w:rFonts w:hint="eastAsia" w:ascii="宋体" w:hAnsi="宋体" w:cs="宋体"/>
          <w:bCs/>
          <w:sz w:val="24"/>
          <w:szCs w:val="24"/>
        </w:rPr>
        <w:t>的内容为准。当招标文件的澄清、修改、补充等在同一内容的表述不一致时，以</w:t>
      </w:r>
      <w:r>
        <w:rPr>
          <w:rFonts w:hint="eastAsia" w:ascii="宋体" w:hAnsi="宋体" w:cs="宋体"/>
          <w:bCs/>
          <w:sz w:val="24"/>
          <w:szCs w:val="24"/>
          <w:u w:val="single"/>
        </w:rPr>
        <w:t>广州交易集团有限公司（广州公共资源交易中心）网站最后发布的内容为准</w:t>
      </w:r>
      <w:r>
        <w:rPr>
          <w:rFonts w:hint="eastAsia" w:ascii="宋体" w:hAnsi="宋体" w:cs="宋体"/>
          <w:bCs/>
          <w:sz w:val="24"/>
          <w:szCs w:val="24"/>
        </w:rPr>
        <w:t>。</w:t>
      </w:r>
    </w:p>
    <w:p w14:paraId="4FFE4FAA">
      <w:pPr>
        <w:snapToGrid w:val="0"/>
        <w:spacing w:line="400" w:lineRule="exact"/>
        <w:ind w:firstLine="482" w:firstLineChars="200"/>
        <w:jc w:val="left"/>
        <w:rPr>
          <w:rFonts w:ascii="宋体" w:hAnsi="宋体" w:cs="宋体"/>
          <w:b/>
          <w:sz w:val="24"/>
          <w:szCs w:val="24"/>
        </w:rPr>
      </w:pPr>
      <w:r>
        <w:rPr>
          <w:rFonts w:hint="eastAsia" w:ascii="宋体" w:hAnsi="宋体" w:cs="宋体"/>
          <w:b/>
          <w:sz w:val="24"/>
          <w:szCs w:val="24"/>
        </w:rPr>
        <w:t>条款号： 11.1            修改类型：修改</w:t>
      </w:r>
    </w:p>
    <w:p w14:paraId="408EB3B9">
      <w:pPr>
        <w:snapToGrid w:val="0"/>
        <w:spacing w:line="440" w:lineRule="exact"/>
        <w:ind w:firstLine="482" w:firstLineChars="200"/>
        <w:jc w:val="left"/>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11.1 投标文件由技术部分（含资格审查文件）和经济部分两部分投标文件组成。</w:t>
      </w:r>
    </w:p>
    <w:p w14:paraId="22AE1255">
      <w:pPr>
        <w:pBdr>
          <w:bottom w:val="single" w:color="auto" w:sz="6" w:space="1"/>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bCs/>
          <w:sz w:val="24"/>
          <w:szCs w:val="24"/>
        </w:rPr>
        <w:t>11.1投标文件由技术部分（含资格审查文件）、经济部分和定标文件共三部分组成，其中定标文件组成详见11.4条。</w:t>
      </w:r>
    </w:p>
    <w:p w14:paraId="4DC5AAF1">
      <w:pPr>
        <w:snapToGrid w:val="0"/>
        <w:spacing w:line="400" w:lineRule="exact"/>
        <w:ind w:firstLine="482" w:firstLineChars="200"/>
        <w:jc w:val="left"/>
        <w:rPr>
          <w:rFonts w:ascii="宋体" w:hAnsi="宋体" w:cs="宋体"/>
          <w:b/>
          <w:sz w:val="24"/>
          <w:szCs w:val="24"/>
        </w:rPr>
      </w:pPr>
      <w:r>
        <w:rPr>
          <w:rFonts w:hint="eastAsia" w:ascii="宋体" w:hAnsi="宋体" w:cs="宋体"/>
          <w:b/>
          <w:sz w:val="24"/>
          <w:szCs w:val="24"/>
        </w:rPr>
        <w:t>条款号： 11.2            修改类型：修改</w:t>
      </w:r>
    </w:p>
    <w:p w14:paraId="36991592">
      <w:pPr>
        <w:snapToGrid w:val="0"/>
        <w:spacing w:line="440" w:lineRule="exact"/>
        <w:ind w:firstLine="482" w:firstLineChars="200"/>
        <w:jc w:val="left"/>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11.2 投标文件技术标部分主要包括下列内容：</w:t>
      </w:r>
    </w:p>
    <w:p w14:paraId="34AC6E95">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11.2.1 技术投标文件（按招标文件的要求填写）；</w:t>
      </w:r>
    </w:p>
    <w:p w14:paraId="62C602E3">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11.2.2 资格审查文件：</w:t>
      </w:r>
    </w:p>
    <w:p w14:paraId="263FF0E0">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 xml:space="preserve">（1）投标人声明； </w:t>
      </w:r>
    </w:p>
    <w:p w14:paraId="304DD735">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（2）法定代表人证明书、法定代表人签字或盖章的本投标文件授权委托证明书；</w:t>
      </w:r>
    </w:p>
    <w:p w14:paraId="0E078DF5">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（3）企业营业执照扫描件或电子证照；</w:t>
      </w:r>
    </w:p>
    <w:p w14:paraId="27EAB71E">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（4）企业资质证书扫描件或电子证照；</w:t>
      </w:r>
    </w:p>
    <w:p w14:paraId="4874FB7D">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（5）建筑施工企业安全生产许可证扫描件或电子证照；</w:t>
      </w:r>
    </w:p>
    <w:p w14:paraId="674C0824">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（6）项目负责人（按网上投标登记时选择拟投入本项目的项目负责人）</w:t>
      </w:r>
    </w:p>
    <w:p w14:paraId="0DF4CB66">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（7）专职安全员（按网上投标登记时选择拟投入本项目的专职安全员）</w:t>
      </w:r>
    </w:p>
    <w:p w14:paraId="526C66AD">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（8）拟委托技术负责人的相关证书、资料（具体要求由招标人明确）</w:t>
      </w:r>
    </w:p>
    <w:p w14:paraId="66E0DB46">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 xml:space="preserve">（9）拟委派项目负责人的有效期内的建造师注册证书扫描件或电子证书；  </w:t>
      </w:r>
    </w:p>
    <w:p w14:paraId="639B2129">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（10）项目负责人在有效期内的安全生产考核合格证书（B类）或建筑施工企业项目负责人安全生产考核合格证书扫描件或电子证书；</w:t>
      </w:r>
    </w:p>
    <w:p w14:paraId="0829D6B6">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（11）专职安全员须具有在有效期内的安全生产考核合格证书（C类）或建筑施工企业专职安全生产管理人员安全生产考核合格证书扫描件或电子证书；</w:t>
      </w:r>
    </w:p>
    <w:p w14:paraId="404CB27F">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（12）用于资格审查的业绩（设置业绩要求时选择此项，投标人须提供类似工程业绩的项目名称及项目编号，具体格式由招标人自定）；</w:t>
      </w:r>
    </w:p>
    <w:p w14:paraId="2557BEFF">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 xml:space="preserve">（13）资格审查前，投标人须在广州市住房和城乡建设局建立企业信用档案，拟担任本工程项目负责人、专职安全员须是本企业信用档案中的在册人员； </w:t>
      </w:r>
    </w:p>
    <w:p w14:paraId="3918E52E">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（14）列明主办单位的联合体工作协议（采用联合体投标时需递交，投标人拟任本工程项目负责人应为联合体主办方信用档案中的在册人员，联合体工作协议应明确约定各方拟承担的工作和责任）；</w:t>
      </w:r>
    </w:p>
    <w:p w14:paraId="71DED21E">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注：1.相关电子证书按规定需打印后手写本人签名的，应按照规定手写本人签名后再扫描提交。</w:t>
      </w:r>
    </w:p>
    <w:p w14:paraId="52A8F32D">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8D1D715">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11.2.3项目管理机构配备。</w:t>
      </w:r>
    </w:p>
    <w:p w14:paraId="4F9B960E">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（1）投标人应列出该项目工程的施工组织机构构成和画出机构框架图及其负责人；</w:t>
      </w:r>
    </w:p>
    <w:p w14:paraId="5C460191">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（2）投标人应详细列出该施工组织机构中主要成员的名单、简历资料、职务职称和在本项目中拟担任的职务等资料，并附上有关证明材料扫描件；</w:t>
      </w:r>
    </w:p>
    <w:p w14:paraId="5D633ED0">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（3）其他辅助说明资料。</w:t>
      </w:r>
    </w:p>
    <w:p w14:paraId="6FE7BA79">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11.2.4投标人在广州市可使用适合本工程的机械设备（附：机械设备为自有或租赁的说明；及承诺机械设备如属于租赁的，其租赁是不属于重复租赁）。</w:t>
      </w:r>
    </w:p>
    <w:p w14:paraId="34F16DA1">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11.2.5施工组织设计或施工方案。</w:t>
      </w:r>
    </w:p>
    <w:p w14:paraId="26D3E1BC">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（1）投标人在编制施工组织设计或施工方案时应按照招标人提出的施工现场建筑垃圾源头减量的具体要求以及建筑垃圾综合利用产品的使用要求提供相应措施。</w:t>
      </w:r>
    </w:p>
    <w:p w14:paraId="1EF916A9">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0C9A0EBF">
      <w:pPr>
        <w:snapToGrid w:val="0"/>
        <w:spacing w:line="440" w:lineRule="exact"/>
        <w:ind w:firstLine="480" w:firstLineChars="200"/>
        <w:jc w:val="left"/>
        <w:rPr>
          <w:rFonts w:ascii="宋体" w:hAnsi="宋体" w:cs="宋体"/>
          <w:b/>
          <w:sz w:val="24"/>
          <w:szCs w:val="24"/>
        </w:rPr>
      </w:pPr>
      <w:r>
        <w:rPr>
          <w:rFonts w:hint="eastAsia" w:ascii="宋体" w:hAnsi="宋体" w:cs="宋体"/>
          <w:bCs/>
          <w:sz w:val="24"/>
          <w:szCs w:val="24"/>
        </w:rPr>
        <w:t>11.2.6按照招标文件要求填写的《参与编制技术标投标文件人员名单》</w:t>
      </w:r>
      <w:r>
        <w:rPr>
          <w:rFonts w:hint="eastAsia" w:ascii="宋体" w:hAnsi="宋体" w:cs="宋体"/>
          <w:sz w:val="24"/>
          <w:szCs w:val="24"/>
        </w:rPr>
        <w:t>。</w:t>
      </w:r>
    </w:p>
    <w:p w14:paraId="04352FE4">
      <w:pP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11.2投标文件技术标</w:t>
      </w:r>
      <w:r>
        <w:rPr>
          <w:rFonts w:hint="eastAsia" w:ascii="宋体" w:hAnsi="宋体" w:cs="宋体"/>
          <w:sz w:val="24"/>
          <w:szCs w:val="24"/>
          <w:u w:val="single"/>
        </w:rPr>
        <w:t>（含资格审查文件）</w:t>
      </w:r>
      <w:r>
        <w:rPr>
          <w:rFonts w:hint="eastAsia" w:ascii="宋体" w:hAnsi="宋体" w:cs="宋体"/>
          <w:sz w:val="24"/>
          <w:szCs w:val="24"/>
        </w:rPr>
        <w:t>部分主要包括下列内容：</w:t>
      </w:r>
    </w:p>
    <w:p w14:paraId="793664E2">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11.2.1</w:t>
      </w:r>
      <w:r>
        <w:rPr>
          <w:rFonts w:hint="eastAsia" w:ascii="宋体" w:hAnsi="宋体" w:cs="宋体"/>
          <w:sz w:val="24"/>
          <w:szCs w:val="24"/>
          <w:u w:val="single"/>
        </w:rPr>
        <w:t>广州建设工程施工招标投标书(需按招标文件第四章要求的格式填写，具体格式以《广州建设工程施工招标投标书》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14:paraId="0A067250">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11.2.2 资格审查文件：</w:t>
      </w:r>
    </w:p>
    <w:p w14:paraId="205436A6">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（1）投标人声明</w:t>
      </w:r>
      <w:r>
        <w:rPr>
          <w:rFonts w:hint="eastAsia" w:ascii="宋体" w:hAnsi="宋体" w:cs="宋体"/>
          <w:sz w:val="24"/>
          <w:szCs w:val="24"/>
          <w:u w:val="single"/>
        </w:rPr>
        <w:t>（按招标公告附件一的格式及内容提交）</w:t>
      </w:r>
      <w:r>
        <w:rPr>
          <w:rFonts w:hint="eastAsia" w:ascii="宋体" w:hAnsi="宋体" w:cs="宋体"/>
          <w:sz w:val="24"/>
          <w:szCs w:val="24"/>
        </w:rPr>
        <w:t xml:space="preserve">； </w:t>
      </w:r>
    </w:p>
    <w:p w14:paraId="1BA6A052">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（2）法定代表人证明书、法定代表人签字或盖章的本投标文件授权委托证明书；</w:t>
      </w:r>
    </w:p>
    <w:p w14:paraId="5FA7722C">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（3）企业营业执照扫描件或电子证照；</w:t>
      </w:r>
    </w:p>
    <w:p w14:paraId="20DED3D7">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（4）企业资质证书扫描件或电子证照；</w:t>
      </w:r>
    </w:p>
    <w:p w14:paraId="56DEABCF">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（5）建筑施工企业安全生产许可证扫描件或电子证照；</w:t>
      </w:r>
    </w:p>
    <w:p w14:paraId="32E6C893">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（6）项目负责人（按网上投标登记时选择拟投入本项目的项目负责人）</w:t>
      </w:r>
    </w:p>
    <w:p w14:paraId="5DBC36A1">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（7）专职安全员（按网上投标登记时选择拟投入本项目的专职安全员）</w:t>
      </w:r>
    </w:p>
    <w:p w14:paraId="61EE0D63">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（8）</w:t>
      </w:r>
      <w:r>
        <w:rPr>
          <w:rFonts w:hint="eastAsia" w:ascii="宋体" w:hAnsi="宋体" w:cs="宋体"/>
          <w:sz w:val="24"/>
          <w:szCs w:val="24"/>
          <w:u w:val="single"/>
        </w:rPr>
        <w:t>拟委派技术负责人的职称证书扫描件；</w:t>
      </w:r>
    </w:p>
    <w:p w14:paraId="5D5367C0">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（9）拟委派项目负责人的有效期内的建造师注册证书扫描件或电子证书；</w:t>
      </w:r>
    </w:p>
    <w:p w14:paraId="2F6F0338">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（10）项目负责人在有效期内的安全生产考核合格证书（B类）或建筑施工企业项目负责人安全生产考核合格证书扫描件或电子证书；</w:t>
      </w:r>
    </w:p>
    <w:p w14:paraId="6A295606">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（11）专职安全员须具有在有效期内的安全生产考核合格证书（C类）或建筑施工企业专职安全生产管理人员安全生产考核合格证书</w:t>
      </w:r>
      <w:r>
        <w:rPr>
          <w:rFonts w:hint="eastAsia" w:ascii="宋体" w:hAnsi="宋体" w:cs="宋体"/>
          <w:sz w:val="24"/>
          <w:szCs w:val="24"/>
          <w:u w:val="single"/>
        </w:rPr>
        <w:t>（C3类）</w:t>
      </w:r>
      <w:r>
        <w:rPr>
          <w:rFonts w:hint="eastAsia" w:ascii="宋体" w:hAnsi="宋体" w:cs="宋体"/>
          <w:sz w:val="24"/>
          <w:szCs w:val="24"/>
        </w:rPr>
        <w:t>扫描件或电子证书；</w:t>
      </w:r>
    </w:p>
    <w:p w14:paraId="1CC6E286">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（12）资格审查前，投标人须在广州市住房和城乡建设局建立企业信用档案，拟担任本工程项目负责人、专职安全员须是本企业信用档案中的在册人员。</w:t>
      </w:r>
    </w:p>
    <w:p w14:paraId="704FA965">
      <w:pPr>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u w:val="single"/>
        </w:rPr>
        <w:t>（13）投标人未被列入拖欠农民工工资失信联合惩戒对象名单。</w:t>
      </w:r>
    </w:p>
    <w:p w14:paraId="25C652A8">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u w:val="single"/>
        </w:rPr>
        <w:t>（14）投标人认为应提供的其他资料。</w:t>
      </w:r>
    </w:p>
    <w:p w14:paraId="00B908EB">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注：1.相关电子证书按规定需打印后手写本人签名的，应按照规定手写本人签名后再扫描提交。</w:t>
      </w:r>
    </w:p>
    <w:p w14:paraId="5A557C88">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56E93B1">
      <w:pPr>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u w:val="single"/>
        </w:rPr>
        <w:t>11.2.3项目管理机构配备：</w:t>
      </w:r>
    </w:p>
    <w:p w14:paraId="595CC622">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（1）投标人应列出该项目工程的施工组织机构构成和画出机构框架图及其负责人；</w:t>
      </w:r>
    </w:p>
    <w:p w14:paraId="114C5588">
      <w:pPr>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rPr>
        <w:t>（2）投标人应详细列出该施工组织机构中主要成员的名单、职务职称和在本项目中拟担任的职务等资料，并附上有关证明材料扫描件</w:t>
      </w:r>
      <w:r>
        <w:rPr>
          <w:rFonts w:hint="eastAsia" w:ascii="宋体" w:hAnsi="宋体" w:cs="宋体"/>
          <w:sz w:val="24"/>
          <w:szCs w:val="24"/>
          <w:u w:val="single"/>
        </w:rPr>
        <w:t>（见本招标文件第四章“技术标投标文件格式”）。</w:t>
      </w:r>
    </w:p>
    <w:p w14:paraId="33D1D97C">
      <w:pPr>
        <w:pBdr>
          <w:bottom w:val="none" w:color="auto" w:sz="0" w:space="1"/>
        </w:pBdr>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rPr>
        <w:t>（3）其他辅助说明资料。</w:t>
      </w:r>
      <w:r>
        <w:rPr>
          <w:rFonts w:hint="eastAsia" w:ascii="宋体" w:hAnsi="宋体" w:cs="宋体"/>
          <w:sz w:val="24"/>
          <w:szCs w:val="24"/>
          <w:u w:val="single"/>
        </w:rPr>
        <w:t>（若有）</w:t>
      </w:r>
    </w:p>
    <w:p w14:paraId="75F8B5E8">
      <w:pPr>
        <w:pBdr>
          <w:bottom w:val="single" w:color="auto" w:sz="6" w:space="1"/>
        </w:pBdr>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u w:val="single"/>
        </w:rPr>
        <w:t>11.2.4按照招标文件要求填写的《投标函》（见本招标文件第四章“技术标投标文件格式”）；</w:t>
      </w:r>
    </w:p>
    <w:p w14:paraId="30A1C90F">
      <w:pPr>
        <w:pBdr>
          <w:bottom w:val="single" w:color="auto" w:sz="6" w:space="1"/>
        </w:pBd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11.2.5按照招标文件要求填写的《参与编制技术标投标文件人员名单》</w:t>
      </w:r>
      <w:r>
        <w:rPr>
          <w:rFonts w:hint="eastAsia" w:ascii="宋体" w:hAnsi="宋体" w:cs="宋体"/>
          <w:sz w:val="24"/>
          <w:szCs w:val="24"/>
          <w:u w:val="single"/>
        </w:rPr>
        <w:t>（见本招标文件第四章“技术标投标文件格式”）</w:t>
      </w:r>
      <w:r>
        <w:rPr>
          <w:rFonts w:hint="eastAsia" w:ascii="宋体" w:hAnsi="宋体" w:cs="宋体"/>
          <w:sz w:val="24"/>
          <w:szCs w:val="24"/>
        </w:rPr>
        <w:t>；</w:t>
      </w:r>
    </w:p>
    <w:p w14:paraId="24710550">
      <w:pPr>
        <w:pBdr>
          <w:bottom w:val="single" w:color="auto" w:sz="6" w:space="1"/>
        </w:pBd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11.2.6</w:t>
      </w:r>
      <w:r>
        <w:rPr>
          <w:rFonts w:hint="eastAsia" w:ascii="宋体" w:hAnsi="宋体" w:cs="宋体"/>
          <w:sz w:val="24"/>
          <w:szCs w:val="24"/>
          <w:u w:val="single"/>
        </w:rPr>
        <w:t>危险性较大的分部分项工程清单及超过一定规模的危险性较大的分部分项工程清单（详见招标文件第四章“技术标投标文件格式”）；</w:t>
      </w:r>
    </w:p>
    <w:p w14:paraId="21984C5A">
      <w:pPr>
        <w:pBdr>
          <w:bottom w:val="single" w:color="auto" w:sz="6" w:space="1"/>
        </w:pBd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11.2.</w:t>
      </w:r>
      <w:r>
        <w:rPr>
          <w:rFonts w:hint="eastAsia" w:ascii="宋体" w:hAnsi="宋体" w:cs="宋体"/>
          <w:sz w:val="24"/>
          <w:szCs w:val="24"/>
          <w:lang w:val="en-US" w:eastAsia="zh-CN"/>
        </w:rPr>
        <w:t>7</w:t>
      </w:r>
      <w:r>
        <w:rPr>
          <w:rFonts w:hint="eastAsia" w:ascii="宋体" w:hAnsi="宋体" w:cs="宋体"/>
          <w:sz w:val="24"/>
          <w:szCs w:val="24"/>
        </w:rPr>
        <w:t>其他投标人认为应该提供的资料。</w:t>
      </w:r>
    </w:p>
    <w:p w14:paraId="4C43926E">
      <w:pPr>
        <w:snapToGrid w:val="0"/>
        <w:spacing w:line="400" w:lineRule="exact"/>
        <w:ind w:firstLine="482" w:firstLineChars="200"/>
        <w:jc w:val="left"/>
        <w:rPr>
          <w:rFonts w:ascii="宋体" w:hAnsi="宋体" w:cs="宋体"/>
          <w:b/>
          <w:sz w:val="24"/>
          <w:szCs w:val="24"/>
        </w:rPr>
      </w:pPr>
      <w:r>
        <w:rPr>
          <w:rFonts w:hint="eastAsia" w:ascii="宋体" w:hAnsi="宋体" w:cs="宋体"/>
          <w:b/>
          <w:sz w:val="24"/>
          <w:szCs w:val="24"/>
        </w:rPr>
        <w:t>条款号：  11.3               修改类型：修改</w:t>
      </w:r>
    </w:p>
    <w:p w14:paraId="38B9A37A">
      <w:pPr>
        <w:snapToGrid w:val="0"/>
        <w:spacing w:line="440" w:lineRule="exact"/>
        <w:ind w:firstLine="482" w:firstLineChars="200"/>
        <w:rPr>
          <w:rFonts w:ascii="宋体" w:hAnsi="宋体" w:cs="宋体"/>
          <w:bCs/>
          <w:sz w:val="24"/>
          <w:szCs w:val="24"/>
        </w:rPr>
      </w:pPr>
      <w:r>
        <w:rPr>
          <w:rFonts w:hint="eastAsia" w:ascii="宋体" w:hAnsi="宋体" w:cs="宋体"/>
          <w:b/>
          <w:sz w:val="24"/>
          <w:szCs w:val="24"/>
        </w:rPr>
        <w:t>原文：</w:t>
      </w:r>
      <w:r>
        <w:rPr>
          <w:rFonts w:hint="eastAsia" w:ascii="宋体" w:hAnsi="宋体" w:cs="宋体"/>
          <w:sz w:val="24"/>
          <w:szCs w:val="24"/>
        </w:rPr>
        <w:t xml:space="preserve">11.3 </w:t>
      </w:r>
      <w:r>
        <w:rPr>
          <w:rFonts w:hint="eastAsia" w:ascii="宋体" w:hAnsi="宋体" w:cs="宋体"/>
          <w:bCs/>
          <w:sz w:val="24"/>
          <w:szCs w:val="24"/>
        </w:rPr>
        <w:t>经济部分投标文件主要包括下列内容：</w:t>
      </w:r>
    </w:p>
    <w:p w14:paraId="5652EE3D">
      <w:pPr>
        <w:snapToGrid w:val="0"/>
        <w:spacing w:line="440" w:lineRule="exact"/>
        <w:ind w:firstLine="480" w:firstLineChars="200"/>
        <w:rPr>
          <w:rFonts w:ascii="宋体" w:hAnsi="宋体" w:cs="宋体"/>
          <w:sz w:val="24"/>
          <w:szCs w:val="24"/>
        </w:rPr>
      </w:pPr>
      <w:r>
        <w:rPr>
          <w:rFonts w:hint="eastAsia" w:ascii="宋体" w:hAnsi="宋体" w:cs="宋体"/>
          <w:sz w:val="24"/>
          <w:szCs w:val="24"/>
        </w:rPr>
        <w:t>11.3.1 经济投标文件（按招标文件的要求填写）。</w:t>
      </w:r>
    </w:p>
    <w:p w14:paraId="1D96C062">
      <w:pPr>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2F981261">
      <w:pPr>
        <w:snapToGrid w:val="0"/>
        <w:spacing w:line="440" w:lineRule="exact"/>
        <w:ind w:firstLine="566" w:firstLineChars="236"/>
        <w:rPr>
          <w:rFonts w:ascii="宋体" w:hAnsi="宋体" w:cs="宋体"/>
          <w:sz w:val="24"/>
          <w:szCs w:val="24"/>
        </w:rPr>
      </w:pPr>
      <w:r>
        <w:rPr>
          <w:rFonts w:hint="eastAsia" w:ascii="宋体" w:hAnsi="宋体" w:cs="宋体"/>
          <w:sz w:val="24"/>
          <w:szCs w:val="24"/>
        </w:rPr>
        <w:t>（1）投标总价封面、扉页；</w:t>
      </w:r>
    </w:p>
    <w:p w14:paraId="690BB856">
      <w:pPr>
        <w:snapToGrid w:val="0"/>
        <w:spacing w:line="440" w:lineRule="exact"/>
        <w:ind w:firstLine="566" w:firstLineChars="236"/>
        <w:rPr>
          <w:rFonts w:ascii="宋体" w:hAnsi="宋体" w:cs="宋体"/>
          <w:sz w:val="24"/>
          <w:szCs w:val="24"/>
        </w:rPr>
      </w:pPr>
      <w:r>
        <w:rPr>
          <w:rFonts w:hint="eastAsia" w:ascii="宋体" w:hAnsi="宋体" w:cs="宋体"/>
          <w:sz w:val="24"/>
          <w:szCs w:val="24"/>
        </w:rPr>
        <w:t>（2）总说明</w:t>
      </w:r>
    </w:p>
    <w:p w14:paraId="6A363EC1">
      <w:pPr>
        <w:snapToGrid w:val="0"/>
        <w:spacing w:line="440" w:lineRule="exact"/>
        <w:ind w:firstLine="566" w:firstLineChars="236"/>
        <w:rPr>
          <w:rFonts w:ascii="宋体" w:hAnsi="宋体" w:cs="宋体"/>
          <w:sz w:val="24"/>
          <w:szCs w:val="24"/>
        </w:rPr>
      </w:pPr>
      <w:r>
        <w:rPr>
          <w:rFonts w:hint="eastAsia" w:ascii="宋体" w:hAnsi="宋体" w:cs="宋体"/>
          <w:sz w:val="24"/>
          <w:szCs w:val="24"/>
        </w:rPr>
        <w:t>（3）工程项目投标报价汇总表；</w:t>
      </w:r>
    </w:p>
    <w:p w14:paraId="7242EAF0">
      <w:pPr>
        <w:snapToGrid w:val="0"/>
        <w:spacing w:line="440" w:lineRule="exact"/>
        <w:ind w:firstLine="566" w:firstLineChars="236"/>
        <w:rPr>
          <w:rFonts w:ascii="宋体" w:hAnsi="宋体" w:cs="宋体"/>
          <w:sz w:val="24"/>
          <w:szCs w:val="24"/>
        </w:rPr>
      </w:pPr>
      <w:r>
        <w:rPr>
          <w:rFonts w:hint="eastAsia" w:ascii="宋体" w:hAnsi="宋体" w:cs="宋体"/>
          <w:sz w:val="24"/>
          <w:szCs w:val="24"/>
        </w:rPr>
        <w:t>（4）单项工程投标报价汇总表；</w:t>
      </w:r>
    </w:p>
    <w:p w14:paraId="2283E13C">
      <w:pPr>
        <w:snapToGrid w:val="0"/>
        <w:spacing w:line="440" w:lineRule="exact"/>
        <w:ind w:firstLine="566" w:firstLineChars="236"/>
        <w:rPr>
          <w:rFonts w:ascii="宋体" w:hAnsi="宋体" w:cs="宋体"/>
          <w:sz w:val="24"/>
          <w:szCs w:val="24"/>
        </w:rPr>
      </w:pPr>
      <w:r>
        <w:rPr>
          <w:rFonts w:hint="eastAsia" w:ascii="宋体" w:hAnsi="宋体" w:cs="宋体"/>
          <w:sz w:val="24"/>
          <w:szCs w:val="24"/>
        </w:rPr>
        <w:t>（5）单位工程投标报价汇总表；</w:t>
      </w:r>
    </w:p>
    <w:p w14:paraId="3487EE0B">
      <w:pPr>
        <w:snapToGrid w:val="0"/>
        <w:spacing w:line="440" w:lineRule="exact"/>
        <w:ind w:firstLine="566" w:firstLineChars="236"/>
        <w:rPr>
          <w:rFonts w:ascii="宋体" w:hAnsi="宋体" w:cs="宋体"/>
          <w:sz w:val="24"/>
          <w:szCs w:val="24"/>
        </w:rPr>
      </w:pPr>
      <w:r>
        <w:rPr>
          <w:rFonts w:hint="eastAsia" w:ascii="宋体" w:hAnsi="宋体" w:cs="宋体"/>
          <w:sz w:val="24"/>
          <w:szCs w:val="24"/>
        </w:rPr>
        <w:t>（6）分部分项工程清单与计价表；</w:t>
      </w:r>
    </w:p>
    <w:p w14:paraId="0E41C075">
      <w:pPr>
        <w:snapToGrid w:val="0"/>
        <w:spacing w:line="440" w:lineRule="exact"/>
        <w:ind w:firstLine="566" w:firstLineChars="236"/>
        <w:rPr>
          <w:rFonts w:ascii="宋体" w:hAnsi="宋体" w:cs="宋体"/>
          <w:sz w:val="24"/>
          <w:szCs w:val="24"/>
        </w:rPr>
      </w:pPr>
      <w:r>
        <w:rPr>
          <w:rFonts w:hint="eastAsia" w:ascii="宋体" w:hAnsi="宋体" w:cs="宋体"/>
          <w:sz w:val="24"/>
          <w:szCs w:val="24"/>
        </w:rPr>
        <w:t>（7）单价措施项目清单与计价表；</w:t>
      </w:r>
    </w:p>
    <w:p w14:paraId="6E01B564">
      <w:pPr>
        <w:snapToGrid w:val="0"/>
        <w:spacing w:line="440" w:lineRule="exact"/>
        <w:ind w:firstLine="566" w:firstLineChars="236"/>
        <w:rPr>
          <w:rFonts w:ascii="宋体" w:hAnsi="宋体" w:cs="宋体"/>
          <w:sz w:val="24"/>
          <w:szCs w:val="24"/>
        </w:rPr>
      </w:pPr>
      <w:r>
        <w:rPr>
          <w:rFonts w:hint="eastAsia" w:ascii="宋体" w:hAnsi="宋体" w:cs="宋体"/>
          <w:sz w:val="24"/>
          <w:szCs w:val="24"/>
        </w:rPr>
        <w:t>（8）总价措施项目清单与计价表；</w:t>
      </w:r>
    </w:p>
    <w:p w14:paraId="04F9510D">
      <w:pPr>
        <w:snapToGrid w:val="0"/>
        <w:spacing w:line="440" w:lineRule="exact"/>
        <w:ind w:firstLine="566" w:firstLineChars="236"/>
        <w:rPr>
          <w:rFonts w:ascii="宋体" w:hAnsi="宋体" w:cs="宋体"/>
          <w:sz w:val="24"/>
          <w:szCs w:val="24"/>
        </w:rPr>
      </w:pPr>
      <w:r>
        <w:rPr>
          <w:rFonts w:hint="eastAsia" w:ascii="宋体" w:hAnsi="宋体" w:cs="宋体"/>
          <w:sz w:val="24"/>
          <w:szCs w:val="24"/>
        </w:rPr>
        <w:t>（9）综合单价分析表；</w:t>
      </w:r>
    </w:p>
    <w:p w14:paraId="16E70395">
      <w:pPr>
        <w:snapToGrid w:val="0"/>
        <w:spacing w:line="440" w:lineRule="exact"/>
        <w:ind w:firstLine="566" w:firstLineChars="236"/>
        <w:rPr>
          <w:rFonts w:ascii="宋体" w:hAnsi="宋体" w:cs="宋体"/>
          <w:sz w:val="24"/>
          <w:szCs w:val="24"/>
        </w:rPr>
      </w:pPr>
      <w:r>
        <w:rPr>
          <w:rFonts w:hint="eastAsia" w:ascii="宋体" w:hAnsi="宋体" w:cs="宋体"/>
          <w:sz w:val="24"/>
          <w:szCs w:val="24"/>
        </w:rPr>
        <w:t>（10）其他项目清单与计价汇总表；</w:t>
      </w:r>
    </w:p>
    <w:p w14:paraId="2DAC389A">
      <w:pPr>
        <w:snapToGrid w:val="0"/>
        <w:spacing w:line="440" w:lineRule="exact"/>
        <w:ind w:firstLine="566" w:firstLineChars="236"/>
        <w:rPr>
          <w:rFonts w:ascii="宋体" w:hAnsi="宋体" w:cs="宋体"/>
          <w:sz w:val="24"/>
          <w:szCs w:val="24"/>
        </w:rPr>
      </w:pPr>
      <w:r>
        <w:rPr>
          <w:rFonts w:hint="eastAsia" w:ascii="宋体" w:hAnsi="宋体" w:cs="宋体"/>
          <w:sz w:val="24"/>
          <w:szCs w:val="24"/>
        </w:rPr>
        <w:t>（11）暂列金额明细表；</w:t>
      </w:r>
    </w:p>
    <w:p w14:paraId="02E702CC">
      <w:pPr>
        <w:snapToGrid w:val="0"/>
        <w:spacing w:line="440" w:lineRule="exact"/>
        <w:ind w:firstLine="566" w:firstLineChars="236"/>
        <w:rPr>
          <w:rFonts w:ascii="宋体" w:hAnsi="宋体" w:cs="宋体"/>
          <w:sz w:val="24"/>
          <w:szCs w:val="24"/>
        </w:rPr>
      </w:pPr>
      <w:r>
        <w:rPr>
          <w:rFonts w:hint="eastAsia" w:ascii="宋体" w:hAnsi="宋体" w:cs="宋体"/>
          <w:sz w:val="24"/>
          <w:szCs w:val="24"/>
        </w:rPr>
        <w:t>（12）材料（工程设备）暂估价明细表；</w:t>
      </w:r>
    </w:p>
    <w:p w14:paraId="17A6F7F9">
      <w:pPr>
        <w:snapToGrid w:val="0"/>
        <w:spacing w:line="440" w:lineRule="exact"/>
        <w:ind w:firstLine="566" w:firstLineChars="236"/>
        <w:rPr>
          <w:rFonts w:ascii="宋体" w:hAnsi="宋体" w:cs="宋体"/>
          <w:sz w:val="24"/>
          <w:szCs w:val="24"/>
        </w:rPr>
      </w:pPr>
      <w:r>
        <w:rPr>
          <w:rFonts w:hint="eastAsia" w:ascii="宋体" w:hAnsi="宋体" w:cs="宋体"/>
          <w:sz w:val="24"/>
          <w:szCs w:val="24"/>
        </w:rPr>
        <w:t>（13）专业工程暂估价明细表；</w:t>
      </w:r>
    </w:p>
    <w:p w14:paraId="670A6FB5">
      <w:pPr>
        <w:snapToGrid w:val="0"/>
        <w:spacing w:line="440" w:lineRule="exact"/>
        <w:ind w:firstLine="566" w:firstLineChars="236"/>
        <w:rPr>
          <w:rFonts w:ascii="宋体" w:hAnsi="宋体" w:cs="宋体"/>
          <w:sz w:val="24"/>
          <w:szCs w:val="24"/>
        </w:rPr>
      </w:pPr>
      <w:r>
        <w:rPr>
          <w:rFonts w:hint="eastAsia" w:ascii="宋体" w:hAnsi="宋体" w:cs="宋体"/>
          <w:sz w:val="24"/>
          <w:szCs w:val="24"/>
        </w:rPr>
        <w:t>（14）计日工表；</w:t>
      </w:r>
    </w:p>
    <w:p w14:paraId="16F7D141">
      <w:pPr>
        <w:snapToGrid w:val="0"/>
        <w:spacing w:line="440" w:lineRule="exact"/>
        <w:ind w:firstLine="566" w:firstLineChars="236"/>
        <w:rPr>
          <w:rFonts w:ascii="宋体" w:hAnsi="宋体" w:cs="宋体"/>
          <w:sz w:val="24"/>
          <w:szCs w:val="24"/>
        </w:rPr>
      </w:pPr>
      <w:r>
        <w:rPr>
          <w:rFonts w:hint="eastAsia" w:ascii="宋体" w:hAnsi="宋体" w:cs="宋体"/>
          <w:sz w:val="24"/>
          <w:szCs w:val="24"/>
        </w:rPr>
        <w:t>（15）总承包服务计价表；</w:t>
      </w:r>
    </w:p>
    <w:p w14:paraId="49F03ADA">
      <w:pPr>
        <w:snapToGrid w:val="0"/>
        <w:spacing w:line="440" w:lineRule="exact"/>
        <w:ind w:firstLine="566" w:firstLineChars="236"/>
        <w:rPr>
          <w:rFonts w:ascii="宋体" w:hAnsi="宋体" w:cs="宋体"/>
          <w:sz w:val="24"/>
          <w:szCs w:val="24"/>
        </w:rPr>
      </w:pPr>
      <w:r>
        <w:rPr>
          <w:rFonts w:hint="eastAsia" w:ascii="宋体" w:hAnsi="宋体" w:cs="宋体"/>
          <w:sz w:val="24"/>
          <w:szCs w:val="24"/>
        </w:rPr>
        <w:t>（16）规费和税金项目计价表；</w:t>
      </w:r>
    </w:p>
    <w:p w14:paraId="0D4B48DA">
      <w:pPr>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 （17）人工、主要材料和设备一览表</w:t>
      </w:r>
    </w:p>
    <w:p w14:paraId="58C9A31F">
      <w:pPr>
        <w:tabs>
          <w:tab w:val="left" w:pos="1125"/>
        </w:tabs>
        <w:snapToGrid w:val="0"/>
        <w:spacing w:line="440" w:lineRule="exact"/>
        <w:ind w:firstLine="480" w:firstLineChars="200"/>
        <w:rPr>
          <w:rFonts w:ascii="宋体" w:hAnsi="宋体" w:cs="宋体"/>
          <w:sz w:val="24"/>
          <w:szCs w:val="24"/>
        </w:rPr>
      </w:pPr>
      <w:r>
        <w:rPr>
          <w:rFonts w:hint="eastAsia" w:ascii="宋体" w:hAnsi="宋体" w:cs="宋体"/>
          <w:sz w:val="24"/>
          <w:szCs w:val="24"/>
        </w:rPr>
        <w:t>11.3.3按照</w:t>
      </w:r>
      <w:r>
        <w:rPr>
          <w:rFonts w:hint="eastAsia" w:ascii="宋体" w:hAnsi="宋体" w:cs="宋体"/>
          <w:bCs/>
          <w:sz w:val="24"/>
          <w:szCs w:val="24"/>
        </w:rPr>
        <w:t>招标文件要求</w:t>
      </w:r>
      <w:r>
        <w:rPr>
          <w:rFonts w:hint="eastAsia" w:ascii="宋体" w:hAnsi="宋体" w:cs="宋体"/>
          <w:sz w:val="24"/>
          <w:szCs w:val="24"/>
        </w:rPr>
        <w:t>填写的《参与编制经济标投标文件人员名单》。</w:t>
      </w:r>
    </w:p>
    <w:p w14:paraId="1391E3E3">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11.3.4若投标人的投标报价低于工程成本警戒价的，投标人还须提供详细的施工组织设计、单价、措施性费用、单价分析表、主要材料价格表、投标人成本分析供评标委员会评审。</w:t>
      </w:r>
    </w:p>
    <w:p w14:paraId="555FA2F2">
      <w:pP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11.3 经济部分投标文件主要包括下列内容：</w:t>
      </w:r>
    </w:p>
    <w:p w14:paraId="166457A2">
      <w:pPr>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rPr>
        <w:t>11.3.1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sz w:val="24"/>
          <w:szCs w:val="24"/>
          <w:u w:val="single"/>
        </w:rPr>
        <w:t>（投标报价的工程量清单的组成、格式等由广州交易集团有限公司（广州公共资源交易中心）的投标文件管理软件自动生成）</w:t>
      </w:r>
    </w:p>
    <w:p w14:paraId="18F216CA">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11.3.2 按照招标文件要求填写的《参与编制经济标投标文件人员名单》</w:t>
      </w:r>
      <w:r>
        <w:rPr>
          <w:rFonts w:hint="eastAsia" w:ascii="宋体" w:hAnsi="宋体" w:cs="宋体"/>
          <w:sz w:val="24"/>
          <w:szCs w:val="24"/>
          <w:u w:val="single"/>
        </w:rPr>
        <w:t>(按经济标投标文件格式)</w:t>
      </w:r>
      <w:r>
        <w:rPr>
          <w:rFonts w:hint="eastAsia" w:ascii="宋体" w:hAnsi="宋体" w:cs="宋体"/>
          <w:sz w:val="24"/>
          <w:szCs w:val="24"/>
        </w:rPr>
        <w:t>。</w:t>
      </w:r>
    </w:p>
    <w:p w14:paraId="0EEC9EC0">
      <w:pPr>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u w:val="single"/>
        </w:rPr>
        <w:t>11.3.3 《对投标文件编制的承诺》(按经济标投标文件格式)。</w:t>
      </w:r>
    </w:p>
    <w:p w14:paraId="1AD7AAB5">
      <w:pPr>
        <w:pBdr>
          <w:bottom w:val="single" w:color="auto" w:sz="6" w:space="1"/>
        </w:pBd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11.3.4 若投标人的投标报价低于工程成本警戒价的，投标人还须提供详细的施工组织设计、单价、措施性费用、单价分析表、主要材料价格表、投标人成本分析供评标委员会评审</w:t>
      </w:r>
      <w:r>
        <w:rPr>
          <w:rFonts w:hint="eastAsia" w:ascii="宋体" w:hAnsi="宋体" w:cs="宋体"/>
          <w:bCs/>
          <w:sz w:val="24"/>
          <w:szCs w:val="24"/>
        </w:rPr>
        <w:t>。</w:t>
      </w:r>
    </w:p>
    <w:p w14:paraId="4908CD46">
      <w:pPr>
        <w:snapToGrid w:val="0"/>
        <w:spacing w:line="400" w:lineRule="exact"/>
        <w:ind w:firstLine="482" w:firstLineChars="200"/>
        <w:jc w:val="left"/>
        <w:rPr>
          <w:rFonts w:ascii="宋体" w:hAnsi="宋体" w:cs="宋体"/>
          <w:b/>
          <w:sz w:val="24"/>
          <w:szCs w:val="24"/>
        </w:rPr>
      </w:pPr>
      <w:r>
        <w:rPr>
          <w:rFonts w:hint="eastAsia" w:ascii="宋体" w:hAnsi="宋体" w:cs="宋体"/>
          <w:b/>
          <w:sz w:val="24"/>
          <w:szCs w:val="24"/>
        </w:rPr>
        <w:t>条款号：11.4             修改类型：增加</w:t>
      </w:r>
    </w:p>
    <w:p w14:paraId="1BD66A8D">
      <w:pPr>
        <w:pBdr>
          <w:bottom w:val="single" w:color="auto" w:sz="6" w:space="1"/>
        </w:pBdr>
        <w:tabs>
          <w:tab w:val="left" w:pos="6329"/>
        </w:tabs>
        <w:snapToGrid w:val="0"/>
        <w:spacing w:line="440" w:lineRule="exact"/>
        <w:ind w:firstLine="482" w:firstLineChars="200"/>
        <w:rPr>
          <w:rFonts w:ascii="宋体" w:hAnsi="宋体" w:cs="宋体"/>
          <w:bCs/>
          <w:sz w:val="24"/>
          <w:szCs w:val="24"/>
          <w:u w:val="single"/>
        </w:rPr>
      </w:pPr>
      <w:r>
        <w:rPr>
          <w:rFonts w:hint="eastAsia" w:ascii="宋体" w:hAnsi="宋体" w:cs="宋体"/>
          <w:b/>
          <w:bCs/>
          <w:sz w:val="24"/>
          <w:szCs w:val="24"/>
        </w:rPr>
        <w:t>现文：</w:t>
      </w:r>
      <w:r>
        <w:rPr>
          <w:rFonts w:hint="eastAsia" w:ascii="宋体" w:hAnsi="宋体" w:cs="宋体"/>
          <w:bCs/>
          <w:sz w:val="24"/>
          <w:szCs w:val="24"/>
          <w:u w:val="single"/>
        </w:rPr>
        <w:t>11.4定标文件的组成</w:t>
      </w:r>
    </w:p>
    <w:p w14:paraId="63DAA212">
      <w:pPr>
        <w:pBdr>
          <w:bottom w:val="single" w:color="auto" w:sz="6" w:space="1"/>
        </w:pBdr>
        <w:tabs>
          <w:tab w:val="left" w:pos="6329"/>
        </w:tabs>
        <w:snapToGrid w:val="0"/>
        <w:spacing w:line="440" w:lineRule="exact"/>
        <w:ind w:firstLine="480" w:firstLineChars="200"/>
        <w:rPr>
          <w:rFonts w:ascii="宋体" w:hAnsi="宋体" w:cs="宋体"/>
          <w:bCs/>
          <w:sz w:val="24"/>
          <w:szCs w:val="24"/>
          <w:u w:val="single"/>
        </w:rPr>
      </w:pPr>
      <w:r>
        <w:rPr>
          <w:rFonts w:hint="eastAsia" w:ascii="宋体" w:hAnsi="宋体" w:cs="宋体"/>
          <w:bCs/>
          <w:sz w:val="24"/>
          <w:szCs w:val="24"/>
          <w:u w:val="single"/>
        </w:rPr>
        <w:t>11.4.1投标人基本情况介绍（格式自拟）；</w:t>
      </w:r>
    </w:p>
    <w:p w14:paraId="542A6489">
      <w:pPr>
        <w:pBdr>
          <w:bottom w:val="single" w:color="auto" w:sz="6" w:space="1"/>
        </w:pBdr>
        <w:tabs>
          <w:tab w:val="left" w:pos="6329"/>
        </w:tabs>
        <w:snapToGrid w:val="0"/>
        <w:spacing w:line="440" w:lineRule="exact"/>
        <w:ind w:firstLine="480" w:firstLineChars="200"/>
        <w:rPr>
          <w:rFonts w:ascii="宋体" w:hAnsi="宋体" w:cs="宋体"/>
          <w:bCs/>
          <w:sz w:val="24"/>
          <w:szCs w:val="24"/>
          <w:u w:val="single"/>
        </w:rPr>
      </w:pPr>
      <w:r>
        <w:rPr>
          <w:rFonts w:hint="eastAsia" w:ascii="宋体" w:hAnsi="宋体" w:cs="宋体"/>
          <w:bCs/>
          <w:sz w:val="24"/>
          <w:szCs w:val="24"/>
          <w:u w:val="single"/>
        </w:rPr>
        <w:t>11.4.2投标人依据附表</w:t>
      </w:r>
      <w:r>
        <w:rPr>
          <w:rFonts w:hint="eastAsia" w:ascii="宋体" w:hAnsi="宋体" w:cs="宋体"/>
          <w:bCs/>
          <w:sz w:val="24"/>
          <w:szCs w:val="24"/>
          <w:u w:val="single"/>
          <w:lang w:val="en-US" w:eastAsia="zh-CN"/>
        </w:rPr>
        <w:t>七</w:t>
      </w:r>
      <w:r>
        <w:rPr>
          <w:rFonts w:hint="eastAsia" w:ascii="宋体" w:hAnsi="宋体" w:cs="宋体"/>
          <w:bCs/>
          <w:sz w:val="24"/>
          <w:szCs w:val="24"/>
          <w:u w:val="single"/>
        </w:rPr>
        <w:t>《定标因素表》提供的资料。</w:t>
      </w:r>
    </w:p>
    <w:p w14:paraId="7DFD3B9B">
      <w:pPr>
        <w:pBdr>
          <w:bottom w:val="single" w:color="auto" w:sz="6" w:space="1"/>
        </w:pBdr>
        <w:tabs>
          <w:tab w:val="left" w:pos="6329"/>
        </w:tabs>
        <w:snapToGrid w:val="0"/>
        <w:spacing w:line="440" w:lineRule="exact"/>
        <w:ind w:firstLine="480" w:firstLineChars="200"/>
        <w:rPr>
          <w:rFonts w:ascii="宋体" w:hAnsi="宋体" w:cs="宋体"/>
          <w:bCs/>
          <w:sz w:val="24"/>
          <w:szCs w:val="24"/>
          <w:u w:val="single"/>
        </w:rPr>
      </w:pPr>
      <w:r>
        <w:rPr>
          <w:rFonts w:hint="eastAsia" w:ascii="宋体" w:hAnsi="宋体" w:cs="宋体"/>
          <w:bCs/>
          <w:sz w:val="24"/>
          <w:szCs w:val="24"/>
          <w:u w:val="single"/>
        </w:rPr>
        <w:t>11.4.3投标人认为应该提供的资料（如有）。</w:t>
      </w:r>
    </w:p>
    <w:p w14:paraId="7D902F03">
      <w:pPr>
        <w:pBdr>
          <w:bottom w:val="single" w:color="auto" w:sz="6" w:space="1"/>
        </w:pBdr>
        <w:tabs>
          <w:tab w:val="left" w:pos="6329"/>
        </w:tabs>
        <w:snapToGrid w:val="0"/>
        <w:spacing w:line="440" w:lineRule="exact"/>
        <w:ind w:firstLine="482" w:firstLineChars="200"/>
        <w:rPr>
          <w:rFonts w:ascii="宋体" w:hAnsi="宋体" w:cs="宋体"/>
          <w:bCs/>
          <w:sz w:val="24"/>
          <w:szCs w:val="24"/>
        </w:rPr>
      </w:pPr>
      <w:r>
        <w:rPr>
          <w:rFonts w:hint="eastAsia" w:ascii="宋体" w:hAnsi="宋体" w:cs="宋体"/>
          <w:b/>
          <w:bCs/>
          <w:sz w:val="24"/>
          <w:szCs w:val="24"/>
          <w:u w:val="single"/>
        </w:rPr>
        <w:t>注：定标文件的递交时间和形式由投标人按照投标须知前附表第18项所规定的时间及本须知第18条的相关要求执行。</w:t>
      </w:r>
    </w:p>
    <w:p w14:paraId="09B47257">
      <w:pPr>
        <w:snapToGrid w:val="0"/>
        <w:spacing w:line="400" w:lineRule="exact"/>
        <w:ind w:firstLine="482" w:firstLineChars="200"/>
        <w:jc w:val="left"/>
        <w:rPr>
          <w:rFonts w:ascii="宋体" w:hAnsi="宋体" w:cs="宋体"/>
          <w:b/>
          <w:sz w:val="24"/>
          <w:szCs w:val="24"/>
        </w:rPr>
      </w:pPr>
      <w:r>
        <w:rPr>
          <w:rFonts w:hint="eastAsia" w:ascii="宋体" w:hAnsi="宋体" w:cs="宋体"/>
          <w:b/>
          <w:sz w:val="24"/>
          <w:szCs w:val="24"/>
        </w:rPr>
        <w:t>条款号：12.2             修改类型：修改</w:t>
      </w:r>
    </w:p>
    <w:p w14:paraId="3DD77F12">
      <w:pPr>
        <w:pStyle w:val="5"/>
        <w:snapToGrid w:val="0"/>
        <w:spacing w:after="0" w:line="440" w:lineRule="exact"/>
        <w:ind w:firstLine="482" w:firstLineChars="200"/>
        <w:rPr>
          <w:rFonts w:ascii="宋体" w:hAnsi="宋体" w:cs="宋体"/>
          <w:sz w:val="24"/>
          <w:szCs w:val="24"/>
        </w:rPr>
      </w:pPr>
      <w:r>
        <w:rPr>
          <w:rFonts w:hint="eastAsia" w:ascii="宋体" w:hAnsi="宋体" w:cs="宋体"/>
          <w:b/>
          <w:bCs/>
          <w:sz w:val="24"/>
          <w:szCs w:val="24"/>
        </w:rPr>
        <w:t>原文：</w:t>
      </w:r>
      <w:r>
        <w:rPr>
          <w:rFonts w:hint="eastAsia" w:ascii="宋体" w:hAnsi="宋体" w:cs="宋体"/>
          <w:sz w:val="24"/>
          <w:szCs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4"/>
          <w:szCs w:val="24"/>
          <w:u w:val="single"/>
        </w:rPr>
        <w:t xml:space="preserve">            </w:t>
      </w:r>
      <w:r>
        <w:rPr>
          <w:rFonts w:hint="eastAsia" w:ascii="宋体" w:hAnsi="宋体" w:cs="宋体"/>
          <w:sz w:val="24"/>
          <w:szCs w:val="24"/>
        </w:rPr>
        <w:t xml:space="preserve"> 。</w:t>
      </w:r>
    </w:p>
    <w:p w14:paraId="39E464E1">
      <w:pPr>
        <w:pStyle w:val="5"/>
        <w:snapToGrid w:val="0"/>
        <w:spacing w:after="0" w:line="440" w:lineRule="exact"/>
        <w:ind w:firstLine="480" w:firstLineChars="200"/>
        <w:jc w:val="left"/>
        <w:rPr>
          <w:rFonts w:ascii="宋体" w:hAnsi="宋体" w:cs="宋体"/>
          <w:sz w:val="24"/>
          <w:szCs w:val="24"/>
        </w:rPr>
      </w:pPr>
      <w:r>
        <w:rPr>
          <w:rFonts w:hint="eastAsia" w:ascii="宋体" w:hAnsi="宋体" w:cs="宋体"/>
          <w:sz w:val="24"/>
          <w:szCs w:val="24"/>
        </w:rPr>
        <w:t>注：投标文件电子文档需要投标人单位盖章的材料，投标人加盖电子印章即可，不得将投标人未对电子文档加盖实物印章作为否决投标的情形。</w:t>
      </w:r>
    </w:p>
    <w:p w14:paraId="580E292C">
      <w:pPr>
        <w:pStyle w:val="5"/>
        <w:pBdr>
          <w:bottom w:val="single" w:color="auto" w:sz="4" w:space="0"/>
        </w:pBdr>
        <w:snapToGrid w:val="0"/>
        <w:spacing w:after="0" w:line="440" w:lineRule="exact"/>
        <w:ind w:firstLine="482" w:firstLineChars="200"/>
        <w:jc w:val="left"/>
        <w:rPr>
          <w:rFonts w:ascii="宋体" w:hAnsi="宋体" w:cs="宋体"/>
          <w:sz w:val="24"/>
          <w:szCs w:val="24"/>
          <w:u w:val="single"/>
        </w:rPr>
      </w:pPr>
      <w:r>
        <w:rPr>
          <w:rFonts w:hint="eastAsia" w:ascii="宋体" w:hAnsi="宋体" w:cs="宋体"/>
          <w:b/>
          <w:bCs/>
          <w:sz w:val="24"/>
          <w:szCs w:val="24"/>
        </w:rPr>
        <w:t>现文：</w:t>
      </w:r>
      <w:r>
        <w:rPr>
          <w:rFonts w:hint="eastAsia" w:ascii="宋体" w:hAnsi="宋体" w:cs="宋体"/>
          <w:sz w:val="24"/>
          <w:szCs w:val="24"/>
        </w:rPr>
        <w:t>12.2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4"/>
          <w:szCs w:val="24"/>
          <w:u w:val="single"/>
        </w:rPr>
        <w:t>广州交易集团有限公司（广州公共资源交易中心）网站。</w:t>
      </w:r>
    </w:p>
    <w:p w14:paraId="07849037">
      <w:pPr>
        <w:pStyle w:val="5"/>
        <w:pBdr>
          <w:bottom w:val="single" w:color="auto" w:sz="4" w:space="0"/>
        </w:pBdr>
        <w:snapToGrid w:val="0"/>
        <w:spacing w:after="0" w:line="440" w:lineRule="exact"/>
        <w:ind w:firstLine="480" w:firstLineChars="200"/>
        <w:jc w:val="left"/>
        <w:rPr>
          <w:rFonts w:ascii="宋体" w:hAnsi="宋体" w:cs="宋体"/>
          <w:sz w:val="24"/>
          <w:szCs w:val="24"/>
        </w:rPr>
      </w:pPr>
      <w:r>
        <w:rPr>
          <w:rFonts w:hint="eastAsia" w:ascii="宋体" w:hAnsi="宋体" w:cs="宋体"/>
          <w:sz w:val="24"/>
          <w:szCs w:val="24"/>
        </w:rPr>
        <w:t>注释：投标文件电子文档需要投标人单位盖章的材料，投标人加盖电子印章即可，不得将投标人未对电子文档加盖实物印章作为否决投标的情形。</w:t>
      </w:r>
    </w:p>
    <w:p w14:paraId="083F7F4D">
      <w:pPr>
        <w:snapToGrid w:val="0"/>
        <w:spacing w:line="400" w:lineRule="exact"/>
        <w:ind w:firstLine="482" w:firstLineChars="200"/>
        <w:jc w:val="left"/>
        <w:rPr>
          <w:rFonts w:ascii="宋体" w:hAnsi="宋体" w:cs="宋体"/>
          <w:b/>
          <w:sz w:val="24"/>
          <w:szCs w:val="24"/>
        </w:rPr>
      </w:pPr>
      <w:r>
        <w:rPr>
          <w:rFonts w:hint="eastAsia" w:ascii="宋体" w:hAnsi="宋体" w:cs="宋体"/>
          <w:b/>
          <w:sz w:val="24"/>
          <w:szCs w:val="24"/>
        </w:rPr>
        <w:t>条款号：12.3       修改类型：修改</w:t>
      </w:r>
    </w:p>
    <w:p w14:paraId="173EE631">
      <w:pPr>
        <w:pStyle w:val="10"/>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 xml:space="preserve">12.3 </w:t>
      </w:r>
      <w:r>
        <w:rPr>
          <w:rFonts w:hint="eastAsia" w:ascii="宋体" w:hAnsi="宋体" w:cs="宋体"/>
          <w:bCs/>
          <w:sz w:val="24"/>
          <w:szCs w:val="24"/>
        </w:rPr>
        <w:t>投标文件应按</w:t>
      </w:r>
      <w:r>
        <w:rPr>
          <w:rFonts w:hint="eastAsia" w:ascii="宋体" w:hAnsi="宋体" w:cs="宋体"/>
          <w:sz w:val="24"/>
          <w:szCs w:val="24"/>
        </w:rPr>
        <w:t>照交易平台关于全流程电子化项目的相关指南进行编制，详见：。</w:t>
      </w:r>
    </w:p>
    <w:p w14:paraId="291B88AF">
      <w:pPr>
        <w:pBdr>
          <w:bottom w:val="single" w:color="auto" w:sz="6" w:space="1"/>
        </w:pBdr>
        <w:snapToGrid w:val="0"/>
        <w:spacing w:line="440" w:lineRule="exact"/>
        <w:ind w:firstLine="482" w:firstLineChars="200"/>
        <w:jc w:val="left"/>
        <w:rPr>
          <w:rFonts w:ascii="宋体" w:hAnsi="宋体" w:cs="宋体"/>
          <w:sz w:val="24"/>
          <w:szCs w:val="24"/>
          <w:u w:val="single"/>
        </w:rPr>
      </w:pPr>
      <w:r>
        <w:rPr>
          <w:rFonts w:hint="eastAsia" w:ascii="宋体" w:hAnsi="宋体" w:cs="宋体"/>
          <w:b/>
          <w:bCs/>
          <w:sz w:val="24"/>
          <w:szCs w:val="24"/>
        </w:rPr>
        <w:t>现文：</w:t>
      </w:r>
      <w:r>
        <w:rPr>
          <w:rFonts w:hint="eastAsia" w:ascii="宋体" w:hAnsi="宋体" w:cs="宋体"/>
          <w:sz w:val="24"/>
          <w:szCs w:val="24"/>
        </w:rPr>
        <w:t xml:space="preserve">12.3 </w:t>
      </w:r>
      <w:r>
        <w:rPr>
          <w:rFonts w:hint="eastAsia" w:ascii="宋体" w:hAnsi="宋体" w:cs="宋体"/>
          <w:bCs/>
          <w:sz w:val="24"/>
          <w:szCs w:val="24"/>
        </w:rPr>
        <w:t>投标文件应按</w:t>
      </w:r>
      <w:r>
        <w:rPr>
          <w:rFonts w:hint="eastAsia" w:ascii="宋体" w:hAnsi="宋体" w:cs="宋体"/>
          <w:sz w:val="24"/>
          <w:szCs w:val="24"/>
        </w:rPr>
        <w:t>照交易平台关于全流程电子化项目的相关指南进行编制，详见：</w:t>
      </w:r>
      <w:r>
        <w:rPr>
          <w:rFonts w:hint="eastAsia" w:ascii="宋体" w:hAnsi="宋体" w:cs="宋体"/>
          <w:sz w:val="24"/>
          <w:szCs w:val="24"/>
          <w:u w:val="single"/>
        </w:rPr>
        <w:t>广州交易集团有限公司（广州公共资源交易中心）网站。</w:t>
      </w:r>
    </w:p>
    <w:p w14:paraId="353C08A3">
      <w:pPr>
        <w:snapToGrid w:val="0"/>
        <w:spacing w:line="400" w:lineRule="exact"/>
        <w:ind w:firstLine="482" w:firstLineChars="200"/>
        <w:jc w:val="left"/>
        <w:rPr>
          <w:rFonts w:ascii="宋体" w:hAnsi="宋体" w:cs="宋体"/>
          <w:b/>
          <w:sz w:val="24"/>
          <w:szCs w:val="24"/>
        </w:rPr>
      </w:pPr>
      <w:r>
        <w:rPr>
          <w:rFonts w:hint="eastAsia" w:ascii="宋体" w:hAnsi="宋体" w:cs="宋体"/>
          <w:b/>
          <w:sz w:val="24"/>
          <w:szCs w:val="24"/>
        </w:rPr>
        <w:t>条款号：13.1              修改类型：修改</w:t>
      </w:r>
    </w:p>
    <w:p w14:paraId="23A8F2AF">
      <w:pPr>
        <w:pBdr>
          <w:bottom w:val="single" w:color="auto" w:sz="6" w:space="1"/>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13.1 本工程的投标报价采用投标须知前附表第12项所规定的方式。投标报价（含单价及总价）精确到“分”。</w:t>
      </w:r>
    </w:p>
    <w:p w14:paraId="365EF2D2">
      <w:pPr>
        <w:pBdr>
          <w:bottom w:val="single" w:color="auto" w:sz="6" w:space="1"/>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本工程的投标报价采用投标须知前附表第12项所规定的方式。</w:t>
      </w:r>
      <w:r>
        <w:rPr>
          <w:rFonts w:hint="eastAsia" w:ascii="宋体" w:hAnsi="宋体" w:cs="宋体"/>
          <w:sz w:val="24"/>
          <w:szCs w:val="24"/>
          <w:u w:val="single"/>
        </w:rPr>
        <w:t>投标文件中的大写金额和小写金额不一致的，以大写金额为准，</w:t>
      </w:r>
      <w:r>
        <w:rPr>
          <w:rFonts w:hint="eastAsia" w:ascii="宋体" w:hAnsi="宋体" w:cs="宋体"/>
          <w:sz w:val="24"/>
          <w:szCs w:val="24"/>
        </w:rPr>
        <w:t>投标报价（含单价及总价）精确到“分”。</w:t>
      </w:r>
    </w:p>
    <w:p w14:paraId="1699CCF3">
      <w:pPr>
        <w:snapToGrid w:val="0"/>
        <w:spacing w:line="400" w:lineRule="exact"/>
        <w:ind w:firstLine="482" w:firstLineChars="200"/>
        <w:jc w:val="left"/>
        <w:rPr>
          <w:rFonts w:ascii="宋体" w:hAnsi="宋体" w:cs="宋体"/>
          <w:b/>
          <w:sz w:val="24"/>
          <w:szCs w:val="24"/>
        </w:rPr>
      </w:pPr>
      <w:r>
        <w:rPr>
          <w:rFonts w:hint="eastAsia" w:ascii="宋体" w:hAnsi="宋体" w:cs="宋体"/>
          <w:b/>
          <w:sz w:val="24"/>
          <w:szCs w:val="24"/>
        </w:rPr>
        <w:t>条款号：17.1            修改类型：修改</w:t>
      </w:r>
    </w:p>
    <w:p w14:paraId="69585388">
      <w:pP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14:paraId="309CB0A3">
      <w:pPr>
        <w:pBdr>
          <w:bottom w:val="single" w:color="auto" w:sz="6" w:space="1"/>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17.1投标人应采用单位数字证书，对投标文件加盖电子印章。投标文件中需个人签字或盖章的，应加盖个人电子印章或在线下完成后扫描上传。按照交易平台关于全流程电子化项目的相关指南进行操作。详见：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4"/>
          <w:szCs w:val="24"/>
          <w:u w:val="single"/>
        </w:rPr>
        <w:t>广州交易集团有限公司（广州公共资源交易中心）网站</w:t>
      </w:r>
      <w:r>
        <w:rPr>
          <w:rFonts w:hint="eastAsia" w:ascii="宋体" w:hAnsi="宋体" w:cs="宋体"/>
          <w:sz w:val="24"/>
          <w:szCs w:val="24"/>
        </w:rPr>
        <w:t>。</w:t>
      </w:r>
    </w:p>
    <w:p w14:paraId="2B934512">
      <w:pPr>
        <w:snapToGrid w:val="0"/>
        <w:spacing w:line="400" w:lineRule="exact"/>
        <w:ind w:firstLine="482" w:firstLineChars="200"/>
        <w:jc w:val="left"/>
        <w:rPr>
          <w:rFonts w:ascii="宋体" w:hAnsi="宋体" w:cs="宋体"/>
          <w:b/>
          <w:sz w:val="24"/>
          <w:szCs w:val="24"/>
        </w:rPr>
      </w:pPr>
      <w:r>
        <w:rPr>
          <w:rFonts w:hint="eastAsia" w:ascii="宋体" w:hAnsi="宋体" w:cs="宋体"/>
          <w:b/>
          <w:sz w:val="24"/>
          <w:szCs w:val="24"/>
        </w:rPr>
        <w:t>条款号：18、19             修改类型：修改</w:t>
      </w:r>
    </w:p>
    <w:p w14:paraId="0114CCEC">
      <w:pPr>
        <w:pStyle w:val="5"/>
        <w:snapToGrid w:val="0"/>
        <w:spacing w:after="0" w:line="440" w:lineRule="exact"/>
        <w:ind w:firstLine="482" w:firstLineChars="200"/>
        <w:rPr>
          <w:rFonts w:ascii="宋体" w:hAnsi="宋体" w:cs="宋体"/>
          <w:b/>
          <w:bCs/>
          <w:sz w:val="24"/>
          <w:szCs w:val="24"/>
        </w:rPr>
      </w:pPr>
      <w:r>
        <w:rPr>
          <w:rFonts w:hint="eastAsia" w:ascii="宋体" w:hAnsi="宋体" w:cs="宋体"/>
          <w:b/>
          <w:sz w:val="24"/>
          <w:szCs w:val="24"/>
        </w:rPr>
        <w:t>原文：</w:t>
      </w:r>
      <w:r>
        <w:rPr>
          <w:rFonts w:hint="eastAsia" w:ascii="宋体" w:hAnsi="宋体" w:cs="宋体"/>
          <w:b/>
          <w:bCs/>
          <w:sz w:val="24"/>
          <w:szCs w:val="24"/>
        </w:rPr>
        <w:t>18．</w:t>
      </w:r>
      <w:r>
        <w:rPr>
          <w:rFonts w:hint="eastAsia" w:ascii="宋体" w:hAnsi="宋体" w:cs="宋体"/>
          <w:b/>
          <w:sz w:val="24"/>
          <w:szCs w:val="24"/>
        </w:rPr>
        <w:t>投标文件的密封和标记</w:t>
      </w:r>
    </w:p>
    <w:p w14:paraId="269D2F0E">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18.1递交的电子投标文件（不含备用光盘）必须进行加密。按照交易平台关于</w:t>
      </w:r>
      <w:r>
        <w:rPr>
          <w:rFonts w:hint="eastAsia" w:ascii="宋体" w:hAnsi="宋体" w:cs="宋体"/>
          <w:sz w:val="24"/>
          <w:szCs w:val="24"/>
        </w:rPr>
        <w:t>全流程电子化项目的相关指南进行操作。详见：</w:t>
      </w:r>
      <w:r>
        <w:rPr>
          <w:rFonts w:hint="eastAsia" w:ascii="宋体" w:hAnsi="宋体" w:cs="宋体"/>
          <w:sz w:val="24"/>
          <w:szCs w:val="24"/>
          <w:u w:val="single"/>
        </w:rPr>
        <w:t xml:space="preserve">           </w:t>
      </w:r>
      <w:r>
        <w:rPr>
          <w:rFonts w:hint="eastAsia" w:ascii="宋体" w:hAnsi="宋体" w:cs="宋体"/>
          <w:sz w:val="24"/>
          <w:szCs w:val="24"/>
        </w:rPr>
        <w:t xml:space="preserve"> 。</w:t>
      </w:r>
    </w:p>
    <w:p w14:paraId="167547B5">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18.2 未按要求加密的投标文件，</w:t>
      </w:r>
      <w:r>
        <w:rPr>
          <w:rFonts w:hint="eastAsia" w:ascii="宋体" w:hAnsi="宋体" w:cs="宋体"/>
          <w:sz w:val="24"/>
          <w:szCs w:val="24"/>
          <w:u w:val="single"/>
        </w:rPr>
        <w:t xml:space="preserve">        </w:t>
      </w:r>
      <w:r>
        <w:rPr>
          <w:rFonts w:hint="eastAsia" w:ascii="宋体" w:hAnsi="宋体" w:cs="宋体"/>
          <w:sz w:val="24"/>
          <w:szCs w:val="24"/>
        </w:rPr>
        <w:t>交易平台</w:t>
      </w:r>
      <w:r>
        <w:rPr>
          <w:rFonts w:hint="eastAsia" w:ascii="宋体" w:hAnsi="宋体" w:cs="宋体"/>
          <w:bCs/>
          <w:sz w:val="24"/>
          <w:szCs w:val="24"/>
        </w:rPr>
        <w:t>将予以拒收。</w:t>
      </w:r>
    </w:p>
    <w:p w14:paraId="6654E0ED">
      <w:pPr>
        <w:snapToGrid w:val="0"/>
        <w:spacing w:line="440" w:lineRule="exact"/>
        <w:ind w:firstLine="482" w:firstLineChars="200"/>
        <w:rPr>
          <w:rFonts w:ascii="宋体" w:hAnsi="宋体" w:cs="宋体"/>
          <w:b/>
          <w:bCs/>
          <w:sz w:val="24"/>
          <w:szCs w:val="24"/>
        </w:rPr>
      </w:pPr>
      <w:r>
        <w:rPr>
          <w:rFonts w:hint="eastAsia" w:ascii="宋体" w:hAnsi="宋体" w:cs="宋体"/>
          <w:b/>
          <w:bCs/>
          <w:sz w:val="24"/>
          <w:szCs w:val="24"/>
        </w:rPr>
        <w:t>19．投标文件的递交和接收</w:t>
      </w:r>
    </w:p>
    <w:p w14:paraId="61614C6B">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19.1投标人通过</w:t>
      </w:r>
      <w:r>
        <w:rPr>
          <w:rFonts w:hint="eastAsia" w:ascii="宋体" w:hAnsi="宋体" w:cs="宋体"/>
          <w:sz w:val="24"/>
          <w:szCs w:val="24"/>
          <w:u w:val="single"/>
        </w:rPr>
        <w:t xml:space="preserve">        </w:t>
      </w:r>
      <w:r>
        <w:rPr>
          <w:rFonts w:hint="eastAsia" w:ascii="宋体" w:hAnsi="宋体" w:cs="宋体"/>
          <w:sz w:val="24"/>
          <w:szCs w:val="24"/>
        </w:rPr>
        <w:t>交易平台递交电子投标文件。</w:t>
      </w:r>
    </w:p>
    <w:p w14:paraId="53A71129">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19.2投标人完成电子</w:t>
      </w:r>
      <w:r>
        <w:rPr>
          <w:rFonts w:hint="eastAsia" w:ascii="宋体" w:hAnsi="宋体" w:cs="宋体"/>
          <w:sz w:val="24"/>
          <w:szCs w:val="24"/>
        </w:rPr>
        <w:t>投标文件</w:t>
      </w:r>
      <w:r>
        <w:rPr>
          <w:rFonts w:hint="eastAsia" w:ascii="宋体" w:hAnsi="宋体" w:cs="宋体"/>
          <w:bCs/>
          <w:sz w:val="24"/>
          <w:szCs w:val="24"/>
        </w:rPr>
        <w:t>上传后，</w:t>
      </w:r>
      <w:r>
        <w:rPr>
          <w:rFonts w:hint="eastAsia" w:ascii="宋体" w:hAnsi="宋体" w:cs="宋体"/>
          <w:sz w:val="24"/>
          <w:szCs w:val="24"/>
          <w:u w:val="single"/>
        </w:rPr>
        <w:t xml:space="preserve">        </w:t>
      </w:r>
      <w:r>
        <w:rPr>
          <w:rFonts w:hint="eastAsia" w:ascii="宋体" w:hAnsi="宋体" w:cs="宋体"/>
          <w:sz w:val="24"/>
          <w:szCs w:val="24"/>
        </w:rPr>
        <w:t>交易平台即时向投标人发出递交回执通知。递交时间以递交回执通知载明的传输完成时间为准。</w:t>
      </w:r>
    </w:p>
    <w:p w14:paraId="6CE9044B">
      <w:pPr>
        <w:snapToGrid w:val="0"/>
        <w:spacing w:line="440" w:lineRule="exact"/>
        <w:ind w:firstLine="480" w:firstLineChars="200"/>
        <w:rPr>
          <w:rFonts w:ascii="宋体" w:hAnsi="宋体" w:cs="宋体"/>
          <w:sz w:val="24"/>
          <w:szCs w:val="24"/>
        </w:rPr>
      </w:pPr>
      <w:r>
        <w:rPr>
          <w:rFonts w:hint="eastAsia" w:ascii="宋体" w:hAnsi="宋体" w:cs="宋体"/>
          <w:bCs/>
          <w:sz w:val="24"/>
          <w:szCs w:val="24"/>
        </w:rPr>
        <w:t>19.3逾期送达的电子投标文件，</w:t>
      </w:r>
      <w:r>
        <w:rPr>
          <w:rFonts w:hint="eastAsia" w:ascii="宋体" w:hAnsi="宋体" w:cs="宋体"/>
          <w:sz w:val="24"/>
          <w:szCs w:val="24"/>
          <w:u w:val="single"/>
        </w:rPr>
        <w:t xml:space="preserve">        </w:t>
      </w:r>
      <w:r>
        <w:rPr>
          <w:rFonts w:hint="eastAsia" w:ascii="宋体" w:hAnsi="宋体" w:cs="宋体"/>
          <w:sz w:val="24"/>
          <w:szCs w:val="24"/>
        </w:rPr>
        <w:t>交易平台将予以拒收。</w:t>
      </w:r>
    </w:p>
    <w:p w14:paraId="7F8DB24A">
      <w:pPr>
        <w:snapToGrid w:val="0"/>
        <w:spacing w:line="440" w:lineRule="exact"/>
        <w:ind w:firstLine="480" w:firstLineChars="200"/>
        <w:rPr>
          <w:rFonts w:ascii="宋体" w:hAnsi="宋体" w:cs="宋体"/>
          <w:sz w:val="24"/>
          <w:szCs w:val="24"/>
        </w:rPr>
      </w:pPr>
      <w:r>
        <w:rPr>
          <w:rFonts w:hint="eastAsia" w:ascii="宋体" w:hAnsi="宋体" w:cs="宋体"/>
          <w:sz w:val="24"/>
          <w:szCs w:val="24"/>
        </w:rPr>
        <w:t>19.4 投标截止前，招标人拒绝接收符合条件的投标文件，投标人可向招标投标监督机构投诉。</w:t>
      </w:r>
    </w:p>
    <w:p w14:paraId="493345AB">
      <w:pPr>
        <w:snapToGrid w:val="0"/>
        <w:spacing w:line="440" w:lineRule="exact"/>
        <w:ind w:firstLine="480" w:firstLineChars="200"/>
        <w:jc w:val="left"/>
        <w:rPr>
          <w:rFonts w:ascii="宋体" w:hAnsi="宋体" w:cs="宋体"/>
          <w:bCs/>
          <w:sz w:val="24"/>
          <w:szCs w:val="24"/>
          <w:u w:val="single"/>
        </w:rPr>
      </w:pPr>
      <w:r>
        <w:rPr>
          <w:rFonts w:hint="eastAsia" w:ascii="宋体" w:hAnsi="宋体" w:cs="宋体"/>
          <w:sz w:val="24"/>
          <w:szCs w:val="24"/>
        </w:rPr>
        <w:t>19.5如技术标和经济标先后分别开启，</w:t>
      </w:r>
      <w:r>
        <w:rPr>
          <w:rFonts w:hint="eastAsia" w:ascii="宋体" w:hAnsi="宋体" w:cs="宋体"/>
          <w:sz w:val="24"/>
          <w:szCs w:val="24"/>
          <w:u w:val="single"/>
        </w:rPr>
        <w:t xml:space="preserve">        </w:t>
      </w:r>
      <w:r>
        <w:rPr>
          <w:rFonts w:hint="eastAsia" w:ascii="宋体" w:hAnsi="宋体" w:cs="宋体"/>
          <w:sz w:val="24"/>
          <w:szCs w:val="24"/>
        </w:rPr>
        <w:t>交易平台将按招标文件规定的时间分别开启技术标和经济标。</w:t>
      </w:r>
    </w:p>
    <w:p w14:paraId="45F7774B">
      <w:pPr>
        <w:pStyle w:val="5"/>
        <w:snapToGrid w:val="0"/>
        <w:spacing w:after="0" w:line="440" w:lineRule="exact"/>
        <w:ind w:firstLine="482" w:firstLineChars="200"/>
        <w:jc w:val="left"/>
        <w:rPr>
          <w:rFonts w:ascii="宋体" w:hAnsi="宋体" w:cs="宋体"/>
          <w:b/>
          <w:bCs/>
          <w:sz w:val="24"/>
          <w:szCs w:val="24"/>
        </w:rPr>
      </w:pPr>
      <w:r>
        <w:rPr>
          <w:rFonts w:hint="eastAsia" w:ascii="宋体" w:hAnsi="宋体" w:cs="宋体"/>
          <w:b/>
          <w:sz w:val="24"/>
          <w:szCs w:val="24"/>
        </w:rPr>
        <w:t>现文：</w:t>
      </w:r>
      <w:r>
        <w:rPr>
          <w:rFonts w:hint="eastAsia" w:ascii="宋体" w:hAnsi="宋体" w:cs="宋体"/>
          <w:b/>
          <w:bCs/>
          <w:sz w:val="24"/>
          <w:szCs w:val="24"/>
        </w:rPr>
        <w:t>18．</w:t>
      </w:r>
      <w:r>
        <w:rPr>
          <w:rFonts w:hint="eastAsia" w:ascii="宋体" w:hAnsi="宋体" w:cs="宋体"/>
          <w:b/>
          <w:sz w:val="24"/>
          <w:szCs w:val="24"/>
        </w:rPr>
        <w:t>投标文件的密封和标记</w:t>
      </w:r>
    </w:p>
    <w:p w14:paraId="1925910B">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18.1递交的电子投标文件（不含备用光盘）必须进行加密。按照交易平台关于</w:t>
      </w:r>
      <w:r>
        <w:rPr>
          <w:rFonts w:hint="eastAsia" w:ascii="宋体" w:hAnsi="宋体" w:cs="宋体"/>
          <w:sz w:val="24"/>
          <w:szCs w:val="24"/>
        </w:rPr>
        <w:t>全流程电子化项目的相关指南进行操作。详见：</w:t>
      </w:r>
      <w:r>
        <w:rPr>
          <w:rFonts w:hint="eastAsia" w:ascii="宋体" w:hAnsi="宋体" w:cs="宋体"/>
          <w:sz w:val="24"/>
          <w:szCs w:val="24"/>
          <w:u w:val="single"/>
        </w:rPr>
        <w:t>广州交易集团有限公司（广州公共资源交易中心）网站</w:t>
      </w:r>
      <w:r>
        <w:rPr>
          <w:rFonts w:hint="eastAsia" w:ascii="宋体" w:hAnsi="宋体" w:cs="宋体"/>
          <w:sz w:val="24"/>
          <w:szCs w:val="24"/>
        </w:rPr>
        <w:t>。</w:t>
      </w:r>
    </w:p>
    <w:p w14:paraId="10270476">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18.2 未按要求加密的投标文件，</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w:t>
      </w:r>
      <w:r>
        <w:rPr>
          <w:rFonts w:hint="eastAsia" w:ascii="宋体" w:hAnsi="宋体" w:cs="宋体"/>
          <w:bCs/>
          <w:sz w:val="24"/>
          <w:szCs w:val="24"/>
        </w:rPr>
        <w:t>将予以拒收。</w:t>
      </w:r>
    </w:p>
    <w:p w14:paraId="66DF8C3F">
      <w:pPr>
        <w:snapToGrid w:val="0"/>
        <w:spacing w:line="440" w:lineRule="exact"/>
        <w:ind w:firstLine="482" w:firstLineChars="200"/>
        <w:jc w:val="left"/>
        <w:rPr>
          <w:rFonts w:ascii="宋体" w:hAnsi="宋体" w:cs="宋体"/>
          <w:b/>
          <w:bCs/>
          <w:sz w:val="24"/>
          <w:szCs w:val="24"/>
        </w:rPr>
      </w:pPr>
      <w:r>
        <w:rPr>
          <w:rFonts w:hint="eastAsia" w:ascii="宋体" w:hAnsi="宋体" w:cs="宋体"/>
          <w:b/>
          <w:bCs/>
          <w:sz w:val="24"/>
          <w:szCs w:val="24"/>
        </w:rPr>
        <w:t>19．投标文件的递交和接收</w:t>
      </w:r>
    </w:p>
    <w:p w14:paraId="15DC9F6D">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19.1投标人通过</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交易平台递交电子投标文件。</w:t>
      </w:r>
    </w:p>
    <w:p w14:paraId="2887C398">
      <w:pP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19.2投标人完成电子</w:t>
      </w:r>
      <w:r>
        <w:rPr>
          <w:rFonts w:hint="eastAsia" w:ascii="宋体" w:hAnsi="宋体" w:cs="宋体"/>
          <w:sz w:val="24"/>
          <w:szCs w:val="24"/>
        </w:rPr>
        <w:t>投标文件</w:t>
      </w:r>
      <w:r>
        <w:rPr>
          <w:rFonts w:hint="eastAsia" w:ascii="宋体" w:hAnsi="宋体" w:cs="宋体"/>
          <w:bCs/>
          <w:sz w:val="24"/>
          <w:szCs w:val="24"/>
        </w:rPr>
        <w:t>上传后，</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交易平台即时向投标人发出递交回执通知。递交时间以递交回执通知载明的传输完成时间为准。</w:t>
      </w:r>
    </w:p>
    <w:p w14:paraId="1415962D">
      <w:pPr>
        <w:snapToGrid w:val="0"/>
        <w:spacing w:line="440" w:lineRule="exact"/>
        <w:ind w:firstLine="480" w:firstLineChars="200"/>
        <w:jc w:val="left"/>
        <w:rPr>
          <w:rFonts w:ascii="宋体" w:hAnsi="宋体" w:cs="宋体"/>
          <w:sz w:val="24"/>
          <w:szCs w:val="24"/>
        </w:rPr>
      </w:pPr>
      <w:r>
        <w:rPr>
          <w:rFonts w:hint="eastAsia" w:ascii="宋体" w:hAnsi="宋体" w:cs="宋体"/>
          <w:bCs/>
          <w:sz w:val="24"/>
          <w:szCs w:val="24"/>
        </w:rPr>
        <w:t>19.3逾期送达的电子投标文件，</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交易平台将予以拒收。</w:t>
      </w:r>
    </w:p>
    <w:p w14:paraId="37B4DA50">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19.4 投标截止前，招标人拒绝接收符合条件的投标文件，投标人可向招标投标监督机构投诉。</w:t>
      </w:r>
    </w:p>
    <w:p w14:paraId="0D114C3F">
      <w:pPr>
        <w:pBdr>
          <w:bottom w:val="single" w:color="auto" w:sz="6" w:space="1"/>
        </w:pBdr>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rPr>
        <w:t>19.5</w:t>
      </w:r>
      <w:r>
        <w:rPr>
          <w:rFonts w:hint="eastAsia" w:ascii="宋体" w:hAnsi="宋体" w:cs="宋体"/>
          <w:sz w:val="24"/>
          <w:szCs w:val="24"/>
          <w:u w:val="single"/>
        </w:rPr>
        <w:t>技术标和经济标同时开启，广州交易集团有限公司（广州公共资源交易中心）交易平台将按招标文件规定的时间同时开启技术标和经济标。</w:t>
      </w:r>
    </w:p>
    <w:p w14:paraId="5940EFFE">
      <w:pPr>
        <w:snapToGrid w:val="0"/>
        <w:spacing w:line="400" w:lineRule="exact"/>
        <w:ind w:firstLine="482" w:firstLineChars="200"/>
        <w:jc w:val="left"/>
        <w:rPr>
          <w:rFonts w:ascii="宋体" w:hAnsi="宋体" w:cs="宋体"/>
          <w:b/>
          <w:sz w:val="24"/>
          <w:szCs w:val="24"/>
        </w:rPr>
      </w:pPr>
      <w:r>
        <w:rPr>
          <w:rFonts w:hint="eastAsia" w:ascii="宋体" w:hAnsi="宋体" w:cs="宋体"/>
          <w:b/>
          <w:sz w:val="24"/>
          <w:szCs w:val="24"/>
        </w:rPr>
        <w:t>条款号：21.1             修改类型：修改</w:t>
      </w:r>
    </w:p>
    <w:p w14:paraId="5517C4B7">
      <w:pPr>
        <w:snapToGrid w:val="0"/>
        <w:spacing w:line="440" w:lineRule="exact"/>
        <w:ind w:firstLine="482" w:firstLineChars="200"/>
        <w:jc w:val="left"/>
        <w:rPr>
          <w:rFonts w:ascii="宋体" w:hAnsi="宋体" w:cs="宋体"/>
          <w:bCs/>
          <w:sz w:val="24"/>
          <w:szCs w:val="24"/>
          <w:u w:val="single"/>
        </w:rPr>
      </w:pPr>
      <w:r>
        <w:rPr>
          <w:rFonts w:hint="eastAsia" w:ascii="宋体" w:hAnsi="宋体" w:cs="宋体"/>
          <w:b/>
          <w:sz w:val="24"/>
          <w:szCs w:val="24"/>
        </w:rPr>
        <w:t>原文：</w:t>
      </w:r>
      <w:r>
        <w:rPr>
          <w:rFonts w:hint="eastAsia" w:ascii="宋体" w:hAnsi="宋体" w:cs="宋体"/>
          <w:sz w:val="24"/>
          <w:szCs w:val="24"/>
        </w:rPr>
        <w:t>21.1 本须知前附表第17项规定的投标截止时间</w:t>
      </w:r>
      <w:r>
        <w:rPr>
          <w:rFonts w:hint="eastAsia" w:ascii="宋体" w:hAnsi="宋体" w:cs="宋体"/>
          <w:bCs/>
          <w:sz w:val="24"/>
          <w:szCs w:val="24"/>
        </w:rPr>
        <w:t>后送达的电子投标文件，</w:t>
      </w:r>
      <w:r>
        <w:rPr>
          <w:rFonts w:hint="eastAsia" w:ascii="宋体" w:hAnsi="宋体" w:cs="宋体"/>
          <w:sz w:val="24"/>
          <w:szCs w:val="24"/>
        </w:rPr>
        <w:t>交易平台将予以拒收。</w:t>
      </w:r>
    </w:p>
    <w:p w14:paraId="00AA39A3">
      <w:pPr>
        <w:pBdr>
          <w:bottom w:val="single" w:color="auto" w:sz="6" w:space="1"/>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21.1 本须知前附表第17项规定的投标截止时间</w:t>
      </w:r>
      <w:r>
        <w:rPr>
          <w:rFonts w:hint="eastAsia" w:ascii="宋体" w:hAnsi="宋体" w:cs="宋体"/>
          <w:bCs/>
          <w:sz w:val="24"/>
          <w:szCs w:val="24"/>
        </w:rPr>
        <w:t>后送达的电子投标文件，</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交易平台将予以拒收。</w:t>
      </w:r>
    </w:p>
    <w:p w14:paraId="342799AF">
      <w:pPr>
        <w:snapToGrid w:val="0"/>
        <w:spacing w:line="400" w:lineRule="exact"/>
        <w:ind w:firstLine="482" w:firstLineChars="200"/>
        <w:jc w:val="left"/>
        <w:rPr>
          <w:rFonts w:ascii="宋体" w:hAnsi="宋体" w:cs="宋体"/>
          <w:b/>
          <w:sz w:val="24"/>
          <w:szCs w:val="24"/>
        </w:rPr>
      </w:pPr>
      <w:r>
        <w:rPr>
          <w:rFonts w:hint="eastAsia" w:ascii="宋体" w:hAnsi="宋体" w:cs="宋体"/>
          <w:b/>
          <w:sz w:val="24"/>
          <w:szCs w:val="24"/>
        </w:rPr>
        <w:t>条款号：24.1 24.2               修改类型：修改</w:t>
      </w:r>
    </w:p>
    <w:p w14:paraId="372FF7B5">
      <w:pPr>
        <w:snapToGrid w:val="0"/>
        <w:spacing w:line="44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24.1 开标后，直至中标公示为止，凡属于对投标文件的审查、澄清、评价和比较有关的资料以及中标候选人的推荐情况，与评标有关的其他任何情况均严格保密。</w:t>
      </w:r>
    </w:p>
    <w:p w14:paraId="04E60B4D">
      <w:pPr>
        <w:pBdr>
          <w:bottom w:val="single" w:color="auto" w:sz="6" w:space="1"/>
        </w:pBdr>
        <w:snapToGrid w:val="0"/>
        <w:spacing w:line="440" w:lineRule="exact"/>
        <w:ind w:firstLine="600" w:firstLineChars="250"/>
        <w:rPr>
          <w:rFonts w:ascii="宋体" w:hAnsi="宋体" w:cs="宋体"/>
          <w:sz w:val="24"/>
          <w:szCs w:val="24"/>
        </w:rPr>
      </w:pPr>
      <w:r>
        <w:rPr>
          <w:rFonts w:hint="eastAsia" w:ascii="宋体" w:hAnsi="宋体" w:cs="宋体"/>
          <w:sz w:val="24"/>
          <w:szCs w:val="24"/>
        </w:rPr>
        <w:t>24.2 在投标文件的评审和比较、中标候选人推荐以及授予合同的过程中，投标人向招标人和评标委员会施加不公正影响的任何行为，都将会导致其投标被拒绝。</w:t>
      </w:r>
    </w:p>
    <w:p w14:paraId="6FF1B00C">
      <w:pPr>
        <w:pBdr>
          <w:bottom w:val="single" w:color="auto" w:sz="6" w:space="1"/>
        </w:pBdr>
        <w:snapToGrid w:val="0"/>
        <w:spacing w:line="440" w:lineRule="exact"/>
        <w:ind w:firstLine="602" w:firstLineChars="250"/>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24.1开标后，直至合格的中标候选人公示为止，凡属于对投标文件的审查、澄清、评价和比较有关的资料以及合格的中标候选人的推荐</w:t>
      </w:r>
      <w:r>
        <w:rPr>
          <w:rFonts w:hint="eastAsia" w:ascii="宋体" w:hAnsi="宋体" w:cs="宋体"/>
          <w:sz w:val="24"/>
          <w:szCs w:val="24"/>
          <w:u w:val="single"/>
        </w:rPr>
        <w:t>【不排序，按统一社会信用代码后4位（除校验码外）大小排位</w:t>
      </w:r>
      <w:r>
        <w:rPr>
          <w:rFonts w:hint="eastAsia" w:ascii="宋体" w:hAnsi="宋体" w:cs="宋体"/>
          <w:sz w:val="24"/>
          <w:szCs w:val="24"/>
          <w:u w:val="single"/>
          <w:lang w:bidi="ar"/>
        </w:rPr>
        <w:t>，如统一社会信用代码后4位（除校验码外）出现字母情况的，字母以“0”进行代替大小排位；如出现后4位（除校验码外）大小一致的，则随机排位</w:t>
      </w:r>
      <w:r>
        <w:rPr>
          <w:rFonts w:hint="eastAsia" w:ascii="宋体" w:hAnsi="宋体" w:cs="宋体"/>
          <w:sz w:val="24"/>
          <w:szCs w:val="24"/>
          <w:u w:val="single"/>
        </w:rPr>
        <w:t>】</w:t>
      </w:r>
      <w:r>
        <w:rPr>
          <w:rFonts w:hint="eastAsia" w:ascii="宋体" w:hAnsi="宋体" w:cs="宋体"/>
          <w:sz w:val="24"/>
          <w:szCs w:val="24"/>
        </w:rPr>
        <w:t>情况，与评标有关的其他任何情况均严格保密。</w:t>
      </w:r>
    </w:p>
    <w:p w14:paraId="29B0DDE2">
      <w:pPr>
        <w:pBdr>
          <w:bottom w:val="single" w:color="auto" w:sz="6" w:space="1"/>
        </w:pBdr>
        <w:snapToGrid w:val="0"/>
        <w:spacing w:line="440" w:lineRule="exact"/>
        <w:ind w:firstLine="720" w:firstLineChars="300"/>
        <w:rPr>
          <w:rStyle w:val="80"/>
          <w:rFonts w:ascii="宋体" w:hAnsi="宋体" w:cs="宋体"/>
          <w:sz w:val="24"/>
          <w:szCs w:val="24"/>
        </w:rPr>
      </w:pPr>
      <w:r>
        <w:rPr>
          <w:rFonts w:hint="eastAsia" w:ascii="宋体" w:hAnsi="宋体" w:cs="宋体"/>
          <w:sz w:val="24"/>
          <w:szCs w:val="24"/>
        </w:rPr>
        <w:t>24.2在投标文件的评审和比较、合格的中标候选人推荐</w:t>
      </w:r>
      <w:r>
        <w:rPr>
          <w:rFonts w:hint="eastAsia" w:ascii="宋体" w:hAnsi="宋体" w:cs="宋体"/>
          <w:sz w:val="24"/>
          <w:szCs w:val="24"/>
          <w:u w:val="single"/>
        </w:rPr>
        <w:t>【不排序，按统一社会信用代码后4位（除校验码外）大小排位</w:t>
      </w:r>
      <w:r>
        <w:rPr>
          <w:rFonts w:hint="eastAsia" w:ascii="宋体" w:hAnsi="宋体" w:cs="宋体"/>
          <w:sz w:val="24"/>
          <w:szCs w:val="24"/>
          <w:u w:val="single"/>
          <w:lang w:bidi="ar"/>
        </w:rPr>
        <w:t>，如统一社会信用代码后4位（除校验码外）出现字母情况的，字母以“0”进行代替大小排位；如出现后4位（除校验码外）大小一致的，则随机排位</w:t>
      </w:r>
      <w:r>
        <w:rPr>
          <w:rFonts w:hint="eastAsia" w:ascii="宋体" w:hAnsi="宋体" w:cs="宋体"/>
          <w:sz w:val="24"/>
          <w:szCs w:val="24"/>
          <w:u w:val="single"/>
        </w:rPr>
        <w:t>】、定标</w:t>
      </w:r>
      <w:r>
        <w:rPr>
          <w:rFonts w:hint="eastAsia" w:ascii="宋体" w:hAnsi="宋体" w:cs="宋体"/>
          <w:sz w:val="24"/>
          <w:szCs w:val="24"/>
        </w:rPr>
        <w:t>以及授予合同的过程中，投标人向招标人</w:t>
      </w:r>
      <w:r>
        <w:rPr>
          <w:rFonts w:hint="eastAsia" w:ascii="宋体" w:hAnsi="宋体" w:cs="宋体"/>
          <w:sz w:val="24"/>
          <w:szCs w:val="24"/>
          <w:u w:val="single"/>
        </w:rPr>
        <w:t>、</w:t>
      </w:r>
      <w:r>
        <w:rPr>
          <w:rFonts w:hint="eastAsia" w:ascii="宋体" w:hAnsi="宋体" w:cs="宋体"/>
          <w:sz w:val="24"/>
          <w:szCs w:val="24"/>
        </w:rPr>
        <w:t>评标委员会</w:t>
      </w:r>
      <w:r>
        <w:rPr>
          <w:rFonts w:hint="eastAsia" w:ascii="宋体" w:hAnsi="宋体" w:cs="宋体"/>
          <w:sz w:val="24"/>
          <w:szCs w:val="24"/>
          <w:u w:val="single"/>
        </w:rPr>
        <w:t>和定标委员会</w:t>
      </w:r>
      <w:r>
        <w:rPr>
          <w:rFonts w:hint="eastAsia" w:ascii="宋体" w:hAnsi="宋体" w:cs="宋体"/>
          <w:sz w:val="24"/>
          <w:szCs w:val="24"/>
        </w:rPr>
        <w:t>施加不公正影响的任何行为，都将会导致其投标被拒绝。</w:t>
      </w:r>
    </w:p>
    <w:p w14:paraId="6C930FE6">
      <w:pPr>
        <w:snapToGrid w:val="0"/>
        <w:spacing w:line="400" w:lineRule="exact"/>
        <w:ind w:firstLine="482" w:firstLineChars="200"/>
        <w:jc w:val="left"/>
        <w:rPr>
          <w:rFonts w:ascii="宋体" w:hAnsi="宋体" w:cs="宋体"/>
          <w:b/>
          <w:sz w:val="24"/>
          <w:szCs w:val="24"/>
        </w:rPr>
      </w:pPr>
      <w:r>
        <w:rPr>
          <w:rFonts w:hint="eastAsia" w:ascii="宋体" w:hAnsi="宋体" w:cs="宋体"/>
          <w:b/>
          <w:sz w:val="24"/>
          <w:szCs w:val="24"/>
        </w:rPr>
        <w:t>条款号：27.1          修改类型：修改</w:t>
      </w:r>
    </w:p>
    <w:p w14:paraId="12744BAA">
      <w:pPr>
        <w:pBdr>
          <w:bottom w:val="single" w:color="auto" w:sz="6" w:space="1"/>
        </w:pBd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27.1招标人将在</w:t>
      </w:r>
      <w:r>
        <w:rPr>
          <w:rFonts w:hint="eastAsia" w:ascii="宋体" w:hAnsi="宋体" w:cs="宋体"/>
          <w:sz w:val="24"/>
          <w:szCs w:val="24"/>
          <w:u w:val="single"/>
        </w:rPr>
        <w:t xml:space="preserve">        </w:t>
      </w:r>
      <w:r>
        <w:rPr>
          <w:rFonts w:hint="eastAsia" w:ascii="宋体" w:hAnsi="宋体" w:cs="宋体"/>
          <w:sz w:val="24"/>
          <w:szCs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A4FE7A5">
      <w:pPr>
        <w:pBdr>
          <w:bottom w:val="single" w:color="auto" w:sz="6" w:space="1"/>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27.1招标人将在</w:t>
      </w:r>
      <w:r>
        <w:rPr>
          <w:rFonts w:hint="eastAsia" w:ascii="宋体" w:hAnsi="宋体" w:cs="宋体"/>
          <w:sz w:val="24"/>
          <w:szCs w:val="24"/>
          <w:u w:val="single"/>
        </w:rPr>
        <w:t xml:space="preserve"> 广州交易集团有限公司（广州公共资源交易中心）</w:t>
      </w:r>
      <w:r>
        <w:rPr>
          <w:rFonts w:hint="eastAsia" w:ascii="宋体" w:hAnsi="宋体" w:cs="宋体"/>
          <w:sz w:val="24"/>
          <w:szCs w:val="24"/>
        </w:rPr>
        <w:t>交易平台、广东省招标投标监管网和中国招标投标公共服务平台公示</w:t>
      </w:r>
      <w:r>
        <w:rPr>
          <w:rFonts w:hint="eastAsia" w:ascii="宋体" w:hAnsi="宋体" w:cs="宋体"/>
          <w:sz w:val="24"/>
          <w:szCs w:val="24"/>
          <w:u w:val="single"/>
        </w:rPr>
        <w:t>合格的</w:t>
      </w:r>
      <w:r>
        <w:rPr>
          <w:rFonts w:hint="eastAsia" w:ascii="宋体" w:hAnsi="宋体" w:cs="宋体"/>
          <w:sz w:val="24"/>
          <w:szCs w:val="24"/>
        </w:rPr>
        <w:t>中标候选人，公示期为三天。</w:t>
      </w:r>
      <w:r>
        <w:rPr>
          <w:rFonts w:hint="eastAsia" w:ascii="宋体" w:hAnsi="宋体" w:cs="宋体"/>
          <w:sz w:val="24"/>
          <w:szCs w:val="24"/>
          <w:u w:val="single"/>
        </w:rPr>
        <w:t>合格的中标候选人公示结束后，10个工作日内在广州公共资源交易中心开展定标工作，在定标委员会完成定标工作后，招标人将在定标工作完成后的 3 日内在广州公共资源交易中心交易平台、广东省招标投标监管网和中国招标投标公共服务平台公示中标结果。定标后出现中标人不符合法定情形的，招标人可从其他合格的中标候选人中采用原定标办法，由原定标委员会确定中标人，也可以重新招标。</w:t>
      </w:r>
      <w:r>
        <w:rPr>
          <w:rFonts w:hint="eastAsia" w:ascii="宋体" w:hAnsi="宋体" w:cs="宋体"/>
          <w:sz w:val="24"/>
          <w:szCs w:val="24"/>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0A91249">
      <w:pPr>
        <w:snapToGrid w:val="0"/>
        <w:spacing w:line="400" w:lineRule="exact"/>
        <w:ind w:firstLine="482" w:firstLineChars="200"/>
        <w:jc w:val="left"/>
        <w:rPr>
          <w:rFonts w:ascii="宋体" w:hAnsi="宋体" w:cs="宋体"/>
          <w:b/>
          <w:sz w:val="24"/>
          <w:szCs w:val="24"/>
        </w:rPr>
      </w:pPr>
      <w:r>
        <w:rPr>
          <w:rFonts w:hint="eastAsia" w:ascii="宋体" w:hAnsi="宋体" w:cs="宋体"/>
          <w:b/>
          <w:sz w:val="24"/>
          <w:szCs w:val="24"/>
        </w:rPr>
        <w:t>条款号：27.4            修改类型：修改</w:t>
      </w:r>
    </w:p>
    <w:p w14:paraId="6EB2A1D5">
      <w:pPr>
        <w:snapToGrid w:val="0"/>
        <w:spacing w:line="440" w:lineRule="exact"/>
        <w:ind w:firstLine="482" w:firstLineChars="200"/>
        <w:jc w:val="left"/>
        <w:rPr>
          <w:rFonts w:ascii="宋体" w:hAnsi="宋体" w:cs="宋体"/>
          <w:bCs/>
          <w:sz w:val="24"/>
          <w:szCs w:val="24"/>
          <w:u w:val="single"/>
        </w:rPr>
      </w:pPr>
      <w:r>
        <w:rPr>
          <w:rFonts w:hint="eastAsia" w:ascii="宋体" w:hAnsi="宋体" w:cs="宋体"/>
          <w:b/>
          <w:sz w:val="24"/>
          <w:szCs w:val="24"/>
        </w:rPr>
        <w:t>原文：</w:t>
      </w:r>
      <w:r>
        <w:rPr>
          <w:rFonts w:hint="eastAsia" w:ascii="宋体" w:hAnsi="宋体" w:cs="宋体"/>
          <w:sz w:val="24"/>
          <w:szCs w:val="24"/>
        </w:rPr>
        <w:t>27.4在产生中标候选人后，招标人将中标候选人的投标文件商务部分文件的所有内容（包括人员、业绩、奖项等资料）在</w:t>
      </w:r>
      <w:r>
        <w:rPr>
          <w:rFonts w:hint="eastAsia" w:ascii="宋体" w:hAnsi="宋体" w:cs="宋体"/>
          <w:sz w:val="24"/>
          <w:szCs w:val="24"/>
          <w:u w:val="single"/>
        </w:rPr>
        <w:t xml:space="preserve">        </w:t>
      </w:r>
      <w:r>
        <w:rPr>
          <w:rFonts w:hint="eastAsia" w:ascii="宋体" w:hAnsi="宋体" w:cs="宋体"/>
          <w:sz w:val="24"/>
          <w:szCs w:val="24"/>
        </w:rPr>
        <w:t>交易平台和广东省招标投标监管网公开。</w:t>
      </w:r>
    </w:p>
    <w:p w14:paraId="1EF47B25">
      <w:pPr>
        <w:pBdr>
          <w:bottom w:val="single" w:color="auto" w:sz="6" w:space="1"/>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27.4在产生中标候选人后，招标人将中标候选人的投标文件商务部分文件的所有内容（包括人员、业绩、奖项等资料）在</w:t>
      </w:r>
      <w:r>
        <w:rPr>
          <w:rFonts w:hint="eastAsia" w:ascii="宋体" w:hAnsi="宋体" w:cs="宋体"/>
          <w:sz w:val="24"/>
          <w:szCs w:val="24"/>
          <w:u w:val="single"/>
        </w:rPr>
        <w:t xml:space="preserve"> 广州交易集团有限公司（广州公共资源交易中心）</w:t>
      </w:r>
      <w:r>
        <w:rPr>
          <w:rFonts w:hint="eastAsia" w:ascii="宋体" w:hAnsi="宋体" w:cs="宋体"/>
          <w:sz w:val="24"/>
          <w:szCs w:val="24"/>
        </w:rPr>
        <w:t>交易平台和广东省招标投标监管网公开。</w:t>
      </w:r>
    </w:p>
    <w:p w14:paraId="4C9D58D2">
      <w:pPr>
        <w:snapToGrid w:val="0"/>
        <w:spacing w:line="400" w:lineRule="exact"/>
        <w:ind w:firstLine="482" w:firstLineChars="200"/>
        <w:jc w:val="left"/>
        <w:rPr>
          <w:rFonts w:ascii="宋体" w:hAnsi="宋体" w:cs="宋体"/>
          <w:b/>
          <w:sz w:val="24"/>
          <w:szCs w:val="24"/>
        </w:rPr>
      </w:pPr>
      <w:r>
        <w:rPr>
          <w:rFonts w:hint="eastAsia" w:ascii="宋体" w:hAnsi="宋体" w:cs="宋体"/>
          <w:b/>
          <w:sz w:val="24"/>
          <w:szCs w:val="24"/>
        </w:rPr>
        <w:t>条款号：28.4            修改类型：修改</w:t>
      </w:r>
    </w:p>
    <w:p w14:paraId="3855F223">
      <w:pPr>
        <w:snapToGrid w:val="0"/>
        <w:spacing w:line="440" w:lineRule="exact"/>
        <w:ind w:firstLine="482" w:firstLineChars="200"/>
        <w:jc w:val="left"/>
        <w:rPr>
          <w:rFonts w:ascii="宋体" w:hAnsi="宋体" w:cs="宋体"/>
          <w:bCs/>
          <w:sz w:val="24"/>
          <w:szCs w:val="24"/>
          <w:u w:val="single"/>
        </w:rPr>
      </w:pPr>
      <w:r>
        <w:rPr>
          <w:rFonts w:hint="eastAsia" w:ascii="宋体" w:hAnsi="宋体" w:cs="宋体"/>
          <w:b/>
          <w:sz w:val="24"/>
          <w:szCs w:val="24"/>
        </w:rPr>
        <w:t>原文：</w:t>
      </w:r>
      <w:r>
        <w:rPr>
          <w:rFonts w:hint="eastAsia" w:ascii="宋体" w:hAnsi="宋体" w:cs="宋体"/>
          <w:sz w:val="24"/>
          <w:szCs w:val="24"/>
        </w:rPr>
        <w:t>28.4招标人支付工程款时，中标人应按规定开具发票。</w:t>
      </w:r>
    </w:p>
    <w:p w14:paraId="48410C5C">
      <w:pPr>
        <w:pBdr>
          <w:bottom w:val="single" w:color="auto" w:sz="6" w:space="1"/>
        </w:pBdr>
        <w:snapToGrid w:val="0"/>
        <w:spacing w:line="440" w:lineRule="exact"/>
        <w:ind w:firstLine="482" w:firstLineChars="200"/>
        <w:jc w:val="left"/>
        <w:rPr>
          <w:rFonts w:ascii="宋体" w:hAnsi="宋体" w:cs="宋体"/>
          <w:color w:val="auto"/>
          <w:sz w:val="24"/>
          <w:szCs w:val="24"/>
        </w:rPr>
      </w:pPr>
      <w:r>
        <w:rPr>
          <w:rFonts w:hint="eastAsia" w:ascii="宋体" w:hAnsi="宋体" w:cs="宋体"/>
          <w:b/>
          <w:color w:val="auto"/>
          <w:sz w:val="24"/>
          <w:szCs w:val="24"/>
        </w:rPr>
        <w:t>现文：</w:t>
      </w:r>
      <w:r>
        <w:rPr>
          <w:rFonts w:hint="eastAsia" w:ascii="宋体" w:hAnsi="宋体" w:cs="宋体"/>
          <w:color w:val="auto"/>
          <w:sz w:val="24"/>
          <w:szCs w:val="24"/>
        </w:rPr>
        <w:t>28.4工程进度款支付应不低于已完成工程价款的80%，招标人支付工程款时，中标人应按规定开具发票。质量保证金不超过工程价款总额3%。当年开工、当年不能竣工的新开工项目可以采用过程结算。</w:t>
      </w:r>
    </w:p>
    <w:p w14:paraId="62031E4C">
      <w:pPr>
        <w:snapToGrid w:val="0"/>
        <w:spacing w:line="400" w:lineRule="exact"/>
        <w:ind w:firstLine="482" w:firstLineChars="200"/>
        <w:jc w:val="left"/>
        <w:rPr>
          <w:rFonts w:ascii="宋体" w:hAnsi="宋体" w:cs="宋体"/>
          <w:b/>
          <w:sz w:val="24"/>
          <w:szCs w:val="24"/>
        </w:rPr>
      </w:pPr>
    </w:p>
    <w:p w14:paraId="2C6051AE">
      <w:pPr>
        <w:snapToGrid w:val="0"/>
        <w:spacing w:line="400" w:lineRule="exact"/>
        <w:ind w:firstLine="482" w:firstLineChars="200"/>
        <w:jc w:val="left"/>
        <w:rPr>
          <w:rFonts w:ascii="宋体" w:hAnsi="宋体" w:cs="宋体"/>
          <w:b/>
          <w:sz w:val="24"/>
          <w:szCs w:val="24"/>
        </w:rPr>
      </w:pPr>
      <w:r>
        <w:rPr>
          <w:rFonts w:hint="eastAsia" w:ascii="宋体" w:hAnsi="宋体" w:cs="宋体"/>
          <w:b/>
          <w:sz w:val="24"/>
          <w:szCs w:val="24"/>
        </w:rPr>
        <w:t>条款号： 29                修改类型：修改</w:t>
      </w:r>
    </w:p>
    <w:p w14:paraId="2C870613">
      <w:pPr>
        <w:pBdr>
          <w:bottom w:val="single" w:color="auto" w:sz="4" w:space="0"/>
        </w:pBd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原文：29. 履约担保</w:t>
      </w:r>
    </w:p>
    <w:p w14:paraId="503ED4D1">
      <w:pPr>
        <w:pBdr>
          <w:bottom w:val="single" w:color="auto" w:sz="4" w:space="0"/>
        </w:pBd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29.1 在收到中标通知书后的15日内，中标人应按本须知前附表第20项的规定向招标人提交履约担保。</w:t>
      </w:r>
    </w:p>
    <w:p w14:paraId="47196851">
      <w:pPr>
        <w:pBdr>
          <w:bottom w:val="single" w:color="auto" w:sz="4" w:space="0"/>
        </w:pBd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3DDFC55">
      <w:pPr>
        <w:pBdr>
          <w:bottom w:val="single" w:color="auto" w:sz="4" w:space="0"/>
        </w:pBd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现文：29. 履约担保</w:t>
      </w:r>
    </w:p>
    <w:p w14:paraId="4647AC74">
      <w:pPr>
        <w:pBdr>
          <w:bottom w:val="single" w:color="auto" w:sz="4" w:space="0"/>
        </w:pBdr>
        <w:snapToGrid w:val="0"/>
        <w:spacing w:line="440" w:lineRule="exact"/>
        <w:ind w:firstLine="480" w:firstLineChars="200"/>
        <w:jc w:val="left"/>
        <w:rPr>
          <w:rFonts w:ascii="宋体" w:hAnsi="宋体" w:cs="宋体"/>
          <w:color w:val="auto"/>
          <w:sz w:val="24"/>
          <w:szCs w:val="24"/>
        </w:rPr>
      </w:pPr>
      <w:r>
        <w:rPr>
          <w:rFonts w:hint="eastAsia" w:ascii="宋体" w:hAnsi="宋体" w:cs="宋体"/>
          <w:sz w:val="24"/>
          <w:szCs w:val="24"/>
        </w:rPr>
        <w:t xml:space="preserve">29.1 </w:t>
      </w:r>
      <w:r>
        <w:rPr>
          <w:rFonts w:hint="eastAsia" w:ascii="宋体" w:hAnsi="宋体" w:cs="宋体"/>
          <w:sz w:val="24"/>
          <w:szCs w:val="24"/>
          <w:u w:val="single"/>
        </w:rPr>
        <w:t>自签订合同后30个工作</w:t>
      </w:r>
      <w:r>
        <w:rPr>
          <w:rFonts w:hint="eastAsia" w:ascii="宋体" w:hAnsi="宋体" w:cs="宋体"/>
          <w:color w:val="auto"/>
          <w:sz w:val="24"/>
          <w:szCs w:val="24"/>
          <w:u w:val="single"/>
        </w:rPr>
        <w:t>日内，</w:t>
      </w:r>
      <w:r>
        <w:rPr>
          <w:rFonts w:hint="eastAsia" w:ascii="宋体" w:hAnsi="宋体" w:cs="宋体"/>
          <w:color w:val="auto"/>
          <w:sz w:val="24"/>
          <w:szCs w:val="24"/>
        </w:rPr>
        <w:t>中标人应按本须知前附表第20项的规定向招标人提交履约担保。</w:t>
      </w:r>
      <w:r>
        <w:rPr>
          <w:rFonts w:hint="eastAsia" w:ascii="宋体" w:hAnsi="宋体" w:cs="宋体"/>
          <w:color w:val="auto"/>
          <w:sz w:val="24"/>
          <w:szCs w:val="24"/>
          <w:u w:val="single"/>
        </w:rPr>
        <w:t>（具体形式详见合同）</w:t>
      </w:r>
    </w:p>
    <w:p w14:paraId="1A2CFD6E">
      <w:pPr>
        <w:pBdr>
          <w:bottom w:val="single" w:color="auto" w:sz="4" w:space="0"/>
        </w:pBdr>
        <w:snapToGrid w:val="0"/>
        <w:spacing w:line="440" w:lineRule="exact"/>
        <w:ind w:firstLine="480" w:firstLineChars="200"/>
        <w:jc w:val="left"/>
        <w:rPr>
          <w:rFonts w:ascii="宋体" w:hAnsi="宋体" w:cs="宋体"/>
          <w:sz w:val="24"/>
          <w:szCs w:val="24"/>
          <w:u w:val="single"/>
        </w:rPr>
      </w:pPr>
      <w:r>
        <w:rPr>
          <w:rFonts w:hint="eastAsia" w:ascii="宋体" w:hAnsi="宋体" w:cs="宋体"/>
          <w:color w:val="auto"/>
          <w:sz w:val="24"/>
          <w:szCs w:val="24"/>
        </w:rPr>
        <w:t>29.2</w:t>
      </w:r>
      <w:r>
        <w:rPr>
          <w:rFonts w:hint="eastAsia" w:ascii="宋体" w:hAnsi="宋体" w:cs="宋体"/>
          <w:color w:val="auto"/>
          <w:sz w:val="24"/>
          <w:szCs w:val="24"/>
          <w:u w:val="single"/>
        </w:rPr>
        <w:t>自签订合同后30个工作日内，</w:t>
      </w:r>
      <w:r>
        <w:rPr>
          <w:rFonts w:hint="eastAsia" w:ascii="宋体" w:hAnsi="宋体" w:cs="宋体"/>
          <w:color w:val="auto"/>
          <w:sz w:val="24"/>
          <w:szCs w:val="24"/>
        </w:rPr>
        <w:t>中标人</w:t>
      </w:r>
      <w:r>
        <w:rPr>
          <w:rFonts w:hint="eastAsia" w:ascii="宋体" w:hAnsi="宋体" w:cs="宋体"/>
          <w:sz w:val="24"/>
          <w:szCs w:val="24"/>
        </w:rPr>
        <w:t>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F4257C0">
      <w:pPr>
        <w:snapToGrid w:val="0"/>
        <w:spacing w:line="400" w:lineRule="exact"/>
        <w:ind w:firstLine="482" w:firstLineChars="200"/>
        <w:jc w:val="left"/>
        <w:rPr>
          <w:rFonts w:ascii="宋体" w:hAnsi="宋体" w:cs="宋体"/>
          <w:b/>
          <w:sz w:val="24"/>
          <w:szCs w:val="24"/>
        </w:rPr>
      </w:pPr>
      <w:r>
        <w:rPr>
          <w:rFonts w:hint="eastAsia" w:ascii="宋体" w:hAnsi="宋体" w:cs="宋体"/>
          <w:b/>
          <w:sz w:val="24"/>
          <w:szCs w:val="24"/>
        </w:rPr>
        <w:t>条款号：29.3            修改类型：增加</w:t>
      </w:r>
    </w:p>
    <w:p w14:paraId="730F4BBB">
      <w:pPr>
        <w:pBdr>
          <w:bottom w:val="single" w:color="auto" w:sz="6" w:space="1"/>
        </w:pBdr>
        <w:tabs>
          <w:tab w:val="left" w:pos="1620"/>
        </w:tabs>
        <w:snapToGrid w:val="0"/>
        <w:spacing w:line="440" w:lineRule="exact"/>
        <w:ind w:firstLine="482" w:firstLineChars="200"/>
        <w:jc w:val="left"/>
        <w:rPr>
          <w:rFonts w:ascii="宋体" w:hAnsi="宋体" w:cs="宋体"/>
          <w:bCs/>
          <w:sz w:val="24"/>
          <w:szCs w:val="24"/>
          <w:u w:val="single"/>
        </w:rPr>
      </w:pPr>
      <w:r>
        <w:rPr>
          <w:rFonts w:hint="eastAsia" w:ascii="宋体" w:hAnsi="宋体" w:cs="宋体"/>
          <w:b/>
          <w:sz w:val="24"/>
          <w:szCs w:val="24"/>
        </w:rPr>
        <w:t>现文：</w:t>
      </w:r>
      <w:r>
        <w:rPr>
          <w:rFonts w:hint="eastAsia" w:ascii="宋体" w:hAnsi="宋体" w:cs="宋体"/>
          <w:bCs/>
          <w:sz w:val="24"/>
          <w:szCs w:val="24"/>
          <w:u w:val="single"/>
        </w:rPr>
        <w:t>中标单位在中标结果公示后，须提供与递</w:t>
      </w:r>
      <w:r>
        <w:rPr>
          <w:rFonts w:hint="eastAsia" w:ascii="宋体" w:hAnsi="宋体" w:cs="宋体"/>
          <w:bCs/>
          <w:color w:val="auto"/>
          <w:sz w:val="24"/>
          <w:szCs w:val="24"/>
          <w:u w:val="single"/>
        </w:rPr>
        <w:t>交投标电子标书内容一致并包含有综合单价分析表且每页加盖单位公章的纸质文件一套及电子文件一套（</w:t>
      </w:r>
      <w:r>
        <w:rPr>
          <w:rFonts w:hint="eastAsia" w:ascii="宋体" w:hAnsi="宋体" w:cs="宋体"/>
          <w:bCs/>
          <w:sz w:val="24"/>
          <w:szCs w:val="24"/>
          <w:u w:val="single"/>
        </w:rPr>
        <w:t>不用生成投标书；包括用Microsoft Excel软件或广州交易集团有限公司（广州公共资源交易中心）提供的投标书制作的工程量清单报价表和单价分析表，用Microsoft Word软件或广州交易集团有限公司（广州公共资源交易中心）提供的投标书制作软件制作的经济标投标文件其他部分。电子文件介质使用U盘或CD-R光盘，所有电子文件不能采用压缩处理）给招标人。</w:t>
      </w:r>
    </w:p>
    <w:p w14:paraId="55BBD34C">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注：以上修改，仅限于本范本中有可供选择条款的情形。</w:t>
      </w:r>
    </w:p>
    <w:p w14:paraId="78E5D4D9">
      <w:pP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（以下无正文）</w:t>
      </w:r>
    </w:p>
    <w:p w14:paraId="4623088C">
      <w:pPr>
        <w:pStyle w:val="10"/>
        <w:snapToGrid w:val="0"/>
        <w:spacing w:line="440" w:lineRule="exact"/>
        <w:ind w:firstLine="482" w:firstLineChars="200"/>
        <w:rPr>
          <w:rFonts w:ascii="宋体" w:hAnsi="宋体" w:cs="宋体"/>
          <w:b/>
          <w:bCs/>
          <w:sz w:val="24"/>
          <w:szCs w:val="24"/>
        </w:rPr>
        <w:sectPr>
          <w:footerReference r:id="rId9" w:type="first"/>
          <w:footerReference r:id="rId8" w:type="default"/>
          <w:pgSz w:w="11906" w:h="16838"/>
          <w:pgMar w:top="1440" w:right="1080" w:bottom="1440" w:left="1080" w:header="851" w:footer="907" w:gutter="0"/>
          <w:pgNumType w:start="1"/>
          <w:cols w:space="720" w:num="1"/>
          <w:titlePg/>
          <w:docGrid w:type="lines" w:linePitch="312" w:charSpace="0"/>
        </w:sectPr>
      </w:pPr>
    </w:p>
    <w:p w14:paraId="04D36B71">
      <w:pPr>
        <w:pStyle w:val="6"/>
        <w:spacing w:before="0" w:after="0" w:line="360" w:lineRule="auto"/>
        <w:ind w:left="0"/>
        <w:rPr>
          <w:rFonts w:ascii="宋体" w:hAnsi="宋体" w:cs="宋体"/>
          <w:color w:val="auto"/>
          <w:sz w:val="28"/>
          <w:szCs w:val="28"/>
        </w:rPr>
      </w:pPr>
      <w:bookmarkStart w:id="5" w:name="_Toc11734"/>
      <w:r>
        <w:rPr>
          <w:rFonts w:hint="eastAsia" w:ascii="宋体" w:hAnsi="宋体" w:cs="宋体"/>
          <w:color w:val="auto"/>
          <w:sz w:val="28"/>
          <w:szCs w:val="28"/>
        </w:rPr>
        <w:t>三、投标须知通用条款</w:t>
      </w:r>
      <w:bookmarkEnd w:id="5"/>
    </w:p>
    <w:p w14:paraId="1647015C">
      <w:pPr>
        <w:pStyle w:val="7"/>
        <w:snapToGrid w:val="0"/>
        <w:spacing w:before="0" w:beforeAutospacing="0" w:after="0" w:afterAutospacing="0" w:line="440" w:lineRule="exact"/>
        <w:rPr>
          <w:rFonts w:hAnsi="宋体" w:cs="宋体"/>
          <w:sz w:val="24"/>
          <w:szCs w:val="24"/>
        </w:rPr>
      </w:pPr>
      <w:bookmarkStart w:id="6" w:name="_Toc21525493"/>
      <w:bookmarkStart w:id="7" w:name="_Toc2272549"/>
      <w:bookmarkStart w:id="8" w:name="_Toc9393"/>
      <w:r>
        <w:rPr>
          <w:rFonts w:hint="eastAsia" w:hAnsi="宋体" w:cs="宋体"/>
          <w:sz w:val="24"/>
          <w:szCs w:val="24"/>
        </w:rPr>
        <w:t>（一）总则</w:t>
      </w:r>
      <w:bookmarkEnd w:id="6"/>
      <w:bookmarkEnd w:id="7"/>
      <w:bookmarkEnd w:id="8"/>
    </w:p>
    <w:p w14:paraId="5D565193">
      <w:pPr>
        <w:pStyle w:val="5"/>
        <w:snapToGrid w:val="0"/>
        <w:spacing w:after="0" w:line="440" w:lineRule="exact"/>
        <w:ind w:firstLine="482" w:firstLineChars="200"/>
        <w:rPr>
          <w:rFonts w:ascii="宋体" w:hAnsi="宋体" w:cs="宋体"/>
          <w:b/>
          <w:bCs/>
          <w:sz w:val="24"/>
          <w:szCs w:val="24"/>
        </w:rPr>
      </w:pPr>
      <w:r>
        <w:rPr>
          <w:rFonts w:hint="eastAsia" w:ascii="宋体" w:hAnsi="宋体" w:cs="宋体"/>
          <w:b/>
          <w:bCs/>
          <w:sz w:val="24"/>
          <w:szCs w:val="24"/>
        </w:rPr>
        <w:t>1、定义</w:t>
      </w:r>
    </w:p>
    <w:p w14:paraId="6C8C5794">
      <w:pPr>
        <w:pStyle w:val="5"/>
        <w:snapToGrid w:val="0"/>
        <w:spacing w:after="0" w:line="440" w:lineRule="exact"/>
        <w:ind w:firstLine="480" w:firstLineChars="200"/>
        <w:rPr>
          <w:rFonts w:ascii="宋体" w:hAnsi="宋体" w:cs="宋体"/>
          <w:b/>
          <w:bCs/>
          <w:sz w:val="24"/>
          <w:szCs w:val="24"/>
        </w:rPr>
      </w:pPr>
      <w:r>
        <w:rPr>
          <w:rFonts w:hint="eastAsia" w:ascii="宋体" w:hAnsi="宋体" w:cs="宋体"/>
          <w:sz w:val="24"/>
          <w:szCs w:val="24"/>
        </w:rPr>
        <w:t>本招标文件使用的下列词语具有如下规定的意义：</w:t>
      </w:r>
    </w:p>
    <w:p w14:paraId="17B5D6B8">
      <w:pPr>
        <w:pStyle w:val="5"/>
        <w:snapToGrid w:val="0"/>
        <w:spacing w:after="0" w:line="440" w:lineRule="exact"/>
        <w:ind w:firstLine="480" w:firstLineChars="200"/>
        <w:rPr>
          <w:rFonts w:ascii="宋体" w:hAnsi="宋体" w:cs="宋体"/>
          <w:b/>
          <w:bCs/>
          <w:sz w:val="24"/>
          <w:szCs w:val="24"/>
          <w:u w:val="single"/>
        </w:rPr>
      </w:pPr>
      <w:r>
        <w:rPr>
          <w:rFonts w:hint="eastAsia" w:ascii="宋体" w:hAnsi="宋体" w:cs="宋体"/>
          <w:sz w:val="24"/>
          <w:szCs w:val="24"/>
        </w:rPr>
        <w:t>（1）“招标人”（即发包人）、“项目建设管理单位”（或称“项目代建单位”）、“招标代理”、“设计单位”、“监理单位”均已在投标须知前附表中列明。</w:t>
      </w:r>
    </w:p>
    <w:p w14:paraId="66F07231">
      <w:pPr>
        <w:pStyle w:val="5"/>
        <w:snapToGrid w:val="0"/>
        <w:spacing w:after="0" w:line="440" w:lineRule="exact"/>
        <w:ind w:firstLine="480" w:firstLineChars="200"/>
        <w:rPr>
          <w:rFonts w:ascii="宋体" w:hAnsi="宋体" w:cs="宋体"/>
          <w:sz w:val="24"/>
          <w:szCs w:val="24"/>
          <w:u w:val="single"/>
        </w:rPr>
      </w:pPr>
      <w:r>
        <w:rPr>
          <w:rFonts w:hint="eastAsia" w:ascii="宋体" w:hAnsi="宋体" w:cs="宋体"/>
          <w:sz w:val="24"/>
          <w:szCs w:val="24"/>
        </w:rPr>
        <w:t xml:space="preserve">（2）“投标人”指向招标人提交投标文件的当事人。   </w:t>
      </w:r>
    </w:p>
    <w:p w14:paraId="7B0C5D32">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（3）“承包人”指其投标被招标人接受并与其签订承包合同的当事人。</w:t>
      </w:r>
    </w:p>
    <w:p w14:paraId="434BC699">
      <w:pPr>
        <w:pStyle w:val="5"/>
        <w:snapToGrid w:val="0"/>
        <w:spacing w:after="0" w:line="440" w:lineRule="exact"/>
        <w:ind w:firstLine="480" w:firstLineChars="200"/>
        <w:rPr>
          <w:rFonts w:ascii="宋体" w:hAnsi="宋体" w:cs="宋体"/>
          <w:sz w:val="24"/>
          <w:szCs w:val="24"/>
          <w:u w:val="single"/>
        </w:rPr>
      </w:pPr>
      <w:r>
        <w:rPr>
          <w:rFonts w:hint="eastAsia" w:ascii="宋体" w:hAnsi="宋体" w:cs="宋体"/>
          <w:sz w:val="24"/>
          <w:szCs w:val="24"/>
        </w:rPr>
        <w:t>（4）“招标文件”指由招标代理发出的本文件（包括全部章节、附件）及招标答疑会会议纪要和</w:t>
      </w:r>
      <w:r>
        <w:rPr>
          <w:rFonts w:hint="eastAsia" w:ascii="宋体" w:hAnsi="宋体" w:cs="宋体"/>
          <w:bCs/>
          <w:sz w:val="24"/>
          <w:szCs w:val="24"/>
        </w:rPr>
        <w:t>招标文件的澄清与修改</w:t>
      </w:r>
      <w:r>
        <w:rPr>
          <w:rFonts w:hint="eastAsia" w:ascii="宋体" w:hAnsi="宋体" w:cs="宋体"/>
          <w:sz w:val="24"/>
          <w:szCs w:val="24"/>
        </w:rPr>
        <w:t>文件。</w:t>
      </w:r>
    </w:p>
    <w:p w14:paraId="4E1FDB40">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（5）“投标文件”指投标人根据本项目招标文件向招标人提交的全部文件。</w:t>
      </w:r>
    </w:p>
    <w:p w14:paraId="4B3C3912">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（6）“书面形式”指打字或印刷的文件和数据电文（包括电报、电传、传真、电子数据交换和电子邮件）。</w:t>
      </w:r>
    </w:p>
    <w:p w14:paraId="579417CD">
      <w:pPr>
        <w:snapToGrid w:val="0"/>
        <w:spacing w:line="440" w:lineRule="exact"/>
        <w:ind w:firstLine="482" w:firstLineChars="200"/>
        <w:rPr>
          <w:rFonts w:ascii="宋体" w:hAnsi="宋体" w:cs="宋体"/>
          <w:b/>
          <w:sz w:val="24"/>
          <w:szCs w:val="24"/>
        </w:rPr>
      </w:pPr>
      <w:r>
        <w:rPr>
          <w:rFonts w:hint="eastAsia" w:ascii="宋体" w:hAnsi="宋体" w:cs="宋体"/>
          <w:b/>
          <w:sz w:val="24"/>
          <w:szCs w:val="24"/>
        </w:rPr>
        <w:t>2、招标说明</w:t>
      </w:r>
    </w:p>
    <w:p w14:paraId="5D3D0914">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2.1本招标工程项目按照《中华人民共和国招标投标法》等有关法律、行政法规、规章和规范性文件，通过招标方式选定承包人。</w:t>
      </w:r>
    </w:p>
    <w:p w14:paraId="66025D15">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2.2工程名称、建设地点、建设规模、承包方式、质量标准、招标范围、工期要求等均在投标须知前附表中列明。</w:t>
      </w:r>
    </w:p>
    <w:p w14:paraId="0509E022">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2.3设计说明：详见招标图纸。</w:t>
      </w:r>
    </w:p>
    <w:p w14:paraId="28B77ADA">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2.4工程施工特点：详见招标图纸。</w:t>
      </w:r>
    </w:p>
    <w:p w14:paraId="66860E04">
      <w:pPr>
        <w:tabs>
          <w:tab w:val="left" w:pos="105"/>
        </w:tabs>
        <w:snapToGrid w:val="0"/>
        <w:spacing w:line="440" w:lineRule="exact"/>
        <w:ind w:firstLine="482" w:firstLineChars="200"/>
        <w:rPr>
          <w:rFonts w:ascii="宋体" w:hAnsi="宋体" w:cs="宋体"/>
          <w:b/>
          <w:sz w:val="24"/>
          <w:szCs w:val="24"/>
        </w:rPr>
      </w:pPr>
      <w:r>
        <w:rPr>
          <w:rFonts w:hint="eastAsia" w:ascii="宋体" w:hAnsi="宋体" w:cs="宋体"/>
          <w:b/>
          <w:sz w:val="24"/>
          <w:szCs w:val="24"/>
        </w:rPr>
        <w:t>3．资金来源</w:t>
      </w:r>
    </w:p>
    <w:p w14:paraId="3273C0F9">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3.1本招标工程项目资金来源见投标须知前附表第9项</w:t>
      </w:r>
    </w:p>
    <w:p w14:paraId="10F01790">
      <w:pPr>
        <w:tabs>
          <w:tab w:val="left" w:pos="105"/>
        </w:tabs>
        <w:snapToGrid w:val="0"/>
        <w:spacing w:line="440" w:lineRule="exact"/>
        <w:ind w:firstLine="482" w:firstLineChars="200"/>
        <w:rPr>
          <w:rFonts w:ascii="宋体" w:hAnsi="宋体" w:cs="宋体"/>
          <w:b/>
          <w:sz w:val="24"/>
          <w:szCs w:val="24"/>
        </w:rPr>
      </w:pPr>
      <w:r>
        <w:rPr>
          <w:rFonts w:hint="eastAsia" w:ascii="宋体" w:hAnsi="宋体" w:cs="宋体"/>
          <w:b/>
          <w:sz w:val="24"/>
          <w:szCs w:val="24"/>
        </w:rPr>
        <w:t>4．合格投标人的条件</w:t>
      </w:r>
    </w:p>
    <w:p w14:paraId="3669862B">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4.1详见本项目招标公告</w:t>
      </w:r>
    </w:p>
    <w:p w14:paraId="0D320FDB">
      <w:pPr>
        <w:tabs>
          <w:tab w:val="left" w:pos="105"/>
        </w:tabs>
        <w:snapToGrid w:val="0"/>
        <w:spacing w:line="440" w:lineRule="exact"/>
        <w:ind w:firstLine="482" w:firstLineChars="200"/>
        <w:rPr>
          <w:rFonts w:ascii="宋体" w:hAnsi="宋体" w:cs="宋体"/>
          <w:b/>
          <w:sz w:val="24"/>
          <w:szCs w:val="24"/>
        </w:rPr>
      </w:pPr>
      <w:r>
        <w:rPr>
          <w:rFonts w:hint="eastAsia" w:ascii="宋体" w:hAnsi="宋体" w:cs="宋体"/>
          <w:b/>
          <w:sz w:val="24"/>
          <w:szCs w:val="24"/>
        </w:rPr>
        <w:t>5．踏勘现场</w:t>
      </w:r>
    </w:p>
    <w:p w14:paraId="4A473C46">
      <w:pPr>
        <w:snapToGrid w:val="0"/>
        <w:spacing w:line="440" w:lineRule="exact"/>
        <w:ind w:firstLine="480" w:firstLineChars="200"/>
        <w:rPr>
          <w:rFonts w:ascii="宋体" w:hAnsi="宋体" w:cs="宋体"/>
          <w:bCs/>
          <w:sz w:val="24"/>
          <w:szCs w:val="24"/>
          <w:u w:val="single"/>
        </w:rPr>
      </w:pPr>
      <w:r>
        <w:rPr>
          <w:rFonts w:hint="eastAsia" w:ascii="宋体" w:hAnsi="宋体" w:cs="宋体"/>
          <w:bCs/>
          <w:sz w:val="24"/>
          <w:szCs w:val="24"/>
        </w:rPr>
        <w:t>5.1 投标人应按本投标须知前附表第15项所述时间和要求对工程现场及周围环境进行踏勘，</w:t>
      </w:r>
      <w:r>
        <w:rPr>
          <w:rFonts w:hint="eastAsia" w:ascii="宋体" w:hAnsi="宋体" w:cs="宋体"/>
          <w:sz w:val="24"/>
          <w:szCs w:val="24"/>
        </w:rPr>
        <w:t>投标人应充分重视和仔细地进行这种考察，</w:t>
      </w:r>
      <w:r>
        <w:rPr>
          <w:rFonts w:hint="eastAsia" w:ascii="宋体" w:hAnsi="宋体" w:cs="宋体"/>
          <w:bCs/>
          <w:sz w:val="24"/>
          <w:szCs w:val="24"/>
        </w:rPr>
        <w:t>以便投标人获取</w:t>
      </w:r>
      <w:r>
        <w:rPr>
          <w:rFonts w:hint="eastAsia" w:ascii="宋体" w:hAnsi="宋体" w:cs="宋体"/>
          <w:sz w:val="24"/>
          <w:szCs w:val="24"/>
        </w:rPr>
        <w:t>那些须投标人自己负责的</w:t>
      </w:r>
      <w:r>
        <w:rPr>
          <w:rFonts w:hint="eastAsia" w:ascii="宋体" w:hAnsi="宋体" w:cs="宋体"/>
          <w:bCs/>
          <w:sz w:val="24"/>
          <w:szCs w:val="24"/>
        </w:rPr>
        <w:t>有关编制投标文件和签署合同所涉及现场所有的资料。</w:t>
      </w:r>
      <w:r>
        <w:rPr>
          <w:rFonts w:hint="eastAsia" w:ascii="宋体" w:hAnsi="宋体" w:cs="宋体"/>
          <w:sz w:val="24"/>
          <w:szCs w:val="24"/>
        </w:rPr>
        <w:t>一旦中标，这种考察即被认为其结果已在中标文件中得到充分反映。考察现场的费用由投标人自己承担。</w:t>
      </w:r>
    </w:p>
    <w:p w14:paraId="23B139A0">
      <w:pPr>
        <w:tabs>
          <w:tab w:val="left" w:pos="105"/>
        </w:tabs>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5.2 招标人向投标人提供的有关现场的数据和资料，是招标人现有的能被投标人利用的资料，招标人对投标人做出的任何推论、理解和结论均不负责任。</w:t>
      </w:r>
    </w:p>
    <w:p w14:paraId="7F317A60">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5.3 经招标人允许，投标人可为踏勘目的进入招标人的项目现场。</w:t>
      </w:r>
      <w:r>
        <w:rPr>
          <w:rFonts w:hint="eastAsia" w:ascii="宋体" w:hAnsi="宋体" w:cs="宋体"/>
          <w:sz w:val="24"/>
          <w:szCs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sz w:val="24"/>
          <w:szCs w:val="24"/>
        </w:rPr>
        <w:t>投标人不得因此使招标人承担有关的责任和蒙受损失。</w:t>
      </w:r>
    </w:p>
    <w:p w14:paraId="65911C1A">
      <w:pPr>
        <w:tabs>
          <w:tab w:val="left" w:pos="105"/>
        </w:tabs>
        <w:snapToGrid w:val="0"/>
        <w:spacing w:line="440" w:lineRule="exact"/>
        <w:ind w:firstLine="482" w:firstLineChars="200"/>
        <w:rPr>
          <w:rFonts w:ascii="宋体" w:hAnsi="宋体" w:cs="宋体"/>
          <w:b/>
          <w:sz w:val="24"/>
          <w:szCs w:val="24"/>
        </w:rPr>
      </w:pPr>
      <w:r>
        <w:rPr>
          <w:rFonts w:hint="eastAsia" w:ascii="宋体" w:hAnsi="宋体" w:cs="宋体"/>
          <w:b/>
          <w:sz w:val="24"/>
          <w:szCs w:val="24"/>
        </w:rPr>
        <w:t>6．投标费用</w:t>
      </w:r>
    </w:p>
    <w:p w14:paraId="3138D5C5">
      <w:pPr>
        <w:tabs>
          <w:tab w:val="left" w:pos="105"/>
        </w:tabs>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6.1</w:t>
      </w:r>
      <w:r>
        <w:rPr>
          <w:rFonts w:hint="eastAsia" w:ascii="宋体" w:hAnsi="宋体" w:cs="宋体"/>
          <w:sz w:val="24"/>
          <w:szCs w:val="24"/>
        </w:rPr>
        <w:t>不论投标结果如何，投标人应承担</w:t>
      </w:r>
      <w:r>
        <w:rPr>
          <w:rFonts w:hint="eastAsia" w:ascii="宋体" w:hAnsi="宋体" w:cs="宋体"/>
          <w:bCs/>
          <w:sz w:val="24"/>
          <w:szCs w:val="24"/>
        </w:rPr>
        <w:t>自身</w:t>
      </w:r>
      <w:r>
        <w:rPr>
          <w:rFonts w:hint="eastAsia" w:ascii="宋体" w:hAnsi="宋体" w:cs="宋体"/>
          <w:sz w:val="24"/>
          <w:szCs w:val="24"/>
        </w:rPr>
        <w:t>因投标文件编制、递交及其他</w:t>
      </w:r>
      <w:r>
        <w:rPr>
          <w:rFonts w:hint="eastAsia" w:ascii="宋体" w:hAnsi="宋体" w:cs="宋体"/>
          <w:bCs/>
          <w:sz w:val="24"/>
          <w:szCs w:val="24"/>
        </w:rPr>
        <w:t>参加本招标活动</w:t>
      </w:r>
      <w:r>
        <w:rPr>
          <w:rFonts w:hint="eastAsia" w:ascii="宋体" w:hAnsi="宋体" w:cs="宋体"/>
          <w:sz w:val="24"/>
          <w:szCs w:val="24"/>
        </w:rPr>
        <w:t>所涉及的一切费用，招标人对上述费用不负任何责任。</w:t>
      </w:r>
    </w:p>
    <w:p w14:paraId="71373E6E">
      <w:pPr>
        <w:pStyle w:val="7"/>
        <w:snapToGrid w:val="0"/>
        <w:spacing w:before="0" w:beforeAutospacing="0" w:after="0" w:afterAutospacing="0" w:line="440" w:lineRule="exact"/>
        <w:rPr>
          <w:rFonts w:hAnsi="宋体" w:cs="宋体"/>
          <w:sz w:val="24"/>
          <w:szCs w:val="24"/>
        </w:rPr>
      </w:pPr>
      <w:bookmarkStart w:id="9" w:name="_Toc14112"/>
      <w:bookmarkStart w:id="10" w:name="_Toc2272550"/>
      <w:bookmarkStart w:id="11" w:name="_Toc21525494"/>
      <w:r>
        <w:rPr>
          <w:rFonts w:hint="eastAsia" w:hAnsi="宋体" w:cs="宋体"/>
          <w:sz w:val="24"/>
          <w:szCs w:val="24"/>
        </w:rPr>
        <w:t>（二）招标文件</w:t>
      </w:r>
      <w:bookmarkEnd w:id="9"/>
      <w:bookmarkEnd w:id="10"/>
      <w:bookmarkEnd w:id="11"/>
    </w:p>
    <w:p w14:paraId="3F9FDF28">
      <w:pPr>
        <w:tabs>
          <w:tab w:val="left" w:pos="105"/>
        </w:tabs>
        <w:snapToGrid w:val="0"/>
        <w:spacing w:line="440" w:lineRule="exact"/>
        <w:ind w:firstLine="482" w:firstLineChars="200"/>
        <w:rPr>
          <w:rFonts w:ascii="宋体" w:hAnsi="宋体" w:cs="宋体"/>
          <w:b/>
          <w:sz w:val="24"/>
          <w:szCs w:val="24"/>
        </w:rPr>
      </w:pPr>
      <w:r>
        <w:rPr>
          <w:rFonts w:hint="eastAsia" w:ascii="宋体" w:hAnsi="宋体" w:cs="宋体"/>
          <w:b/>
          <w:sz w:val="24"/>
          <w:szCs w:val="24"/>
        </w:rPr>
        <w:t>7.招标文件的组成</w:t>
      </w:r>
    </w:p>
    <w:p w14:paraId="24068146">
      <w:pPr>
        <w:widowControl/>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7.1本招标文件包括下列文件，以及所有按本须知第8条发出的招标答疑会会议纪要和按本须知第9条发出的澄清或修改：</w:t>
      </w:r>
    </w:p>
    <w:p w14:paraId="1751A6D6">
      <w:pPr>
        <w:widowControl/>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第一章  投标须知</w:t>
      </w:r>
    </w:p>
    <w:p w14:paraId="02B37852">
      <w:pPr>
        <w:widowControl/>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第二章  开标、评标及定标办法</w:t>
      </w:r>
    </w:p>
    <w:p w14:paraId="7A88F6EE">
      <w:pPr>
        <w:widowControl/>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第三章  合同条款</w:t>
      </w:r>
    </w:p>
    <w:p w14:paraId="59FFAF23">
      <w:pPr>
        <w:widowControl/>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第四章  投标文件格式</w:t>
      </w:r>
    </w:p>
    <w:p w14:paraId="67A22C13">
      <w:pPr>
        <w:widowControl/>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第五章  技术条件（工程建设标准）（另册）</w:t>
      </w:r>
    </w:p>
    <w:p w14:paraId="372FF99E">
      <w:pPr>
        <w:widowControl/>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第六章  图纸及勘察资料（另册）</w:t>
      </w:r>
    </w:p>
    <w:p w14:paraId="366257C9">
      <w:pPr>
        <w:widowControl/>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第七章  招标工程量清单（另册）</w:t>
      </w:r>
    </w:p>
    <w:p w14:paraId="31553628">
      <w:pPr>
        <w:widowControl/>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第八章  最高投标限价</w:t>
      </w:r>
    </w:p>
    <w:p w14:paraId="455C356E">
      <w:pPr>
        <w:pStyle w:val="5"/>
        <w:snapToGrid w:val="0"/>
        <w:spacing w:after="0" w:line="440" w:lineRule="exact"/>
        <w:ind w:left="-2" w:firstLine="480" w:firstLineChars="200"/>
        <w:rPr>
          <w:rFonts w:ascii="宋体" w:hAnsi="宋体" w:cs="宋体"/>
          <w:sz w:val="24"/>
          <w:szCs w:val="24"/>
        </w:rPr>
      </w:pPr>
      <w:r>
        <w:rPr>
          <w:rFonts w:hint="eastAsia" w:ascii="宋体" w:hAnsi="宋体" w:cs="宋体"/>
          <w:bCs/>
          <w:sz w:val="24"/>
          <w:szCs w:val="24"/>
        </w:rPr>
        <w:t>注：</w:t>
      </w:r>
      <w:r>
        <w:rPr>
          <w:rFonts w:hint="eastAsia" w:ascii="宋体" w:hAnsi="宋体" w:cs="宋体"/>
          <w:bCs/>
          <w:sz w:val="24"/>
          <w:szCs w:val="24"/>
        </w:rPr>
        <w:fldChar w:fldCharType="begin"/>
      </w:r>
      <w:r>
        <w:rPr>
          <w:rFonts w:hint="eastAsia" w:ascii="宋体" w:hAnsi="宋体" w:cs="宋体"/>
          <w:bCs/>
          <w:sz w:val="24"/>
          <w:szCs w:val="24"/>
        </w:rPr>
        <w:instrText xml:space="preserve"> = 1 \* GB3 </w:instrText>
      </w:r>
      <w:r>
        <w:rPr>
          <w:rFonts w:hint="eastAsia" w:ascii="宋体" w:hAnsi="宋体" w:cs="宋体"/>
          <w:bCs/>
          <w:sz w:val="24"/>
          <w:szCs w:val="24"/>
        </w:rPr>
        <w:fldChar w:fldCharType="separate"/>
      </w:r>
      <w:r>
        <w:rPr>
          <w:rFonts w:hint="eastAsia" w:ascii="宋体" w:hAnsi="宋体" w:cs="宋体"/>
          <w:bCs/>
          <w:sz w:val="24"/>
          <w:szCs w:val="24"/>
        </w:rPr>
        <w:t>①</w:t>
      </w:r>
      <w:r>
        <w:rPr>
          <w:rFonts w:hint="eastAsia" w:ascii="宋体" w:hAnsi="宋体" w:cs="宋体"/>
          <w:bCs/>
          <w:sz w:val="24"/>
          <w:szCs w:val="24"/>
        </w:rPr>
        <w:fldChar w:fldCharType="end"/>
      </w:r>
      <w:r>
        <w:rPr>
          <w:rFonts w:hint="eastAsia" w:ascii="宋体" w:hAnsi="宋体" w:cs="宋体"/>
          <w:bCs/>
          <w:sz w:val="24"/>
          <w:szCs w:val="24"/>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cs="宋体"/>
          <w:bCs/>
          <w:sz w:val="24"/>
          <w:szCs w:val="24"/>
        </w:rPr>
        <w:fldChar w:fldCharType="begin"/>
      </w:r>
      <w:r>
        <w:rPr>
          <w:rFonts w:hint="eastAsia" w:ascii="宋体" w:hAnsi="宋体" w:cs="宋体"/>
          <w:bCs/>
          <w:sz w:val="24"/>
          <w:szCs w:val="24"/>
        </w:rPr>
        <w:instrText xml:space="preserve"> = 2 \* GB3 </w:instrText>
      </w:r>
      <w:r>
        <w:rPr>
          <w:rFonts w:hint="eastAsia" w:ascii="宋体" w:hAnsi="宋体" w:cs="宋体"/>
          <w:bCs/>
          <w:sz w:val="24"/>
          <w:szCs w:val="24"/>
        </w:rPr>
        <w:fldChar w:fldCharType="separate"/>
      </w:r>
      <w:r>
        <w:rPr>
          <w:rFonts w:hint="eastAsia" w:ascii="宋体" w:hAnsi="宋体" w:cs="宋体"/>
          <w:bCs/>
          <w:sz w:val="24"/>
          <w:szCs w:val="24"/>
        </w:rPr>
        <w:t>②</w:t>
      </w:r>
      <w:r>
        <w:rPr>
          <w:rFonts w:hint="eastAsia" w:ascii="宋体" w:hAnsi="宋体" w:cs="宋体"/>
          <w:bCs/>
          <w:sz w:val="24"/>
          <w:szCs w:val="24"/>
        </w:rPr>
        <w:fldChar w:fldCharType="end"/>
      </w:r>
      <w:r>
        <w:rPr>
          <w:rFonts w:hint="eastAsia" w:ascii="宋体" w:hAnsi="宋体" w:cs="宋体"/>
          <w:bCs/>
          <w:sz w:val="24"/>
          <w:szCs w:val="24"/>
        </w:rPr>
        <w:t>鼓励招标人对施工组织设计或施工方案实行隐藏投标人信息的暗标评审。</w:t>
      </w:r>
    </w:p>
    <w:p w14:paraId="7662C0FE">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7B78A970">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7.3 投标人一旦中标，招标文件的内容对招标人和中标人双方均有约束力。</w:t>
      </w:r>
    </w:p>
    <w:p w14:paraId="690C2856">
      <w:pPr>
        <w:pStyle w:val="5"/>
        <w:snapToGrid w:val="0"/>
        <w:spacing w:after="0" w:line="440" w:lineRule="exact"/>
        <w:ind w:firstLine="482" w:firstLineChars="200"/>
        <w:rPr>
          <w:rFonts w:ascii="宋体" w:hAnsi="宋体" w:cs="宋体"/>
          <w:b/>
          <w:bCs/>
          <w:sz w:val="24"/>
          <w:szCs w:val="24"/>
        </w:rPr>
      </w:pPr>
      <w:r>
        <w:rPr>
          <w:rFonts w:hint="eastAsia" w:ascii="宋体" w:hAnsi="宋体" w:cs="宋体"/>
          <w:b/>
          <w:bCs/>
          <w:sz w:val="24"/>
          <w:szCs w:val="24"/>
        </w:rPr>
        <w:t>8．招标答疑</w:t>
      </w:r>
    </w:p>
    <w:p w14:paraId="3D4EC52F">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8.1 投标人若对招标文件（包括招标图纸）中有疑问，可以书面形式通过</w:t>
      </w:r>
      <w:r>
        <w:rPr>
          <w:rFonts w:hint="eastAsia" w:ascii="宋体" w:hAnsi="宋体" w:cs="宋体"/>
          <w:sz w:val="24"/>
          <w:szCs w:val="24"/>
          <w:u w:val="single"/>
        </w:rPr>
        <w:t xml:space="preserve">        </w:t>
      </w:r>
      <w:r>
        <w:rPr>
          <w:rFonts w:hint="eastAsia" w:ascii="宋体" w:hAnsi="宋体" w:cs="宋体"/>
          <w:sz w:val="24"/>
          <w:szCs w:val="24"/>
        </w:rPr>
        <w:t>交易平台提交给招标人或招标代理人，提交形式见本须知前附表第16项。</w:t>
      </w:r>
    </w:p>
    <w:p w14:paraId="799000E3">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8.2招标答疑会会议纪要将在提交投标文件截止时间15日前在</w:t>
      </w:r>
      <w:r>
        <w:rPr>
          <w:rFonts w:hint="eastAsia" w:ascii="宋体" w:hAnsi="宋体" w:cs="宋体"/>
          <w:sz w:val="24"/>
          <w:szCs w:val="24"/>
          <w:u w:val="single"/>
        </w:rPr>
        <w:t xml:space="preserve">        </w:t>
      </w:r>
      <w:r>
        <w:rPr>
          <w:rFonts w:hint="eastAsia" w:ascii="宋体" w:hAnsi="宋体" w:cs="宋体"/>
          <w:sz w:val="24"/>
          <w:szCs w:val="24"/>
        </w:rPr>
        <w:t>交易平台 “项目答疑纪要”专区公开发布。答疑纪要一经在</w:t>
      </w:r>
      <w:r>
        <w:rPr>
          <w:rFonts w:hint="eastAsia" w:ascii="宋体" w:hAnsi="宋体" w:cs="宋体"/>
          <w:sz w:val="24"/>
          <w:szCs w:val="24"/>
          <w:u w:val="single"/>
        </w:rPr>
        <w:t xml:space="preserve">        </w:t>
      </w:r>
      <w:r>
        <w:rPr>
          <w:rFonts w:hint="eastAsia" w:ascii="宋体" w:hAnsi="宋体" w:cs="宋体"/>
          <w:sz w:val="24"/>
          <w:szCs w:val="24"/>
        </w:rPr>
        <w:t>交易平台发布，视作已发放给所有投标人。</w:t>
      </w:r>
    </w:p>
    <w:p w14:paraId="3ED29492">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8.3答疑会会议纪要为招标文件的一部分。</w:t>
      </w:r>
    </w:p>
    <w:p w14:paraId="1E767FBD">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8.4若招标答疑会会议纪要与招标文件有矛盾，以答疑会议纪要最后发出的书面形式的文件为准。</w:t>
      </w:r>
    </w:p>
    <w:p w14:paraId="536B7E59">
      <w:pPr>
        <w:pStyle w:val="5"/>
        <w:snapToGrid w:val="0"/>
        <w:spacing w:after="0" w:line="440" w:lineRule="exact"/>
        <w:ind w:firstLine="482" w:firstLineChars="200"/>
        <w:rPr>
          <w:rFonts w:ascii="宋体" w:hAnsi="宋体" w:cs="宋体"/>
          <w:b/>
          <w:bCs/>
          <w:sz w:val="24"/>
          <w:szCs w:val="24"/>
        </w:rPr>
      </w:pPr>
      <w:r>
        <w:rPr>
          <w:rFonts w:hint="eastAsia" w:ascii="宋体" w:hAnsi="宋体" w:cs="宋体"/>
          <w:b/>
          <w:bCs/>
          <w:sz w:val="24"/>
          <w:szCs w:val="24"/>
        </w:rPr>
        <w:t>9.招标文件的澄清与修改</w:t>
      </w:r>
    </w:p>
    <w:p w14:paraId="2132EF16">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9.1招标文件发出后，在提交投标文件截止时间15日前，招标人可对招标文件进行必要的澄清或修改。</w:t>
      </w:r>
    </w:p>
    <w:p w14:paraId="740860CF">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9.2招标文件的澄清或修改将在</w:t>
      </w:r>
      <w:r>
        <w:rPr>
          <w:rFonts w:hint="eastAsia" w:ascii="宋体" w:hAnsi="宋体" w:cs="宋体"/>
          <w:sz w:val="24"/>
          <w:szCs w:val="24"/>
          <w:u w:val="single"/>
        </w:rPr>
        <w:t xml:space="preserve">        </w:t>
      </w:r>
      <w:r>
        <w:rPr>
          <w:rFonts w:hint="eastAsia" w:ascii="宋体" w:hAnsi="宋体" w:cs="宋体"/>
          <w:sz w:val="24"/>
          <w:szCs w:val="24"/>
        </w:rPr>
        <w:t>交易平台“项目答疑纪要”专区公开发布。答疑纪要一经在</w:t>
      </w:r>
      <w:r>
        <w:rPr>
          <w:rFonts w:hint="eastAsia" w:ascii="宋体" w:hAnsi="宋体" w:cs="宋体"/>
          <w:sz w:val="24"/>
          <w:szCs w:val="24"/>
          <w:u w:val="single"/>
        </w:rPr>
        <w:t xml:space="preserve">        </w:t>
      </w:r>
      <w:r>
        <w:rPr>
          <w:rFonts w:hint="eastAsia" w:ascii="宋体" w:hAnsi="宋体" w:cs="宋体"/>
          <w:sz w:val="24"/>
          <w:szCs w:val="24"/>
        </w:rPr>
        <w:t>交易平台发布，视作已发放给所有投标人，以</w:t>
      </w:r>
      <w:r>
        <w:rPr>
          <w:rFonts w:hint="eastAsia" w:ascii="宋体" w:hAnsi="宋体" w:cs="宋体"/>
          <w:sz w:val="24"/>
          <w:szCs w:val="24"/>
          <w:u w:val="single"/>
        </w:rPr>
        <w:t xml:space="preserve">        </w:t>
      </w:r>
      <w:r>
        <w:rPr>
          <w:rFonts w:hint="eastAsia" w:ascii="宋体" w:hAnsi="宋体" w:cs="宋体"/>
          <w:sz w:val="24"/>
          <w:szCs w:val="24"/>
        </w:rPr>
        <w:t>交易平台上网发布时间作为送达时间。</w:t>
      </w:r>
    </w:p>
    <w:p w14:paraId="73FEB3B7">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9.3招标文件的修改内容为招标文件的组成部分。</w:t>
      </w:r>
    </w:p>
    <w:p w14:paraId="6B564EB3">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9.4招标文件的澄清或修改均以书面形式明确的内容为准。当招标文件的澄清、修改、补充等在同一内容的表述不一致时，以最后发出的书面形式的文件为准。</w:t>
      </w:r>
    </w:p>
    <w:p w14:paraId="6B0EDFAA">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B1663FB">
      <w:pPr>
        <w:pStyle w:val="7"/>
        <w:snapToGrid w:val="0"/>
        <w:spacing w:before="0" w:beforeAutospacing="0" w:after="0" w:afterAutospacing="0" w:line="440" w:lineRule="exact"/>
        <w:rPr>
          <w:rFonts w:hAnsi="宋体" w:cs="宋体"/>
          <w:sz w:val="24"/>
          <w:szCs w:val="24"/>
        </w:rPr>
      </w:pPr>
      <w:bookmarkStart w:id="12" w:name="_Toc21525495"/>
      <w:bookmarkStart w:id="13" w:name="_Toc2272551"/>
      <w:bookmarkStart w:id="14" w:name="_Toc16897"/>
      <w:r>
        <w:rPr>
          <w:rFonts w:hint="eastAsia" w:hAnsi="宋体" w:cs="宋体"/>
          <w:sz w:val="24"/>
          <w:szCs w:val="24"/>
        </w:rPr>
        <w:t>（三）投标文件的编制</w:t>
      </w:r>
      <w:bookmarkEnd w:id="12"/>
      <w:bookmarkEnd w:id="13"/>
      <w:bookmarkEnd w:id="14"/>
    </w:p>
    <w:p w14:paraId="11DF8F14">
      <w:pPr>
        <w:pStyle w:val="5"/>
        <w:snapToGrid w:val="0"/>
        <w:spacing w:after="0" w:line="440" w:lineRule="exact"/>
        <w:ind w:firstLine="482" w:firstLineChars="200"/>
        <w:rPr>
          <w:rFonts w:ascii="宋体" w:hAnsi="宋体" w:cs="宋体"/>
          <w:b/>
          <w:bCs/>
          <w:sz w:val="24"/>
          <w:szCs w:val="24"/>
        </w:rPr>
      </w:pPr>
      <w:r>
        <w:rPr>
          <w:rFonts w:hint="eastAsia" w:ascii="宋体" w:hAnsi="宋体" w:cs="宋体"/>
          <w:b/>
          <w:bCs/>
          <w:sz w:val="24"/>
          <w:szCs w:val="24"/>
        </w:rPr>
        <w:t>10．投标文件的语言及度量衡单位</w:t>
      </w:r>
    </w:p>
    <w:p w14:paraId="7ADAA9FA">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10.1 投标文件和与投标有关的所有文件均应使用中文。</w:t>
      </w:r>
    </w:p>
    <w:p w14:paraId="3234302E">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10.2 除工程规范另有规定外，投标文件使用的度量衡单位，均采用中华人民共和国法定计量单位。</w:t>
      </w:r>
    </w:p>
    <w:p w14:paraId="77DD01A9">
      <w:pPr>
        <w:pStyle w:val="5"/>
        <w:snapToGrid w:val="0"/>
        <w:spacing w:after="0" w:line="440" w:lineRule="exact"/>
        <w:ind w:firstLine="482" w:firstLineChars="200"/>
        <w:rPr>
          <w:rFonts w:ascii="宋体" w:hAnsi="宋体" w:cs="宋体"/>
          <w:b/>
          <w:bCs/>
          <w:sz w:val="24"/>
          <w:szCs w:val="24"/>
        </w:rPr>
      </w:pPr>
      <w:r>
        <w:rPr>
          <w:rFonts w:hint="eastAsia" w:ascii="宋体" w:hAnsi="宋体" w:cs="宋体"/>
          <w:b/>
          <w:bCs/>
          <w:sz w:val="24"/>
          <w:szCs w:val="24"/>
        </w:rPr>
        <w:t>11．投标文件的组成</w:t>
      </w:r>
    </w:p>
    <w:p w14:paraId="41A7A329">
      <w:pPr>
        <w:pStyle w:val="5"/>
        <w:snapToGrid w:val="0"/>
        <w:spacing w:after="0" w:line="440" w:lineRule="exact"/>
        <w:ind w:firstLine="480" w:firstLineChars="200"/>
        <w:rPr>
          <w:rFonts w:ascii="宋体" w:hAnsi="宋体" w:cs="宋体"/>
          <w:b/>
          <w:sz w:val="24"/>
          <w:szCs w:val="24"/>
        </w:rPr>
      </w:pPr>
      <w:r>
        <w:rPr>
          <w:rFonts w:hint="eastAsia" w:ascii="宋体" w:hAnsi="宋体" w:cs="宋体"/>
          <w:sz w:val="24"/>
          <w:szCs w:val="24"/>
        </w:rPr>
        <w:t>11.1 投标文件由技术部分（含资格审查文件）和经济部分二部分投标文件组成</w:t>
      </w:r>
      <w:r>
        <w:rPr>
          <w:rFonts w:hint="eastAsia" w:ascii="宋体" w:hAnsi="宋体" w:cs="宋体"/>
          <w:b/>
          <w:sz w:val="24"/>
          <w:szCs w:val="24"/>
        </w:rPr>
        <w:t>。</w:t>
      </w:r>
    </w:p>
    <w:p w14:paraId="02145C4C">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11.2投标文件技术标部分主要包括下列内容：</w:t>
      </w:r>
    </w:p>
    <w:p w14:paraId="4BFB38B7">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11.2.1 技术投标文件（</w:t>
      </w:r>
      <w:r>
        <w:rPr>
          <w:rFonts w:hint="eastAsia" w:ascii="宋体" w:hAnsi="宋体" w:cs="宋体"/>
          <w:sz w:val="24"/>
          <w:szCs w:val="24"/>
        </w:rPr>
        <w:t>按招标文件的要求填写）</w:t>
      </w:r>
      <w:r>
        <w:rPr>
          <w:rFonts w:hint="eastAsia" w:ascii="宋体" w:hAnsi="宋体" w:cs="宋体"/>
          <w:bCs/>
          <w:sz w:val="24"/>
          <w:szCs w:val="24"/>
        </w:rPr>
        <w:t>；</w:t>
      </w:r>
    </w:p>
    <w:p w14:paraId="66237369">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11.2.2 资格审查文件：</w:t>
      </w:r>
    </w:p>
    <w:p w14:paraId="39EE3612">
      <w:pPr>
        <w:widowControl/>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 xml:space="preserve">（1）投标人声明； </w:t>
      </w:r>
    </w:p>
    <w:p w14:paraId="24085901">
      <w:pPr>
        <w:widowControl/>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（2）法定代表人证明书、法定代表人签字或盖章的本投标文件授权委托证明书；</w:t>
      </w:r>
    </w:p>
    <w:p w14:paraId="04997D32">
      <w:pPr>
        <w:widowControl/>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（3）企业营业执照扫描件或电子证照；</w:t>
      </w:r>
    </w:p>
    <w:p w14:paraId="5D9951B1">
      <w:pPr>
        <w:widowControl/>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（4）企业资质证书扫描件或电子证照；</w:t>
      </w:r>
    </w:p>
    <w:p w14:paraId="238EE90C">
      <w:pPr>
        <w:widowControl/>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（5）建筑施工企业安全生产许可证扫描件或电子证照；</w:t>
      </w:r>
    </w:p>
    <w:p w14:paraId="619D4E0D">
      <w:pPr>
        <w:widowControl/>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（6）项目负责人（按网上投标登记时选择拟投入本项目的项目负责人）</w:t>
      </w:r>
    </w:p>
    <w:p w14:paraId="40F3659C">
      <w:pPr>
        <w:widowControl/>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（7）专职安全员（按网上投标登记时选择拟投入本项目的专职安全员）</w:t>
      </w:r>
    </w:p>
    <w:p w14:paraId="2B3CDAA6">
      <w:pPr>
        <w:widowControl/>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（8）拟委托技术负责人的相关证书、资料（具体要求由招标人明确）</w:t>
      </w:r>
    </w:p>
    <w:p w14:paraId="2CDC2599">
      <w:pPr>
        <w:widowControl/>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 xml:space="preserve">（9）拟委派项目负责人的有效期内的建造师注册证书扫描件或电子证书；  </w:t>
      </w:r>
    </w:p>
    <w:p w14:paraId="4C8329CB">
      <w:pPr>
        <w:widowControl/>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（10）项目负责人在有效期内的安全生产考核合格证书（B类）或建筑施工企业项目负责人安全生产考核合格证书扫描件或电子证书；</w:t>
      </w:r>
    </w:p>
    <w:p w14:paraId="089AF6B4">
      <w:pPr>
        <w:widowControl/>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（11）专职安全员须具有在有效期内的安全生产考核合格证书（C类）或建筑施工企业专职安全生产管理人员安全生产考核合格证书扫描件或电子证书；</w:t>
      </w:r>
    </w:p>
    <w:p w14:paraId="76738EAB">
      <w:pPr>
        <w:widowControl/>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（12）用于资格审查的业绩（设置业绩要求时选择此项，投标人须提供类似工程业绩的项目名称及项目编号，具体格式由招标人自定）；</w:t>
      </w:r>
    </w:p>
    <w:p w14:paraId="1F90EB12">
      <w:pPr>
        <w:widowControl/>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 xml:space="preserve">（13）资格审查前，投标人须在广州市住房和城乡建设局建立企业信用档案，拟担任本工程项目负责人、专职安全员须是本企业信用档案中的在册人员； </w:t>
      </w:r>
    </w:p>
    <w:p w14:paraId="46BCFBE6">
      <w:pPr>
        <w:widowControl/>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（14）列明主办单位的联合体工作协议（采用联合体投标时需递交，投标人拟任本工程项目负责人应为联合体主办方信用档案中的在册人员，联合体工作协议应明确约定各方拟承担的工作和责任）；</w:t>
      </w:r>
    </w:p>
    <w:p w14:paraId="7B884B88">
      <w:pPr>
        <w:widowControl/>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注：1.相关电子证书按规定需打印后手写本人签名的，应按照规定手写本人签名后再扫描提交。</w:t>
      </w:r>
    </w:p>
    <w:p w14:paraId="3BEB8630">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496DC270">
      <w:pPr>
        <w:snapToGrid w:val="0"/>
        <w:spacing w:line="440" w:lineRule="exact"/>
        <w:ind w:firstLine="480" w:firstLineChars="200"/>
        <w:rPr>
          <w:rFonts w:ascii="宋体" w:hAnsi="宋体" w:cs="宋体"/>
          <w:sz w:val="24"/>
          <w:szCs w:val="24"/>
        </w:rPr>
      </w:pPr>
      <w:r>
        <w:rPr>
          <w:rFonts w:hint="eastAsia" w:ascii="宋体" w:hAnsi="宋体" w:cs="宋体"/>
          <w:sz w:val="24"/>
          <w:szCs w:val="24"/>
        </w:rPr>
        <w:t>11.2.3项目管理机构配备。</w:t>
      </w:r>
    </w:p>
    <w:p w14:paraId="6DEB32EF">
      <w:pPr>
        <w:snapToGrid w:val="0"/>
        <w:spacing w:line="440" w:lineRule="exact"/>
        <w:ind w:firstLine="480" w:firstLineChars="200"/>
        <w:rPr>
          <w:rFonts w:ascii="宋体" w:hAnsi="宋体" w:cs="宋体"/>
          <w:sz w:val="24"/>
          <w:szCs w:val="24"/>
        </w:rPr>
      </w:pPr>
      <w:r>
        <w:rPr>
          <w:rFonts w:hint="eastAsia" w:ascii="宋体" w:hAnsi="宋体" w:cs="宋体"/>
          <w:sz w:val="24"/>
          <w:szCs w:val="24"/>
        </w:rPr>
        <w:t>（1）投标人应列出该项目工程的施工组织机构构成和画出机构框架图及其负责人；</w:t>
      </w:r>
    </w:p>
    <w:p w14:paraId="6CE2F316">
      <w:pPr>
        <w:snapToGrid w:val="0"/>
        <w:spacing w:line="440" w:lineRule="exact"/>
        <w:ind w:firstLine="480" w:firstLineChars="200"/>
        <w:rPr>
          <w:rFonts w:ascii="宋体" w:hAnsi="宋体" w:cs="宋体"/>
          <w:sz w:val="24"/>
          <w:szCs w:val="24"/>
        </w:rPr>
      </w:pPr>
      <w:r>
        <w:rPr>
          <w:rFonts w:hint="eastAsia" w:ascii="宋体" w:hAnsi="宋体" w:cs="宋体"/>
          <w:sz w:val="24"/>
          <w:szCs w:val="24"/>
        </w:rPr>
        <w:t>（2）投标人应详细列出该施工组织机构中主要成员的名单、简历资料、职务职称和在本项目中拟担任的职务等资料，并附上有关证明材料扫描件；</w:t>
      </w:r>
    </w:p>
    <w:p w14:paraId="7FE88933">
      <w:pPr>
        <w:snapToGrid w:val="0"/>
        <w:spacing w:line="440" w:lineRule="exact"/>
        <w:ind w:firstLine="480" w:firstLineChars="200"/>
        <w:rPr>
          <w:rFonts w:ascii="宋体" w:hAnsi="宋体" w:cs="宋体"/>
          <w:sz w:val="24"/>
          <w:szCs w:val="24"/>
        </w:rPr>
      </w:pPr>
      <w:r>
        <w:rPr>
          <w:rFonts w:hint="eastAsia" w:ascii="宋体" w:hAnsi="宋体" w:cs="宋体"/>
          <w:sz w:val="24"/>
          <w:szCs w:val="24"/>
        </w:rPr>
        <w:t>（3）其他辅助说明资料。</w:t>
      </w:r>
    </w:p>
    <w:p w14:paraId="2540716B">
      <w:pPr>
        <w:snapToGrid w:val="0"/>
        <w:spacing w:line="440" w:lineRule="exact"/>
        <w:ind w:firstLine="480" w:firstLineChars="200"/>
        <w:rPr>
          <w:rFonts w:ascii="宋体" w:hAnsi="宋体" w:cs="宋体"/>
          <w:sz w:val="24"/>
          <w:szCs w:val="24"/>
        </w:rPr>
      </w:pPr>
      <w:r>
        <w:rPr>
          <w:rFonts w:hint="eastAsia" w:ascii="宋体" w:hAnsi="宋体" w:cs="宋体"/>
          <w:sz w:val="24"/>
          <w:szCs w:val="24"/>
        </w:rPr>
        <w:t>11.2.4投标人在广州市可使用适合本工程的机械设备（附：机械设备为自有或租赁的说明；及承诺机械设备如属于租赁的，其租赁是不属于重复租赁）。</w:t>
      </w:r>
    </w:p>
    <w:p w14:paraId="48F10917">
      <w:pPr>
        <w:snapToGrid w:val="0"/>
        <w:spacing w:line="440" w:lineRule="exact"/>
        <w:ind w:firstLine="480" w:firstLineChars="200"/>
        <w:rPr>
          <w:rFonts w:ascii="宋体" w:hAnsi="宋体" w:cs="宋体"/>
          <w:sz w:val="24"/>
          <w:szCs w:val="24"/>
        </w:rPr>
      </w:pPr>
      <w:r>
        <w:rPr>
          <w:rFonts w:hint="eastAsia" w:ascii="宋体" w:hAnsi="宋体" w:cs="宋体"/>
          <w:sz w:val="24"/>
          <w:szCs w:val="24"/>
        </w:rPr>
        <w:t>11.2.5施工组织设计或施工方案。</w:t>
      </w:r>
    </w:p>
    <w:p w14:paraId="584A53CA">
      <w:pPr>
        <w:snapToGrid w:val="0"/>
        <w:spacing w:line="440" w:lineRule="exact"/>
        <w:ind w:firstLine="480" w:firstLineChars="200"/>
        <w:rPr>
          <w:rFonts w:ascii="宋体" w:hAnsi="宋体" w:cs="宋体"/>
          <w:sz w:val="24"/>
          <w:szCs w:val="24"/>
        </w:rPr>
      </w:pPr>
      <w:r>
        <w:rPr>
          <w:rFonts w:hint="eastAsia" w:ascii="宋体" w:hAnsi="宋体" w:cs="宋体"/>
          <w:sz w:val="24"/>
          <w:szCs w:val="24"/>
        </w:rPr>
        <w:t>（1）投标人在编制施工组织设计或施工方案时应按照招标人提出的施工现场建筑垃圾源头减量的具体要求以及建筑垃圾综合利用产品的使用要求提供相应措施。</w:t>
      </w:r>
    </w:p>
    <w:p w14:paraId="0F633214">
      <w:pPr>
        <w:snapToGrid w:val="0"/>
        <w:spacing w:line="440" w:lineRule="exact"/>
        <w:ind w:firstLine="480" w:firstLineChars="200"/>
        <w:rPr>
          <w:rFonts w:ascii="宋体" w:hAnsi="宋体" w:cs="宋体"/>
          <w:sz w:val="24"/>
          <w:szCs w:val="24"/>
        </w:rPr>
      </w:pPr>
      <w:r>
        <w:rPr>
          <w:rFonts w:hint="eastAsia" w:ascii="宋体" w:hAnsi="宋体" w:cs="宋体"/>
          <w:sz w:val="24"/>
          <w:szCs w:val="24"/>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2EF4E8C5">
      <w:pPr>
        <w:tabs>
          <w:tab w:val="left" w:pos="1125"/>
        </w:tabs>
        <w:snapToGrid w:val="0"/>
        <w:spacing w:line="440" w:lineRule="exact"/>
        <w:ind w:firstLine="480" w:firstLineChars="200"/>
        <w:rPr>
          <w:rFonts w:ascii="宋体" w:hAnsi="宋体" w:cs="宋体"/>
          <w:sz w:val="24"/>
          <w:szCs w:val="24"/>
        </w:rPr>
      </w:pPr>
      <w:r>
        <w:rPr>
          <w:rFonts w:hint="eastAsia" w:ascii="宋体" w:hAnsi="宋体" w:cs="宋体"/>
          <w:sz w:val="24"/>
          <w:szCs w:val="24"/>
        </w:rPr>
        <w:t>11.2.6按照</w:t>
      </w:r>
      <w:r>
        <w:rPr>
          <w:rFonts w:hint="eastAsia" w:ascii="宋体" w:hAnsi="宋体" w:cs="宋体"/>
          <w:bCs/>
          <w:sz w:val="24"/>
          <w:szCs w:val="24"/>
        </w:rPr>
        <w:t>招标文件要求</w:t>
      </w:r>
      <w:r>
        <w:rPr>
          <w:rFonts w:hint="eastAsia" w:ascii="宋体" w:hAnsi="宋体" w:cs="宋体"/>
          <w:sz w:val="24"/>
          <w:szCs w:val="24"/>
        </w:rPr>
        <w:t>填写的《参与编制技术标投标文件人员名单》。</w:t>
      </w:r>
    </w:p>
    <w:p w14:paraId="2DDD429D">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11.3 经济部分投标文件主要包括下列内容：</w:t>
      </w:r>
    </w:p>
    <w:p w14:paraId="3BC3D9EA">
      <w:pPr>
        <w:snapToGrid w:val="0"/>
        <w:spacing w:line="440" w:lineRule="exact"/>
        <w:ind w:firstLine="480" w:firstLineChars="200"/>
        <w:rPr>
          <w:rFonts w:ascii="宋体" w:hAnsi="宋体" w:cs="宋体"/>
          <w:sz w:val="24"/>
          <w:szCs w:val="24"/>
        </w:rPr>
      </w:pPr>
      <w:r>
        <w:rPr>
          <w:rFonts w:hint="eastAsia" w:ascii="宋体" w:hAnsi="宋体" w:cs="宋体"/>
          <w:sz w:val="24"/>
          <w:szCs w:val="24"/>
        </w:rPr>
        <w:t>11.3.1 经济投标文件（按招标文件的要求填写）。</w:t>
      </w:r>
    </w:p>
    <w:p w14:paraId="3E4C6EAA">
      <w:pPr>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163CC0F6">
      <w:pPr>
        <w:snapToGrid w:val="0"/>
        <w:spacing w:line="440" w:lineRule="exact"/>
        <w:ind w:firstLine="566" w:firstLineChars="236"/>
        <w:rPr>
          <w:rFonts w:ascii="宋体" w:hAnsi="宋体" w:cs="宋体"/>
          <w:sz w:val="24"/>
          <w:szCs w:val="24"/>
        </w:rPr>
      </w:pPr>
      <w:r>
        <w:rPr>
          <w:rFonts w:hint="eastAsia" w:ascii="宋体" w:hAnsi="宋体" w:cs="宋体"/>
          <w:sz w:val="24"/>
          <w:szCs w:val="24"/>
        </w:rPr>
        <w:t>（1）投标总价封面、扉页；</w:t>
      </w:r>
    </w:p>
    <w:p w14:paraId="6DB44CF4">
      <w:pPr>
        <w:snapToGrid w:val="0"/>
        <w:spacing w:line="440" w:lineRule="exact"/>
        <w:ind w:firstLine="566" w:firstLineChars="236"/>
        <w:rPr>
          <w:rFonts w:ascii="宋体" w:hAnsi="宋体" w:cs="宋体"/>
          <w:sz w:val="24"/>
          <w:szCs w:val="24"/>
        </w:rPr>
      </w:pPr>
      <w:r>
        <w:rPr>
          <w:rFonts w:hint="eastAsia" w:ascii="宋体" w:hAnsi="宋体" w:cs="宋体"/>
          <w:sz w:val="24"/>
          <w:szCs w:val="24"/>
        </w:rPr>
        <w:t>（2）总说明</w:t>
      </w:r>
    </w:p>
    <w:p w14:paraId="6D5EBBA9">
      <w:pPr>
        <w:snapToGrid w:val="0"/>
        <w:spacing w:line="440" w:lineRule="exact"/>
        <w:ind w:firstLine="566" w:firstLineChars="236"/>
        <w:rPr>
          <w:rFonts w:ascii="宋体" w:hAnsi="宋体" w:cs="宋体"/>
          <w:sz w:val="24"/>
          <w:szCs w:val="24"/>
        </w:rPr>
      </w:pPr>
      <w:r>
        <w:rPr>
          <w:rFonts w:hint="eastAsia" w:ascii="宋体" w:hAnsi="宋体" w:cs="宋体"/>
          <w:sz w:val="24"/>
          <w:szCs w:val="24"/>
        </w:rPr>
        <w:t>（3）工程项目投标报价汇总表；</w:t>
      </w:r>
    </w:p>
    <w:p w14:paraId="3911EE26">
      <w:pPr>
        <w:snapToGrid w:val="0"/>
        <w:spacing w:line="440" w:lineRule="exact"/>
        <w:ind w:firstLine="566" w:firstLineChars="236"/>
        <w:rPr>
          <w:rFonts w:ascii="宋体" w:hAnsi="宋体" w:cs="宋体"/>
          <w:sz w:val="24"/>
          <w:szCs w:val="24"/>
        </w:rPr>
      </w:pPr>
      <w:r>
        <w:rPr>
          <w:rFonts w:hint="eastAsia" w:ascii="宋体" w:hAnsi="宋体" w:cs="宋体"/>
          <w:sz w:val="24"/>
          <w:szCs w:val="24"/>
        </w:rPr>
        <w:t>（4）单项工程投标报价汇总表；</w:t>
      </w:r>
    </w:p>
    <w:p w14:paraId="07D3B8CF">
      <w:pPr>
        <w:snapToGrid w:val="0"/>
        <w:spacing w:line="440" w:lineRule="exact"/>
        <w:ind w:firstLine="566" w:firstLineChars="236"/>
        <w:rPr>
          <w:rFonts w:ascii="宋体" w:hAnsi="宋体" w:cs="宋体"/>
          <w:sz w:val="24"/>
          <w:szCs w:val="24"/>
        </w:rPr>
      </w:pPr>
      <w:r>
        <w:rPr>
          <w:rFonts w:hint="eastAsia" w:ascii="宋体" w:hAnsi="宋体" w:cs="宋体"/>
          <w:sz w:val="24"/>
          <w:szCs w:val="24"/>
        </w:rPr>
        <w:t>（5）单位工程投标报价汇总表；</w:t>
      </w:r>
    </w:p>
    <w:p w14:paraId="21D9CF7C">
      <w:pPr>
        <w:snapToGrid w:val="0"/>
        <w:spacing w:line="440" w:lineRule="exact"/>
        <w:ind w:firstLine="566" w:firstLineChars="236"/>
        <w:rPr>
          <w:rFonts w:ascii="宋体" w:hAnsi="宋体" w:cs="宋体"/>
          <w:sz w:val="24"/>
          <w:szCs w:val="24"/>
        </w:rPr>
      </w:pPr>
      <w:r>
        <w:rPr>
          <w:rFonts w:hint="eastAsia" w:ascii="宋体" w:hAnsi="宋体" w:cs="宋体"/>
          <w:sz w:val="24"/>
          <w:szCs w:val="24"/>
        </w:rPr>
        <w:t>（6）分部分项工程清单与计价表；</w:t>
      </w:r>
    </w:p>
    <w:p w14:paraId="6B716D0F">
      <w:pPr>
        <w:snapToGrid w:val="0"/>
        <w:spacing w:line="440" w:lineRule="exact"/>
        <w:ind w:firstLine="566" w:firstLineChars="236"/>
        <w:rPr>
          <w:rFonts w:ascii="宋体" w:hAnsi="宋体" w:cs="宋体"/>
          <w:sz w:val="24"/>
          <w:szCs w:val="24"/>
        </w:rPr>
      </w:pPr>
      <w:r>
        <w:rPr>
          <w:rFonts w:hint="eastAsia" w:ascii="宋体" w:hAnsi="宋体" w:cs="宋体"/>
          <w:sz w:val="24"/>
          <w:szCs w:val="24"/>
        </w:rPr>
        <w:t>（7）单价措施项目清单与计价表；</w:t>
      </w:r>
    </w:p>
    <w:p w14:paraId="79004664">
      <w:pPr>
        <w:snapToGrid w:val="0"/>
        <w:spacing w:line="440" w:lineRule="exact"/>
        <w:ind w:firstLine="566" w:firstLineChars="236"/>
        <w:rPr>
          <w:rFonts w:ascii="宋体" w:hAnsi="宋体" w:cs="宋体"/>
          <w:sz w:val="24"/>
          <w:szCs w:val="24"/>
        </w:rPr>
      </w:pPr>
      <w:r>
        <w:rPr>
          <w:rFonts w:hint="eastAsia" w:ascii="宋体" w:hAnsi="宋体" w:cs="宋体"/>
          <w:sz w:val="24"/>
          <w:szCs w:val="24"/>
        </w:rPr>
        <w:t>（8）总价措施项目清单与计价表；</w:t>
      </w:r>
    </w:p>
    <w:p w14:paraId="63686854">
      <w:pPr>
        <w:snapToGrid w:val="0"/>
        <w:spacing w:line="440" w:lineRule="exact"/>
        <w:ind w:firstLine="566" w:firstLineChars="236"/>
        <w:rPr>
          <w:rFonts w:ascii="宋体" w:hAnsi="宋体" w:cs="宋体"/>
          <w:sz w:val="24"/>
          <w:szCs w:val="24"/>
        </w:rPr>
      </w:pPr>
      <w:r>
        <w:rPr>
          <w:rFonts w:hint="eastAsia" w:ascii="宋体" w:hAnsi="宋体" w:cs="宋体"/>
          <w:sz w:val="24"/>
          <w:szCs w:val="24"/>
        </w:rPr>
        <w:t>（9）综合单价分析表；</w:t>
      </w:r>
    </w:p>
    <w:p w14:paraId="6B54CAAC">
      <w:pPr>
        <w:snapToGrid w:val="0"/>
        <w:spacing w:line="440" w:lineRule="exact"/>
        <w:ind w:firstLine="566" w:firstLineChars="236"/>
        <w:rPr>
          <w:rFonts w:ascii="宋体" w:hAnsi="宋体" w:cs="宋体"/>
          <w:sz w:val="24"/>
          <w:szCs w:val="24"/>
        </w:rPr>
      </w:pPr>
      <w:r>
        <w:rPr>
          <w:rFonts w:hint="eastAsia" w:ascii="宋体" w:hAnsi="宋体" w:cs="宋体"/>
          <w:sz w:val="24"/>
          <w:szCs w:val="24"/>
        </w:rPr>
        <w:t>（10）其他项目清单与计价汇总表；</w:t>
      </w:r>
    </w:p>
    <w:p w14:paraId="774F91EE">
      <w:pPr>
        <w:snapToGrid w:val="0"/>
        <w:spacing w:line="440" w:lineRule="exact"/>
        <w:ind w:firstLine="566" w:firstLineChars="236"/>
        <w:rPr>
          <w:rFonts w:ascii="宋体" w:hAnsi="宋体" w:cs="宋体"/>
          <w:sz w:val="24"/>
          <w:szCs w:val="24"/>
        </w:rPr>
      </w:pPr>
      <w:r>
        <w:rPr>
          <w:rFonts w:hint="eastAsia" w:ascii="宋体" w:hAnsi="宋体" w:cs="宋体"/>
          <w:sz w:val="24"/>
          <w:szCs w:val="24"/>
        </w:rPr>
        <w:t>（11）暂列金额明细表；</w:t>
      </w:r>
    </w:p>
    <w:p w14:paraId="5ABA7BAF">
      <w:pPr>
        <w:snapToGrid w:val="0"/>
        <w:spacing w:line="440" w:lineRule="exact"/>
        <w:ind w:firstLine="566" w:firstLineChars="236"/>
        <w:rPr>
          <w:rFonts w:ascii="宋体" w:hAnsi="宋体" w:cs="宋体"/>
          <w:sz w:val="24"/>
          <w:szCs w:val="24"/>
        </w:rPr>
      </w:pPr>
      <w:r>
        <w:rPr>
          <w:rFonts w:hint="eastAsia" w:ascii="宋体" w:hAnsi="宋体" w:cs="宋体"/>
          <w:sz w:val="24"/>
          <w:szCs w:val="24"/>
        </w:rPr>
        <w:t>（12）材料（工程设备）暂估价明细表；</w:t>
      </w:r>
    </w:p>
    <w:p w14:paraId="63CA3036">
      <w:pPr>
        <w:snapToGrid w:val="0"/>
        <w:spacing w:line="440" w:lineRule="exact"/>
        <w:ind w:firstLine="566" w:firstLineChars="236"/>
        <w:rPr>
          <w:rFonts w:ascii="宋体" w:hAnsi="宋体" w:cs="宋体"/>
          <w:sz w:val="24"/>
          <w:szCs w:val="24"/>
        </w:rPr>
      </w:pPr>
      <w:r>
        <w:rPr>
          <w:rFonts w:hint="eastAsia" w:ascii="宋体" w:hAnsi="宋体" w:cs="宋体"/>
          <w:sz w:val="24"/>
          <w:szCs w:val="24"/>
        </w:rPr>
        <w:t>（13）专业工程暂估价明细表；</w:t>
      </w:r>
    </w:p>
    <w:p w14:paraId="11337F51">
      <w:pPr>
        <w:snapToGrid w:val="0"/>
        <w:spacing w:line="440" w:lineRule="exact"/>
        <w:ind w:firstLine="566" w:firstLineChars="236"/>
        <w:rPr>
          <w:rFonts w:ascii="宋体" w:hAnsi="宋体" w:cs="宋体"/>
          <w:sz w:val="24"/>
          <w:szCs w:val="24"/>
        </w:rPr>
      </w:pPr>
      <w:r>
        <w:rPr>
          <w:rFonts w:hint="eastAsia" w:ascii="宋体" w:hAnsi="宋体" w:cs="宋体"/>
          <w:sz w:val="24"/>
          <w:szCs w:val="24"/>
        </w:rPr>
        <w:t>（14）计日工表；</w:t>
      </w:r>
    </w:p>
    <w:p w14:paraId="04BC2C11">
      <w:pPr>
        <w:snapToGrid w:val="0"/>
        <w:spacing w:line="440" w:lineRule="exact"/>
        <w:ind w:firstLine="566" w:firstLineChars="236"/>
        <w:rPr>
          <w:rFonts w:ascii="宋体" w:hAnsi="宋体" w:cs="宋体"/>
          <w:sz w:val="24"/>
          <w:szCs w:val="24"/>
        </w:rPr>
      </w:pPr>
      <w:r>
        <w:rPr>
          <w:rFonts w:hint="eastAsia" w:ascii="宋体" w:hAnsi="宋体" w:cs="宋体"/>
          <w:sz w:val="24"/>
          <w:szCs w:val="24"/>
        </w:rPr>
        <w:t>（15）总承包服务计价表；</w:t>
      </w:r>
    </w:p>
    <w:p w14:paraId="3C4805F8">
      <w:pPr>
        <w:snapToGrid w:val="0"/>
        <w:spacing w:line="440" w:lineRule="exact"/>
        <w:ind w:firstLine="566" w:firstLineChars="236"/>
        <w:rPr>
          <w:rFonts w:ascii="宋体" w:hAnsi="宋体" w:cs="宋体"/>
          <w:sz w:val="24"/>
          <w:szCs w:val="24"/>
        </w:rPr>
      </w:pPr>
      <w:r>
        <w:rPr>
          <w:rFonts w:hint="eastAsia" w:ascii="宋体" w:hAnsi="宋体" w:cs="宋体"/>
          <w:sz w:val="24"/>
          <w:szCs w:val="24"/>
        </w:rPr>
        <w:t>（16）规费和税金项目计价表；</w:t>
      </w:r>
    </w:p>
    <w:p w14:paraId="3EC7624D">
      <w:pPr>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 （17）人工、主要材料和设备一览表</w:t>
      </w:r>
    </w:p>
    <w:p w14:paraId="7A00F81B">
      <w:pPr>
        <w:tabs>
          <w:tab w:val="left" w:pos="1125"/>
        </w:tabs>
        <w:snapToGrid w:val="0"/>
        <w:spacing w:line="440" w:lineRule="exact"/>
        <w:ind w:firstLine="480" w:firstLineChars="200"/>
        <w:rPr>
          <w:rFonts w:ascii="宋体" w:hAnsi="宋体" w:cs="宋体"/>
          <w:sz w:val="24"/>
          <w:szCs w:val="24"/>
        </w:rPr>
      </w:pPr>
      <w:r>
        <w:rPr>
          <w:rFonts w:hint="eastAsia" w:ascii="宋体" w:hAnsi="宋体" w:cs="宋体"/>
          <w:sz w:val="24"/>
          <w:szCs w:val="24"/>
        </w:rPr>
        <w:t>11.3.3按照</w:t>
      </w:r>
      <w:r>
        <w:rPr>
          <w:rFonts w:hint="eastAsia" w:ascii="宋体" w:hAnsi="宋体" w:cs="宋体"/>
          <w:bCs/>
          <w:sz w:val="24"/>
          <w:szCs w:val="24"/>
        </w:rPr>
        <w:t>招标文件要求</w:t>
      </w:r>
      <w:r>
        <w:rPr>
          <w:rFonts w:hint="eastAsia" w:ascii="宋体" w:hAnsi="宋体" w:cs="宋体"/>
          <w:sz w:val="24"/>
          <w:szCs w:val="24"/>
        </w:rPr>
        <w:t>填写的《参与编制经济标投标文件人员名单》。</w:t>
      </w:r>
    </w:p>
    <w:p w14:paraId="70A9E56E">
      <w:pPr>
        <w:tabs>
          <w:tab w:val="left" w:pos="1125"/>
        </w:tabs>
        <w:snapToGrid w:val="0"/>
        <w:spacing w:line="440" w:lineRule="exact"/>
        <w:ind w:firstLine="480" w:firstLineChars="200"/>
        <w:rPr>
          <w:rFonts w:ascii="宋体" w:hAnsi="宋体" w:cs="宋体"/>
          <w:sz w:val="24"/>
          <w:szCs w:val="24"/>
        </w:rPr>
      </w:pPr>
      <w:r>
        <w:rPr>
          <w:rFonts w:hint="eastAsia" w:ascii="宋体" w:hAnsi="宋体" w:cs="宋体"/>
          <w:sz w:val="24"/>
          <w:szCs w:val="24"/>
        </w:rPr>
        <w:t>11.3.4若投标人的投标报价低于工程成本警戒价的，投标人还须提供详细的施工组织设计、单价、措施性费用、单价分析表、主要材料价格表、投标人成本分析供评标委员会评审。</w:t>
      </w:r>
    </w:p>
    <w:p w14:paraId="140F07BD">
      <w:pPr>
        <w:pStyle w:val="5"/>
        <w:snapToGrid w:val="0"/>
        <w:spacing w:after="0" w:line="440" w:lineRule="exact"/>
        <w:ind w:firstLine="482" w:firstLineChars="200"/>
        <w:rPr>
          <w:rFonts w:ascii="宋体" w:hAnsi="宋体" w:cs="宋体"/>
          <w:b/>
          <w:bCs/>
          <w:sz w:val="24"/>
          <w:szCs w:val="24"/>
        </w:rPr>
      </w:pPr>
      <w:r>
        <w:rPr>
          <w:rFonts w:hint="eastAsia" w:ascii="宋体" w:hAnsi="宋体" w:cs="宋体"/>
          <w:b/>
          <w:bCs/>
          <w:sz w:val="24"/>
          <w:szCs w:val="24"/>
        </w:rPr>
        <w:t>12．投标文件格式</w:t>
      </w:r>
    </w:p>
    <w:p w14:paraId="63B2A878">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12.1 投标文件包括本须知第11条中规定的内容，投标人提交的投标文件应当使用招标文件所提供的投标文件全部格式（表格可以按同样格式扩展）。</w:t>
      </w:r>
    </w:p>
    <w:p w14:paraId="2C4AA9EB">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4"/>
          <w:szCs w:val="24"/>
          <w:u w:val="single"/>
        </w:rPr>
        <w:t xml:space="preserve">            </w:t>
      </w:r>
      <w:r>
        <w:rPr>
          <w:rFonts w:hint="eastAsia" w:ascii="宋体" w:hAnsi="宋体" w:cs="宋体"/>
          <w:sz w:val="24"/>
          <w:szCs w:val="24"/>
        </w:rPr>
        <w:t xml:space="preserve"> 。</w:t>
      </w:r>
    </w:p>
    <w:p w14:paraId="13C6EA4A">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注：投标文件电子文档需要投标人单位盖章的材料，投标人加盖电子印章即可，不得将投标人未对电子文档加盖实物印章作为否决投标的情形。</w:t>
      </w:r>
    </w:p>
    <w:p w14:paraId="0BD335E0">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 xml:space="preserve">12.3 </w:t>
      </w:r>
      <w:r>
        <w:rPr>
          <w:rFonts w:hint="eastAsia" w:ascii="宋体" w:hAnsi="宋体" w:cs="宋体"/>
          <w:bCs/>
          <w:sz w:val="24"/>
          <w:szCs w:val="24"/>
        </w:rPr>
        <w:t>投标文件应按</w:t>
      </w:r>
      <w:r>
        <w:rPr>
          <w:rFonts w:hint="eastAsia" w:ascii="宋体" w:hAnsi="宋体" w:cs="宋体"/>
          <w:sz w:val="24"/>
          <w:szCs w:val="24"/>
        </w:rPr>
        <w:t>照交易平台关于全流程电子化项目的相关指南进行编制，详见：</w:t>
      </w:r>
      <w:r>
        <w:rPr>
          <w:rFonts w:hint="eastAsia" w:ascii="宋体" w:hAnsi="宋体" w:cs="宋体"/>
          <w:sz w:val="24"/>
          <w:szCs w:val="24"/>
          <w:u w:val="single"/>
        </w:rPr>
        <w:t xml:space="preserve">            </w:t>
      </w:r>
      <w:r>
        <w:rPr>
          <w:rFonts w:hint="eastAsia" w:ascii="宋体" w:hAnsi="宋体" w:cs="宋体"/>
          <w:sz w:val="24"/>
          <w:szCs w:val="24"/>
        </w:rPr>
        <w:t xml:space="preserve">。               </w:t>
      </w:r>
    </w:p>
    <w:p w14:paraId="20B846B1">
      <w:pPr>
        <w:pStyle w:val="5"/>
        <w:snapToGrid w:val="0"/>
        <w:spacing w:after="0" w:line="440" w:lineRule="exact"/>
        <w:ind w:firstLine="0"/>
        <w:rPr>
          <w:rFonts w:ascii="宋体" w:hAnsi="宋体" w:cs="宋体"/>
          <w:sz w:val="24"/>
          <w:szCs w:val="24"/>
        </w:rPr>
      </w:pPr>
      <w:r>
        <w:rPr>
          <w:rFonts w:hint="eastAsia" w:ascii="宋体" w:hAnsi="宋体" w:cs="宋体"/>
          <w:bCs/>
          <w:sz w:val="24"/>
          <w:szCs w:val="24"/>
        </w:rPr>
        <w:t>如不按上述要求编制引起系统无法检索、读取相关信息的，其后果由投标人承担。</w:t>
      </w:r>
    </w:p>
    <w:p w14:paraId="47813EE7">
      <w:pPr>
        <w:pStyle w:val="5"/>
        <w:snapToGrid w:val="0"/>
        <w:spacing w:after="0" w:line="440" w:lineRule="exact"/>
        <w:ind w:firstLine="482" w:firstLineChars="200"/>
        <w:rPr>
          <w:rFonts w:ascii="宋体" w:hAnsi="宋体" w:cs="宋体"/>
          <w:b/>
          <w:bCs/>
          <w:sz w:val="24"/>
          <w:szCs w:val="24"/>
        </w:rPr>
      </w:pPr>
      <w:r>
        <w:rPr>
          <w:rFonts w:hint="eastAsia" w:ascii="宋体" w:hAnsi="宋体" w:cs="宋体"/>
          <w:b/>
          <w:bCs/>
          <w:sz w:val="24"/>
          <w:szCs w:val="24"/>
        </w:rPr>
        <w:t>13．投标报价及造价承包和变更结算方式</w:t>
      </w:r>
    </w:p>
    <w:p w14:paraId="52953165">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13.1 本工程的投标报价采用投标须知前附表第12项所规定的方式。投标报价（含单价及总价）精确到“分”。</w:t>
      </w:r>
    </w:p>
    <w:p w14:paraId="6F7002DB">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341FE490">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03112ED">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6BF697C4">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2F06212C">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13.5.1中标的投标文件工程量清单中已有相同项目的适用综合单价，则沿用；</w:t>
      </w:r>
    </w:p>
    <w:p w14:paraId="698F151A">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CFC8635">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68A81E3A">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13.5.4 如相关定额没有相应子目的，其计价方式由招标人在本招标文件第三章中另行规定。未规定的，中标后双方协商约定。</w:t>
      </w:r>
    </w:p>
    <w:p w14:paraId="3130E7E8">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13.6暂列金额、暂估价</w:t>
      </w:r>
    </w:p>
    <w:p w14:paraId="552C5E04">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3E10B2C2">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暂估价是指招标人在工程量清单中提供的用于支付必然发生但暂时不能确定价格的材料的单价以及专业工程的金额。</w:t>
      </w:r>
    </w:p>
    <w:p w14:paraId="3C2A7A81">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7007B4BF">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A14F438">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1F768B7D">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A012C7A">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01AD44DE">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13.7投标人可先到工地踏勘以充分了解工地位置、情况、道路、储存空间、装卸限制及任何其他足以影响承包价的情况，任何因忽视或误解工地情况而导致的索赔或工期延长申请将不被批准。</w:t>
      </w:r>
    </w:p>
    <w:p w14:paraId="3DA5266A">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20E1A103">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0F4E035E">
      <w:pPr>
        <w:pStyle w:val="5"/>
        <w:snapToGrid w:val="0"/>
        <w:spacing w:after="0" w:line="440" w:lineRule="exact"/>
        <w:ind w:firstLine="482" w:firstLineChars="200"/>
        <w:rPr>
          <w:rFonts w:ascii="宋体" w:hAnsi="宋体" w:cs="宋体"/>
          <w:b/>
          <w:bCs/>
          <w:sz w:val="24"/>
          <w:szCs w:val="24"/>
        </w:rPr>
      </w:pPr>
      <w:r>
        <w:rPr>
          <w:rFonts w:hint="eastAsia" w:ascii="宋体" w:hAnsi="宋体" w:cs="宋体"/>
          <w:b/>
          <w:bCs/>
          <w:sz w:val="24"/>
          <w:szCs w:val="24"/>
        </w:rPr>
        <w:t>14．投标货币</w:t>
      </w:r>
    </w:p>
    <w:p w14:paraId="02DCB29E">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14.1 本工程投标报价采用的币种为人民币。</w:t>
      </w:r>
    </w:p>
    <w:p w14:paraId="613285D4">
      <w:pPr>
        <w:pStyle w:val="5"/>
        <w:snapToGrid w:val="0"/>
        <w:spacing w:after="0" w:line="440" w:lineRule="exact"/>
        <w:ind w:firstLine="482" w:firstLineChars="200"/>
        <w:rPr>
          <w:rFonts w:ascii="宋体" w:hAnsi="宋体" w:cs="宋体"/>
          <w:sz w:val="24"/>
          <w:szCs w:val="24"/>
        </w:rPr>
      </w:pPr>
      <w:r>
        <w:rPr>
          <w:rFonts w:hint="eastAsia" w:ascii="宋体" w:hAnsi="宋体" w:cs="宋体"/>
          <w:b/>
          <w:bCs/>
          <w:sz w:val="24"/>
          <w:szCs w:val="24"/>
        </w:rPr>
        <w:t>15．投标有效期</w:t>
      </w:r>
    </w:p>
    <w:p w14:paraId="62C4EE18">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15.1 投标有效期见投标须知前附表第13项所规定的期限，在此期限内，凡符合本招标文件要求的投标文件均保持有效。</w:t>
      </w:r>
    </w:p>
    <w:p w14:paraId="5F39CECE">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73206316">
      <w:pPr>
        <w:pStyle w:val="5"/>
        <w:snapToGrid w:val="0"/>
        <w:spacing w:after="0" w:line="440" w:lineRule="exact"/>
        <w:ind w:firstLine="482" w:firstLineChars="200"/>
        <w:rPr>
          <w:rFonts w:ascii="宋体" w:hAnsi="宋体" w:cs="宋体"/>
          <w:b/>
          <w:bCs/>
          <w:sz w:val="24"/>
          <w:szCs w:val="24"/>
        </w:rPr>
      </w:pPr>
      <w:r>
        <w:rPr>
          <w:rFonts w:hint="eastAsia" w:ascii="宋体" w:hAnsi="宋体" w:cs="宋体"/>
          <w:b/>
          <w:bCs/>
          <w:sz w:val="24"/>
          <w:szCs w:val="24"/>
        </w:rPr>
        <w:t>16．投标保证金</w:t>
      </w:r>
    </w:p>
    <w:p w14:paraId="58446BFC">
      <w:pPr>
        <w:snapToGrid w:val="0"/>
        <w:spacing w:line="440" w:lineRule="exact"/>
        <w:ind w:firstLine="480" w:firstLineChars="200"/>
        <w:rPr>
          <w:rFonts w:ascii="宋体" w:hAnsi="宋体" w:cs="宋体"/>
          <w:sz w:val="24"/>
          <w:szCs w:val="24"/>
        </w:rPr>
      </w:pPr>
      <w:r>
        <w:rPr>
          <w:rFonts w:hint="eastAsia" w:ascii="宋体" w:hAnsi="宋体" w:cs="宋体"/>
          <w:sz w:val="24"/>
          <w:szCs w:val="24"/>
        </w:rPr>
        <w:t>16.1投标人应按投标须知前附表第14项所述金额和时间递交</w:t>
      </w:r>
      <w:r>
        <w:rPr>
          <w:rFonts w:hint="eastAsia" w:ascii="宋体" w:hAnsi="宋体" w:cs="宋体"/>
          <w:bCs/>
          <w:sz w:val="24"/>
          <w:szCs w:val="24"/>
        </w:rPr>
        <w:t>投标保证金</w:t>
      </w:r>
      <w:r>
        <w:rPr>
          <w:rFonts w:hint="eastAsia" w:ascii="宋体" w:hAnsi="宋体" w:cs="宋体"/>
          <w:sz w:val="24"/>
          <w:szCs w:val="24"/>
        </w:rPr>
        <w:t>。招标人应当允许投标人自主选择现金、银行保函、保证保险、专业工程担保公司担保等方式缴纳投标保证金。</w:t>
      </w:r>
    </w:p>
    <w:p w14:paraId="4229DE6F">
      <w:pPr>
        <w:snapToGrid w:val="0"/>
        <w:spacing w:line="440" w:lineRule="exact"/>
        <w:ind w:firstLine="480" w:firstLineChars="200"/>
        <w:rPr>
          <w:rFonts w:ascii="宋体" w:hAnsi="宋体" w:cs="宋体"/>
          <w:sz w:val="24"/>
          <w:szCs w:val="24"/>
        </w:rPr>
      </w:pPr>
      <w:r>
        <w:rPr>
          <w:rFonts w:hint="eastAsia" w:ascii="宋体" w:hAnsi="宋体" w:cs="宋体"/>
          <w:sz w:val="24"/>
          <w:szCs w:val="24"/>
        </w:rPr>
        <w:t>16.1.1 采用现金或者支票形式提交的，投标保证金须从投标人的银行基本账户转出。</w:t>
      </w:r>
    </w:p>
    <w:p w14:paraId="2304A422">
      <w:pPr>
        <w:snapToGrid w:val="0"/>
        <w:spacing w:line="440" w:lineRule="exact"/>
        <w:ind w:firstLine="480" w:firstLineChars="200"/>
        <w:rPr>
          <w:rFonts w:ascii="宋体" w:hAnsi="宋体" w:cs="宋体"/>
          <w:sz w:val="24"/>
          <w:szCs w:val="24"/>
        </w:rPr>
      </w:pPr>
      <w:r>
        <w:rPr>
          <w:rFonts w:hint="eastAsia" w:ascii="宋体" w:hAnsi="宋体" w:cs="宋体"/>
          <w:sz w:val="24"/>
          <w:szCs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8E1C927">
      <w:pPr>
        <w:snapToGrid w:val="0"/>
        <w:spacing w:line="440" w:lineRule="exact"/>
        <w:ind w:firstLine="480" w:firstLineChars="200"/>
        <w:rPr>
          <w:rFonts w:ascii="宋体" w:hAnsi="宋体" w:cs="宋体"/>
          <w:sz w:val="24"/>
          <w:szCs w:val="24"/>
        </w:rPr>
      </w:pPr>
      <w:r>
        <w:rPr>
          <w:rFonts w:hint="eastAsia" w:ascii="宋体" w:hAnsi="宋体" w:cs="宋体"/>
          <w:sz w:val="24"/>
          <w:szCs w:val="24"/>
        </w:rPr>
        <w:t>16.1.3 采用电子形式的保函、担保或保证保险提交投标保证金的，应在招标文件中明确电子递交途径。</w:t>
      </w:r>
    </w:p>
    <w:p w14:paraId="25BFC89E">
      <w:pPr>
        <w:snapToGrid w:val="0"/>
        <w:spacing w:line="440" w:lineRule="exact"/>
        <w:ind w:firstLine="480" w:firstLineChars="200"/>
        <w:rPr>
          <w:rFonts w:ascii="宋体" w:hAnsi="宋体" w:cs="宋体"/>
          <w:sz w:val="24"/>
          <w:szCs w:val="24"/>
        </w:rPr>
      </w:pPr>
      <w:r>
        <w:rPr>
          <w:rFonts w:hint="eastAsia" w:ascii="宋体" w:hAnsi="宋体" w:cs="宋体"/>
          <w:sz w:val="24"/>
          <w:szCs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73852345">
      <w:pPr>
        <w:snapToGrid w:val="0"/>
        <w:spacing w:line="440" w:lineRule="exact"/>
        <w:ind w:firstLine="480" w:firstLineChars="200"/>
        <w:rPr>
          <w:rFonts w:ascii="宋体" w:hAnsi="宋体" w:cs="宋体"/>
          <w:sz w:val="24"/>
          <w:szCs w:val="24"/>
        </w:rPr>
      </w:pPr>
      <w:r>
        <w:rPr>
          <w:rFonts w:hint="eastAsia" w:ascii="宋体" w:hAnsi="宋体" w:cs="宋体"/>
          <w:sz w:val="24"/>
          <w:szCs w:val="24"/>
        </w:rPr>
        <w:t>16.3投标保证金应依据法律法规的相关规定退还。</w:t>
      </w:r>
    </w:p>
    <w:p w14:paraId="58BAA331">
      <w:pPr>
        <w:snapToGrid w:val="0"/>
        <w:spacing w:line="440" w:lineRule="exact"/>
        <w:ind w:firstLine="480" w:firstLineChars="200"/>
        <w:rPr>
          <w:rFonts w:ascii="宋体" w:hAnsi="宋体" w:cs="宋体"/>
          <w:sz w:val="24"/>
          <w:szCs w:val="24"/>
        </w:rPr>
      </w:pPr>
      <w:r>
        <w:rPr>
          <w:rFonts w:hint="eastAsia" w:ascii="宋体" w:hAnsi="宋体" w:cs="宋体"/>
          <w:sz w:val="24"/>
          <w:szCs w:val="24"/>
        </w:rPr>
        <w:t>16.4如有下列情况之一的，招标人可以不予退还投标保证金（是否退还投标保证金由招标人在招标文件中规定）：</w:t>
      </w:r>
    </w:p>
    <w:p w14:paraId="01AE2AA6">
      <w:pPr>
        <w:snapToGrid w:val="0"/>
        <w:spacing w:line="440" w:lineRule="exact"/>
        <w:ind w:firstLine="480" w:firstLineChars="200"/>
        <w:rPr>
          <w:rFonts w:ascii="宋体" w:hAnsi="宋体" w:cs="宋体"/>
          <w:sz w:val="24"/>
          <w:szCs w:val="24"/>
        </w:rPr>
      </w:pPr>
      <w:r>
        <w:rPr>
          <w:rFonts w:hint="eastAsia" w:ascii="宋体" w:hAnsi="宋体" w:cs="宋体"/>
          <w:sz w:val="24"/>
          <w:szCs w:val="24"/>
        </w:rPr>
        <w:t>16.4.1因投标人原因造成投标文件未解密的；</w:t>
      </w:r>
    </w:p>
    <w:p w14:paraId="6C66045E">
      <w:pPr>
        <w:snapToGrid w:val="0"/>
        <w:spacing w:line="440" w:lineRule="exact"/>
        <w:ind w:firstLine="480" w:firstLineChars="200"/>
        <w:rPr>
          <w:rFonts w:ascii="宋体" w:hAnsi="宋体" w:cs="宋体"/>
          <w:sz w:val="24"/>
          <w:szCs w:val="24"/>
        </w:rPr>
      </w:pPr>
      <w:r>
        <w:rPr>
          <w:rFonts w:hint="eastAsia" w:ascii="宋体" w:hAnsi="宋体" w:cs="宋体"/>
          <w:sz w:val="24"/>
          <w:szCs w:val="24"/>
        </w:rPr>
        <w:t>16.4.2投标人在投标有效期内撤销投标文件；</w:t>
      </w:r>
    </w:p>
    <w:p w14:paraId="5E3CE717">
      <w:pPr>
        <w:snapToGrid w:val="0"/>
        <w:spacing w:line="440" w:lineRule="exact"/>
        <w:ind w:firstLine="480" w:firstLineChars="200"/>
        <w:rPr>
          <w:rFonts w:ascii="宋体" w:hAnsi="宋体" w:cs="宋体"/>
          <w:sz w:val="24"/>
          <w:szCs w:val="24"/>
        </w:rPr>
      </w:pPr>
      <w:r>
        <w:rPr>
          <w:rFonts w:hint="eastAsia" w:ascii="宋体" w:hAnsi="宋体" w:cs="宋体"/>
          <w:sz w:val="24"/>
          <w:szCs w:val="24"/>
        </w:rPr>
        <w:t>16.4.3中标人未能在规定期限内按要求提交履约担保；</w:t>
      </w:r>
    </w:p>
    <w:p w14:paraId="70D97AA9">
      <w:pPr>
        <w:snapToGrid w:val="0"/>
        <w:spacing w:line="440" w:lineRule="exact"/>
        <w:ind w:firstLine="480" w:firstLineChars="200"/>
        <w:rPr>
          <w:rFonts w:ascii="宋体" w:hAnsi="宋体" w:cs="宋体"/>
          <w:sz w:val="24"/>
          <w:szCs w:val="24"/>
        </w:rPr>
      </w:pPr>
      <w:r>
        <w:rPr>
          <w:rFonts w:hint="eastAsia" w:ascii="宋体" w:hAnsi="宋体" w:cs="宋体"/>
          <w:sz w:val="24"/>
          <w:szCs w:val="24"/>
        </w:rPr>
        <w:t>16.4.4中标人未能在规定期限内签署合同协议。</w:t>
      </w:r>
    </w:p>
    <w:p w14:paraId="7E62CE94">
      <w:pPr>
        <w:snapToGrid w:val="0"/>
        <w:spacing w:line="440" w:lineRule="exact"/>
        <w:ind w:firstLine="480" w:firstLineChars="200"/>
        <w:rPr>
          <w:rFonts w:ascii="宋体" w:hAnsi="宋体" w:cs="宋体"/>
          <w:sz w:val="24"/>
          <w:szCs w:val="24"/>
        </w:rPr>
      </w:pPr>
      <w:r>
        <w:rPr>
          <w:rFonts w:hint="eastAsia" w:ascii="宋体" w:hAnsi="宋体" w:cs="宋体"/>
          <w:sz w:val="24"/>
          <w:szCs w:val="24"/>
        </w:rPr>
        <w:t>16.5投标人如存在下列情况之一的，将被拒绝在一定时期内参与招标人后续工程投标（拒绝时限需在招标文件中明确）：</w:t>
      </w:r>
    </w:p>
    <w:p w14:paraId="3C2151E8">
      <w:pPr>
        <w:snapToGrid w:val="0"/>
        <w:spacing w:line="440" w:lineRule="exact"/>
        <w:ind w:firstLine="480" w:firstLineChars="200"/>
        <w:rPr>
          <w:rFonts w:ascii="宋体" w:hAnsi="宋体" w:cs="宋体"/>
          <w:sz w:val="24"/>
          <w:szCs w:val="24"/>
        </w:rPr>
      </w:pPr>
      <w:r>
        <w:rPr>
          <w:rFonts w:hint="eastAsia" w:ascii="宋体" w:hAnsi="宋体" w:cs="宋体"/>
          <w:sz w:val="24"/>
          <w:szCs w:val="24"/>
        </w:rPr>
        <w:t>16.5.1投标人存在16.4条款所列情形且投标人提交的保函、担保或保证保险无法兑付的；</w:t>
      </w:r>
    </w:p>
    <w:p w14:paraId="2114AA71">
      <w:pPr>
        <w:snapToGrid w:val="0"/>
        <w:spacing w:line="440" w:lineRule="exact"/>
        <w:ind w:firstLine="480" w:firstLineChars="200"/>
        <w:rPr>
          <w:rFonts w:ascii="宋体" w:hAnsi="宋体" w:cs="宋体"/>
          <w:sz w:val="24"/>
          <w:szCs w:val="24"/>
        </w:rPr>
      </w:pPr>
      <w:r>
        <w:rPr>
          <w:rFonts w:hint="eastAsia" w:ascii="宋体" w:hAnsi="宋体" w:cs="宋体"/>
          <w:sz w:val="24"/>
          <w:szCs w:val="24"/>
        </w:rPr>
        <w:t>16.5.2采用非电子形式提交投标保证金的投标人存在16.4条款所列情形，且未按招标人要求补交银行保函、专业工程担保公司担保或保证保险原件的；</w:t>
      </w:r>
    </w:p>
    <w:p w14:paraId="0FC63E88">
      <w:pPr>
        <w:snapToGrid w:val="0"/>
        <w:spacing w:line="440" w:lineRule="exact"/>
        <w:ind w:firstLine="480" w:firstLineChars="200"/>
        <w:rPr>
          <w:rFonts w:ascii="宋体" w:hAnsi="宋体" w:cs="宋体"/>
          <w:sz w:val="24"/>
          <w:szCs w:val="24"/>
        </w:rPr>
      </w:pPr>
      <w:r>
        <w:rPr>
          <w:rFonts w:hint="eastAsia" w:ascii="宋体" w:hAnsi="宋体" w:cs="宋体"/>
          <w:sz w:val="24"/>
          <w:szCs w:val="24"/>
        </w:rPr>
        <w:t>16.5.3按招标文件要求免于提供投标保证金的投标人存在16.4条款所列情形，且未按招标人要求补交投标保证金的；</w:t>
      </w:r>
    </w:p>
    <w:p w14:paraId="4EA4671B">
      <w:pPr>
        <w:snapToGrid w:val="0"/>
        <w:spacing w:line="440" w:lineRule="exact"/>
        <w:ind w:firstLine="480" w:firstLineChars="200"/>
        <w:rPr>
          <w:rFonts w:ascii="宋体" w:hAnsi="宋体" w:cs="宋体"/>
          <w:sz w:val="24"/>
          <w:szCs w:val="24"/>
        </w:rPr>
      </w:pPr>
      <w:r>
        <w:rPr>
          <w:rFonts w:hint="eastAsia" w:ascii="宋体" w:hAnsi="宋体" w:cs="宋体"/>
          <w:sz w:val="24"/>
          <w:szCs w:val="24"/>
        </w:rPr>
        <w:t>16.5.3按招标文件要求免于提供投标保证金的投标人存在16.4条款所列情形的。</w:t>
      </w:r>
    </w:p>
    <w:p w14:paraId="7D208141">
      <w:pPr>
        <w:snapToGrid w:val="0"/>
        <w:spacing w:line="440" w:lineRule="exact"/>
        <w:ind w:firstLine="480" w:firstLineChars="200"/>
        <w:rPr>
          <w:rFonts w:ascii="宋体" w:hAnsi="宋体" w:cs="宋体"/>
          <w:sz w:val="24"/>
          <w:szCs w:val="24"/>
        </w:rPr>
      </w:pPr>
      <w:r>
        <w:rPr>
          <w:rFonts w:hint="eastAsia" w:ascii="宋体" w:hAnsi="宋体" w:cs="宋体"/>
          <w:sz w:val="24"/>
          <w:szCs w:val="24"/>
        </w:rPr>
        <w:t>注：16.5.3款由招标人二选一，需在招标文件中明确。</w:t>
      </w:r>
    </w:p>
    <w:p w14:paraId="3B16B99B">
      <w:pPr>
        <w:pStyle w:val="5"/>
        <w:snapToGrid w:val="0"/>
        <w:spacing w:after="0" w:line="440" w:lineRule="exact"/>
        <w:ind w:firstLine="482" w:firstLineChars="200"/>
        <w:rPr>
          <w:rFonts w:ascii="宋体" w:hAnsi="宋体" w:cs="宋体"/>
          <w:b/>
          <w:bCs/>
          <w:sz w:val="24"/>
          <w:szCs w:val="24"/>
        </w:rPr>
      </w:pPr>
      <w:r>
        <w:rPr>
          <w:rFonts w:hint="eastAsia" w:ascii="宋体" w:hAnsi="宋体" w:cs="宋体"/>
          <w:b/>
          <w:bCs/>
          <w:sz w:val="24"/>
          <w:szCs w:val="24"/>
        </w:rPr>
        <w:t>17．投标文件的签署</w:t>
      </w:r>
    </w:p>
    <w:p w14:paraId="543C8388">
      <w:pPr>
        <w:snapToGrid w:val="0"/>
        <w:spacing w:line="440" w:lineRule="exact"/>
        <w:ind w:firstLine="480" w:firstLineChars="200"/>
        <w:rPr>
          <w:rFonts w:ascii="宋体" w:hAnsi="宋体" w:cs="宋体"/>
          <w:sz w:val="24"/>
          <w:szCs w:val="24"/>
        </w:rPr>
      </w:pPr>
      <w:r>
        <w:rPr>
          <w:rFonts w:hint="eastAsia" w:ascii="宋体" w:hAnsi="宋体" w:cs="宋体"/>
          <w:sz w:val="24"/>
          <w:szCs w:val="24"/>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4"/>
          <w:szCs w:val="24"/>
          <w:u w:val="single"/>
        </w:rPr>
        <w:t xml:space="preserve">            </w:t>
      </w:r>
      <w:r>
        <w:rPr>
          <w:rFonts w:hint="eastAsia" w:ascii="宋体" w:hAnsi="宋体" w:cs="宋体"/>
          <w:sz w:val="24"/>
          <w:szCs w:val="24"/>
        </w:rPr>
        <w:t xml:space="preserve"> 。</w:t>
      </w:r>
    </w:p>
    <w:p w14:paraId="61FE345C">
      <w:pPr>
        <w:pStyle w:val="7"/>
        <w:snapToGrid w:val="0"/>
        <w:spacing w:before="0" w:beforeAutospacing="0" w:after="0" w:afterAutospacing="0" w:line="440" w:lineRule="exact"/>
        <w:rPr>
          <w:rFonts w:hAnsi="宋体" w:cs="宋体"/>
          <w:sz w:val="24"/>
          <w:szCs w:val="24"/>
        </w:rPr>
      </w:pPr>
      <w:bookmarkStart w:id="15" w:name="_Toc21525496"/>
      <w:bookmarkStart w:id="16" w:name="_Toc9535"/>
      <w:bookmarkStart w:id="17" w:name="_Toc2272552"/>
      <w:r>
        <w:rPr>
          <w:rFonts w:hint="eastAsia" w:hAnsi="宋体" w:cs="宋体"/>
          <w:sz w:val="24"/>
          <w:szCs w:val="24"/>
        </w:rPr>
        <w:t>（四）投标文件的提交</w:t>
      </w:r>
      <w:bookmarkEnd w:id="15"/>
      <w:bookmarkEnd w:id="16"/>
      <w:bookmarkEnd w:id="17"/>
    </w:p>
    <w:p w14:paraId="775F5742">
      <w:pPr>
        <w:pStyle w:val="5"/>
        <w:snapToGrid w:val="0"/>
        <w:spacing w:after="0" w:line="440" w:lineRule="exact"/>
        <w:ind w:firstLine="482" w:firstLineChars="200"/>
        <w:rPr>
          <w:rFonts w:ascii="宋体" w:hAnsi="宋体" w:cs="宋体"/>
          <w:b/>
          <w:bCs/>
          <w:sz w:val="24"/>
          <w:szCs w:val="24"/>
        </w:rPr>
      </w:pPr>
      <w:r>
        <w:rPr>
          <w:rFonts w:hint="eastAsia" w:ascii="宋体" w:hAnsi="宋体" w:cs="宋体"/>
          <w:b/>
          <w:bCs/>
          <w:sz w:val="24"/>
          <w:szCs w:val="24"/>
        </w:rPr>
        <w:t>18．</w:t>
      </w:r>
      <w:r>
        <w:rPr>
          <w:rFonts w:hint="eastAsia" w:ascii="宋体" w:hAnsi="宋体" w:cs="宋体"/>
          <w:b/>
          <w:sz w:val="24"/>
          <w:szCs w:val="24"/>
        </w:rPr>
        <w:t>投标文件的密封和标记</w:t>
      </w:r>
    </w:p>
    <w:p w14:paraId="58672758">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18.1递交的电子投标文件（不含备用光盘）必须进行加密。按照交易平台关于</w:t>
      </w:r>
      <w:r>
        <w:rPr>
          <w:rFonts w:hint="eastAsia" w:ascii="宋体" w:hAnsi="宋体" w:cs="宋体"/>
          <w:sz w:val="24"/>
          <w:szCs w:val="24"/>
        </w:rPr>
        <w:t>全流程电子化项目的相关指南进行操作。详见：</w:t>
      </w:r>
      <w:r>
        <w:rPr>
          <w:rFonts w:hint="eastAsia" w:ascii="宋体" w:hAnsi="宋体" w:cs="宋体"/>
          <w:sz w:val="24"/>
          <w:szCs w:val="24"/>
          <w:u w:val="single"/>
        </w:rPr>
        <w:t xml:space="preserve">           </w:t>
      </w:r>
      <w:r>
        <w:rPr>
          <w:rFonts w:hint="eastAsia" w:ascii="宋体" w:hAnsi="宋体" w:cs="宋体"/>
          <w:sz w:val="24"/>
          <w:szCs w:val="24"/>
        </w:rPr>
        <w:t xml:space="preserve"> 。</w:t>
      </w:r>
    </w:p>
    <w:p w14:paraId="6763CAD1">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18.2 未按要求加密的投标文件，</w:t>
      </w:r>
      <w:r>
        <w:rPr>
          <w:rFonts w:hint="eastAsia" w:ascii="宋体" w:hAnsi="宋体" w:cs="宋体"/>
          <w:sz w:val="24"/>
          <w:szCs w:val="24"/>
          <w:u w:val="single"/>
        </w:rPr>
        <w:t xml:space="preserve">        </w:t>
      </w:r>
      <w:r>
        <w:rPr>
          <w:rFonts w:hint="eastAsia" w:ascii="宋体" w:hAnsi="宋体" w:cs="宋体"/>
          <w:sz w:val="24"/>
          <w:szCs w:val="24"/>
        </w:rPr>
        <w:t>交易平台</w:t>
      </w:r>
      <w:r>
        <w:rPr>
          <w:rFonts w:hint="eastAsia" w:ascii="宋体" w:hAnsi="宋体" w:cs="宋体"/>
          <w:bCs/>
          <w:sz w:val="24"/>
          <w:szCs w:val="24"/>
        </w:rPr>
        <w:t>将予以拒收。</w:t>
      </w:r>
    </w:p>
    <w:p w14:paraId="14DF8E41">
      <w:pPr>
        <w:snapToGrid w:val="0"/>
        <w:spacing w:line="440" w:lineRule="exact"/>
        <w:ind w:firstLine="482" w:firstLineChars="200"/>
        <w:rPr>
          <w:rFonts w:ascii="宋体" w:hAnsi="宋体" w:cs="宋体"/>
          <w:b/>
          <w:bCs/>
          <w:sz w:val="24"/>
          <w:szCs w:val="24"/>
        </w:rPr>
      </w:pPr>
      <w:r>
        <w:rPr>
          <w:rFonts w:hint="eastAsia" w:ascii="宋体" w:hAnsi="宋体" w:cs="宋体"/>
          <w:b/>
          <w:bCs/>
          <w:sz w:val="24"/>
          <w:szCs w:val="24"/>
        </w:rPr>
        <w:t>19．投标文件的递交和接收</w:t>
      </w:r>
    </w:p>
    <w:p w14:paraId="63D71E12">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19.1投标人通过</w:t>
      </w:r>
      <w:r>
        <w:rPr>
          <w:rFonts w:hint="eastAsia" w:ascii="宋体" w:hAnsi="宋体" w:cs="宋体"/>
          <w:sz w:val="24"/>
          <w:szCs w:val="24"/>
          <w:u w:val="single"/>
        </w:rPr>
        <w:t xml:space="preserve">        </w:t>
      </w:r>
      <w:r>
        <w:rPr>
          <w:rFonts w:hint="eastAsia" w:ascii="宋体" w:hAnsi="宋体" w:cs="宋体"/>
          <w:sz w:val="24"/>
          <w:szCs w:val="24"/>
        </w:rPr>
        <w:t>交易平台递交电子投标文件。</w:t>
      </w:r>
    </w:p>
    <w:p w14:paraId="01E7D414">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19.2投标人完成电子</w:t>
      </w:r>
      <w:r>
        <w:rPr>
          <w:rFonts w:hint="eastAsia" w:ascii="宋体" w:hAnsi="宋体" w:cs="宋体"/>
          <w:sz w:val="24"/>
          <w:szCs w:val="24"/>
        </w:rPr>
        <w:t>投标文件</w:t>
      </w:r>
      <w:r>
        <w:rPr>
          <w:rFonts w:hint="eastAsia" w:ascii="宋体" w:hAnsi="宋体" w:cs="宋体"/>
          <w:bCs/>
          <w:sz w:val="24"/>
          <w:szCs w:val="24"/>
        </w:rPr>
        <w:t>上传后，</w:t>
      </w:r>
      <w:r>
        <w:rPr>
          <w:rFonts w:hint="eastAsia" w:ascii="宋体" w:hAnsi="宋体" w:cs="宋体"/>
          <w:sz w:val="24"/>
          <w:szCs w:val="24"/>
          <w:u w:val="single"/>
        </w:rPr>
        <w:t xml:space="preserve">        </w:t>
      </w:r>
      <w:r>
        <w:rPr>
          <w:rFonts w:hint="eastAsia" w:ascii="宋体" w:hAnsi="宋体" w:cs="宋体"/>
          <w:sz w:val="24"/>
          <w:szCs w:val="24"/>
        </w:rPr>
        <w:t>交易平台即时向投标人发出递交回执通知。递交时间以递交回执通知载明的传输完成时间为准。</w:t>
      </w:r>
    </w:p>
    <w:p w14:paraId="1001A3DE">
      <w:pPr>
        <w:snapToGrid w:val="0"/>
        <w:spacing w:line="440" w:lineRule="exact"/>
        <w:ind w:firstLine="480" w:firstLineChars="200"/>
        <w:rPr>
          <w:rFonts w:ascii="宋体" w:hAnsi="宋体" w:cs="宋体"/>
          <w:sz w:val="24"/>
          <w:szCs w:val="24"/>
        </w:rPr>
      </w:pPr>
      <w:r>
        <w:rPr>
          <w:rFonts w:hint="eastAsia" w:ascii="宋体" w:hAnsi="宋体" w:cs="宋体"/>
          <w:bCs/>
          <w:sz w:val="24"/>
          <w:szCs w:val="24"/>
        </w:rPr>
        <w:t>19.3逾期送达的电子投标文件，</w:t>
      </w:r>
      <w:r>
        <w:rPr>
          <w:rFonts w:hint="eastAsia" w:ascii="宋体" w:hAnsi="宋体" w:cs="宋体"/>
          <w:sz w:val="24"/>
          <w:szCs w:val="24"/>
          <w:u w:val="single"/>
        </w:rPr>
        <w:t xml:space="preserve">        </w:t>
      </w:r>
      <w:r>
        <w:rPr>
          <w:rFonts w:hint="eastAsia" w:ascii="宋体" w:hAnsi="宋体" w:cs="宋体"/>
          <w:sz w:val="24"/>
          <w:szCs w:val="24"/>
        </w:rPr>
        <w:t>交易平台将予以拒收。</w:t>
      </w:r>
    </w:p>
    <w:p w14:paraId="6ED39A70">
      <w:pPr>
        <w:snapToGrid w:val="0"/>
        <w:spacing w:line="440" w:lineRule="exact"/>
        <w:ind w:firstLine="480" w:firstLineChars="200"/>
        <w:rPr>
          <w:rFonts w:ascii="宋体" w:hAnsi="宋体" w:cs="宋体"/>
          <w:sz w:val="24"/>
          <w:szCs w:val="24"/>
        </w:rPr>
      </w:pPr>
      <w:r>
        <w:rPr>
          <w:rFonts w:hint="eastAsia" w:ascii="宋体" w:hAnsi="宋体" w:cs="宋体"/>
          <w:sz w:val="24"/>
          <w:szCs w:val="24"/>
        </w:rPr>
        <w:t>19.4 投标截止前，招标人拒绝接收符合条件的投标文件，投标人可向招标投标监督机构投诉。</w:t>
      </w:r>
    </w:p>
    <w:p w14:paraId="7A6E628B">
      <w:pPr>
        <w:snapToGrid w:val="0"/>
        <w:spacing w:line="440" w:lineRule="exact"/>
        <w:ind w:firstLine="480" w:firstLineChars="200"/>
        <w:rPr>
          <w:rFonts w:ascii="宋体" w:hAnsi="宋体" w:cs="宋体"/>
          <w:sz w:val="24"/>
          <w:szCs w:val="24"/>
        </w:rPr>
      </w:pPr>
      <w:r>
        <w:rPr>
          <w:rFonts w:hint="eastAsia" w:ascii="宋体" w:hAnsi="宋体" w:cs="宋体"/>
          <w:sz w:val="24"/>
          <w:szCs w:val="24"/>
        </w:rPr>
        <w:t>19.5如技术标和经济标先后分别开启，</w:t>
      </w:r>
      <w:r>
        <w:rPr>
          <w:rFonts w:hint="eastAsia" w:ascii="宋体" w:hAnsi="宋体" w:cs="宋体"/>
          <w:sz w:val="24"/>
          <w:szCs w:val="24"/>
          <w:u w:val="single"/>
        </w:rPr>
        <w:t xml:space="preserve">        </w:t>
      </w:r>
      <w:r>
        <w:rPr>
          <w:rFonts w:hint="eastAsia" w:ascii="宋体" w:hAnsi="宋体" w:cs="宋体"/>
          <w:sz w:val="24"/>
          <w:szCs w:val="24"/>
        </w:rPr>
        <w:t>交易平台将按招标文件规定的时间分别开启技术标和经济标。</w:t>
      </w:r>
    </w:p>
    <w:p w14:paraId="1BED3205">
      <w:pPr>
        <w:snapToGrid w:val="0"/>
        <w:spacing w:line="440" w:lineRule="exact"/>
        <w:ind w:firstLine="482" w:firstLineChars="200"/>
        <w:rPr>
          <w:rFonts w:ascii="宋体" w:hAnsi="宋体" w:cs="宋体"/>
          <w:b/>
          <w:bCs/>
          <w:sz w:val="24"/>
          <w:szCs w:val="24"/>
        </w:rPr>
      </w:pPr>
      <w:r>
        <w:rPr>
          <w:rFonts w:hint="eastAsia" w:ascii="宋体" w:hAnsi="宋体" w:cs="宋体"/>
          <w:b/>
          <w:bCs/>
          <w:sz w:val="24"/>
          <w:szCs w:val="24"/>
        </w:rPr>
        <w:t>20．投标文件提交的截止时间</w:t>
      </w:r>
    </w:p>
    <w:p w14:paraId="38581F41">
      <w:pPr>
        <w:snapToGrid w:val="0"/>
        <w:spacing w:line="440" w:lineRule="exact"/>
        <w:ind w:firstLine="480" w:firstLineChars="200"/>
        <w:rPr>
          <w:rFonts w:ascii="宋体" w:hAnsi="宋体" w:cs="宋体"/>
          <w:b/>
          <w:bCs/>
          <w:sz w:val="24"/>
          <w:szCs w:val="24"/>
        </w:rPr>
      </w:pPr>
      <w:r>
        <w:rPr>
          <w:rFonts w:hint="eastAsia" w:ascii="宋体" w:hAnsi="宋体" w:cs="宋体"/>
          <w:sz w:val="24"/>
          <w:szCs w:val="24"/>
        </w:rPr>
        <w:t>20.1投标人应在投标须知前附表第17项所述的时间前提交投标文件。</w:t>
      </w:r>
    </w:p>
    <w:p w14:paraId="63F5D157">
      <w:pPr>
        <w:snapToGrid w:val="0"/>
        <w:spacing w:line="440" w:lineRule="exact"/>
        <w:ind w:firstLine="480" w:firstLineChars="200"/>
        <w:rPr>
          <w:rFonts w:ascii="宋体" w:hAnsi="宋体" w:cs="宋体"/>
          <w:sz w:val="24"/>
          <w:szCs w:val="24"/>
        </w:rPr>
      </w:pPr>
      <w:r>
        <w:rPr>
          <w:rFonts w:hint="eastAsia" w:ascii="宋体" w:hAnsi="宋体" w:cs="宋体"/>
          <w:sz w:val="24"/>
          <w:szCs w:val="24"/>
        </w:rPr>
        <w:t>20.2招标人可按本须知第9条规定以招标文件修改的方式，酌情延长提交投标文件的截止时间。在此情况下，投标人的所有权利和义务以及投标人受制约的截止时间，均以延长后新的投标截止时间为准。</w:t>
      </w:r>
    </w:p>
    <w:p w14:paraId="6FD82DCA">
      <w:pPr>
        <w:snapToGrid w:val="0"/>
        <w:spacing w:line="440" w:lineRule="exact"/>
        <w:ind w:firstLine="480" w:firstLineChars="200"/>
        <w:rPr>
          <w:rFonts w:ascii="宋体" w:hAnsi="宋体" w:cs="宋体"/>
          <w:sz w:val="24"/>
          <w:szCs w:val="24"/>
        </w:rPr>
      </w:pPr>
      <w:r>
        <w:rPr>
          <w:rFonts w:hint="eastAsia" w:ascii="宋体" w:hAnsi="宋体" w:cs="宋体"/>
          <w:sz w:val="24"/>
          <w:szCs w:val="24"/>
        </w:rPr>
        <w:t>20.3 到投标截止时间止，招标人收到的投标文件少于3家的，招标人将重新组织招标（当N个标段同时招标且不允许兼中时，若有效投标人不足N+2家，则重新组织招标）。</w:t>
      </w:r>
    </w:p>
    <w:p w14:paraId="18E5262C">
      <w:pPr>
        <w:snapToGrid w:val="0"/>
        <w:spacing w:line="440" w:lineRule="exact"/>
        <w:ind w:firstLine="482" w:firstLineChars="200"/>
        <w:rPr>
          <w:rFonts w:ascii="宋体" w:hAnsi="宋体" w:cs="宋体"/>
          <w:b/>
          <w:bCs/>
          <w:sz w:val="24"/>
          <w:szCs w:val="24"/>
        </w:rPr>
      </w:pPr>
      <w:r>
        <w:rPr>
          <w:rFonts w:hint="eastAsia" w:ascii="宋体" w:hAnsi="宋体" w:cs="宋体"/>
          <w:b/>
          <w:bCs/>
          <w:sz w:val="24"/>
          <w:szCs w:val="24"/>
        </w:rPr>
        <w:t>21．迟交的投标文件</w:t>
      </w:r>
    </w:p>
    <w:p w14:paraId="2A899D20">
      <w:pPr>
        <w:snapToGrid w:val="0"/>
        <w:spacing w:line="440" w:lineRule="exact"/>
        <w:ind w:firstLine="480" w:firstLineChars="200"/>
        <w:rPr>
          <w:rFonts w:ascii="宋体" w:hAnsi="宋体" w:cs="宋体"/>
          <w:sz w:val="24"/>
          <w:szCs w:val="24"/>
        </w:rPr>
      </w:pPr>
      <w:r>
        <w:rPr>
          <w:rFonts w:hint="eastAsia" w:ascii="宋体" w:hAnsi="宋体" w:cs="宋体"/>
          <w:sz w:val="24"/>
          <w:szCs w:val="24"/>
        </w:rPr>
        <w:t>21.1 本须知前附表第17项规定的投标截止时间</w:t>
      </w:r>
      <w:r>
        <w:rPr>
          <w:rFonts w:hint="eastAsia" w:ascii="宋体" w:hAnsi="宋体" w:cs="宋体"/>
          <w:bCs/>
          <w:sz w:val="24"/>
          <w:szCs w:val="24"/>
        </w:rPr>
        <w:t>后送达的电子投标文件，</w:t>
      </w:r>
      <w:r>
        <w:rPr>
          <w:rFonts w:hint="eastAsia" w:ascii="宋体" w:hAnsi="宋体" w:cs="宋体"/>
          <w:sz w:val="24"/>
          <w:szCs w:val="24"/>
          <w:u w:val="single"/>
        </w:rPr>
        <w:t xml:space="preserve">       </w:t>
      </w:r>
      <w:r>
        <w:rPr>
          <w:rFonts w:hint="eastAsia" w:ascii="宋体" w:hAnsi="宋体" w:cs="宋体"/>
          <w:sz w:val="24"/>
          <w:szCs w:val="24"/>
        </w:rPr>
        <w:t>交易平台将予以拒收。</w:t>
      </w:r>
    </w:p>
    <w:p w14:paraId="6B26A1B4">
      <w:pPr>
        <w:snapToGrid w:val="0"/>
        <w:spacing w:line="440" w:lineRule="exact"/>
        <w:ind w:firstLine="482" w:firstLineChars="200"/>
        <w:rPr>
          <w:rFonts w:ascii="宋体" w:hAnsi="宋体" w:cs="宋体"/>
          <w:b/>
          <w:bCs/>
          <w:sz w:val="24"/>
          <w:szCs w:val="24"/>
        </w:rPr>
      </w:pPr>
      <w:r>
        <w:rPr>
          <w:rFonts w:hint="eastAsia" w:ascii="宋体" w:hAnsi="宋体" w:cs="宋体"/>
          <w:b/>
          <w:bCs/>
          <w:sz w:val="24"/>
          <w:szCs w:val="24"/>
        </w:rPr>
        <w:t>22．投标文件的修改与撤回</w:t>
      </w:r>
    </w:p>
    <w:p w14:paraId="6EE94245">
      <w:pPr>
        <w:snapToGrid w:val="0"/>
        <w:spacing w:line="440" w:lineRule="exact"/>
        <w:ind w:firstLine="480" w:firstLineChars="200"/>
        <w:rPr>
          <w:rFonts w:ascii="宋体" w:hAnsi="宋体" w:cs="宋体"/>
          <w:sz w:val="24"/>
          <w:szCs w:val="24"/>
        </w:rPr>
      </w:pPr>
      <w:r>
        <w:rPr>
          <w:rFonts w:hint="eastAsia" w:ascii="宋体" w:hAnsi="宋体" w:cs="宋体"/>
          <w:sz w:val="24"/>
          <w:szCs w:val="24"/>
        </w:rPr>
        <w:t>22.1在规定的投标截止时间前，投标人可以修改或撤回已递交的投标文件，但应以书面形式通知招标人。</w:t>
      </w:r>
    </w:p>
    <w:p w14:paraId="0E5DEA4D">
      <w:pPr>
        <w:snapToGrid w:val="0"/>
        <w:spacing w:line="440" w:lineRule="exact"/>
        <w:ind w:firstLine="480" w:firstLineChars="200"/>
        <w:rPr>
          <w:rFonts w:ascii="宋体" w:hAnsi="宋体" w:cs="宋体"/>
          <w:sz w:val="24"/>
          <w:szCs w:val="24"/>
        </w:rPr>
      </w:pPr>
      <w:r>
        <w:rPr>
          <w:rFonts w:hint="eastAsia" w:ascii="宋体" w:hAnsi="宋体" w:cs="宋体"/>
          <w:sz w:val="24"/>
          <w:szCs w:val="24"/>
        </w:rPr>
        <w:t>22.2投标人修改或撤回已递交的投标文件，需在交易平台发出修改或撤回通知，并按要求加盖电子印章。</w:t>
      </w:r>
      <w:r>
        <w:rPr>
          <w:rFonts w:hint="eastAsia" w:ascii="宋体" w:hAnsi="宋体" w:cs="宋体"/>
          <w:bCs/>
          <w:iCs/>
          <w:sz w:val="24"/>
          <w:szCs w:val="24"/>
        </w:rPr>
        <w:t>电子招标投标交易平台收到通知后，</w:t>
      </w:r>
      <w:r>
        <w:rPr>
          <w:rFonts w:hint="eastAsia" w:ascii="宋体" w:hAnsi="宋体" w:cs="宋体"/>
          <w:sz w:val="24"/>
          <w:szCs w:val="24"/>
        </w:rPr>
        <w:t>即时向投标人发出确认回执通知。</w:t>
      </w:r>
    </w:p>
    <w:p w14:paraId="4201C958">
      <w:pPr>
        <w:snapToGrid w:val="0"/>
        <w:spacing w:line="440" w:lineRule="exact"/>
        <w:ind w:firstLine="480" w:firstLineChars="200"/>
        <w:rPr>
          <w:rFonts w:ascii="宋体" w:hAnsi="宋体" w:cs="宋体"/>
          <w:sz w:val="24"/>
          <w:szCs w:val="24"/>
        </w:rPr>
      </w:pPr>
      <w:r>
        <w:rPr>
          <w:rFonts w:hint="eastAsia" w:ascii="宋体" w:hAnsi="宋体" w:cs="宋体"/>
          <w:sz w:val="24"/>
          <w:szCs w:val="24"/>
        </w:rPr>
        <w:t>22.3修改后再次递交的，按19点的规定执行。</w:t>
      </w:r>
    </w:p>
    <w:p w14:paraId="76D354CE">
      <w:pPr>
        <w:snapToGrid w:val="0"/>
        <w:spacing w:line="440" w:lineRule="exact"/>
        <w:ind w:firstLine="480" w:firstLineChars="200"/>
        <w:rPr>
          <w:rFonts w:ascii="宋体" w:hAnsi="宋体" w:cs="宋体"/>
          <w:sz w:val="24"/>
          <w:szCs w:val="24"/>
        </w:rPr>
      </w:pPr>
      <w:r>
        <w:rPr>
          <w:rFonts w:hint="eastAsia" w:ascii="宋体" w:hAnsi="宋体" w:cs="宋体"/>
          <w:sz w:val="24"/>
          <w:szCs w:val="24"/>
        </w:rPr>
        <w:t>22.4 在投标截止时间之后，投标人不得补充、修改和更换投标文件。</w:t>
      </w:r>
    </w:p>
    <w:p w14:paraId="591480E1">
      <w:pPr>
        <w:pStyle w:val="7"/>
        <w:snapToGrid w:val="0"/>
        <w:spacing w:before="0" w:beforeAutospacing="0" w:after="0" w:afterAutospacing="0" w:line="440" w:lineRule="exact"/>
        <w:rPr>
          <w:rFonts w:hAnsi="宋体" w:cs="宋体"/>
          <w:sz w:val="24"/>
          <w:szCs w:val="24"/>
        </w:rPr>
      </w:pPr>
      <w:bookmarkStart w:id="18" w:name="_Toc2272553"/>
      <w:bookmarkStart w:id="19" w:name="_Toc21525497"/>
      <w:bookmarkStart w:id="20" w:name="_Toc20628"/>
      <w:r>
        <w:rPr>
          <w:rFonts w:hint="eastAsia" w:hAnsi="宋体" w:cs="宋体"/>
          <w:sz w:val="24"/>
          <w:szCs w:val="24"/>
        </w:rPr>
        <w:t>（五）开标、评标、定标及合同签定</w:t>
      </w:r>
      <w:bookmarkEnd w:id="18"/>
      <w:bookmarkEnd w:id="19"/>
      <w:bookmarkEnd w:id="20"/>
    </w:p>
    <w:p w14:paraId="25D86602">
      <w:pPr>
        <w:snapToGrid w:val="0"/>
        <w:spacing w:line="440" w:lineRule="exact"/>
        <w:ind w:firstLine="482" w:firstLineChars="200"/>
        <w:rPr>
          <w:rFonts w:ascii="宋体" w:hAnsi="宋体" w:cs="宋体"/>
          <w:b/>
          <w:bCs/>
          <w:sz w:val="24"/>
          <w:szCs w:val="24"/>
        </w:rPr>
      </w:pPr>
      <w:r>
        <w:rPr>
          <w:rFonts w:hint="eastAsia" w:ascii="宋体" w:hAnsi="宋体" w:cs="宋体"/>
          <w:b/>
          <w:bCs/>
          <w:sz w:val="24"/>
          <w:szCs w:val="24"/>
        </w:rPr>
        <w:t>23、开标。</w:t>
      </w:r>
    </w:p>
    <w:p w14:paraId="620FEFB8">
      <w:pPr>
        <w:snapToGrid w:val="0"/>
        <w:spacing w:line="440" w:lineRule="exact"/>
        <w:ind w:firstLine="480" w:firstLineChars="200"/>
        <w:rPr>
          <w:rFonts w:ascii="宋体" w:hAnsi="宋体" w:cs="宋体"/>
          <w:sz w:val="24"/>
          <w:szCs w:val="24"/>
        </w:rPr>
      </w:pPr>
      <w:r>
        <w:rPr>
          <w:rFonts w:hint="eastAsia" w:ascii="宋体" w:hAnsi="宋体" w:cs="宋体"/>
          <w:sz w:val="24"/>
          <w:szCs w:val="24"/>
        </w:rPr>
        <w:t>详见第二章开标、评标及定标办法</w:t>
      </w:r>
    </w:p>
    <w:p w14:paraId="3F1B8239">
      <w:pPr>
        <w:snapToGrid w:val="0"/>
        <w:spacing w:line="440" w:lineRule="exact"/>
        <w:ind w:firstLine="482" w:firstLineChars="200"/>
        <w:rPr>
          <w:rFonts w:ascii="宋体" w:hAnsi="宋体" w:cs="宋体"/>
          <w:b/>
          <w:bCs/>
          <w:sz w:val="24"/>
          <w:szCs w:val="24"/>
        </w:rPr>
      </w:pPr>
      <w:r>
        <w:rPr>
          <w:rFonts w:hint="eastAsia" w:ascii="宋体" w:hAnsi="宋体" w:cs="宋体"/>
          <w:b/>
          <w:bCs/>
          <w:sz w:val="24"/>
          <w:szCs w:val="24"/>
        </w:rPr>
        <w:t>24．评标过程的保密</w:t>
      </w:r>
    </w:p>
    <w:p w14:paraId="7110B398">
      <w:pPr>
        <w:snapToGrid w:val="0"/>
        <w:spacing w:line="440" w:lineRule="exact"/>
        <w:ind w:firstLine="480" w:firstLineChars="200"/>
        <w:rPr>
          <w:rFonts w:ascii="宋体" w:hAnsi="宋体" w:cs="宋体"/>
          <w:sz w:val="24"/>
          <w:szCs w:val="24"/>
        </w:rPr>
      </w:pPr>
      <w:r>
        <w:rPr>
          <w:rFonts w:hint="eastAsia" w:ascii="宋体" w:hAnsi="宋体" w:cs="宋体"/>
          <w:sz w:val="24"/>
          <w:szCs w:val="24"/>
        </w:rPr>
        <w:t>24.1 开标后，直至中标公示为止，凡属于对投标文件的审查、澄清、评价和比较有关的资料以及中标候选人的推荐情况，与评标有关的其他任何情况均严格保密。</w:t>
      </w:r>
    </w:p>
    <w:p w14:paraId="42F9B83F">
      <w:pPr>
        <w:snapToGrid w:val="0"/>
        <w:spacing w:line="440" w:lineRule="exact"/>
        <w:ind w:firstLine="480" w:firstLineChars="200"/>
        <w:rPr>
          <w:rFonts w:ascii="宋体" w:hAnsi="宋体" w:cs="宋体"/>
          <w:sz w:val="24"/>
          <w:szCs w:val="24"/>
        </w:rPr>
      </w:pPr>
      <w:r>
        <w:rPr>
          <w:rFonts w:hint="eastAsia" w:ascii="宋体" w:hAnsi="宋体" w:cs="宋体"/>
          <w:sz w:val="24"/>
          <w:szCs w:val="24"/>
        </w:rPr>
        <w:t>24.2 在投标文件的评审和比较、中标候选人推荐以及授予合同的过程中，投标人向招标人和评标委员会施加不公正影响的任何行为，都将会导致其投标被拒绝。</w:t>
      </w:r>
    </w:p>
    <w:p w14:paraId="6E152D2A">
      <w:pPr>
        <w:snapToGrid w:val="0"/>
        <w:spacing w:line="440" w:lineRule="exact"/>
        <w:ind w:firstLine="482" w:firstLineChars="200"/>
        <w:rPr>
          <w:rFonts w:ascii="宋体" w:hAnsi="宋体" w:cs="宋体"/>
          <w:b/>
          <w:bCs/>
          <w:sz w:val="24"/>
          <w:szCs w:val="24"/>
        </w:rPr>
      </w:pPr>
      <w:r>
        <w:rPr>
          <w:rFonts w:hint="eastAsia" w:ascii="宋体" w:hAnsi="宋体" w:cs="宋体"/>
          <w:b/>
          <w:bCs/>
          <w:sz w:val="24"/>
          <w:szCs w:val="24"/>
        </w:rPr>
        <w:t>25．投标文件的澄清，计算错误的修正</w:t>
      </w:r>
    </w:p>
    <w:p w14:paraId="01A31105">
      <w:pPr>
        <w:snapToGrid w:val="0"/>
        <w:spacing w:line="440" w:lineRule="exact"/>
        <w:ind w:firstLine="480" w:firstLineChars="200"/>
        <w:rPr>
          <w:rFonts w:ascii="宋体" w:hAnsi="宋体" w:cs="宋体"/>
          <w:sz w:val="24"/>
          <w:szCs w:val="24"/>
        </w:rPr>
      </w:pPr>
      <w:r>
        <w:rPr>
          <w:rFonts w:hint="eastAsia" w:ascii="宋体" w:hAnsi="宋体" w:cs="宋体"/>
          <w:sz w:val="24"/>
          <w:szCs w:val="24"/>
        </w:rPr>
        <w:t>详见招标文件第二章开标、评标及定标办法</w:t>
      </w:r>
    </w:p>
    <w:p w14:paraId="11751965">
      <w:pPr>
        <w:snapToGrid w:val="0"/>
        <w:spacing w:line="440" w:lineRule="exact"/>
        <w:ind w:firstLine="482" w:firstLineChars="200"/>
        <w:rPr>
          <w:rFonts w:ascii="宋体" w:hAnsi="宋体" w:cs="宋体"/>
          <w:b/>
          <w:bCs/>
          <w:sz w:val="24"/>
          <w:szCs w:val="24"/>
        </w:rPr>
      </w:pPr>
      <w:r>
        <w:rPr>
          <w:rFonts w:hint="eastAsia" w:ascii="宋体" w:hAnsi="宋体" w:cs="宋体"/>
          <w:b/>
          <w:bCs/>
          <w:sz w:val="24"/>
          <w:szCs w:val="24"/>
        </w:rPr>
        <w:t>26．投标文件的评审、比较和否决</w:t>
      </w:r>
    </w:p>
    <w:p w14:paraId="2F15A3EF">
      <w:pPr>
        <w:snapToGrid w:val="0"/>
        <w:spacing w:line="440" w:lineRule="exact"/>
        <w:ind w:firstLine="480" w:firstLineChars="200"/>
        <w:rPr>
          <w:rFonts w:ascii="宋体" w:hAnsi="宋体" w:cs="宋体"/>
          <w:bCs/>
          <w:sz w:val="24"/>
          <w:szCs w:val="24"/>
        </w:rPr>
      </w:pPr>
      <w:r>
        <w:rPr>
          <w:rFonts w:hint="eastAsia" w:ascii="宋体" w:hAnsi="宋体" w:cs="宋体"/>
          <w:sz w:val="24"/>
          <w:szCs w:val="24"/>
        </w:rPr>
        <w:t>详见招标文件第二章开标、评标及定标办法。</w:t>
      </w:r>
    </w:p>
    <w:p w14:paraId="7EA9D9F7">
      <w:pPr>
        <w:snapToGrid w:val="0"/>
        <w:spacing w:line="440" w:lineRule="exact"/>
        <w:ind w:firstLine="482" w:firstLineChars="200"/>
        <w:rPr>
          <w:rFonts w:ascii="宋体" w:hAnsi="宋体" w:cs="宋体"/>
          <w:b/>
          <w:bCs/>
          <w:sz w:val="24"/>
          <w:szCs w:val="24"/>
        </w:rPr>
      </w:pPr>
      <w:r>
        <w:rPr>
          <w:rFonts w:hint="eastAsia" w:ascii="宋体" w:hAnsi="宋体" w:cs="宋体"/>
          <w:b/>
          <w:bCs/>
          <w:sz w:val="24"/>
          <w:szCs w:val="24"/>
        </w:rPr>
        <w:t>27．中标通知书</w:t>
      </w:r>
    </w:p>
    <w:p w14:paraId="4DDC217A">
      <w:pPr>
        <w:snapToGrid w:val="0"/>
        <w:spacing w:line="440" w:lineRule="exact"/>
        <w:ind w:firstLine="480" w:firstLineChars="200"/>
        <w:rPr>
          <w:rFonts w:ascii="宋体" w:hAnsi="宋体" w:cs="宋体"/>
          <w:sz w:val="24"/>
          <w:szCs w:val="24"/>
        </w:rPr>
      </w:pPr>
      <w:r>
        <w:rPr>
          <w:rFonts w:hint="eastAsia" w:ascii="宋体" w:hAnsi="宋体" w:cs="宋体"/>
          <w:sz w:val="24"/>
          <w:szCs w:val="24"/>
        </w:rPr>
        <w:t>27.1招标人将在</w:t>
      </w:r>
      <w:r>
        <w:rPr>
          <w:rFonts w:hint="eastAsia" w:ascii="宋体" w:hAnsi="宋体" w:cs="宋体"/>
          <w:sz w:val="24"/>
          <w:szCs w:val="24"/>
          <w:u w:val="single"/>
        </w:rPr>
        <w:t xml:space="preserve">        </w:t>
      </w:r>
      <w:r>
        <w:rPr>
          <w:rFonts w:hint="eastAsia" w:ascii="宋体" w:hAnsi="宋体" w:cs="宋体"/>
          <w:sz w:val="24"/>
          <w:szCs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4B5303B">
      <w:pPr>
        <w:snapToGrid w:val="0"/>
        <w:spacing w:line="440" w:lineRule="exact"/>
        <w:ind w:firstLine="480" w:firstLineChars="200"/>
        <w:rPr>
          <w:rFonts w:ascii="宋体" w:hAnsi="宋体" w:cs="宋体"/>
          <w:sz w:val="24"/>
          <w:szCs w:val="24"/>
        </w:rPr>
      </w:pPr>
      <w:r>
        <w:rPr>
          <w:rFonts w:hint="eastAsia" w:ascii="宋体" w:hAnsi="宋体" w:cs="宋体"/>
          <w:sz w:val="24"/>
          <w:szCs w:val="24"/>
        </w:rPr>
        <w:t>27.2招标人应当自确定中标人后，向招标投标监管机构提交招标投标情况的书面报告；经招投标监管机构备案后，方可发出中标通知书。</w:t>
      </w:r>
    </w:p>
    <w:p w14:paraId="7AB4A67F">
      <w:pPr>
        <w:snapToGrid w:val="0"/>
        <w:spacing w:line="440" w:lineRule="exact"/>
        <w:ind w:firstLine="480" w:firstLineChars="200"/>
        <w:rPr>
          <w:rFonts w:ascii="宋体" w:hAnsi="宋体" w:cs="宋体"/>
          <w:sz w:val="24"/>
          <w:szCs w:val="24"/>
        </w:rPr>
      </w:pPr>
      <w:r>
        <w:rPr>
          <w:rFonts w:hint="eastAsia" w:ascii="宋体" w:hAnsi="宋体" w:cs="宋体"/>
          <w:sz w:val="24"/>
          <w:szCs w:val="24"/>
        </w:rPr>
        <w:t>27.3中标人必须在收到中标通知书后24小时之内以书面形式回复招标人，确认收到。</w:t>
      </w:r>
    </w:p>
    <w:p w14:paraId="71A021F0">
      <w:pPr>
        <w:snapToGrid w:val="0"/>
        <w:spacing w:line="440" w:lineRule="exact"/>
        <w:ind w:firstLine="480" w:firstLineChars="200"/>
        <w:rPr>
          <w:rFonts w:ascii="宋体" w:hAnsi="宋体" w:cs="宋体"/>
          <w:sz w:val="24"/>
          <w:szCs w:val="24"/>
        </w:rPr>
      </w:pPr>
      <w:r>
        <w:rPr>
          <w:rFonts w:hint="eastAsia" w:ascii="宋体" w:hAnsi="宋体" w:cs="宋体"/>
          <w:sz w:val="24"/>
          <w:szCs w:val="24"/>
        </w:rPr>
        <w:t>27.4在产生中标候选人后，招标人将中标候选人的投标文件商务部分文件的所有内容（包括人员、业绩、奖项等资料）在</w:t>
      </w:r>
      <w:r>
        <w:rPr>
          <w:rFonts w:hint="eastAsia" w:ascii="宋体" w:hAnsi="宋体" w:cs="宋体"/>
          <w:sz w:val="24"/>
          <w:szCs w:val="24"/>
          <w:u w:val="single"/>
        </w:rPr>
        <w:t xml:space="preserve">        </w:t>
      </w:r>
      <w:r>
        <w:rPr>
          <w:rFonts w:hint="eastAsia" w:ascii="宋体" w:hAnsi="宋体" w:cs="宋体"/>
          <w:sz w:val="24"/>
          <w:szCs w:val="24"/>
        </w:rPr>
        <w:t>交易平台和广东省招标投标监管网公开。</w:t>
      </w:r>
    </w:p>
    <w:p w14:paraId="7873839C">
      <w:pPr>
        <w:snapToGrid w:val="0"/>
        <w:spacing w:line="440" w:lineRule="exact"/>
        <w:ind w:firstLine="482" w:firstLineChars="200"/>
        <w:rPr>
          <w:rFonts w:ascii="宋体" w:hAnsi="宋体" w:cs="宋体"/>
          <w:b/>
          <w:bCs/>
          <w:sz w:val="24"/>
          <w:szCs w:val="24"/>
        </w:rPr>
      </w:pPr>
      <w:r>
        <w:rPr>
          <w:rFonts w:hint="eastAsia" w:ascii="宋体" w:hAnsi="宋体" w:cs="宋体"/>
          <w:b/>
          <w:bCs/>
          <w:sz w:val="24"/>
          <w:szCs w:val="24"/>
        </w:rPr>
        <w:t>28．合同协议书的签订</w:t>
      </w:r>
    </w:p>
    <w:p w14:paraId="0F9B1B75">
      <w:pPr>
        <w:snapToGrid w:val="0"/>
        <w:spacing w:line="440" w:lineRule="exact"/>
        <w:ind w:firstLine="480" w:firstLineChars="200"/>
        <w:rPr>
          <w:rFonts w:ascii="宋体" w:hAnsi="宋体" w:cs="宋体"/>
          <w:sz w:val="24"/>
          <w:szCs w:val="24"/>
        </w:rPr>
      </w:pPr>
      <w:r>
        <w:rPr>
          <w:rFonts w:hint="eastAsia" w:ascii="宋体" w:hAnsi="宋体" w:cs="宋体"/>
          <w:sz w:val="24"/>
          <w:szCs w:val="24"/>
        </w:rPr>
        <w:t>28.1 招标人与中标人将于中标通知书发出之日起30日内，按照招标文件和中标人的投标文件商定和签订合同，招标人和中标人不得再行订立背离合同实质性内容的其他协议。</w:t>
      </w:r>
    </w:p>
    <w:p w14:paraId="500551BE">
      <w:pPr>
        <w:snapToGrid w:val="0"/>
        <w:spacing w:line="440" w:lineRule="exact"/>
        <w:ind w:firstLine="480" w:firstLineChars="200"/>
        <w:rPr>
          <w:rFonts w:ascii="宋体" w:hAnsi="宋体" w:cs="宋体"/>
          <w:sz w:val="24"/>
          <w:szCs w:val="24"/>
        </w:rPr>
      </w:pPr>
      <w:r>
        <w:rPr>
          <w:rFonts w:hint="eastAsia" w:ascii="宋体" w:hAnsi="宋体" w:cs="宋体"/>
          <w:sz w:val="24"/>
          <w:szCs w:val="24"/>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4B9E715">
      <w:pPr>
        <w:snapToGrid w:val="0"/>
        <w:spacing w:line="440" w:lineRule="exact"/>
        <w:ind w:firstLine="480" w:firstLineChars="200"/>
        <w:rPr>
          <w:rFonts w:ascii="宋体" w:hAnsi="宋体" w:cs="宋体"/>
          <w:sz w:val="24"/>
          <w:szCs w:val="24"/>
        </w:rPr>
      </w:pPr>
      <w:r>
        <w:rPr>
          <w:rFonts w:hint="eastAsia" w:ascii="宋体" w:hAnsi="宋体" w:cs="宋体"/>
          <w:sz w:val="24"/>
          <w:szCs w:val="24"/>
        </w:rPr>
        <w:t>28.3非经招标人同意，中标人在投标过程中使用的银行名称及帐号至完成竣工结算不得变更，否则招标人有权停止工程款项的拔付及至解除合同，由此造成的一切责任由中标人承担。</w:t>
      </w:r>
    </w:p>
    <w:p w14:paraId="1B3482D9">
      <w:pPr>
        <w:snapToGrid w:val="0"/>
        <w:spacing w:line="440" w:lineRule="exact"/>
        <w:ind w:firstLine="480" w:firstLineChars="200"/>
        <w:rPr>
          <w:rFonts w:ascii="宋体" w:hAnsi="宋体" w:cs="宋体"/>
          <w:sz w:val="24"/>
          <w:szCs w:val="24"/>
        </w:rPr>
      </w:pPr>
      <w:r>
        <w:rPr>
          <w:rFonts w:hint="eastAsia" w:ascii="宋体" w:hAnsi="宋体" w:cs="宋体"/>
          <w:sz w:val="24"/>
          <w:szCs w:val="24"/>
        </w:rPr>
        <w:t>28.4招标人支付工程款时，中标人应按规定开具发票。</w:t>
      </w:r>
    </w:p>
    <w:p w14:paraId="5D888394">
      <w:pPr>
        <w:snapToGrid w:val="0"/>
        <w:spacing w:line="440" w:lineRule="exact"/>
        <w:ind w:firstLine="482" w:firstLineChars="200"/>
        <w:rPr>
          <w:rFonts w:ascii="宋体" w:hAnsi="宋体" w:cs="宋体"/>
          <w:b/>
          <w:bCs/>
          <w:sz w:val="24"/>
          <w:szCs w:val="24"/>
        </w:rPr>
      </w:pPr>
      <w:r>
        <w:rPr>
          <w:rFonts w:hint="eastAsia" w:ascii="宋体" w:hAnsi="宋体" w:cs="宋体"/>
          <w:b/>
          <w:bCs/>
          <w:sz w:val="24"/>
          <w:szCs w:val="24"/>
        </w:rPr>
        <w:t>29．履约担保</w:t>
      </w:r>
    </w:p>
    <w:p w14:paraId="51E5A456">
      <w:pPr>
        <w:snapToGrid w:val="0"/>
        <w:spacing w:line="440" w:lineRule="exact"/>
        <w:ind w:firstLine="480" w:firstLineChars="200"/>
        <w:rPr>
          <w:rFonts w:ascii="宋体" w:hAnsi="宋体" w:cs="宋体"/>
          <w:sz w:val="24"/>
          <w:szCs w:val="24"/>
        </w:rPr>
      </w:pPr>
      <w:r>
        <w:rPr>
          <w:rFonts w:hint="eastAsia" w:ascii="宋体" w:hAnsi="宋体" w:cs="宋体"/>
          <w:sz w:val="24"/>
          <w:szCs w:val="24"/>
        </w:rPr>
        <w:t>29.1 在收到中标通知书后的15日内，中标人应按本须知前附表第20项的规定向招标人提交履约担保。</w:t>
      </w:r>
    </w:p>
    <w:p w14:paraId="3A8964F5">
      <w:pPr>
        <w:snapToGrid w:val="0"/>
        <w:spacing w:line="440" w:lineRule="exact"/>
        <w:ind w:firstLine="480" w:firstLineChars="200"/>
        <w:rPr>
          <w:rFonts w:ascii="宋体" w:hAnsi="宋体" w:cs="宋体"/>
          <w:sz w:val="24"/>
          <w:szCs w:val="24"/>
        </w:rPr>
      </w:pPr>
      <w:r>
        <w:rPr>
          <w:rFonts w:hint="eastAsia" w:ascii="宋体" w:hAnsi="宋体" w:cs="宋体"/>
          <w:sz w:val="24"/>
          <w:szCs w:val="24"/>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0AB54D4">
      <w:pPr>
        <w:snapToGrid w:val="0"/>
        <w:spacing w:line="440" w:lineRule="exact"/>
        <w:ind w:firstLine="482" w:firstLineChars="200"/>
        <w:rPr>
          <w:rFonts w:ascii="宋体" w:hAnsi="宋体" w:cs="宋体"/>
          <w:b/>
          <w:bCs/>
          <w:sz w:val="24"/>
          <w:szCs w:val="24"/>
        </w:rPr>
      </w:pPr>
      <w:r>
        <w:rPr>
          <w:rFonts w:hint="eastAsia" w:ascii="宋体" w:hAnsi="宋体" w:cs="宋体"/>
          <w:b/>
          <w:bCs/>
          <w:sz w:val="24"/>
          <w:szCs w:val="24"/>
        </w:rPr>
        <w:t>30．合同生效</w:t>
      </w:r>
    </w:p>
    <w:p w14:paraId="11052BCC">
      <w:pPr>
        <w:snapToGrid w:val="0"/>
        <w:spacing w:line="440" w:lineRule="exact"/>
        <w:ind w:firstLine="480" w:firstLineChars="200"/>
        <w:rPr>
          <w:rFonts w:ascii="宋体" w:hAnsi="宋体" w:cs="宋体"/>
          <w:sz w:val="24"/>
          <w:szCs w:val="24"/>
        </w:rPr>
      </w:pPr>
      <w:r>
        <w:rPr>
          <w:rFonts w:hint="eastAsia" w:ascii="宋体" w:hAnsi="宋体" w:cs="宋体"/>
          <w:sz w:val="24"/>
          <w:szCs w:val="24"/>
        </w:rPr>
        <w:t>30.1在合同双方全权代表在合同协议书上签字，并分别加盖双方单位的公章后，合同正式生效。</w:t>
      </w:r>
    </w:p>
    <w:p w14:paraId="3D773871">
      <w:pPr>
        <w:snapToGrid w:val="0"/>
        <w:spacing w:line="440" w:lineRule="exact"/>
        <w:ind w:firstLine="482" w:firstLineChars="200"/>
        <w:rPr>
          <w:rFonts w:ascii="宋体" w:hAnsi="宋体" w:cs="宋体"/>
          <w:b/>
          <w:bCs/>
          <w:sz w:val="24"/>
          <w:szCs w:val="24"/>
        </w:rPr>
      </w:pPr>
      <w:r>
        <w:rPr>
          <w:rFonts w:hint="eastAsia" w:ascii="宋体" w:hAnsi="宋体" w:cs="宋体"/>
          <w:b/>
          <w:bCs/>
          <w:sz w:val="24"/>
          <w:szCs w:val="24"/>
        </w:rPr>
        <w:t>31．其它费用</w:t>
      </w:r>
    </w:p>
    <w:p w14:paraId="5406B4A4">
      <w:pPr>
        <w:pStyle w:val="5"/>
        <w:snapToGrid w:val="0"/>
        <w:spacing w:after="0" w:line="440" w:lineRule="exact"/>
        <w:ind w:firstLine="482" w:firstLineChars="200"/>
        <w:rPr>
          <w:rFonts w:ascii="宋体" w:hAnsi="宋体" w:cs="宋体"/>
          <w:b/>
          <w:bCs/>
          <w:sz w:val="24"/>
          <w:szCs w:val="24"/>
        </w:rPr>
      </w:pPr>
      <w:r>
        <w:rPr>
          <w:rFonts w:hint="eastAsia" w:ascii="宋体" w:hAnsi="宋体" w:cs="宋体"/>
          <w:b/>
          <w:bCs/>
          <w:sz w:val="24"/>
          <w:szCs w:val="24"/>
        </w:rPr>
        <w:t>32．腐败与欺诈行为</w:t>
      </w:r>
    </w:p>
    <w:p w14:paraId="01967109">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在招标和合同实施期间，招标人要求投标人和承包人遵守最高的道德标准。</w:t>
      </w:r>
    </w:p>
    <w:p w14:paraId="7C4D9521">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32．1对本条款的规定，特定义如下词汇：</w:t>
      </w:r>
    </w:p>
    <w:p w14:paraId="7BA09E80">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1）、“腐败行为”是指在招标或合同执行期间，通过提供、给予、接受或索要任何有价值的东西，从而影响招标人有关人员工作的行为；</w:t>
      </w:r>
    </w:p>
    <w:p w14:paraId="3002FC55">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5EEFE066">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32．2如果投标人被认定在本招标的竞争中有腐败或欺诈行为，则会被取消投标资格。</w:t>
      </w:r>
    </w:p>
    <w:p w14:paraId="699D43DF">
      <w:pPr>
        <w:pStyle w:val="5"/>
        <w:snapToGrid w:val="0"/>
        <w:spacing w:after="0" w:line="440" w:lineRule="exact"/>
        <w:ind w:firstLine="480" w:firstLineChars="200"/>
        <w:rPr>
          <w:rFonts w:ascii="宋体" w:hAnsi="宋体" w:cs="宋体"/>
          <w:sz w:val="24"/>
          <w:szCs w:val="24"/>
        </w:rPr>
      </w:pPr>
      <w:r>
        <w:rPr>
          <w:rFonts w:hint="eastAsia" w:ascii="宋体" w:hAnsi="宋体" w:cs="宋体"/>
          <w:sz w:val="24"/>
          <w:szCs w:val="24"/>
        </w:rPr>
        <w:t>32.3投标人如在本项目中存在串通投标、弄虚作假骗取中标、行贿情形的，中标无效，行政监督部门将对其违法行为进行政处罚。该投标人将被招标人列入黑名单并限制其参与招标人后续项目的投标。</w:t>
      </w:r>
    </w:p>
    <w:p w14:paraId="0A8FD072">
      <w:pPr>
        <w:pStyle w:val="3"/>
        <w:spacing w:before="0" w:after="0"/>
        <w:jc w:val="center"/>
        <w:rPr>
          <w:rFonts w:ascii="宋体" w:hAnsi="宋体" w:cs="宋体"/>
        </w:rPr>
      </w:pPr>
      <w:r>
        <w:rPr>
          <w:rFonts w:hint="eastAsia" w:ascii="宋体" w:hAnsi="宋体" w:cs="宋体"/>
          <w:sz w:val="24"/>
        </w:rPr>
        <w:br w:type="page"/>
      </w:r>
      <w:bookmarkStart w:id="21" w:name="_Toc27994"/>
      <w:r>
        <w:rPr>
          <w:rFonts w:hint="eastAsia" w:ascii="宋体" w:hAnsi="宋体" w:cs="宋体"/>
          <w:sz w:val="32"/>
          <w:szCs w:val="32"/>
        </w:rPr>
        <w:t>第二章  开标、评标及定标办法</w:t>
      </w:r>
      <w:bookmarkEnd w:id="21"/>
    </w:p>
    <w:p w14:paraId="0984D775">
      <w:pPr>
        <w:pStyle w:val="6"/>
        <w:spacing w:before="0" w:after="0" w:line="416" w:lineRule="auto"/>
        <w:ind w:left="0"/>
        <w:rPr>
          <w:rFonts w:ascii="宋体" w:hAnsi="宋体" w:cs="宋体"/>
          <w:color w:val="auto"/>
          <w:sz w:val="28"/>
          <w:szCs w:val="28"/>
        </w:rPr>
      </w:pPr>
      <w:bookmarkStart w:id="22" w:name="_Toc8427"/>
      <w:r>
        <w:rPr>
          <w:rFonts w:hint="eastAsia" w:ascii="宋体" w:hAnsi="宋体" w:cs="宋体"/>
          <w:color w:val="auto"/>
          <w:sz w:val="28"/>
          <w:szCs w:val="28"/>
        </w:rPr>
        <w:t>一、开标、评标及定标办法修改表</w:t>
      </w:r>
      <w:bookmarkEnd w:id="22"/>
    </w:p>
    <w:p w14:paraId="6ED9E872">
      <w:pPr>
        <w:pStyle w:val="5"/>
        <w:snapToGrid w:val="0"/>
        <w:spacing w:after="0" w:line="440" w:lineRule="exact"/>
        <w:ind w:firstLine="482" w:firstLineChars="200"/>
        <w:jc w:val="left"/>
        <w:rPr>
          <w:rFonts w:ascii="宋体" w:hAnsi="宋体" w:cs="宋体"/>
          <w:b/>
          <w:sz w:val="24"/>
          <w:szCs w:val="24"/>
        </w:rPr>
      </w:pPr>
      <w:r>
        <w:rPr>
          <w:rFonts w:hint="eastAsia" w:ascii="宋体" w:hAnsi="宋体" w:cs="宋体"/>
          <w:b/>
          <w:sz w:val="24"/>
          <w:szCs w:val="24"/>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4AB26C56">
      <w:pPr>
        <w:wordWrap w:val="0"/>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条款号：35.13          修改类型：增加</w:t>
      </w:r>
    </w:p>
    <w:p w14:paraId="3033F914">
      <w:pPr>
        <w:pBdr>
          <w:bottom w:val="single" w:color="000000" w:sz="6" w:space="1"/>
        </w:pBdr>
        <w:snapToGrid w:val="0"/>
        <w:spacing w:line="440" w:lineRule="exact"/>
        <w:ind w:firstLine="482" w:firstLineChars="200"/>
        <w:jc w:val="left"/>
        <w:rPr>
          <w:rStyle w:val="80"/>
          <w:rFonts w:ascii="宋体" w:hAnsi="宋体" w:cs="宋体"/>
          <w:sz w:val="24"/>
          <w:szCs w:val="24"/>
          <w:u w:val="single"/>
        </w:rPr>
      </w:pPr>
      <w:r>
        <w:rPr>
          <w:rStyle w:val="80"/>
          <w:rFonts w:hint="eastAsia" w:ascii="宋体" w:hAnsi="宋体" w:cs="宋体"/>
          <w:b/>
          <w:sz w:val="24"/>
          <w:szCs w:val="24"/>
        </w:rPr>
        <w:t>现文：</w:t>
      </w:r>
      <w:r>
        <w:rPr>
          <w:rStyle w:val="80"/>
          <w:rFonts w:hint="eastAsia" w:ascii="宋体" w:hAnsi="宋体" w:cs="宋体"/>
          <w:b/>
          <w:bCs/>
          <w:sz w:val="24"/>
          <w:szCs w:val="24"/>
        </w:rPr>
        <w:t>35.13</w:t>
      </w:r>
      <w:r>
        <w:rPr>
          <w:rFonts w:hint="eastAsia" w:ascii="宋体" w:hAnsi="宋体" w:cs="宋体"/>
          <w:sz w:val="24"/>
          <w:szCs w:val="24"/>
          <w:u w:val="single"/>
        </w:rPr>
        <w:t>本项目采用评定分离定标办法，其中：评标采用“通过制”评审，评标委员会对投标文件进行资格审查，再对通过资格审查的投标文件进行</w:t>
      </w:r>
      <w:r>
        <w:rPr>
          <w:rFonts w:hint="eastAsia" w:ascii="宋体" w:hAnsi="宋体" w:cs="宋体"/>
          <w:sz w:val="24"/>
          <w:szCs w:val="24"/>
          <w:u w:val="single"/>
          <w:lang w:bidi="ar"/>
        </w:rPr>
        <w:t>技术标有效性审查和经济标有效性审查</w:t>
      </w:r>
      <w:r>
        <w:rPr>
          <w:rFonts w:hint="eastAsia" w:ascii="宋体" w:hAnsi="宋体" w:cs="宋体"/>
          <w:sz w:val="24"/>
          <w:szCs w:val="24"/>
          <w:u w:val="single"/>
        </w:rPr>
        <w:t>，将通过</w:t>
      </w:r>
      <w:r>
        <w:rPr>
          <w:rFonts w:hint="eastAsia" w:ascii="宋体" w:hAnsi="宋体" w:cs="宋体"/>
          <w:sz w:val="24"/>
          <w:szCs w:val="24"/>
          <w:u w:val="single"/>
          <w:lang w:bidi="ar"/>
        </w:rPr>
        <w:t>技术标有效性审查和经济标有效性审查</w:t>
      </w:r>
      <w:r>
        <w:rPr>
          <w:rFonts w:hint="eastAsia" w:ascii="宋体" w:hAnsi="宋体" w:cs="宋体"/>
          <w:sz w:val="24"/>
          <w:szCs w:val="24"/>
          <w:u w:val="single"/>
        </w:rPr>
        <w:t>的合格投标人全</w:t>
      </w:r>
      <w:r>
        <w:rPr>
          <w:rFonts w:hint="eastAsia" w:ascii="宋体" w:hAnsi="宋体" w:cs="宋体"/>
          <w:sz w:val="24"/>
          <w:szCs w:val="24"/>
          <w:highlight w:val="none"/>
          <w:u w:val="single"/>
        </w:rPr>
        <w:t>部推荐为合格的中标候选人进入定标阶段。定标采用资信因素+方案因素+价格因素</w:t>
      </w:r>
      <w:r>
        <w:rPr>
          <w:rStyle w:val="80"/>
          <w:rFonts w:hint="eastAsia" w:ascii="宋体" w:hAnsi="宋体" w:cs="宋体"/>
          <w:sz w:val="24"/>
          <w:szCs w:val="24"/>
          <w:highlight w:val="none"/>
          <w:u w:val="single"/>
        </w:rPr>
        <w:t>。</w:t>
      </w:r>
    </w:p>
    <w:p w14:paraId="5635893A">
      <w:pPr>
        <w:wordWrap w:val="0"/>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条款号：36.1            修改类型：修改</w:t>
      </w:r>
    </w:p>
    <w:p w14:paraId="7FA9F373">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36.1 招标人按投标须知前附表第18项所规定的时间和地点公开开标，并邀请所有投标人参加。截标后，开标开始时间因故推迟的，相关评标信息仍以原定的开标开始时间的信息为准。</w:t>
      </w:r>
    </w:p>
    <w:p w14:paraId="61BC94C6">
      <w:pPr>
        <w:pBdr>
          <w:bottom w:val="single" w:color="auto" w:sz="6" w:space="1"/>
        </w:pBd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 w:val="24"/>
          <w:szCs w:val="24"/>
          <w:u w:val="single"/>
        </w:rPr>
        <w:t>若投标人不参加开标会的，其投标文件在开标现场的投标人或招标人代表、招标代理机构代表及交易中心代表见证下公开开启、解密、公布，并视同该投标人认可开标结果。</w:t>
      </w:r>
    </w:p>
    <w:p w14:paraId="051E900E">
      <w:pPr>
        <w:wordWrap w:val="0"/>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条款号：36.3                修改类型：删除</w:t>
      </w:r>
    </w:p>
    <w:p w14:paraId="50C4A8E8">
      <w:pPr>
        <w:pBdr>
          <w:bottom w:val="single" w:color="auto" w:sz="6" w:space="1"/>
        </w:pBdr>
        <w:snapToGrid w:val="0"/>
        <w:spacing w:line="440" w:lineRule="exact"/>
        <w:ind w:firstLine="482" w:firstLineChars="200"/>
        <w:jc w:val="left"/>
        <w:rPr>
          <w:rFonts w:ascii="宋体" w:hAnsi="宋体" w:cs="宋体"/>
          <w:bCs/>
          <w:sz w:val="24"/>
          <w:szCs w:val="24"/>
        </w:rPr>
      </w:pPr>
      <w:r>
        <w:rPr>
          <w:rFonts w:hint="eastAsia" w:ascii="宋体" w:hAnsi="宋体" w:cs="宋体"/>
          <w:b/>
          <w:sz w:val="24"/>
          <w:szCs w:val="24"/>
        </w:rPr>
        <w:t>原文：</w:t>
      </w:r>
      <w:r>
        <w:rPr>
          <w:rFonts w:hint="eastAsia" w:ascii="宋体" w:hAnsi="宋体" w:cs="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r>
        <w:rPr>
          <w:rFonts w:hint="eastAsia" w:ascii="宋体" w:hAnsi="宋体" w:cs="宋体"/>
          <w:bCs/>
          <w:sz w:val="24"/>
          <w:szCs w:val="24"/>
        </w:rPr>
        <w:t>。</w:t>
      </w:r>
    </w:p>
    <w:p w14:paraId="0BCCBC66">
      <w:pPr>
        <w:wordWrap w:val="0"/>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条款号：36.4                        修改类型：修改</w:t>
      </w:r>
    </w:p>
    <w:p w14:paraId="64937658">
      <w:pPr>
        <w:pBdr>
          <w:bottom w:val="single" w:color="auto" w:sz="6" w:space="1"/>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36.4若递交投标文件的投标人不足3家，则重新组织招标。（当N个标段同时招标且不允许兼中时，若有效投标人不足N+2家，则重新组织招标）</w:t>
      </w:r>
    </w:p>
    <w:p w14:paraId="2D71EC12">
      <w:pPr>
        <w:pBdr>
          <w:bottom w:val="single" w:color="auto" w:sz="6" w:space="1"/>
        </w:pBd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u w:val="single"/>
        </w:rPr>
        <w:t>36.4若递交投标文件的投标人不足3家，则重新组织招标</w:t>
      </w:r>
      <w:r>
        <w:rPr>
          <w:rFonts w:hint="eastAsia" w:ascii="宋体" w:hAnsi="宋体" w:cs="宋体"/>
          <w:sz w:val="24"/>
          <w:szCs w:val="24"/>
        </w:rPr>
        <w:t>。</w:t>
      </w:r>
    </w:p>
    <w:p w14:paraId="3A0267F3">
      <w:pPr>
        <w:wordWrap w:val="0"/>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条款号：36.5.1                修改类型：修改</w:t>
      </w:r>
    </w:p>
    <w:p w14:paraId="142EA5C6">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36.5.1在投标截止时间后一个小时内，投标人通过</w:t>
      </w:r>
      <w:r>
        <w:rPr>
          <w:rFonts w:hint="eastAsia" w:ascii="宋体" w:hAnsi="宋体" w:cs="宋体"/>
          <w:sz w:val="24"/>
          <w:szCs w:val="24"/>
          <w:u w:val="single"/>
        </w:rPr>
        <w:t xml:space="preserve">        </w:t>
      </w:r>
      <w:r>
        <w:rPr>
          <w:rFonts w:hint="eastAsia" w:ascii="宋体" w:hAnsi="宋体" w:cs="宋体"/>
          <w:sz w:val="24"/>
          <w:szCs w:val="24"/>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3028F567">
      <w:pPr>
        <w:pBdr>
          <w:bottom w:val="single" w:color="auto" w:sz="6" w:space="1"/>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36.5.1在投标截止时间后一个小时内，投标人通过</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交易平台对已递交的电子投标文件进行解密。投标人完成解密后，再由</w:t>
      </w:r>
      <w:r>
        <w:rPr>
          <w:rFonts w:hint="eastAsia" w:ascii="宋体" w:hAnsi="宋体" w:cs="宋体"/>
          <w:sz w:val="24"/>
          <w:szCs w:val="24"/>
          <w:u w:val="single"/>
        </w:rPr>
        <w:t>招标人或招标代理机构</w:t>
      </w:r>
      <w:r>
        <w:rPr>
          <w:rFonts w:hint="eastAsia" w:ascii="宋体" w:hAnsi="宋体" w:cs="宋体"/>
          <w:sz w:val="24"/>
          <w:szCs w:val="24"/>
        </w:rPr>
        <w:t>进行解密。解密完成后，公布招标项目名称、投标人名称、投标保证金的递交情况、投标报价、工期及其他内容；</w:t>
      </w:r>
    </w:p>
    <w:p w14:paraId="350BB0B9">
      <w:pPr>
        <w:wordWrap w:val="0"/>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条款号：36.5.3                 修改类型：修改</w:t>
      </w:r>
    </w:p>
    <w:p w14:paraId="71C6D63A">
      <w:pP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投标人代表、招标人代表、监标人、记录人等有关人员在开标记录上签字确认；若有关人员不签字的，不影响开标程序；</w:t>
      </w:r>
    </w:p>
    <w:p w14:paraId="40F0725C">
      <w:pPr>
        <w:pBdr>
          <w:bottom w:val="single" w:color="auto" w:sz="6" w:space="1"/>
        </w:pBd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投标人代表、招标人代表、监标人、记录人等有关人员在开标记录上签字确认；若有关人员不签字的，不影响开标程序；</w:t>
      </w:r>
      <w:r>
        <w:rPr>
          <w:rFonts w:hint="eastAsia" w:ascii="宋体" w:hAnsi="宋体" w:cs="宋体"/>
          <w:sz w:val="24"/>
          <w:szCs w:val="24"/>
          <w:u w:val="single"/>
        </w:rPr>
        <w:t>若投标人不参加开标会的，或不签字确认的，视同该投标人认可开标结果。</w:t>
      </w:r>
    </w:p>
    <w:p w14:paraId="22B1B31A">
      <w:pPr>
        <w:wordWrap w:val="0"/>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条款号：37.3.2          修改类型：修改</w:t>
      </w:r>
    </w:p>
    <w:p w14:paraId="3611B138">
      <w:pP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37.3.2向招标人报告评审意见，推荐合格的中标候选人。</w:t>
      </w:r>
    </w:p>
    <w:p w14:paraId="05792B71">
      <w:pPr>
        <w:pBdr>
          <w:bottom w:val="single" w:color="auto" w:sz="6" w:space="1"/>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37.3.2向招标人报告评审意见，推荐合格的中标候选</w:t>
      </w:r>
      <w:r>
        <w:rPr>
          <w:rFonts w:hint="eastAsia" w:ascii="宋体" w:hAnsi="宋体" w:cs="宋体"/>
          <w:sz w:val="24"/>
          <w:szCs w:val="24"/>
          <w:u w:val="single"/>
        </w:rPr>
        <w:t>人【不排序，按统一社会信用代码后4位（除校验码外）大小排位</w:t>
      </w:r>
      <w:r>
        <w:rPr>
          <w:rFonts w:hint="eastAsia" w:ascii="宋体" w:hAnsi="宋体" w:cs="宋体"/>
          <w:sz w:val="24"/>
          <w:szCs w:val="24"/>
          <w:u w:val="single"/>
          <w:lang w:bidi="ar"/>
        </w:rPr>
        <w:t>，如统一社会信用代码后4位（除校验码外）出现字母情况的，字母以“0”进行代替大小排位；如出现后4位（除校验码外）大小一致的，则随机排位</w:t>
      </w:r>
      <w:r>
        <w:rPr>
          <w:rFonts w:hint="eastAsia" w:ascii="宋体" w:hAnsi="宋体" w:cs="宋体"/>
          <w:sz w:val="24"/>
          <w:szCs w:val="24"/>
          <w:u w:val="single"/>
        </w:rPr>
        <w:t>】</w:t>
      </w:r>
      <w:r>
        <w:rPr>
          <w:rFonts w:hint="eastAsia" w:ascii="宋体" w:hAnsi="宋体" w:cs="宋体"/>
          <w:sz w:val="24"/>
          <w:szCs w:val="24"/>
        </w:rPr>
        <w:t>。</w:t>
      </w:r>
    </w:p>
    <w:p w14:paraId="6E026A4C">
      <w:pPr>
        <w:wordWrap w:val="0"/>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条款号：37.5          修改类型：修改</w:t>
      </w:r>
    </w:p>
    <w:p w14:paraId="27FE51F3">
      <w:pP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37.5评标结束后，评标委员会递交评标报告并依法推荐中标候选人。</w:t>
      </w:r>
    </w:p>
    <w:p w14:paraId="7FFDD258">
      <w:pPr>
        <w:pBdr>
          <w:bottom w:val="single" w:color="auto" w:sz="6" w:space="1"/>
        </w:pBdr>
        <w:snapToGrid w:val="0"/>
        <w:spacing w:line="440" w:lineRule="exact"/>
        <w:ind w:firstLine="482" w:firstLineChars="200"/>
        <w:jc w:val="left"/>
        <w:rPr>
          <w:rFonts w:ascii="宋体" w:hAnsi="宋体" w:cs="宋体"/>
          <w:sz w:val="24"/>
          <w:szCs w:val="24"/>
          <w:u w:val="single"/>
        </w:rPr>
      </w:pPr>
      <w:r>
        <w:rPr>
          <w:rFonts w:hint="eastAsia" w:ascii="宋体" w:hAnsi="宋体" w:cs="宋体"/>
          <w:b/>
          <w:sz w:val="24"/>
          <w:szCs w:val="24"/>
        </w:rPr>
        <w:t>现文：</w:t>
      </w:r>
      <w:r>
        <w:rPr>
          <w:rFonts w:hint="eastAsia" w:ascii="宋体" w:hAnsi="宋体" w:cs="宋体"/>
          <w:sz w:val="24"/>
          <w:szCs w:val="24"/>
        </w:rPr>
        <w:t>37.5评标结束后，评标委员会递交</w:t>
      </w:r>
      <w:r>
        <w:rPr>
          <w:rFonts w:hint="eastAsia" w:ascii="宋体" w:hAnsi="宋体" w:cs="宋体"/>
          <w:sz w:val="24"/>
          <w:szCs w:val="24"/>
          <w:u w:val="single"/>
        </w:rPr>
        <w:t>资格审查报告和</w:t>
      </w:r>
      <w:r>
        <w:rPr>
          <w:rFonts w:hint="eastAsia" w:ascii="宋体" w:hAnsi="宋体" w:cs="宋体"/>
          <w:sz w:val="24"/>
          <w:szCs w:val="24"/>
        </w:rPr>
        <w:t>评标报告并依法推荐</w:t>
      </w:r>
      <w:r>
        <w:rPr>
          <w:rFonts w:hint="eastAsia" w:ascii="宋体" w:hAnsi="宋体" w:cs="宋体"/>
          <w:sz w:val="24"/>
          <w:szCs w:val="24"/>
          <w:u w:val="single"/>
        </w:rPr>
        <w:t>合格的中标候选人【不排序，按统一社会信用代码后4位（除校验码外）大小排位</w:t>
      </w:r>
      <w:r>
        <w:rPr>
          <w:rFonts w:hint="eastAsia" w:ascii="宋体" w:hAnsi="宋体" w:cs="宋体"/>
          <w:sz w:val="24"/>
          <w:szCs w:val="24"/>
          <w:u w:val="single"/>
          <w:lang w:bidi="ar"/>
        </w:rPr>
        <w:t>，如统一社会信用代码后4位（除校验码外）出现字母情况的，字母以“0”进行代替大小排位；如出现后4位（除校验码外）大小一致的，则随机排位</w:t>
      </w:r>
      <w:r>
        <w:rPr>
          <w:rFonts w:hint="eastAsia" w:ascii="宋体" w:hAnsi="宋体" w:cs="宋体"/>
          <w:sz w:val="24"/>
          <w:szCs w:val="24"/>
          <w:u w:val="single"/>
        </w:rPr>
        <w:t>】</w:t>
      </w:r>
      <w:r>
        <w:rPr>
          <w:rFonts w:hint="eastAsia" w:ascii="宋体" w:hAnsi="宋体" w:cs="宋体"/>
          <w:sz w:val="24"/>
          <w:szCs w:val="24"/>
        </w:rPr>
        <w:t>。</w:t>
      </w:r>
    </w:p>
    <w:p w14:paraId="253475C8">
      <w:pPr>
        <w:wordWrap w:val="0"/>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条款号：38.1            修改类型：修改</w:t>
      </w:r>
    </w:p>
    <w:p w14:paraId="5DBF432C">
      <w:pP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09A2E496">
      <w:pPr>
        <w:pBdr>
          <w:bottom w:val="single" w:color="auto" w:sz="4" w:space="0"/>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cs="宋体"/>
          <w:sz w:val="24"/>
          <w:szCs w:val="24"/>
          <w:u w:val="single"/>
        </w:rPr>
        <w:t>对投标文件含义不明确、对同类问题表述不一致、有明显文字和计算错误的内容以及细微偏差的</w:t>
      </w:r>
      <w:r>
        <w:rPr>
          <w:rFonts w:hint="eastAsia" w:ascii="宋体" w:hAnsi="宋体" w:cs="宋体"/>
          <w:sz w:val="24"/>
          <w:szCs w:val="24"/>
        </w:rPr>
        <w:t>内容作出澄清。</w:t>
      </w:r>
    </w:p>
    <w:p w14:paraId="663495B0">
      <w:pPr>
        <w:wordWrap w:val="0"/>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条款号：38.3                          修改类型：修改</w:t>
      </w:r>
    </w:p>
    <w:p w14:paraId="20074621">
      <w:pPr>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38.3 评标委员会或评标委员会专业评审组成员均应当阅读投标人的澄清，但应独立参考澄清对投标文件进行评审。</w:t>
      </w:r>
    </w:p>
    <w:p w14:paraId="1E430E22">
      <w:pPr>
        <w:pBdr>
          <w:bottom w:val="single" w:color="auto" w:sz="6" w:space="1"/>
        </w:pBdr>
        <w:adjustRightInd w:val="0"/>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 xml:space="preserve">38.3 </w:t>
      </w:r>
      <w:r>
        <w:rPr>
          <w:rFonts w:hint="eastAsia" w:ascii="宋体" w:hAnsi="宋体" w:cs="宋体"/>
          <w:sz w:val="24"/>
          <w:szCs w:val="24"/>
          <w:u w:val="single"/>
        </w:rPr>
        <w:t>评标委员会均应当阅读投标人的澄清</w:t>
      </w:r>
      <w:r>
        <w:rPr>
          <w:rFonts w:hint="eastAsia" w:ascii="宋体" w:hAnsi="宋体" w:cs="宋体"/>
          <w:sz w:val="24"/>
          <w:szCs w:val="24"/>
        </w:rPr>
        <w:t>，但应独立参考澄清对投标文件进行评审。</w:t>
      </w:r>
    </w:p>
    <w:p w14:paraId="4EA01377">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条款号：38.5            修改类型：修改</w:t>
      </w:r>
    </w:p>
    <w:p w14:paraId="3F5696C7">
      <w:pP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3CE6BA53">
      <w:pPr>
        <w:pBdr>
          <w:bottom w:val="single" w:color="auto" w:sz="4" w:space="1"/>
        </w:pBdr>
        <w:tabs>
          <w:tab w:val="left" w:pos="4410"/>
        </w:tabs>
        <w:snapToGrid w:val="0"/>
        <w:spacing w:line="440" w:lineRule="exact"/>
        <w:ind w:firstLine="482" w:firstLineChars="200"/>
        <w:jc w:val="left"/>
        <w:rPr>
          <w:rFonts w:ascii="宋体" w:hAnsi="宋体" w:cs="宋体"/>
          <w:b/>
          <w:sz w:val="24"/>
          <w:szCs w:val="24"/>
          <w:u w:val="single"/>
        </w:rPr>
      </w:pPr>
      <w:r>
        <w:rPr>
          <w:rFonts w:hint="eastAsia" w:ascii="宋体" w:hAnsi="宋体" w:cs="宋体"/>
          <w:b/>
          <w:sz w:val="24"/>
          <w:szCs w:val="24"/>
        </w:rPr>
        <w:t>现文：</w:t>
      </w:r>
      <w:r>
        <w:rPr>
          <w:rFonts w:hint="eastAsia" w:ascii="宋体" w:hAnsi="宋体" w:cs="宋体"/>
          <w:sz w:val="24"/>
          <w:szCs w:val="24"/>
        </w:rPr>
        <w:t>38.5投标人如在本项目中存在串通投标、弄虚作假、行贿情形且在评标</w:t>
      </w:r>
      <w:r>
        <w:rPr>
          <w:rFonts w:hint="eastAsia" w:ascii="宋体" w:hAnsi="宋体" w:cs="宋体"/>
          <w:sz w:val="24"/>
          <w:szCs w:val="24"/>
          <w:u w:val="single"/>
        </w:rPr>
        <w:t>或定标</w:t>
      </w:r>
      <w:r>
        <w:rPr>
          <w:rFonts w:hint="eastAsia" w:ascii="宋体" w:hAnsi="宋体" w:cs="宋体"/>
          <w:sz w:val="24"/>
          <w:szCs w:val="24"/>
        </w:rPr>
        <w:t>过程中未被发现的，该投标不改变本项目评标结果排序，</w:t>
      </w:r>
      <w:r>
        <w:rPr>
          <w:rFonts w:hint="eastAsia" w:ascii="宋体" w:hAnsi="宋体" w:cs="宋体"/>
          <w:sz w:val="24"/>
          <w:szCs w:val="24"/>
          <w:u w:val="single"/>
        </w:rPr>
        <w:t>若在定标过程中被确定为中标人，其中标无效，招标人可从其他合格的中标候选人中采用原定标办法，由原定标委员会重新确定中标人，也可以重新招标</w:t>
      </w:r>
      <w:r>
        <w:rPr>
          <w:rFonts w:hint="eastAsia" w:ascii="宋体" w:hAnsi="宋体" w:cs="宋体"/>
          <w:sz w:val="24"/>
          <w:szCs w:val="24"/>
        </w:rPr>
        <w:t>。</w:t>
      </w:r>
    </w:p>
    <w:p w14:paraId="7144D469">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条款号：39                                修改类型：修改</w:t>
      </w:r>
    </w:p>
    <w:p w14:paraId="342F57ED">
      <w:pPr>
        <w:snapToGrid w:val="0"/>
        <w:spacing w:line="440" w:lineRule="exact"/>
        <w:ind w:firstLine="482" w:firstLineChars="200"/>
        <w:jc w:val="left"/>
        <w:rPr>
          <w:rFonts w:ascii="宋体" w:hAnsi="宋体" w:cs="宋体"/>
          <w:b/>
          <w:bCs/>
          <w:sz w:val="24"/>
          <w:szCs w:val="24"/>
        </w:rPr>
      </w:pPr>
      <w:r>
        <w:rPr>
          <w:rFonts w:hint="eastAsia" w:ascii="宋体" w:hAnsi="宋体" w:cs="宋体"/>
          <w:b/>
          <w:bCs/>
          <w:sz w:val="24"/>
          <w:szCs w:val="24"/>
        </w:rPr>
        <w:t>原文：39．定标</w:t>
      </w:r>
    </w:p>
    <w:p w14:paraId="3A5DA5DA">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39.1招标人根据评标委员会递交的评标报告，最终审定中标人。</w:t>
      </w:r>
    </w:p>
    <w:p w14:paraId="08572567">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39.2依法必须进行公开招标的项目，招标人应当确定排名第一的中标候选人为中标人。</w:t>
      </w:r>
    </w:p>
    <w:p w14:paraId="7DB36ED0">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39.3排名第一的中标候选人放弃中标、或因不可抗力提出不能履行合同，或者招标文件规定应当提交履约担保而在规定的期限内未能提交的，招标人可以确定排名第二的中标候选人为中标人。</w:t>
      </w:r>
    </w:p>
    <w:p w14:paraId="42B14CF2">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39.4排名第二的中标候选人出现前款所列的情形的，招标人可以确定排名第三的中标候选人为中标人。以此类推，如所有中标候选人均出现前款所列的情形，为招标失败，招标人依法重新招标。</w:t>
      </w:r>
    </w:p>
    <w:p w14:paraId="502C08C6">
      <w:pPr>
        <w:pBdr>
          <w:bottom w:val="single" w:color="auto" w:sz="6" w:space="1"/>
        </w:pBd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39.5重新评标的，评标信息（含业绩、奖项等）仍以投标截止时投标人的信息为准。因特殊原因需要延长投标有效期，投标人拒绝延长投标有效期的，仍参与评标，但不被推荐为中标候选人。</w:t>
      </w:r>
    </w:p>
    <w:p w14:paraId="296C8131">
      <w:pPr>
        <w:pBdr>
          <w:bottom w:val="single" w:color="auto" w:sz="6" w:space="1"/>
        </w:pBdr>
        <w:snapToGrid w:val="0"/>
        <w:spacing w:line="440" w:lineRule="exact"/>
        <w:ind w:firstLine="482" w:firstLineChars="200"/>
        <w:jc w:val="left"/>
        <w:rPr>
          <w:rFonts w:ascii="宋体" w:hAnsi="宋体" w:cs="宋体"/>
          <w:b/>
          <w:sz w:val="24"/>
          <w:szCs w:val="24"/>
        </w:rPr>
      </w:pPr>
      <w:r>
        <w:rPr>
          <w:rFonts w:hint="eastAsia" w:ascii="宋体" w:hAnsi="宋体" w:cs="宋体"/>
          <w:b/>
          <w:bCs/>
          <w:sz w:val="24"/>
          <w:szCs w:val="24"/>
        </w:rPr>
        <w:t>现文：</w:t>
      </w:r>
      <w:r>
        <w:rPr>
          <w:rFonts w:hint="eastAsia" w:ascii="宋体" w:hAnsi="宋体" w:cs="宋体"/>
          <w:sz w:val="24"/>
          <w:szCs w:val="24"/>
        </w:rPr>
        <w:t>39.</w:t>
      </w:r>
      <w:r>
        <w:rPr>
          <w:rFonts w:hint="eastAsia" w:ascii="宋体" w:hAnsi="宋体" w:cs="宋体"/>
          <w:sz w:val="24"/>
          <w:szCs w:val="24"/>
          <w:u w:val="single"/>
        </w:rPr>
        <w:t>定标详细规定条款详见本章第50条内容</w:t>
      </w:r>
      <w:r>
        <w:rPr>
          <w:rFonts w:hint="eastAsia" w:ascii="宋体" w:hAnsi="宋体" w:cs="宋体"/>
          <w:bCs/>
          <w:sz w:val="24"/>
          <w:szCs w:val="24"/>
          <w:u w:val="single"/>
        </w:rPr>
        <w:t>。</w:t>
      </w:r>
    </w:p>
    <w:p w14:paraId="4CA6BC29">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条款号：（二）开标评标办法程序和细则 注     修改类型：删除</w:t>
      </w:r>
    </w:p>
    <w:p w14:paraId="0344D55E">
      <w:pP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注：以下八种评标办法所述企业综合诚信评价分数即投标截止当日广州市住房和城乡建设局网站上公布的企业综合诚信评价60日诚信分。</w:t>
      </w:r>
    </w:p>
    <w:p w14:paraId="1D239FF5">
      <w:pPr>
        <w:pBdr>
          <w:bottom w:val="single" w:color="auto" w:sz="6" w:space="1"/>
        </w:pBdr>
        <w:snapToGrid w:val="0"/>
        <w:spacing w:line="440" w:lineRule="exact"/>
        <w:ind w:firstLine="480" w:firstLineChars="200"/>
        <w:jc w:val="left"/>
        <w:rPr>
          <w:rFonts w:ascii="宋体" w:hAnsi="宋体" w:cs="宋体"/>
          <w:sz w:val="24"/>
          <w:szCs w:val="24"/>
          <w:u w:val="single"/>
        </w:rPr>
      </w:pPr>
    </w:p>
    <w:p w14:paraId="71F09738">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 评标办法        修改类型：删除</w:t>
      </w:r>
    </w:p>
    <w:p w14:paraId="170F81F3">
      <w:pPr>
        <w:pBdr>
          <w:bottom w:val="single" w:color="auto" w:sz="6" w:space="1"/>
        </w:pBdr>
        <w:snapToGrid w:val="0"/>
        <w:spacing w:line="440" w:lineRule="exact"/>
        <w:ind w:firstLine="482" w:firstLineChars="200"/>
        <w:jc w:val="left"/>
        <w:rPr>
          <w:rStyle w:val="49"/>
          <w:rFonts w:ascii="宋体" w:hAnsi="宋体" w:cs="宋体"/>
          <w:color w:val="auto"/>
          <w:sz w:val="24"/>
          <w:szCs w:val="24"/>
        </w:rPr>
      </w:pPr>
      <w:r>
        <w:rPr>
          <w:rFonts w:hint="eastAsia" w:ascii="宋体" w:hAnsi="宋体" w:cs="宋体"/>
          <w:b/>
          <w:sz w:val="24"/>
          <w:szCs w:val="24"/>
        </w:rPr>
        <w:t>原文：</w:t>
      </w:r>
      <w:r>
        <w:rPr>
          <w:rStyle w:val="49"/>
          <w:rFonts w:hint="eastAsia" w:ascii="宋体" w:hAnsi="宋体" w:cs="宋体"/>
          <w:color w:val="auto"/>
          <w:sz w:val="24"/>
          <w:szCs w:val="24"/>
        </w:rPr>
        <w:t>可选</w:t>
      </w:r>
      <w:r>
        <w:rPr>
          <w:rFonts w:hint="eastAsia" w:ascii="宋体" w:hAnsi="宋体" w:cs="宋体"/>
          <w:sz w:val="24"/>
          <w:szCs w:val="24"/>
          <w:u w:val="single"/>
        </w:rPr>
        <w:t>办法</w:t>
      </w:r>
      <w:r>
        <w:rPr>
          <w:rStyle w:val="49"/>
          <w:rFonts w:hint="eastAsia" w:ascii="宋体" w:hAnsi="宋体" w:cs="宋体"/>
          <w:color w:val="auto"/>
          <w:sz w:val="24"/>
          <w:szCs w:val="24"/>
        </w:rPr>
        <w:t>一（适合</w:t>
      </w:r>
      <w:r>
        <w:rPr>
          <w:rStyle w:val="49"/>
          <w:rFonts w:hint="eastAsia" w:ascii="宋体" w:hAnsi="宋体" w:cs="宋体"/>
          <w:color w:val="auto"/>
          <w:kern w:val="0"/>
          <w:sz w:val="24"/>
          <w:szCs w:val="24"/>
        </w:rPr>
        <w:t>综合评分法一</w:t>
      </w:r>
      <w:r>
        <w:rPr>
          <w:rStyle w:val="49"/>
          <w:rFonts w:hint="eastAsia" w:ascii="宋体" w:hAnsi="宋体" w:cs="宋体"/>
          <w:color w:val="auto"/>
          <w:sz w:val="24"/>
          <w:szCs w:val="24"/>
        </w:rPr>
        <w:t>，技术标与经济标先后分别开启）</w:t>
      </w:r>
    </w:p>
    <w:p w14:paraId="3B3645A6">
      <w:pPr>
        <w:pBdr>
          <w:bottom w:val="single" w:color="auto" w:sz="6" w:space="1"/>
        </w:pBdr>
        <w:snapToGrid w:val="0"/>
        <w:spacing w:line="440" w:lineRule="exact"/>
        <w:ind w:firstLine="480" w:firstLineChars="200"/>
        <w:jc w:val="left"/>
        <w:rPr>
          <w:rStyle w:val="49"/>
          <w:rFonts w:ascii="宋体" w:hAnsi="宋体" w:cs="宋体"/>
          <w:color w:val="auto"/>
          <w:sz w:val="24"/>
          <w:szCs w:val="24"/>
        </w:rPr>
      </w:pPr>
      <w:r>
        <w:rPr>
          <w:rStyle w:val="49"/>
          <w:rFonts w:hint="eastAsia" w:ascii="宋体" w:hAnsi="宋体" w:cs="宋体"/>
          <w:color w:val="auto"/>
          <w:sz w:val="24"/>
          <w:szCs w:val="24"/>
        </w:rPr>
        <w:t>可选</w:t>
      </w:r>
      <w:r>
        <w:rPr>
          <w:rFonts w:hint="eastAsia" w:ascii="宋体" w:hAnsi="宋体" w:cs="宋体"/>
          <w:sz w:val="24"/>
          <w:szCs w:val="24"/>
          <w:u w:val="single"/>
        </w:rPr>
        <w:t>办法</w:t>
      </w:r>
      <w:r>
        <w:rPr>
          <w:rStyle w:val="49"/>
          <w:rFonts w:hint="eastAsia" w:ascii="宋体" w:hAnsi="宋体" w:cs="宋体"/>
          <w:color w:val="auto"/>
          <w:sz w:val="24"/>
          <w:szCs w:val="24"/>
        </w:rPr>
        <w:t>二（适合综合评分法一，技术标与经济标同时开启）</w:t>
      </w:r>
    </w:p>
    <w:p w14:paraId="21B98A43">
      <w:pPr>
        <w:pBdr>
          <w:bottom w:val="single" w:color="auto" w:sz="6" w:space="1"/>
        </w:pBdr>
        <w:snapToGrid w:val="0"/>
        <w:spacing w:line="440" w:lineRule="exact"/>
        <w:ind w:firstLine="480" w:firstLineChars="200"/>
        <w:jc w:val="left"/>
        <w:rPr>
          <w:rStyle w:val="49"/>
          <w:rFonts w:ascii="宋体" w:hAnsi="宋体" w:cs="宋体"/>
          <w:color w:val="auto"/>
          <w:sz w:val="24"/>
          <w:szCs w:val="24"/>
        </w:rPr>
      </w:pPr>
      <w:r>
        <w:rPr>
          <w:rStyle w:val="49"/>
          <w:rFonts w:hint="eastAsia" w:ascii="宋体" w:hAnsi="宋体" w:cs="宋体"/>
          <w:color w:val="auto"/>
          <w:sz w:val="24"/>
          <w:szCs w:val="24"/>
        </w:rPr>
        <w:t>可选办法三（适合综合评分法二，技术标与经济标先后分别开启）</w:t>
      </w:r>
    </w:p>
    <w:p w14:paraId="6DDAC360">
      <w:pPr>
        <w:pBdr>
          <w:bottom w:val="single" w:color="auto" w:sz="6" w:space="1"/>
        </w:pBdr>
        <w:snapToGrid w:val="0"/>
        <w:spacing w:line="440" w:lineRule="exact"/>
        <w:ind w:firstLine="480" w:firstLineChars="200"/>
        <w:jc w:val="left"/>
        <w:rPr>
          <w:rStyle w:val="49"/>
          <w:rFonts w:ascii="宋体" w:hAnsi="宋体" w:cs="宋体"/>
          <w:color w:val="auto"/>
          <w:sz w:val="24"/>
          <w:szCs w:val="24"/>
        </w:rPr>
      </w:pPr>
      <w:r>
        <w:rPr>
          <w:rStyle w:val="49"/>
          <w:rFonts w:hint="eastAsia" w:ascii="宋体" w:hAnsi="宋体" w:cs="宋体"/>
          <w:color w:val="auto"/>
          <w:sz w:val="24"/>
          <w:szCs w:val="24"/>
        </w:rPr>
        <w:t>可选办法四（适合综合评分法二，技术标与经济标同时开启）</w:t>
      </w:r>
    </w:p>
    <w:p w14:paraId="14E61C56">
      <w:pPr>
        <w:pBdr>
          <w:bottom w:val="single" w:color="auto" w:sz="6" w:space="1"/>
        </w:pBdr>
        <w:snapToGrid w:val="0"/>
        <w:spacing w:line="440" w:lineRule="exact"/>
        <w:ind w:firstLine="480" w:firstLineChars="200"/>
        <w:jc w:val="left"/>
        <w:rPr>
          <w:rStyle w:val="49"/>
          <w:rFonts w:ascii="宋体" w:hAnsi="宋体" w:cs="宋体"/>
          <w:color w:val="auto"/>
          <w:sz w:val="24"/>
          <w:szCs w:val="24"/>
        </w:rPr>
      </w:pPr>
      <w:r>
        <w:rPr>
          <w:rStyle w:val="49"/>
          <w:rFonts w:hint="eastAsia" w:ascii="宋体" w:hAnsi="宋体" w:cs="宋体"/>
          <w:color w:val="auto"/>
          <w:sz w:val="24"/>
          <w:szCs w:val="24"/>
        </w:rPr>
        <w:t>可选办法五（适合综合评分法三，技术标与经济标先后分别开启）</w:t>
      </w:r>
    </w:p>
    <w:p w14:paraId="14C4A0B1">
      <w:pPr>
        <w:pBdr>
          <w:bottom w:val="single" w:color="auto" w:sz="6" w:space="1"/>
        </w:pBdr>
        <w:snapToGrid w:val="0"/>
        <w:spacing w:line="440" w:lineRule="exact"/>
        <w:ind w:firstLine="480" w:firstLineChars="200"/>
        <w:jc w:val="left"/>
        <w:rPr>
          <w:rStyle w:val="49"/>
          <w:rFonts w:ascii="宋体" w:hAnsi="宋体" w:cs="宋体"/>
          <w:color w:val="auto"/>
          <w:sz w:val="24"/>
          <w:szCs w:val="24"/>
        </w:rPr>
      </w:pPr>
      <w:r>
        <w:rPr>
          <w:rStyle w:val="49"/>
          <w:rFonts w:hint="eastAsia" w:ascii="宋体" w:hAnsi="宋体" w:cs="宋体"/>
          <w:color w:val="auto"/>
          <w:sz w:val="24"/>
          <w:szCs w:val="24"/>
        </w:rPr>
        <w:t>可选办法六（适合综合评分法三，技术标与经济标同时开启）</w:t>
      </w:r>
    </w:p>
    <w:p w14:paraId="026D55DA">
      <w:pPr>
        <w:pBdr>
          <w:bottom w:val="single" w:color="auto" w:sz="6" w:space="1"/>
        </w:pBdr>
        <w:snapToGrid w:val="0"/>
        <w:spacing w:line="440" w:lineRule="exact"/>
        <w:ind w:firstLine="480" w:firstLineChars="200"/>
        <w:jc w:val="left"/>
        <w:rPr>
          <w:rFonts w:ascii="宋体" w:hAnsi="宋体" w:cs="宋体"/>
          <w:b/>
          <w:sz w:val="24"/>
          <w:szCs w:val="24"/>
        </w:rPr>
      </w:pPr>
      <w:r>
        <w:rPr>
          <w:rStyle w:val="49"/>
          <w:rFonts w:hint="eastAsia" w:ascii="宋体" w:hAnsi="宋体" w:cs="宋体"/>
          <w:color w:val="auto"/>
          <w:sz w:val="24"/>
          <w:szCs w:val="24"/>
        </w:rPr>
        <w:t>可选办法八（适合经评审的最低投标价法，技术标与经济标同时开启）</w:t>
      </w:r>
    </w:p>
    <w:p w14:paraId="58F6E2C9">
      <w:pPr>
        <w:snapToGrid w:val="0"/>
        <w:spacing w:line="440" w:lineRule="exact"/>
        <w:ind w:firstLine="482" w:firstLineChars="200"/>
        <w:jc w:val="left"/>
        <w:rPr>
          <w:rStyle w:val="80"/>
          <w:rFonts w:ascii="宋体" w:hAnsi="宋体" w:cs="宋体"/>
          <w:b/>
          <w:sz w:val="24"/>
          <w:szCs w:val="24"/>
        </w:rPr>
      </w:pPr>
      <w:r>
        <w:rPr>
          <w:rStyle w:val="80"/>
          <w:rFonts w:hint="eastAsia" w:ascii="宋体" w:hAnsi="宋体" w:cs="宋体"/>
          <w:b/>
          <w:sz w:val="24"/>
          <w:szCs w:val="24"/>
        </w:rPr>
        <w:t>条款号：40          修改类型：修改</w:t>
      </w:r>
    </w:p>
    <w:p w14:paraId="35154F65">
      <w:pPr>
        <w:snapToGrid w:val="0"/>
        <w:spacing w:line="440" w:lineRule="exact"/>
        <w:ind w:firstLine="482" w:firstLineChars="200"/>
        <w:jc w:val="left"/>
        <w:rPr>
          <w:rStyle w:val="80"/>
          <w:rFonts w:ascii="宋体" w:hAnsi="宋体" w:cs="宋体"/>
          <w:sz w:val="24"/>
          <w:szCs w:val="24"/>
        </w:rPr>
      </w:pPr>
      <w:r>
        <w:rPr>
          <w:rStyle w:val="80"/>
          <w:rFonts w:hint="eastAsia" w:ascii="宋体" w:hAnsi="宋体" w:cs="宋体"/>
          <w:b/>
          <w:sz w:val="24"/>
          <w:szCs w:val="24"/>
        </w:rPr>
        <w:t>原文：</w:t>
      </w:r>
    </w:p>
    <w:p w14:paraId="60E1075C">
      <w:pPr>
        <w:snapToGrid w:val="0"/>
        <w:spacing w:line="440" w:lineRule="exact"/>
        <w:ind w:firstLine="480" w:firstLineChars="200"/>
        <w:jc w:val="left"/>
        <w:rPr>
          <w:rStyle w:val="80"/>
          <w:rFonts w:ascii="宋体" w:hAnsi="宋体" w:cs="宋体"/>
          <w:sz w:val="24"/>
          <w:szCs w:val="24"/>
        </w:rPr>
      </w:pPr>
      <w:r>
        <w:rPr>
          <w:rStyle w:val="80"/>
          <w:rFonts w:hint="eastAsia" w:ascii="宋体" w:hAnsi="宋体" w:cs="宋体"/>
          <w:sz w:val="24"/>
          <w:szCs w:val="24"/>
        </w:rPr>
        <w:t>40．开标和评标程序</w:t>
      </w:r>
    </w:p>
    <w:p w14:paraId="64E1EAF0">
      <w:pPr>
        <w:snapToGrid w:val="0"/>
        <w:spacing w:line="440" w:lineRule="exact"/>
        <w:ind w:firstLine="480" w:firstLineChars="200"/>
        <w:jc w:val="left"/>
        <w:rPr>
          <w:rStyle w:val="80"/>
          <w:rFonts w:ascii="宋体" w:hAnsi="宋体" w:cs="宋体"/>
          <w:sz w:val="24"/>
          <w:szCs w:val="24"/>
        </w:rPr>
      </w:pPr>
      <w:r>
        <w:rPr>
          <w:rStyle w:val="80"/>
          <w:rFonts w:hint="eastAsia" w:ascii="宋体" w:hAnsi="宋体" w:cs="宋体"/>
          <w:sz w:val="24"/>
          <w:szCs w:val="24"/>
        </w:rPr>
        <w:t>40.1技术标（含资格审查文件）与经济标投标文件同时公开开标；</w:t>
      </w:r>
    </w:p>
    <w:p w14:paraId="4677B37A">
      <w:pPr>
        <w:snapToGrid w:val="0"/>
        <w:spacing w:line="440" w:lineRule="exact"/>
        <w:ind w:firstLine="480" w:firstLineChars="200"/>
        <w:jc w:val="left"/>
        <w:rPr>
          <w:rStyle w:val="80"/>
          <w:rFonts w:ascii="宋体" w:hAnsi="宋体" w:cs="宋体"/>
          <w:sz w:val="24"/>
          <w:szCs w:val="24"/>
        </w:rPr>
      </w:pPr>
      <w:r>
        <w:rPr>
          <w:rStyle w:val="80"/>
          <w:rFonts w:hint="eastAsia" w:ascii="宋体" w:hAnsi="宋体" w:cs="宋体"/>
          <w:sz w:val="24"/>
          <w:szCs w:val="24"/>
        </w:rPr>
        <w:t>40.2由评标委员会对所有已公开开标的投标人进行资格审查；</w:t>
      </w:r>
    </w:p>
    <w:p w14:paraId="7CF2CB0D">
      <w:pPr>
        <w:snapToGrid w:val="0"/>
        <w:spacing w:line="440" w:lineRule="exact"/>
        <w:ind w:firstLine="480" w:firstLineChars="200"/>
        <w:jc w:val="left"/>
        <w:rPr>
          <w:rStyle w:val="80"/>
          <w:rFonts w:ascii="宋体" w:hAnsi="宋体" w:cs="宋体"/>
          <w:sz w:val="24"/>
          <w:szCs w:val="24"/>
        </w:rPr>
      </w:pPr>
      <w:r>
        <w:rPr>
          <w:rStyle w:val="80"/>
          <w:rFonts w:hint="eastAsia" w:ascii="宋体" w:hAnsi="宋体" w:cs="宋体"/>
          <w:sz w:val="24"/>
          <w:szCs w:val="24"/>
        </w:rPr>
        <w:t>40.3技术标投标文件有效性审查；</w:t>
      </w:r>
    </w:p>
    <w:p w14:paraId="7AC19C31">
      <w:pPr>
        <w:snapToGrid w:val="0"/>
        <w:spacing w:line="440" w:lineRule="exact"/>
        <w:ind w:firstLine="480" w:firstLineChars="200"/>
        <w:jc w:val="left"/>
        <w:rPr>
          <w:rStyle w:val="80"/>
          <w:rFonts w:ascii="宋体" w:hAnsi="宋体" w:cs="宋体"/>
          <w:sz w:val="24"/>
          <w:szCs w:val="24"/>
        </w:rPr>
      </w:pPr>
      <w:r>
        <w:rPr>
          <w:rStyle w:val="80"/>
          <w:rFonts w:hint="eastAsia" w:ascii="宋体" w:hAnsi="宋体" w:cs="宋体"/>
          <w:sz w:val="24"/>
          <w:szCs w:val="24"/>
        </w:rPr>
        <w:t>40.4技术标详细审查评分；</w:t>
      </w:r>
    </w:p>
    <w:p w14:paraId="6340ECE8">
      <w:pPr>
        <w:snapToGrid w:val="0"/>
        <w:spacing w:line="440" w:lineRule="exact"/>
        <w:ind w:firstLine="480" w:firstLineChars="200"/>
        <w:jc w:val="left"/>
        <w:rPr>
          <w:rStyle w:val="80"/>
          <w:rFonts w:ascii="宋体" w:hAnsi="宋体" w:cs="宋体"/>
          <w:sz w:val="24"/>
          <w:szCs w:val="24"/>
        </w:rPr>
      </w:pPr>
      <w:r>
        <w:rPr>
          <w:rStyle w:val="80"/>
          <w:rFonts w:hint="eastAsia" w:ascii="宋体" w:hAnsi="宋体" w:cs="宋体"/>
          <w:sz w:val="24"/>
          <w:szCs w:val="24"/>
        </w:rPr>
        <w:t>40.5经济标详细审查评分；</w:t>
      </w:r>
    </w:p>
    <w:p w14:paraId="073A552E">
      <w:pPr>
        <w:snapToGrid w:val="0"/>
        <w:spacing w:line="440" w:lineRule="exact"/>
        <w:ind w:firstLine="480" w:firstLineChars="200"/>
        <w:jc w:val="left"/>
        <w:rPr>
          <w:rStyle w:val="80"/>
          <w:rFonts w:ascii="宋体" w:hAnsi="宋体" w:cs="宋体"/>
          <w:sz w:val="24"/>
          <w:szCs w:val="24"/>
        </w:rPr>
      </w:pPr>
      <w:r>
        <w:rPr>
          <w:rStyle w:val="80"/>
          <w:rFonts w:hint="eastAsia" w:ascii="宋体" w:hAnsi="宋体" w:cs="宋体"/>
          <w:sz w:val="24"/>
          <w:szCs w:val="24"/>
        </w:rPr>
        <w:t>40.6评标委员会按照投标人总得分由高至低排序；</w:t>
      </w:r>
    </w:p>
    <w:p w14:paraId="2F5F3F51">
      <w:pPr>
        <w:snapToGrid w:val="0"/>
        <w:spacing w:line="440" w:lineRule="exact"/>
        <w:ind w:firstLine="480" w:firstLineChars="200"/>
        <w:jc w:val="left"/>
        <w:rPr>
          <w:rStyle w:val="80"/>
          <w:rFonts w:ascii="宋体" w:hAnsi="宋体" w:cs="宋体"/>
          <w:sz w:val="24"/>
          <w:szCs w:val="24"/>
        </w:rPr>
      </w:pPr>
      <w:r>
        <w:rPr>
          <w:rStyle w:val="80"/>
          <w:rFonts w:hint="eastAsia" w:ascii="宋体" w:hAnsi="宋体" w:cs="宋体"/>
          <w:sz w:val="24"/>
          <w:szCs w:val="24"/>
        </w:rPr>
        <w:t>40.7经济标投标文件有效性审查；</w:t>
      </w:r>
    </w:p>
    <w:p w14:paraId="57DCBBDD">
      <w:pPr>
        <w:snapToGrid w:val="0"/>
        <w:spacing w:line="440" w:lineRule="exact"/>
        <w:ind w:firstLine="480" w:firstLineChars="200"/>
        <w:jc w:val="left"/>
        <w:rPr>
          <w:rStyle w:val="80"/>
          <w:rFonts w:ascii="宋体" w:hAnsi="宋体" w:cs="宋体"/>
          <w:sz w:val="24"/>
          <w:szCs w:val="24"/>
        </w:rPr>
      </w:pPr>
      <w:r>
        <w:rPr>
          <w:rStyle w:val="80"/>
          <w:rFonts w:hint="eastAsia" w:ascii="宋体" w:hAnsi="宋体" w:cs="宋体"/>
          <w:sz w:val="24"/>
          <w:szCs w:val="24"/>
        </w:rPr>
        <w:t>40.8评标委员会按排序向招标人推荐中标候选人名单，并递交资格审查报告及评标报告。</w:t>
      </w:r>
    </w:p>
    <w:p w14:paraId="4CB72245">
      <w:pPr>
        <w:pBdr>
          <w:bottom w:val="single" w:color="000000" w:sz="6" w:space="1"/>
        </w:pBdr>
        <w:snapToGrid w:val="0"/>
        <w:spacing w:line="440" w:lineRule="exact"/>
        <w:ind w:firstLine="482" w:firstLineChars="200"/>
        <w:jc w:val="left"/>
        <w:rPr>
          <w:rFonts w:ascii="宋体" w:hAnsi="宋体" w:cs="宋体"/>
          <w:bCs/>
          <w:sz w:val="24"/>
          <w:szCs w:val="24"/>
        </w:rPr>
      </w:pPr>
      <w:r>
        <w:rPr>
          <w:rStyle w:val="80"/>
          <w:rFonts w:hint="eastAsia" w:ascii="宋体" w:hAnsi="宋体" w:cs="宋体"/>
          <w:b/>
          <w:sz w:val="24"/>
          <w:szCs w:val="24"/>
        </w:rPr>
        <w:t>现文：</w:t>
      </w:r>
      <w:r>
        <w:rPr>
          <w:rFonts w:hint="eastAsia" w:ascii="宋体" w:hAnsi="宋体" w:cs="宋体"/>
          <w:bCs/>
          <w:sz w:val="24"/>
          <w:szCs w:val="24"/>
        </w:rPr>
        <w:t>40．开标和评标程序</w:t>
      </w:r>
      <w:r>
        <w:rPr>
          <w:rFonts w:hint="eastAsia" w:ascii="宋体" w:hAnsi="宋体" w:cs="宋体"/>
          <w:bCs/>
          <w:sz w:val="24"/>
          <w:szCs w:val="24"/>
          <w:u w:val="single"/>
        </w:rPr>
        <w:t>及定标程序</w:t>
      </w:r>
    </w:p>
    <w:p w14:paraId="0915CDC4">
      <w:pPr>
        <w:pBdr>
          <w:bottom w:val="single" w:color="000000" w:sz="6" w:space="1"/>
        </w:pBd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40.1</w:t>
      </w:r>
      <w:r>
        <w:rPr>
          <w:rFonts w:hint="eastAsia" w:ascii="宋体" w:hAnsi="宋体" w:cs="宋体"/>
          <w:sz w:val="24"/>
          <w:szCs w:val="24"/>
          <w:u w:val="single"/>
        </w:rPr>
        <w:t>技术标（含资格审查文件）投标文件、经济标投标文件与定标文件同时公开开标</w:t>
      </w:r>
      <w:r>
        <w:rPr>
          <w:rFonts w:hint="eastAsia" w:ascii="宋体" w:hAnsi="宋体" w:cs="宋体"/>
          <w:bCs/>
          <w:sz w:val="24"/>
          <w:szCs w:val="24"/>
        </w:rPr>
        <w:t>；</w:t>
      </w:r>
    </w:p>
    <w:p w14:paraId="553C3E97">
      <w:pPr>
        <w:pBdr>
          <w:bottom w:val="single" w:color="000000" w:sz="6" w:space="1"/>
        </w:pBd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40.2由评标委员会对所有已公开开标的投标人进行资格审查</w:t>
      </w:r>
      <w:r>
        <w:rPr>
          <w:rFonts w:hint="eastAsia" w:ascii="宋体" w:hAnsi="宋体" w:cs="宋体"/>
          <w:bCs/>
          <w:sz w:val="24"/>
          <w:szCs w:val="24"/>
          <w:u w:val="single"/>
        </w:rPr>
        <w:t>，</w:t>
      </w:r>
      <w:r>
        <w:rPr>
          <w:rStyle w:val="80"/>
          <w:rFonts w:hint="eastAsia" w:ascii="宋体" w:hAnsi="宋体" w:cs="宋体"/>
          <w:sz w:val="24"/>
          <w:szCs w:val="24"/>
          <w:u w:val="single"/>
        </w:rPr>
        <w:t>并编写资格审查报告；</w:t>
      </w:r>
    </w:p>
    <w:p w14:paraId="16F47D46">
      <w:pPr>
        <w:pBdr>
          <w:bottom w:val="single" w:color="000000" w:sz="6" w:space="1"/>
        </w:pBd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40.3技术标投标文件有效性审查；</w:t>
      </w:r>
    </w:p>
    <w:p w14:paraId="6188215B">
      <w:pPr>
        <w:pBdr>
          <w:bottom w:val="single" w:color="000000" w:sz="6" w:space="1"/>
        </w:pBdr>
        <w:snapToGri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40.4</w:t>
      </w:r>
      <w:r>
        <w:rPr>
          <w:rFonts w:hint="eastAsia" w:ascii="宋体" w:hAnsi="宋体" w:cs="宋体"/>
          <w:bCs/>
          <w:sz w:val="24"/>
          <w:szCs w:val="24"/>
          <w:u w:val="single"/>
        </w:rPr>
        <w:t>经济标投标文件有效性审查</w:t>
      </w:r>
      <w:r>
        <w:rPr>
          <w:rFonts w:hint="eastAsia" w:ascii="宋体" w:hAnsi="宋体" w:cs="宋体"/>
          <w:bCs/>
          <w:sz w:val="24"/>
          <w:szCs w:val="24"/>
        </w:rPr>
        <w:t>；</w:t>
      </w:r>
    </w:p>
    <w:p w14:paraId="59643809">
      <w:pPr>
        <w:pBdr>
          <w:bottom w:val="single" w:color="000000" w:sz="6" w:space="1"/>
        </w:pBdr>
        <w:snapToGrid w:val="0"/>
        <w:spacing w:line="440" w:lineRule="exact"/>
        <w:ind w:firstLine="480" w:firstLineChars="200"/>
        <w:jc w:val="left"/>
        <w:rPr>
          <w:rFonts w:ascii="宋体" w:hAnsi="宋体" w:cs="宋体"/>
          <w:bCs/>
          <w:sz w:val="24"/>
          <w:szCs w:val="24"/>
          <w:u w:val="single"/>
        </w:rPr>
      </w:pPr>
      <w:r>
        <w:rPr>
          <w:rFonts w:hint="eastAsia" w:ascii="宋体" w:hAnsi="宋体" w:cs="宋体"/>
          <w:bCs/>
          <w:sz w:val="24"/>
          <w:szCs w:val="24"/>
        </w:rPr>
        <w:t>40.5</w:t>
      </w:r>
      <w:r>
        <w:rPr>
          <w:rFonts w:hint="eastAsia" w:ascii="宋体" w:hAnsi="宋体" w:cs="宋体"/>
          <w:bCs/>
          <w:sz w:val="24"/>
          <w:szCs w:val="24"/>
          <w:u w:val="single"/>
        </w:rPr>
        <w:t>评标委员会编写资格审查报告及评标报告，向招标人推荐合格的中标候选人【不排序，按统一社会信用代码后4位（除校验码外）大小排位</w:t>
      </w:r>
      <w:r>
        <w:rPr>
          <w:rFonts w:hint="eastAsia" w:ascii="宋体" w:hAnsi="宋体" w:cs="宋体"/>
          <w:sz w:val="24"/>
          <w:szCs w:val="24"/>
          <w:u w:val="single"/>
          <w:lang w:bidi="ar"/>
        </w:rPr>
        <w:t>，如统一社会信用代码后4位（除校验码外）出现字母情况的，字母以“0”进行代替大小排位；如出现后4位（除校验码外）大小一致的，则随机排位</w:t>
      </w:r>
      <w:r>
        <w:rPr>
          <w:rFonts w:hint="eastAsia" w:ascii="宋体" w:hAnsi="宋体" w:cs="宋体"/>
          <w:bCs/>
          <w:sz w:val="24"/>
          <w:szCs w:val="24"/>
          <w:u w:val="single"/>
        </w:rPr>
        <w:t>】。</w:t>
      </w:r>
    </w:p>
    <w:p w14:paraId="62021F0B">
      <w:pPr>
        <w:pBdr>
          <w:bottom w:val="single" w:color="000000" w:sz="6" w:space="1"/>
        </w:pBdr>
        <w:snapToGrid w:val="0"/>
        <w:spacing w:line="440" w:lineRule="exact"/>
        <w:ind w:firstLine="480" w:firstLineChars="200"/>
        <w:jc w:val="left"/>
        <w:rPr>
          <w:rFonts w:ascii="宋体" w:hAnsi="宋体" w:cs="宋体"/>
          <w:bCs/>
          <w:sz w:val="24"/>
          <w:szCs w:val="24"/>
          <w:u w:val="single"/>
        </w:rPr>
      </w:pPr>
      <w:r>
        <w:rPr>
          <w:rFonts w:hint="eastAsia" w:ascii="宋体" w:hAnsi="宋体" w:cs="宋体"/>
          <w:sz w:val="24"/>
          <w:szCs w:val="24"/>
          <w:u w:val="single"/>
        </w:rPr>
        <w:t>40.6定标委员会对评标委员会推荐的合格的中标候选</w:t>
      </w:r>
      <w:r>
        <w:rPr>
          <w:rFonts w:hint="eastAsia" w:ascii="宋体" w:hAnsi="宋体" w:cs="宋体"/>
          <w:sz w:val="24"/>
          <w:szCs w:val="24"/>
          <w:highlight w:val="none"/>
          <w:u w:val="single"/>
        </w:rPr>
        <w:t>人按《定标因素表》，以总得分=资信因素（</w:t>
      </w:r>
      <w:r>
        <w:rPr>
          <w:rFonts w:hint="eastAsia" w:ascii="宋体" w:hAnsi="宋体" w:cs="宋体"/>
          <w:sz w:val="24"/>
          <w:szCs w:val="24"/>
          <w:highlight w:val="none"/>
          <w:u w:val="single"/>
          <w:lang w:val="en-US" w:eastAsia="zh-CN"/>
        </w:rPr>
        <w:t>12</w:t>
      </w:r>
      <w:r>
        <w:rPr>
          <w:rFonts w:hint="eastAsia" w:ascii="宋体" w:hAnsi="宋体" w:cs="宋体"/>
          <w:sz w:val="24"/>
          <w:szCs w:val="24"/>
          <w:highlight w:val="none"/>
          <w:u w:val="single"/>
        </w:rPr>
        <w:t>分）+方案因素（</w:t>
      </w:r>
      <w:r>
        <w:rPr>
          <w:rFonts w:hint="eastAsia" w:ascii="宋体" w:hAnsi="宋体" w:cs="宋体"/>
          <w:sz w:val="24"/>
          <w:szCs w:val="24"/>
          <w:highlight w:val="none"/>
          <w:u w:val="single"/>
          <w:lang w:val="en-US" w:eastAsia="zh-CN"/>
        </w:rPr>
        <w:t>38</w:t>
      </w:r>
      <w:r>
        <w:rPr>
          <w:rFonts w:hint="eastAsia" w:ascii="宋体" w:hAnsi="宋体" w:cs="宋体"/>
          <w:sz w:val="24"/>
          <w:szCs w:val="24"/>
          <w:highlight w:val="none"/>
          <w:u w:val="single"/>
        </w:rPr>
        <w:t>分）+价格因素（50分），由</w:t>
      </w:r>
      <w:r>
        <w:rPr>
          <w:rFonts w:hint="eastAsia" w:ascii="宋体" w:hAnsi="宋体" w:cs="宋体"/>
          <w:sz w:val="24"/>
          <w:szCs w:val="24"/>
          <w:u w:val="single"/>
        </w:rPr>
        <w:t>高至低排序合格的中标候选人的名次，确定中标人。定标结束后，定标委员会向招标人递交定标报告。</w:t>
      </w:r>
    </w:p>
    <w:p w14:paraId="09C94674">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 41.1         修改类型：修改</w:t>
      </w:r>
    </w:p>
    <w:p w14:paraId="581F5D30">
      <w:pPr>
        <w:pBdr>
          <w:bottom w:val="single" w:color="auto" w:sz="6" w:space="1"/>
        </w:pBd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41.1 开标由招标人主持；</w:t>
      </w:r>
    </w:p>
    <w:p w14:paraId="00B6BA06">
      <w:pPr>
        <w:pBdr>
          <w:bottom w:val="single" w:color="auto" w:sz="6" w:space="1"/>
        </w:pBd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 xml:space="preserve">41.1 </w:t>
      </w:r>
      <w:r>
        <w:rPr>
          <w:rFonts w:hint="eastAsia" w:ascii="宋体" w:hAnsi="宋体" w:cs="宋体"/>
          <w:sz w:val="24"/>
          <w:szCs w:val="24"/>
          <w:u w:val="single"/>
        </w:rPr>
        <w:t>开标由招标人或招标代理主持；</w:t>
      </w:r>
    </w:p>
    <w:p w14:paraId="25575541">
      <w:pPr>
        <w:wordWrap w:val="0"/>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条款号：41.2.1             修改类型：修改</w:t>
      </w:r>
    </w:p>
    <w:p w14:paraId="2B655519">
      <w:pPr>
        <w:pBdr>
          <w:bottom w:val="single" w:color="auto" w:sz="6" w:space="1"/>
        </w:pBdr>
        <w:snapToGrid w:val="0"/>
        <w:spacing w:line="440" w:lineRule="exact"/>
        <w:ind w:firstLine="482" w:firstLineChars="200"/>
        <w:jc w:val="left"/>
        <w:rPr>
          <w:rFonts w:ascii="宋体" w:hAnsi="宋体" w:cs="宋体"/>
          <w:bCs/>
          <w:sz w:val="24"/>
          <w:szCs w:val="24"/>
        </w:rPr>
      </w:pPr>
      <w:r>
        <w:rPr>
          <w:rFonts w:hint="eastAsia" w:ascii="宋体" w:hAnsi="宋体" w:cs="宋体"/>
          <w:b/>
          <w:sz w:val="24"/>
          <w:szCs w:val="24"/>
        </w:rPr>
        <w:t>原文：</w:t>
      </w:r>
      <w:r>
        <w:rPr>
          <w:rFonts w:hint="eastAsia" w:ascii="宋体" w:hAnsi="宋体" w:cs="宋体"/>
          <w:b/>
          <w:bCs/>
          <w:sz w:val="24"/>
          <w:szCs w:val="24"/>
        </w:rPr>
        <w:t>41.2.1</w:t>
      </w:r>
      <w:r>
        <w:rPr>
          <w:rFonts w:hint="eastAsia" w:ascii="宋体" w:hAnsi="宋体" w:cs="宋体"/>
          <w:bCs/>
          <w:sz w:val="24"/>
          <w:szCs w:val="24"/>
        </w:rPr>
        <w:t>投标截止期前，各投标人递交投标文件（包括技术标投标文件、经济标投标文件）至</w:t>
      </w:r>
      <w:r>
        <w:rPr>
          <w:rFonts w:hint="eastAsia" w:ascii="宋体" w:hAnsi="宋体" w:cs="宋体"/>
          <w:bCs/>
          <w:sz w:val="24"/>
          <w:szCs w:val="24"/>
          <w:u w:val="single"/>
        </w:rPr>
        <w:t xml:space="preserve">     </w:t>
      </w:r>
      <w:r>
        <w:rPr>
          <w:rFonts w:hint="eastAsia" w:ascii="宋体" w:hAnsi="宋体" w:cs="宋体"/>
          <w:bCs/>
          <w:sz w:val="24"/>
          <w:szCs w:val="24"/>
        </w:rPr>
        <w:t>交易平台。有关投标文件提交的事项详见第一章投标须知。</w:t>
      </w:r>
    </w:p>
    <w:p w14:paraId="65D0A135">
      <w:pPr>
        <w:pBdr>
          <w:bottom w:val="single" w:color="auto" w:sz="6" w:space="1"/>
        </w:pBd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现文：</w:t>
      </w:r>
      <w:r>
        <w:rPr>
          <w:rFonts w:hint="eastAsia" w:ascii="宋体" w:hAnsi="宋体" w:cs="宋体"/>
          <w:b/>
          <w:bCs/>
          <w:sz w:val="24"/>
          <w:szCs w:val="24"/>
        </w:rPr>
        <w:t>41.2.1</w:t>
      </w:r>
      <w:r>
        <w:rPr>
          <w:rFonts w:hint="eastAsia" w:ascii="宋体" w:hAnsi="宋体" w:cs="宋体"/>
          <w:bCs/>
          <w:sz w:val="24"/>
          <w:szCs w:val="24"/>
        </w:rPr>
        <w:t>投标截止期前，各投标人递交投标文件（包括技术标</w:t>
      </w:r>
      <w:r>
        <w:rPr>
          <w:rFonts w:hint="eastAsia" w:ascii="宋体" w:hAnsi="宋体" w:cs="宋体"/>
          <w:sz w:val="24"/>
          <w:szCs w:val="24"/>
          <w:u w:val="single"/>
        </w:rPr>
        <w:t>（含资格审查文件）</w:t>
      </w:r>
      <w:r>
        <w:rPr>
          <w:rFonts w:hint="eastAsia" w:ascii="宋体" w:hAnsi="宋体" w:cs="宋体"/>
          <w:bCs/>
          <w:sz w:val="24"/>
          <w:szCs w:val="24"/>
        </w:rPr>
        <w:t>投标文件、经济标投标文件</w:t>
      </w:r>
      <w:r>
        <w:rPr>
          <w:rFonts w:hint="eastAsia" w:ascii="宋体" w:hAnsi="宋体" w:cs="宋体"/>
          <w:sz w:val="24"/>
          <w:szCs w:val="24"/>
          <w:u w:val="single"/>
        </w:rPr>
        <w:t>、定标文件</w:t>
      </w:r>
      <w:r>
        <w:rPr>
          <w:rFonts w:hint="eastAsia" w:ascii="宋体" w:hAnsi="宋体" w:cs="宋体"/>
          <w:bCs/>
          <w:sz w:val="24"/>
          <w:szCs w:val="24"/>
        </w:rPr>
        <w:t>）至</w:t>
      </w:r>
      <w:r>
        <w:rPr>
          <w:rFonts w:hint="eastAsia" w:ascii="宋体" w:hAnsi="宋体" w:cs="宋体"/>
          <w:bCs/>
          <w:sz w:val="24"/>
          <w:szCs w:val="24"/>
          <w:u w:val="single"/>
        </w:rPr>
        <w:t>广州交易集团有限公司（广州公共资源交易中心）</w:t>
      </w:r>
      <w:r>
        <w:rPr>
          <w:rFonts w:hint="eastAsia" w:ascii="宋体" w:hAnsi="宋体" w:cs="宋体"/>
          <w:bCs/>
          <w:sz w:val="24"/>
          <w:szCs w:val="24"/>
        </w:rPr>
        <w:t>交易平台。有关投标文件提交的事项详见第一章投标须知。</w:t>
      </w:r>
    </w:p>
    <w:p w14:paraId="69EE5041">
      <w:pPr>
        <w:wordWrap w:val="0"/>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条款号：41.2.2             修改类型：删除</w:t>
      </w:r>
    </w:p>
    <w:p w14:paraId="366FC1BF">
      <w:pPr>
        <w:pBdr>
          <w:bottom w:val="single" w:color="auto" w:sz="6" w:space="1"/>
        </w:pBd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原文：</w:t>
      </w:r>
      <w:r>
        <w:rPr>
          <w:rFonts w:hint="eastAsia" w:ascii="宋体" w:hAnsi="宋体" w:cs="宋体"/>
          <w:b/>
          <w:bCs/>
          <w:sz w:val="24"/>
          <w:szCs w:val="24"/>
        </w:rPr>
        <w:t>41.2.2</w:t>
      </w:r>
      <w:r>
        <w:rPr>
          <w:rFonts w:hint="eastAsia" w:ascii="宋体" w:hAnsi="宋体" w:cs="宋体"/>
          <w:sz w:val="24"/>
          <w:szCs w:val="24"/>
        </w:rPr>
        <w:t>开标前，首先由招标人随机抽取确定该工程计算评标参考价的等分点值X</w:t>
      </w:r>
      <w:r>
        <w:rPr>
          <w:rFonts w:hint="eastAsia" w:ascii="宋体" w:hAnsi="宋体" w:cs="宋体"/>
          <w:bCs/>
          <w:sz w:val="24"/>
          <w:szCs w:val="24"/>
        </w:rPr>
        <w:t>。</w:t>
      </w:r>
    </w:p>
    <w:p w14:paraId="0DDF785D">
      <w:pPr>
        <w:wordWrap w:val="0"/>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条款号：41.3                        修改类型：修改</w:t>
      </w:r>
    </w:p>
    <w:p w14:paraId="2EA2C815">
      <w:pPr>
        <w:pBdr>
          <w:bottom w:val="single" w:color="auto" w:sz="6" w:space="1"/>
        </w:pBdr>
        <w:wordWrap w:val="0"/>
        <w:adjustRightInd w:val="0"/>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bCs/>
          <w:sz w:val="24"/>
          <w:szCs w:val="24"/>
        </w:rPr>
        <w:t>41.3</w:t>
      </w:r>
      <w:r>
        <w:rPr>
          <w:rFonts w:hint="eastAsia" w:ascii="宋体" w:hAnsi="宋体" w:cs="宋体"/>
          <w:sz w:val="24"/>
          <w:szCs w:val="24"/>
        </w:rPr>
        <w:t>招标人对开标过程进行记录，并存档备查，投标人在技术标开标记录上签字。</w:t>
      </w:r>
    </w:p>
    <w:p w14:paraId="52CD9667">
      <w:pPr>
        <w:pBdr>
          <w:bottom w:val="single" w:color="auto" w:sz="6" w:space="1"/>
        </w:pBdr>
        <w:wordWrap w:val="0"/>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现文：</w:t>
      </w:r>
      <w:r>
        <w:rPr>
          <w:rFonts w:hint="eastAsia" w:ascii="宋体" w:hAnsi="宋体" w:cs="宋体"/>
          <w:bCs/>
          <w:sz w:val="24"/>
          <w:szCs w:val="24"/>
        </w:rPr>
        <w:t>41.3</w:t>
      </w:r>
      <w:r>
        <w:rPr>
          <w:rFonts w:hint="eastAsia" w:ascii="宋体" w:hAnsi="宋体" w:cs="宋体"/>
          <w:sz w:val="24"/>
          <w:szCs w:val="24"/>
        </w:rPr>
        <w:t>招标人</w:t>
      </w:r>
      <w:r>
        <w:rPr>
          <w:rFonts w:hint="eastAsia" w:ascii="宋体" w:hAnsi="宋体" w:cs="宋体"/>
          <w:sz w:val="24"/>
          <w:szCs w:val="24"/>
          <w:u w:val="single"/>
        </w:rPr>
        <w:t>或招标代理机构</w:t>
      </w:r>
      <w:r>
        <w:rPr>
          <w:rFonts w:hint="eastAsia" w:ascii="宋体" w:hAnsi="宋体" w:cs="宋体"/>
          <w:sz w:val="24"/>
          <w:szCs w:val="24"/>
        </w:rPr>
        <w:t>对开标过程进行记录，并存档备查，</w:t>
      </w:r>
      <w:r>
        <w:rPr>
          <w:rFonts w:hint="eastAsia" w:ascii="宋体" w:hAnsi="宋体" w:cs="宋体"/>
          <w:sz w:val="24"/>
          <w:szCs w:val="24"/>
          <w:u w:val="single"/>
        </w:rPr>
        <w:t>参加开标会的</w:t>
      </w:r>
      <w:r>
        <w:rPr>
          <w:rFonts w:hint="eastAsia" w:ascii="宋体" w:hAnsi="宋体" w:cs="宋体"/>
          <w:sz w:val="24"/>
          <w:szCs w:val="24"/>
        </w:rPr>
        <w:t>投标人在开标记录上签字。</w:t>
      </w:r>
    </w:p>
    <w:p w14:paraId="19CF5D86">
      <w:pPr>
        <w:wordWrap w:val="0"/>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条款号：41.4                        修改类型：修改</w:t>
      </w:r>
    </w:p>
    <w:p w14:paraId="387AF282">
      <w:pPr>
        <w:pBdr>
          <w:bottom w:val="single" w:color="auto" w:sz="6" w:space="1"/>
        </w:pBdr>
        <w:wordWrap w:val="0"/>
        <w:adjustRightInd w:val="0"/>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bCs/>
          <w:sz w:val="24"/>
          <w:szCs w:val="24"/>
        </w:rPr>
        <w:t>41.4招标人将上述符合要求的投标文件，送至评标委员会进行评审</w:t>
      </w:r>
      <w:r>
        <w:rPr>
          <w:rFonts w:hint="eastAsia" w:ascii="宋体" w:hAnsi="宋体" w:cs="宋体"/>
          <w:sz w:val="24"/>
          <w:szCs w:val="24"/>
        </w:rPr>
        <w:t>。</w:t>
      </w:r>
    </w:p>
    <w:p w14:paraId="4B44B8DB">
      <w:pPr>
        <w:pBdr>
          <w:bottom w:val="single" w:color="auto" w:sz="6" w:space="1"/>
        </w:pBdr>
        <w:wordWrap w:val="0"/>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现文：</w:t>
      </w:r>
      <w:r>
        <w:rPr>
          <w:rFonts w:hint="eastAsia" w:ascii="宋体" w:hAnsi="宋体" w:cs="宋体"/>
          <w:bCs/>
          <w:sz w:val="24"/>
          <w:szCs w:val="24"/>
        </w:rPr>
        <w:t>41.4</w:t>
      </w:r>
      <w:r>
        <w:rPr>
          <w:rFonts w:hint="eastAsia" w:ascii="宋体" w:hAnsi="宋体" w:cs="宋体"/>
          <w:sz w:val="24"/>
          <w:szCs w:val="24"/>
        </w:rPr>
        <w:t>招标人</w:t>
      </w:r>
      <w:r>
        <w:rPr>
          <w:rFonts w:hint="eastAsia" w:ascii="宋体" w:hAnsi="宋体" w:cs="宋体"/>
          <w:sz w:val="24"/>
          <w:szCs w:val="24"/>
          <w:u w:val="single"/>
        </w:rPr>
        <w:t>或招标代理机构</w:t>
      </w:r>
      <w:r>
        <w:rPr>
          <w:rFonts w:hint="eastAsia" w:ascii="宋体" w:hAnsi="宋体" w:cs="宋体"/>
          <w:bCs/>
          <w:sz w:val="24"/>
          <w:szCs w:val="24"/>
        </w:rPr>
        <w:t>将上述符合要求的投标文件，送至评标委员会进行评审</w:t>
      </w:r>
      <w:r>
        <w:rPr>
          <w:rFonts w:hint="eastAsia" w:ascii="宋体" w:hAnsi="宋体" w:cs="宋体"/>
          <w:sz w:val="24"/>
          <w:szCs w:val="24"/>
        </w:rPr>
        <w:t>。</w:t>
      </w:r>
    </w:p>
    <w:p w14:paraId="18092B33">
      <w:pPr>
        <w:wordWrap w:val="0"/>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条款号：42.2                    修改类型：修改</w:t>
      </w:r>
    </w:p>
    <w:p w14:paraId="7A85D496">
      <w:pPr>
        <w:pStyle w:val="5"/>
        <w:tabs>
          <w:tab w:val="left" w:pos="7380"/>
        </w:tabs>
        <w:snapToGrid w:val="0"/>
        <w:spacing w:after="0"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42.2评标委员会的组成：方式。</w:t>
      </w:r>
    </w:p>
    <w:p w14:paraId="4421CCF2">
      <w:pPr>
        <w:pStyle w:val="5"/>
        <w:tabs>
          <w:tab w:val="left" w:pos="7380"/>
        </w:tabs>
        <w:snapToGrid w:val="0"/>
        <w:spacing w:after="0" w:line="440" w:lineRule="exact"/>
        <w:ind w:firstLine="480" w:firstLineChars="200"/>
        <w:jc w:val="left"/>
        <w:rPr>
          <w:rFonts w:ascii="宋体" w:hAnsi="宋体" w:cs="宋体"/>
          <w:sz w:val="24"/>
          <w:szCs w:val="24"/>
        </w:rPr>
      </w:pPr>
      <w:r>
        <w:rPr>
          <w:rFonts w:hint="eastAsia" w:ascii="宋体" w:hAnsi="宋体" w:cs="宋体"/>
          <w:sz w:val="24"/>
          <w:szCs w:val="24"/>
        </w:rPr>
        <w:t>方式一：评标委员会为综合评标委员会，负责资格审查及评标工作。</w:t>
      </w:r>
    </w:p>
    <w:p w14:paraId="6268333E">
      <w:pPr>
        <w:pStyle w:val="5"/>
        <w:tabs>
          <w:tab w:val="left" w:pos="7380"/>
        </w:tabs>
        <w:snapToGrid w:val="0"/>
        <w:spacing w:after="0" w:line="440" w:lineRule="exact"/>
        <w:ind w:firstLine="480" w:firstLineChars="200"/>
        <w:jc w:val="left"/>
        <w:rPr>
          <w:rFonts w:ascii="宋体" w:hAnsi="宋体" w:cs="宋体"/>
          <w:sz w:val="24"/>
          <w:szCs w:val="24"/>
        </w:rPr>
      </w:pPr>
      <w:r>
        <w:rPr>
          <w:rFonts w:hint="eastAsia" w:ascii="宋体" w:hAnsi="宋体" w:cs="宋体"/>
          <w:sz w:val="24"/>
          <w:szCs w:val="24"/>
        </w:rPr>
        <w:t>方式二：评标委员会由技术评审组和经济评审组组成。其中：资格审查及技术评审由技术评标组负责，经济评审由经济评审组负责。</w:t>
      </w:r>
    </w:p>
    <w:p w14:paraId="7751D1AA">
      <w:pPr>
        <w:pBdr>
          <w:bottom w:val="single" w:color="auto" w:sz="6" w:space="1"/>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42.2评标委员会的组成：方式</w:t>
      </w:r>
      <w:r>
        <w:rPr>
          <w:rFonts w:hint="eastAsia" w:ascii="宋体" w:hAnsi="宋体" w:cs="宋体"/>
          <w:sz w:val="24"/>
          <w:szCs w:val="24"/>
          <w:u w:val="single"/>
        </w:rPr>
        <w:t xml:space="preserve"> 一 </w:t>
      </w:r>
      <w:r>
        <w:rPr>
          <w:rFonts w:hint="eastAsia" w:ascii="宋体" w:hAnsi="宋体" w:cs="宋体"/>
          <w:sz w:val="24"/>
          <w:szCs w:val="24"/>
        </w:rPr>
        <w:t>。</w:t>
      </w:r>
    </w:p>
    <w:p w14:paraId="1819A7E3">
      <w:pPr>
        <w:pBdr>
          <w:bottom w:val="single" w:color="auto" w:sz="6" w:space="1"/>
        </w:pBd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方式一：评标委员会为综合评标委员会，负责资格审查及评标工作。</w:t>
      </w:r>
    </w:p>
    <w:p w14:paraId="28CBB5A4">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条款号：43.6          修改类型：修改</w:t>
      </w:r>
    </w:p>
    <w:p w14:paraId="73FAA10D">
      <w:pPr>
        <w:pBdr>
          <w:bottom w:val="single" w:color="auto" w:sz="6" w:space="1"/>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bCs/>
          <w:sz w:val="24"/>
          <w:szCs w:val="24"/>
        </w:rPr>
        <w:t>43.6资格审查合格的投标人少于3名的（当N个标段同时招标且不允许兼中时，资格审查合格的投标人少于N+2名），则本项目招标失败。</w:t>
      </w:r>
    </w:p>
    <w:p w14:paraId="77AE81EC">
      <w:pPr>
        <w:pBdr>
          <w:bottom w:val="single" w:color="auto" w:sz="6" w:space="1"/>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u w:val="single"/>
        </w:rPr>
        <w:t>43.6资格审查合格的投标人少于3名的，则本项目招标失败。</w:t>
      </w:r>
    </w:p>
    <w:p w14:paraId="7325CBA2">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条款号：44.1          修改类型：修改</w:t>
      </w:r>
    </w:p>
    <w:p w14:paraId="43541F37">
      <w:pPr>
        <w:pBdr>
          <w:bottom w:val="single" w:color="auto" w:sz="6" w:space="1"/>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bCs/>
          <w:sz w:val="24"/>
          <w:szCs w:val="24"/>
        </w:rPr>
        <w:t>44.1</w:t>
      </w:r>
      <w:r>
        <w:rPr>
          <w:rFonts w:hint="eastAsia" w:ascii="宋体" w:hAnsi="宋体" w:cs="宋体"/>
          <w:sz w:val="24"/>
          <w:szCs w:val="24"/>
        </w:rPr>
        <w:t xml:space="preserve"> </w:t>
      </w:r>
      <w:r>
        <w:rPr>
          <w:rFonts w:hint="eastAsia" w:ascii="宋体" w:hAnsi="宋体" w:cs="宋体"/>
          <w:bCs/>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40F482CE">
      <w:pPr>
        <w:pBdr>
          <w:bottom w:val="single" w:color="auto" w:sz="6" w:space="1"/>
        </w:pBdr>
        <w:snapToGrid w:val="0"/>
        <w:spacing w:line="440" w:lineRule="exact"/>
        <w:ind w:firstLine="482" w:firstLineChars="200"/>
        <w:jc w:val="left"/>
        <w:rPr>
          <w:rFonts w:ascii="宋体" w:hAnsi="宋体" w:cs="宋体"/>
          <w:bCs/>
          <w:sz w:val="24"/>
          <w:szCs w:val="24"/>
        </w:rPr>
      </w:pPr>
      <w:r>
        <w:rPr>
          <w:rFonts w:hint="eastAsia" w:ascii="宋体" w:hAnsi="宋体" w:cs="宋体"/>
          <w:b/>
          <w:sz w:val="24"/>
          <w:szCs w:val="24"/>
        </w:rPr>
        <w:t>现文：</w:t>
      </w:r>
      <w:r>
        <w:rPr>
          <w:rFonts w:hint="eastAsia" w:ascii="宋体" w:hAnsi="宋体" w:cs="宋体"/>
          <w:bCs/>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Pr>
          <w:rFonts w:hint="eastAsia" w:ascii="宋体" w:hAnsi="宋体" w:cs="宋体"/>
          <w:bCs/>
          <w:sz w:val="24"/>
          <w:szCs w:val="24"/>
          <w:u w:val="single"/>
        </w:rPr>
        <w:t>若通过技术标有效性审查的投标人不足3名，</w:t>
      </w:r>
      <w:r>
        <w:rPr>
          <w:rFonts w:hint="eastAsia" w:ascii="宋体" w:hAnsi="宋体" w:cs="宋体"/>
          <w:bCs/>
          <w:sz w:val="24"/>
          <w:szCs w:val="24"/>
        </w:rPr>
        <w:t>则本项目招标失败。评委发现投标文件中含义不明确、对同类问题表述不一致、有明显文字和计算错误的，应当要求投标人作必要的澄清、说明后再判定投标人是否通过有效性审查，不得直接否决投标。</w:t>
      </w:r>
    </w:p>
    <w:p w14:paraId="4EF7B2B6">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条款号：44.2                    修改类型：删除</w:t>
      </w:r>
    </w:p>
    <w:p w14:paraId="5693EE98">
      <w:pPr>
        <w:pBdr>
          <w:bottom w:val="single" w:color="auto" w:sz="6" w:space="1"/>
        </w:pBdr>
        <w:snapToGrid w:val="0"/>
        <w:spacing w:line="440" w:lineRule="exact"/>
        <w:ind w:firstLine="482" w:firstLineChars="200"/>
        <w:jc w:val="left"/>
        <w:rPr>
          <w:rFonts w:ascii="宋体" w:hAnsi="宋体" w:cs="宋体"/>
          <w:bCs/>
          <w:sz w:val="24"/>
          <w:szCs w:val="24"/>
        </w:rPr>
      </w:pPr>
      <w:r>
        <w:rPr>
          <w:rFonts w:hint="eastAsia" w:ascii="宋体" w:hAnsi="宋体" w:cs="宋体"/>
          <w:b/>
          <w:sz w:val="24"/>
          <w:szCs w:val="24"/>
        </w:rPr>
        <w:t>原文：</w:t>
      </w:r>
      <w:r>
        <w:rPr>
          <w:rFonts w:hint="eastAsia" w:ascii="宋体" w:hAnsi="宋体" w:cs="宋体"/>
          <w:sz w:val="24"/>
          <w:szCs w:val="24"/>
        </w:rPr>
        <w:t>44.2技术标详细审查评分：评标委员会按照附表四《技术标详细审查评分表》的标准，对通过技术标有效性审查的投标文件技术标进行详细审查，评出技术分，得分四舍五入精确到小数点后两位</w:t>
      </w:r>
      <w:r>
        <w:rPr>
          <w:rFonts w:hint="eastAsia" w:ascii="宋体" w:hAnsi="宋体" w:cs="宋体"/>
          <w:bCs/>
          <w:sz w:val="24"/>
          <w:szCs w:val="24"/>
        </w:rPr>
        <w:t>。</w:t>
      </w:r>
    </w:p>
    <w:p w14:paraId="60539BFE">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条款号：45            修改类型：删除</w:t>
      </w:r>
    </w:p>
    <w:p w14:paraId="4D9C9E22">
      <w:pPr>
        <w:snapToGrid w:val="0"/>
        <w:spacing w:line="440" w:lineRule="exact"/>
        <w:ind w:firstLine="482" w:firstLineChars="200"/>
        <w:jc w:val="left"/>
        <w:rPr>
          <w:rFonts w:ascii="宋体" w:hAnsi="宋体" w:cs="宋体"/>
          <w:b/>
          <w:bCs/>
          <w:sz w:val="24"/>
          <w:szCs w:val="24"/>
        </w:rPr>
      </w:pPr>
      <w:r>
        <w:rPr>
          <w:rFonts w:hint="eastAsia" w:ascii="宋体" w:hAnsi="宋体" w:cs="宋体"/>
          <w:b/>
          <w:sz w:val="24"/>
          <w:szCs w:val="24"/>
        </w:rPr>
        <w:t>原文：</w:t>
      </w:r>
      <w:r>
        <w:rPr>
          <w:rFonts w:hint="eastAsia" w:ascii="宋体" w:hAnsi="宋体" w:cs="宋体"/>
          <w:b/>
          <w:bCs/>
          <w:sz w:val="24"/>
          <w:szCs w:val="24"/>
        </w:rPr>
        <w:t>45．经济标评审和得分汇总</w:t>
      </w:r>
    </w:p>
    <w:p w14:paraId="4B9E80E0">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45.1若通过技术标有效性审查的投标人中所有投标报价均大于等于最高投标限价，则本项目招标失败，由招标人依法重新招标。</w:t>
      </w:r>
    </w:p>
    <w:p w14:paraId="6381876B">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45.2按区间抽取法计算评标参考价：</w:t>
      </w:r>
    </w:p>
    <w:p w14:paraId="5F365F71">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DAE1422">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评标参考价=（Q</w:t>
      </w:r>
      <w:r>
        <w:rPr>
          <w:rFonts w:hint="eastAsia" w:ascii="宋体" w:hAnsi="宋体" w:cs="宋体"/>
          <w:sz w:val="24"/>
          <w:szCs w:val="24"/>
          <w:vertAlign w:val="subscript"/>
        </w:rPr>
        <w:t>高</w:t>
      </w:r>
      <w:r>
        <w:rPr>
          <w:rFonts w:hint="eastAsia" w:ascii="宋体" w:hAnsi="宋体" w:cs="宋体"/>
          <w:sz w:val="24"/>
          <w:szCs w:val="24"/>
        </w:rPr>
        <w:t>-Q</w:t>
      </w:r>
      <w:r>
        <w:rPr>
          <w:rFonts w:hint="eastAsia" w:ascii="宋体" w:hAnsi="宋体" w:cs="宋体"/>
          <w:sz w:val="24"/>
          <w:szCs w:val="24"/>
          <w:vertAlign w:val="subscript"/>
        </w:rPr>
        <w:t>低</w:t>
      </w:r>
      <w:r>
        <w:rPr>
          <w:rFonts w:hint="eastAsia" w:ascii="宋体" w:hAnsi="宋体" w:cs="宋体"/>
          <w:sz w:val="24"/>
          <w:szCs w:val="24"/>
        </w:rPr>
        <w:t>）/100*Ｘ+Q</w:t>
      </w:r>
      <w:r>
        <w:rPr>
          <w:rFonts w:hint="eastAsia" w:ascii="宋体" w:hAnsi="宋体" w:cs="宋体"/>
          <w:sz w:val="24"/>
          <w:szCs w:val="24"/>
          <w:vertAlign w:val="subscript"/>
        </w:rPr>
        <w:t>低</w:t>
      </w:r>
    </w:p>
    <w:p w14:paraId="48687D2D">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Q</w:t>
      </w:r>
      <w:r>
        <w:rPr>
          <w:rFonts w:hint="eastAsia" w:ascii="宋体" w:hAnsi="宋体" w:cs="宋体"/>
          <w:sz w:val="24"/>
          <w:szCs w:val="24"/>
          <w:vertAlign w:val="subscript"/>
        </w:rPr>
        <w:t>低</w:t>
      </w:r>
      <w:r>
        <w:rPr>
          <w:rFonts w:hint="eastAsia" w:ascii="宋体" w:hAnsi="宋体" w:cs="宋体"/>
          <w:sz w:val="24"/>
          <w:szCs w:val="24"/>
        </w:rPr>
        <w:t>：为达到或超过技术标及格分数线的投标人最低报价与工程成本警示价两者中的较高值；</w:t>
      </w:r>
    </w:p>
    <w:p w14:paraId="731125C2">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Q</w:t>
      </w:r>
      <w:r>
        <w:rPr>
          <w:rFonts w:hint="eastAsia" w:ascii="宋体" w:hAnsi="宋体" w:cs="宋体"/>
          <w:sz w:val="24"/>
          <w:szCs w:val="24"/>
          <w:vertAlign w:val="subscript"/>
        </w:rPr>
        <w:t>高</w:t>
      </w:r>
      <w:r>
        <w:rPr>
          <w:rFonts w:hint="eastAsia" w:ascii="宋体" w:hAnsi="宋体" w:cs="宋体"/>
          <w:sz w:val="24"/>
          <w:szCs w:val="24"/>
        </w:rPr>
        <w:t>：为最高投标限价</w:t>
      </w:r>
    </w:p>
    <w:p w14:paraId="294E6487">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X：为等分点值，在开标前从[0,100]整数中随机抽取。</w:t>
      </w:r>
    </w:p>
    <w:p w14:paraId="4498B8E2">
      <w:pPr>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45.3当标价等于评标参考价时得100分，标价每高于评标参考价1%，扣1.5分，每低于评标参考价1%，扣1分，扣至0分为止，得出经济分，精确到小数点后两位。</w:t>
      </w:r>
    </w:p>
    <w:p w14:paraId="3BD0DF36">
      <w:pPr>
        <w:pBdr>
          <w:bottom w:val="single" w:color="auto" w:sz="6" w:space="1"/>
        </w:pBdr>
        <w:snapToGrid w:val="0"/>
        <w:spacing w:line="440" w:lineRule="exact"/>
        <w:ind w:firstLine="480" w:firstLineChars="200"/>
        <w:jc w:val="left"/>
        <w:rPr>
          <w:rFonts w:ascii="宋体" w:hAnsi="宋体" w:cs="宋体"/>
          <w:bCs/>
          <w:sz w:val="24"/>
          <w:szCs w:val="24"/>
        </w:rPr>
      </w:pPr>
      <w:r>
        <w:rPr>
          <w:rFonts w:hint="eastAsia" w:ascii="宋体" w:hAnsi="宋体" w:cs="宋体"/>
          <w:sz w:val="24"/>
          <w:szCs w:val="24"/>
        </w:rPr>
        <w:t>45.4计算通过技术标有效性审查的投标人总得分。投标人总得分=（技术得分×技术得分权重＋经济得分×经济得分权重）×（1-诚信综合评价分数权重）＋诚信综合评价排名得分×诚信综合评价分数权重）。技术、经济得分权重按投标须知前附表的规定执行。总得分四舍五入保留两位小数</w:t>
      </w:r>
      <w:r>
        <w:rPr>
          <w:rFonts w:hint="eastAsia" w:ascii="宋体" w:hAnsi="宋体" w:cs="宋体"/>
          <w:bCs/>
          <w:sz w:val="24"/>
          <w:szCs w:val="24"/>
        </w:rPr>
        <w:t>。</w:t>
      </w:r>
    </w:p>
    <w:p w14:paraId="3AF0FE2A">
      <w:pPr>
        <w:wordWrap w:val="0"/>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条款号：46.1                        修改类型：修改</w:t>
      </w:r>
    </w:p>
    <w:p w14:paraId="3764A403">
      <w:pPr>
        <w:wordWrap w:val="0"/>
        <w:adjustRightInd w:val="0"/>
        <w:snapToGrid w:val="0"/>
        <w:spacing w:line="440" w:lineRule="exact"/>
        <w:ind w:firstLine="482" w:firstLineChars="200"/>
        <w:jc w:val="left"/>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6E5C0888">
      <w:pPr>
        <w:pBdr>
          <w:bottom w:val="single" w:color="000000" w:sz="4" w:space="1"/>
        </w:pBdr>
        <w:wordWrap w:val="0"/>
        <w:adjustRightInd w:val="0"/>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bCs/>
          <w:sz w:val="24"/>
          <w:szCs w:val="24"/>
        </w:rPr>
        <w:t>46.1经济标的有效性审查：</w:t>
      </w:r>
      <w:r>
        <w:rPr>
          <w:rFonts w:hint="eastAsia" w:ascii="宋体" w:hAnsi="宋体" w:cs="宋体"/>
          <w:bCs/>
          <w:sz w:val="24"/>
          <w:szCs w:val="24"/>
          <w:u w:val="singl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宋体" w:hAnsi="宋体" w:cs="宋体"/>
          <w:sz w:val="24"/>
          <w:szCs w:val="24"/>
        </w:rPr>
        <w:t>。</w:t>
      </w:r>
    </w:p>
    <w:p w14:paraId="107A0AF3">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条款号：47</w:t>
      </w:r>
      <w:r>
        <w:rPr>
          <w:rFonts w:hint="eastAsia" w:ascii="宋体" w:hAnsi="宋体" w:cs="宋体"/>
          <w:sz w:val="24"/>
          <w:szCs w:val="24"/>
        </w:rPr>
        <w:t xml:space="preserve"> </w:t>
      </w:r>
      <w:r>
        <w:rPr>
          <w:rFonts w:hint="eastAsia" w:ascii="宋体" w:hAnsi="宋体" w:cs="宋体"/>
          <w:b/>
          <w:sz w:val="24"/>
          <w:szCs w:val="24"/>
        </w:rPr>
        <w:t xml:space="preserve">            修改类型：删除</w:t>
      </w:r>
    </w:p>
    <w:p w14:paraId="3F422E4E">
      <w:pPr>
        <w:pBdr>
          <w:bottom w:val="single" w:color="auto" w:sz="6" w:space="1"/>
        </w:pBd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原文：</w:t>
      </w:r>
      <w:r>
        <w:rPr>
          <w:rFonts w:hint="eastAsia" w:ascii="宋体" w:hAnsi="宋体" w:cs="宋体"/>
          <w:bCs/>
          <w:sz w:val="24"/>
          <w:szCs w:val="24"/>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r>
        <w:rPr>
          <w:rFonts w:hint="eastAsia" w:ascii="宋体" w:hAnsi="宋体" w:cs="宋体"/>
          <w:sz w:val="24"/>
          <w:szCs w:val="24"/>
        </w:rPr>
        <w:t>。</w:t>
      </w:r>
    </w:p>
    <w:p w14:paraId="598A34F1">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w:t>
      </w:r>
      <w:r>
        <w:rPr>
          <w:rFonts w:hint="eastAsia" w:ascii="宋体" w:hAnsi="宋体" w:cs="宋体"/>
          <w:b/>
          <w:kern w:val="0"/>
          <w:sz w:val="24"/>
          <w:szCs w:val="24"/>
        </w:rPr>
        <w:t>48</w:t>
      </w:r>
      <w:r>
        <w:rPr>
          <w:rFonts w:hint="eastAsia" w:ascii="宋体" w:hAnsi="宋体" w:cs="宋体"/>
          <w:b/>
          <w:sz w:val="24"/>
          <w:szCs w:val="24"/>
        </w:rPr>
        <w:t xml:space="preserve">              修改类型：修改</w:t>
      </w:r>
    </w:p>
    <w:p w14:paraId="21A2DEFA">
      <w:pP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kern w:val="0"/>
          <w:sz w:val="24"/>
          <w:szCs w:val="24"/>
        </w:rPr>
        <w:t>48.评标委员会应在通过投标文件经济标有效性审查的投标人中，按步骤45.4确定的投标人第二阶段排序，推荐前3名依次为第一中标候选人至第三中标候选人，并编制评标报告。</w:t>
      </w:r>
    </w:p>
    <w:p w14:paraId="5475DAB9">
      <w:pPr>
        <w:pBdr>
          <w:bottom w:val="single" w:color="auto" w:sz="6" w:space="1"/>
        </w:pBdr>
        <w:snapToGrid w:val="0"/>
        <w:spacing w:line="440" w:lineRule="exact"/>
        <w:ind w:firstLine="482" w:firstLineChars="200"/>
        <w:jc w:val="left"/>
        <w:rPr>
          <w:rFonts w:ascii="宋体" w:hAnsi="宋体" w:cs="宋体"/>
          <w:sz w:val="24"/>
          <w:szCs w:val="24"/>
          <w:u w:val="single"/>
        </w:rPr>
      </w:pPr>
      <w:r>
        <w:rPr>
          <w:rFonts w:hint="eastAsia" w:ascii="宋体" w:hAnsi="宋体" w:cs="宋体"/>
          <w:b/>
          <w:sz w:val="24"/>
          <w:szCs w:val="24"/>
        </w:rPr>
        <w:t>现文</w:t>
      </w:r>
      <w:r>
        <w:rPr>
          <w:rFonts w:hint="eastAsia" w:ascii="宋体" w:hAnsi="宋体" w:cs="宋体"/>
          <w:sz w:val="24"/>
          <w:szCs w:val="24"/>
        </w:rPr>
        <w:t>：48.</w:t>
      </w:r>
      <w:r>
        <w:rPr>
          <w:rFonts w:hint="eastAsia" w:ascii="宋体" w:hAnsi="宋体" w:cs="宋体"/>
          <w:kern w:val="0"/>
          <w:sz w:val="24"/>
          <w:szCs w:val="24"/>
        </w:rPr>
        <w:t>评标委员会</w:t>
      </w:r>
      <w:r>
        <w:rPr>
          <w:rFonts w:hint="eastAsia" w:ascii="宋体" w:hAnsi="宋体" w:cs="宋体"/>
          <w:kern w:val="0"/>
          <w:sz w:val="24"/>
          <w:szCs w:val="24"/>
          <w:u w:val="single"/>
        </w:rPr>
        <w:t>对投标文件进行资格审查，再对通过资格审查的投标文件进行技术标有效性审查及经济标有效性审查，评出合格的中标候选人。全部通过技术标有效性审查及经济有效性审查合格的中标候选人进入定标阶段【不排序，按统一社会信用代码后4位（除校验码外）大小排位</w:t>
      </w:r>
      <w:r>
        <w:rPr>
          <w:rFonts w:hint="eastAsia" w:ascii="宋体" w:hAnsi="宋体" w:cs="宋体"/>
          <w:sz w:val="24"/>
          <w:szCs w:val="24"/>
          <w:u w:val="single"/>
          <w:lang w:bidi="ar"/>
        </w:rPr>
        <w:t>，如统一社会信用代码后4位（除校验码外）出现字母情况的，字母以“0”进行代替大小排位；如出现后4位（除校验码外）大小一致的，则随机排位</w:t>
      </w:r>
      <w:r>
        <w:rPr>
          <w:rFonts w:hint="eastAsia" w:ascii="宋体" w:hAnsi="宋体" w:cs="宋体"/>
          <w:kern w:val="0"/>
          <w:sz w:val="24"/>
          <w:szCs w:val="24"/>
          <w:u w:val="single"/>
        </w:rPr>
        <w:t>】。并编制评标报告。</w:t>
      </w:r>
    </w:p>
    <w:p w14:paraId="2B32F18D">
      <w:pPr>
        <w:wordWrap w:val="0"/>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 xml:space="preserve">49  </w:t>
      </w:r>
      <w:r>
        <w:rPr>
          <w:rFonts w:hint="eastAsia" w:ascii="宋体" w:hAnsi="宋体" w:cs="宋体"/>
          <w:b/>
          <w:sz w:val="24"/>
          <w:szCs w:val="24"/>
        </w:rPr>
        <w:t xml:space="preserve">                         修改类型：修改</w:t>
      </w:r>
    </w:p>
    <w:p w14:paraId="05019612">
      <w:pPr>
        <w:wordWrap w:val="0"/>
        <w:adjustRightInd w:val="0"/>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49若通过经济标有效性审查的投标人不足三家，应当依法重新招标。（当N个标段同时招标且不允许兼中时，若有效投标人不足N+2家，应当依法重新招标）</w:t>
      </w:r>
    </w:p>
    <w:p w14:paraId="59046FE6">
      <w:pPr>
        <w:pBdr>
          <w:bottom w:val="single" w:color="auto" w:sz="12" w:space="1"/>
        </w:pBdr>
        <w:wordWrap w:val="0"/>
        <w:adjustRightInd w:val="0"/>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49若通过经济标有效性审查的投标人不足三家，应当依法重新招标。</w:t>
      </w:r>
    </w:p>
    <w:p w14:paraId="1CE7EACF">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条款号：50                   修改类型：增加</w:t>
      </w:r>
    </w:p>
    <w:p w14:paraId="020C66B3">
      <w:pPr>
        <w:snapToGrid w:val="0"/>
        <w:spacing w:line="440" w:lineRule="exact"/>
        <w:ind w:firstLine="482" w:firstLineChars="200"/>
        <w:jc w:val="left"/>
        <w:rPr>
          <w:rFonts w:ascii="宋体" w:hAnsi="宋体" w:cs="宋体"/>
          <w:bCs/>
          <w:sz w:val="24"/>
          <w:szCs w:val="24"/>
        </w:rPr>
      </w:pPr>
      <w:r>
        <w:rPr>
          <w:rFonts w:hint="eastAsia" w:ascii="宋体" w:hAnsi="宋体" w:cs="宋体"/>
          <w:b/>
          <w:sz w:val="24"/>
          <w:szCs w:val="24"/>
        </w:rPr>
        <w:t>现文：</w:t>
      </w:r>
      <w:r>
        <w:rPr>
          <w:rFonts w:hint="eastAsia" w:ascii="宋体" w:hAnsi="宋体" w:cs="宋体"/>
          <w:bCs/>
          <w:sz w:val="24"/>
          <w:szCs w:val="24"/>
        </w:rPr>
        <w:t>50.定标</w:t>
      </w:r>
    </w:p>
    <w:p w14:paraId="08E0CEA7">
      <w:pPr>
        <w:pBdr>
          <w:bottom w:val="none" w:color="auto" w:sz="0" w:space="1"/>
        </w:pBdr>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u w:val="single"/>
        </w:rPr>
        <w:t>50.1合格的中标候选人公示结束后，招标人按以下规定组建定标委员会，在评标委员会推荐的合格中标候选人确定中标人：</w:t>
      </w:r>
    </w:p>
    <w:p w14:paraId="5440878A">
      <w:pPr>
        <w:pBdr>
          <w:bottom w:val="none" w:color="auto" w:sz="0" w:space="1"/>
        </w:pBdr>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u w:val="single"/>
        </w:rPr>
        <w:t>（1）定标由招标人依法组建的定标委员会负责，成员数量为5人或以上单数，定标委员会成员不得参与定标前期准备工作。</w:t>
      </w:r>
    </w:p>
    <w:p w14:paraId="0B8D0013">
      <w:pPr>
        <w:pBdr>
          <w:bottom w:val="none" w:color="auto" w:sz="0" w:space="1"/>
        </w:pBdr>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u w:val="single"/>
        </w:rPr>
        <w:t>（2）招标人应当组建定标监督小组对定标过程进行见证监督。</w:t>
      </w:r>
    </w:p>
    <w:p w14:paraId="32BF8089">
      <w:pPr>
        <w:pBdr>
          <w:bottom w:val="none" w:color="auto" w:sz="0" w:space="1"/>
        </w:pBdr>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u w:val="single"/>
        </w:rPr>
        <w:t>50.2 定标时间和地点：招标人在合格的中标候选人公示完成后10个工作日内在广州交易集团有限公司（广州公共资源交易中心）举行定标会议，招标人按规定程序在投标人须知的时间和地点完成定标工作。</w:t>
      </w:r>
    </w:p>
    <w:p w14:paraId="443FD9B2">
      <w:pPr>
        <w:pStyle w:val="37"/>
        <w:widowControl/>
        <w:spacing w:line="440" w:lineRule="exact"/>
        <w:ind w:firstLine="480" w:firstLineChars="200"/>
        <w:jc w:val="left"/>
        <w:rPr>
          <w:rFonts w:ascii="宋体" w:hAnsi="宋体" w:cs="宋体"/>
          <w:szCs w:val="24"/>
          <w:u w:val="single"/>
        </w:rPr>
      </w:pPr>
      <w:r>
        <w:rPr>
          <w:rFonts w:hint="eastAsia" w:ascii="宋体" w:hAnsi="宋体" w:cs="宋体"/>
          <w:szCs w:val="24"/>
          <w:u w:val="single"/>
        </w:rPr>
        <w:t>50.3定标规则</w:t>
      </w:r>
    </w:p>
    <w:p w14:paraId="70BE8ED9">
      <w:pPr>
        <w:pBdr>
          <w:bottom w:val="single" w:color="auto" w:sz="6" w:space="1"/>
        </w:pBdr>
        <w:spacing w:line="440" w:lineRule="exact"/>
        <w:ind w:firstLine="480" w:firstLineChars="200"/>
        <w:jc w:val="left"/>
        <w:rPr>
          <w:rStyle w:val="45"/>
          <w:rFonts w:ascii="宋体" w:hAnsi="宋体" w:cs="宋体"/>
          <w:b w:val="0"/>
          <w:sz w:val="24"/>
          <w:szCs w:val="24"/>
          <w:u w:val="single"/>
        </w:rPr>
      </w:pPr>
      <w:r>
        <w:rPr>
          <w:rStyle w:val="45"/>
          <w:rFonts w:hint="eastAsia" w:ascii="宋体" w:hAnsi="宋体" w:cs="宋体"/>
          <w:b w:val="0"/>
          <w:sz w:val="24"/>
          <w:szCs w:val="24"/>
          <w:u w:val="single"/>
        </w:rPr>
        <w:t>本项目采</w:t>
      </w:r>
      <w:r>
        <w:rPr>
          <w:rStyle w:val="45"/>
          <w:rFonts w:hint="eastAsia" w:ascii="宋体" w:hAnsi="宋体" w:cs="宋体"/>
          <w:b w:val="0"/>
          <w:sz w:val="24"/>
          <w:szCs w:val="24"/>
          <w:highlight w:val="none"/>
          <w:u w:val="single"/>
        </w:rPr>
        <w:t>用资信因素+方案因素+价格因素,</w:t>
      </w:r>
      <w:r>
        <w:rPr>
          <w:rStyle w:val="45"/>
          <w:rFonts w:hint="eastAsia" w:ascii="宋体" w:hAnsi="宋体" w:cs="宋体"/>
          <w:b w:val="0"/>
          <w:sz w:val="24"/>
          <w:szCs w:val="24"/>
          <w:u w:val="single"/>
        </w:rPr>
        <w:t>具体定标方法如下：</w:t>
      </w:r>
    </w:p>
    <w:p w14:paraId="7AE56D91">
      <w:pPr>
        <w:pBdr>
          <w:bottom w:val="single" w:color="auto" w:sz="6" w:space="1"/>
        </w:pBdr>
        <w:spacing w:line="440" w:lineRule="exact"/>
        <w:ind w:firstLine="480" w:firstLineChars="200"/>
        <w:jc w:val="left"/>
        <w:rPr>
          <w:rStyle w:val="45"/>
          <w:rFonts w:ascii="宋体" w:hAnsi="宋体" w:cs="宋体"/>
          <w:b w:val="0"/>
          <w:sz w:val="24"/>
          <w:szCs w:val="24"/>
          <w:u w:val="single"/>
        </w:rPr>
      </w:pPr>
      <w:r>
        <w:rPr>
          <w:rStyle w:val="45"/>
          <w:rFonts w:hint="eastAsia" w:ascii="宋体" w:hAnsi="宋体" w:cs="宋体"/>
          <w:b w:val="0"/>
          <w:sz w:val="24"/>
          <w:szCs w:val="24"/>
          <w:u w:val="single"/>
        </w:rPr>
        <w:t>50.3.1 定标程序</w:t>
      </w:r>
    </w:p>
    <w:p w14:paraId="69B2B5EB">
      <w:pPr>
        <w:pBdr>
          <w:bottom w:val="single" w:color="auto" w:sz="6" w:space="1"/>
        </w:pBdr>
        <w:spacing w:line="440" w:lineRule="exact"/>
        <w:ind w:firstLine="480" w:firstLineChars="200"/>
        <w:jc w:val="left"/>
        <w:rPr>
          <w:rStyle w:val="45"/>
          <w:rFonts w:ascii="宋体" w:hAnsi="宋体" w:cs="宋体"/>
          <w:b w:val="0"/>
          <w:sz w:val="24"/>
          <w:szCs w:val="24"/>
          <w:u w:val="single"/>
        </w:rPr>
      </w:pPr>
      <w:r>
        <w:rPr>
          <w:rStyle w:val="45"/>
          <w:rFonts w:hint="eastAsia" w:ascii="宋体" w:hAnsi="宋体" w:cs="宋体"/>
          <w:b w:val="0"/>
          <w:sz w:val="24"/>
          <w:szCs w:val="24"/>
          <w:u w:val="single"/>
        </w:rPr>
        <w:t>50.3.1.1定标工作开始后，定标委员会应推荐一人为定标委员会组长，主持当次定标会议。</w:t>
      </w:r>
    </w:p>
    <w:p w14:paraId="0F8F3E31">
      <w:pPr>
        <w:pBdr>
          <w:bottom w:val="single" w:color="auto" w:sz="6" w:space="1"/>
        </w:pBdr>
        <w:spacing w:line="440" w:lineRule="exact"/>
        <w:ind w:firstLine="480" w:firstLineChars="200"/>
        <w:jc w:val="left"/>
        <w:rPr>
          <w:rStyle w:val="45"/>
          <w:rFonts w:ascii="宋体" w:hAnsi="宋体" w:cs="宋体"/>
          <w:b w:val="0"/>
          <w:sz w:val="24"/>
          <w:szCs w:val="24"/>
          <w:u w:val="single"/>
        </w:rPr>
      </w:pPr>
      <w:r>
        <w:rPr>
          <w:rStyle w:val="45"/>
          <w:rFonts w:hint="eastAsia" w:ascii="宋体" w:hAnsi="宋体" w:cs="宋体"/>
          <w:b w:val="0"/>
          <w:sz w:val="24"/>
          <w:szCs w:val="24"/>
          <w:u w:val="single"/>
        </w:rPr>
        <w:t>50.3.1.2定标辅助资料为评标阶段的评标报告、投标人提交的投标与定标文件。</w:t>
      </w:r>
    </w:p>
    <w:p w14:paraId="4F64D348">
      <w:pPr>
        <w:pBdr>
          <w:bottom w:val="single" w:color="auto" w:sz="6" w:space="1"/>
        </w:pBdr>
        <w:spacing w:line="440" w:lineRule="exact"/>
        <w:ind w:firstLine="480" w:firstLineChars="200"/>
        <w:jc w:val="left"/>
        <w:rPr>
          <w:rStyle w:val="45"/>
          <w:rFonts w:ascii="宋体" w:hAnsi="宋体" w:cs="宋体"/>
          <w:b w:val="0"/>
          <w:sz w:val="24"/>
          <w:szCs w:val="24"/>
          <w:u w:val="single"/>
        </w:rPr>
      </w:pPr>
      <w:r>
        <w:rPr>
          <w:rStyle w:val="45"/>
          <w:rFonts w:hint="eastAsia" w:ascii="宋体" w:hAnsi="宋体" w:cs="宋体"/>
          <w:b w:val="0"/>
          <w:sz w:val="24"/>
          <w:szCs w:val="24"/>
          <w:u w:val="single"/>
        </w:rPr>
        <w:t>50.3.1.3定标委员会根据定标辅助资料，在同等条件下，定标因素具体评价标准详见附表：《定标因素表》。</w:t>
      </w:r>
    </w:p>
    <w:p w14:paraId="230AAE35">
      <w:pPr>
        <w:pBdr>
          <w:bottom w:val="single" w:color="auto" w:sz="6" w:space="1"/>
        </w:pBdr>
        <w:spacing w:line="440" w:lineRule="exact"/>
        <w:ind w:firstLine="480" w:firstLineChars="200"/>
        <w:jc w:val="left"/>
        <w:rPr>
          <w:rStyle w:val="45"/>
          <w:rFonts w:ascii="宋体" w:hAnsi="宋体" w:cs="宋体"/>
          <w:b w:val="0"/>
          <w:sz w:val="24"/>
          <w:szCs w:val="24"/>
          <w:u w:val="single"/>
        </w:rPr>
      </w:pPr>
      <w:r>
        <w:rPr>
          <w:rStyle w:val="45"/>
          <w:rFonts w:hint="eastAsia" w:ascii="宋体" w:hAnsi="宋体" w:cs="宋体"/>
          <w:b w:val="0"/>
          <w:sz w:val="24"/>
          <w:szCs w:val="24"/>
          <w:u w:val="single"/>
        </w:rPr>
        <w:t>50.3.1.4定标委员会根据合格的中标候选人总得分由高至低排序合格的中标候选人的名次。</w:t>
      </w:r>
      <w:r>
        <w:rPr>
          <w:rStyle w:val="45"/>
          <w:rFonts w:hint="eastAsia" w:ascii="宋体" w:hAnsi="宋体" w:cs="宋体"/>
          <w:b w:val="0"/>
          <w:sz w:val="24"/>
          <w:szCs w:val="24"/>
          <w:highlight w:val="none"/>
          <w:u w:val="single"/>
        </w:rPr>
        <w:t>合格的中标候选人总得分=资信因素（</w:t>
      </w:r>
      <w:r>
        <w:rPr>
          <w:rStyle w:val="45"/>
          <w:rFonts w:hint="eastAsia" w:ascii="宋体" w:hAnsi="宋体" w:cs="宋体"/>
          <w:b w:val="0"/>
          <w:sz w:val="24"/>
          <w:szCs w:val="24"/>
          <w:highlight w:val="none"/>
          <w:u w:val="single"/>
          <w:lang w:val="en-US" w:eastAsia="zh-CN"/>
        </w:rPr>
        <w:t>12</w:t>
      </w:r>
      <w:r>
        <w:rPr>
          <w:rStyle w:val="45"/>
          <w:rFonts w:hint="eastAsia" w:ascii="宋体" w:hAnsi="宋体" w:cs="宋体"/>
          <w:b w:val="0"/>
          <w:sz w:val="24"/>
          <w:szCs w:val="24"/>
          <w:highlight w:val="none"/>
          <w:u w:val="single"/>
        </w:rPr>
        <w:t>分）+方案因素（</w:t>
      </w:r>
      <w:r>
        <w:rPr>
          <w:rStyle w:val="45"/>
          <w:rFonts w:hint="eastAsia" w:ascii="宋体" w:hAnsi="宋体" w:cs="宋体"/>
          <w:b w:val="0"/>
          <w:sz w:val="24"/>
          <w:szCs w:val="24"/>
          <w:highlight w:val="none"/>
          <w:u w:val="single"/>
          <w:lang w:val="en-US" w:eastAsia="zh-CN"/>
        </w:rPr>
        <w:t>38</w:t>
      </w:r>
      <w:r>
        <w:rPr>
          <w:rStyle w:val="45"/>
          <w:rFonts w:hint="eastAsia" w:ascii="宋体" w:hAnsi="宋体" w:cs="宋体"/>
          <w:b w:val="0"/>
          <w:sz w:val="24"/>
          <w:szCs w:val="24"/>
          <w:highlight w:val="none"/>
          <w:u w:val="single"/>
        </w:rPr>
        <w:t>分）+价格因素（50分）。总得分四舍五入保留两位小数。</w:t>
      </w:r>
    </w:p>
    <w:p w14:paraId="59DFA863">
      <w:pPr>
        <w:pBdr>
          <w:bottom w:val="single" w:color="auto" w:sz="6" w:space="1"/>
        </w:pBdr>
        <w:spacing w:line="440" w:lineRule="exact"/>
        <w:ind w:firstLine="480" w:firstLineChars="200"/>
        <w:jc w:val="left"/>
        <w:rPr>
          <w:rStyle w:val="45"/>
          <w:rFonts w:ascii="宋体" w:hAnsi="宋体" w:cs="宋体"/>
          <w:b w:val="0"/>
          <w:sz w:val="24"/>
          <w:szCs w:val="24"/>
          <w:u w:val="single"/>
        </w:rPr>
      </w:pPr>
      <w:r>
        <w:rPr>
          <w:rStyle w:val="45"/>
          <w:rFonts w:hint="eastAsia" w:ascii="宋体" w:hAnsi="宋体" w:cs="宋体"/>
          <w:b w:val="0"/>
          <w:sz w:val="24"/>
          <w:szCs w:val="24"/>
          <w:u w:val="single"/>
        </w:rPr>
        <w:t>50.3.1.5定标委员会确定总得分最高合格的中标候选人为中标人。</w:t>
      </w:r>
    </w:p>
    <w:p w14:paraId="4F9C5813">
      <w:pPr>
        <w:pBdr>
          <w:bottom w:val="single" w:color="auto" w:sz="6" w:space="1"/>
        </w:pBdr>
        <w:spacing w:line="440" w:lineRule="exact"/>
        <w:ind w:firstLine="480" w:firstLineChars="200"/>
        <w:jc w:val="left"/>
        <w:rPr>
          <w:rStyle w:val="45"/>
          <w:rFonts w:ascii="宋体" w:hAnsi="宋体" w:cs="宋体"/>
          <w:b w:val="0"/>
          <w:sz w:val="24"/>
          <w:szCs w:val="24"/>
          <w:u w:val="single"/>
        </w:rPr>
      </w:pPr>
      <w:r>
        <w:rPr>
          <w:rStyle w:val="45"/>
          <w:rFonts w:hint="eastAsia" w:ascii="宋体" w:hAnsi="宋体" w:cs="宋体"/>
          <w:b w:val="0"/>
          <w:sz w:val="24"/>
          <w:szCs w:val="24"/>
          <w:u w:val="single"/>
        </w:rPr>
        <w:t>注：若合格的中标候选人总得分相同且影响定标排序的，以方案因素得分高的排前；若方案因素得分仍相同的，以价格因素得分高的排前，若价格因素得分仍相同的，由定标委员会投票确定排序。</w:t>
      </w:r>
    </w:p>
    <w:p w14:paraId="64B6A1A6">
      <w:pPr>
        <w:pBdr>
          <w:bottom w:val="single" w:color="auto" w:sz="6" w:space="1"/>
        </w:pBdr>
        <w:spacing w:line="440" w:lineRule="exact"/>
        <w:ind w:firstLine="480" w:firstLineChars="200"/>
        <w:jc w:val="left"/>
        <w:rPr>
          <w:rStyle w:val="45"/>
          <w:rFonts w:ascii="宋体" w:hAnsi="宋体" w:cs="宋体"/>
          <w:b w:val="0"/>
          <w:sz w:val="24"/>
          <w:szCs w:val="24"/>
          <w:u w:val="single"/>
        </w:rPr>
      </w:pPr>
      <w:r>
        <w:rPr>
          <w:rStyle w:val="45"/>
          <w:rFonts w:hint="eastAsia" w:ascii="宋体" w:hAnsi="宋体" w:cs="宋体"/>
          <w:b w:val="0"/>
          <w:sz w:val="24"/>
          <w:szCs w:val="24"/>
          <w:u w:val="single"/>
        </w:rPr>
        <w:t>50.3.2定标委员会向招标人提交书面定标报告后即解散，定标过程中使用的文件、表格以及其他资料不得私自带离。</w:t>
      </w:r>
    </w:p>
    <w:p w14:paraId="488F5192">
      <w:pPr>
        <w:pBdr>
          <w:bottom w:val="single" w:color="auto" w:sz="6" w:space="1"/>
        </w:pBdr>
        <w:spacing w:line="440" w:lineRule="exact"/>
        <w:ind w:firstLine="480" w:firstLineChars="200"/>
        <w:jc w:val="left"/>
        <w:rPr>
          <w:rStyle w:val="45"/>
          <w:rFonts w:ascii="宋体" w:hAnsi="宋体" w:cs="宋体"/>
          <w:b w:val="0"/>
          <w:sz w:val="24"/>
          <w:szCs w:val="24"/>
          <w:u w:val="single"/>
        </w:rPr>
      </w:pPr>
      <w:r>
        <w:rPr>
          <w:rStyle w:val="45"/>
          <w:rFonts w:hint="eastAsia" w:ascii="宋体" w:hAnsi="宋体" w:cs="宋体"/>
          <w:b w:val="0"/>
          <w:sz w:val="24"/>
          <w:szCs w:val="24"/>
          <w:u w:val="single"/>
        </w:rPr>
        <w:t>50.3.3招标人（招标代理）与中标人签订合同及办理施工许可（如有）前，如发现中标人委派的项目负责人已在其他在建项目中任职、不符合任职数量等不合法定情形的，则招标人有权从其他已进入定标阶段的合格中标候选人中采用原定标办法，由原定标委员会确定中标人，招标人也有权重新招标。</w:t>
      </w:r>
    </w:p>
    <w:p w14:paraId="7A8EA2C4">
      <w:pPr>
        <w:pBdr>
          <w:bottom w:val="single" w:color="auto" w:sz="6" w:space="1"/>
        </w:pBdr>
        <w:spacing w:line="440" w:lineRule="exact"/>
        <w:ind w:firstLine="480" w:firstLineChars="200"/>
        <w:jc w:val="left"/>
        <w:rPr>
          <w:rFonts w:ascii="宋体" w:hAnsi="宋体" w:cs="宋体"/>
          <w:sz w:val="24"/>
          <w:szCs w:val="24"/>
        </w:rPr>
      </w:pPr>
      <w:r>
        <w:rPr>
          <w:rStyle w:val="45"/>
          <w:rFonts w:hint="eastAsia" w:ascii="宋体" w:hAnsi="宋体" w:cs="宋体"/>
          <w:b w:val="0"/>
          <w:sz w:val="24"/>
          <w:szCs w:val="24"/>
          <w:u w:val="single"/>
        </w:rPr>
        <w:t>50.3.4因异议或投诉生效，需要重新评标或定标的，评标、定标信息（含资信、团队情况等）仍以投标截止时投标人的信息为准。因特殊原因需要延长投标有效期，投标人拒绝延长投标有效期的，仍参与评标、定标，但不被推荐为中标人。</w:t>
      </w:r>
    </w:p>
    <w:p w14:paraId="10C8FE59">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条款号：附表一《资格审查表》          修改类型：修改</w:t>
      </w:r>
    </w:p>
    <w:p w14:paraId="791331CB">
      <w:pPr>
        <w:snapToGrid w:val="0"/>
        <w:spacing w:line="440" w:lineRule="exact"/>
        <w:ind w:firstLine="482" w:firstLineChars="200"/>
        <w:jc w:val="left"/>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详见《广州市建设工程施工公开招标项目招标文件范本GZZB2018-3》</w:t>
      </w:r>
    </w:p>
    <w:p w14:paraId="515148AB">
      <w:pPr>
        <w:pBdr>
          <w:bottom w:val="single" w:color="auto" w:sz="6" w:space="1"/>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详见本招标文件</w:t>
      </w:r>
      <w:r>
        <w:rPr>
          <w:rFonts w:hint="eastAsia" w:ascii="宋体" w:hAnsi="宋体" w:cs="宋体"/>
          <w:bCs/>
          <w:sz w:val="24"/>
          <w:szCs w:val="24"/>
        </w:rPr>
        <w:t>附表一《资格审查表》</w:t>
      </w:r>
    </w:p>
    <w:p w14:paraId="56D7A3FB">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条款号：附表二《技术标有效性审查表》          修改类型：修改</w:t>
      </w:r>
    </w:p>
    <w:p w14:paraId="790DE324">
      <w:pPr>
        <w:snapToGrid w:val="0"/>
        <w:spacing w:line="440" w:lineRule="exact"/>
        <w:ind w:firstLine="482" w:firstLineChars="200"/>
        <w:jc w:val="left"/>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详见《广州市建设工程施工公开招标项目招标文件范本GZZB2018-3》</w:t>
      </w:r>
    </w:p>
    <w:p w14:paraId="6EF2C84D">
      <w:pPr>
        <w:pBdr>
          <w:bottom w:val="single" w:color="auto" w:sz="6" w:space="1"/>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详见本招标文件</w:t>
      </w:r>
      <w:r>
        <w:rPr>
          <w:rFonts w:hint="eastAsia" w:ascii="宋体" w:hAnsi="宋体" w:cs="宋体"/>
          <w:bCs/>
          <w:sz w:val="24"/>
          <w:szCs w:val="24"/>
        </w:rPr>
        <w:t>附表二《技术标有效性审查表》</w:t>
      </w:r>
    </w:p>
    <w:p w14:paraId="3DEBCEA1">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条款号：附表三《经济标有效性审查表》          修改类型：修改</w:t>
      </w:r>
    </w:p>
    <w:p w14:paraId="1822CCDA">
      <w:pPr>
        <w:snapToGrid w:val="0"/>
        <w:spacing w:line="440" w:lineRule="exact"/>
        <w:ind w:firstLine="482" w:firstLineChars="200"/>
        <w:jc w:val="left"/>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详见《广州市建设工程施工公开招标项目招标文件范本GZZB2018-3》</w:t>
      </w:r>
    </w:p>
    <w:p w14:paraId="07AEDE56">
      <w:pPr>
        <w:pBdr>
          <w:bottom w:val="single" w:color="auto" w:sz="6" w:space="1"/>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详见本招标文件</w:t>
      </w:r>
      <w:r>
        <w:rPr>
          <w:rFonts w:hint="eastAsia" w:ascii="宋体" w:hAnsi="宋体" w:cs="宋体"/>
          <w:bCs/>
          <w:sz w:val="24"/>
          <w:szCs w:val="24"/>
        </w:rPr>
        <w:t>附表三《经济标有效性审查表》</w:t>
      </w:r>
    </w:p>
    <w:p w14:paraId="60CCE251">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条款号：附表四《技术标详细审查评分表》          修改类型：删除</w:t>
      </w:r>
    </w:p>
    <w:p w14:paraId="726619B7">
      <w:pPr>
        <w:pBdr>
          <w:bottom w:val="single" w:color="auto" w:sz="6" w:space="1"/>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bCs/>
          <w:sz w:val="24"/>
          <w:szCs w:val="24"/>
        </w:rPr>
        <w:t>详见《广州市建设工程施工公开招标项目招标文件范本GZZB2018-3》</w:t>
      </w:r>
    </w:p>
    <w:p w14:paraId="30A8E085">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条款号：附表五          修改类型：删除</w:t>
      </w:r>
    </w:p>
    <w:p w14:paraId="7E78E860">
      <w:pPr>
        <w:pBdr>
          <w:bottom w:val="single" w:color="auto" w:sz="6" w:space="1"/>
        </w:pBd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bCs/>
          <w:sz w:val="24"/>
          <w:szCs w:val="24"/>
        </w:rPr>
        <w:t>详见《广州市建设工程施工公开招标项目招标文件范本GZZB2018-3》</w:t>
      </w:r>
    </w:p>
    <w:p w14:paraId="28593D2D">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w:t>
      </w:r>
      <w:r>
        <w:rPr>
          <w:rFonts w:hint="eastAsia" w:ascii="宋体" w:hAnsi="宋体" w:cs="宋体"/>
          <w:b/>
          <w:bCs/>
          <w:sz w:val="24"/>
          <w:szCs w:val="24"/>
        </w:rPr>
        <w:t>附表</w:t>
      </w:r>
      <w:r>
        <w:rPr>
          <w:rFonts w:hint="eastAsia" w:ascii="宋体" w:hAnsi="宋体" w:cs="宋体"/>
          <w:b/>
          <w:bCs/>
          <w:sz w:val="24"/>
          <w:szCs w:val="24"/>
          <w:lang w:val="en-US" w:eastAsia="zh-CN"/>
        </w:rPr>
        <w:t>七</w:t>
      </w:r>
      <w:r>
        <w:rPr>
          <w:rFonts w:hint="eastAsia" w:ascii="宋体" w:hAnsi="宋体" w:cs="宋体"/>
          <w:b/>
          <w:bCs/>
          <w:sz w:val="24"/>
          <w:szCs w:val="24"/>
        </w:rPr>
        <w:t>：《定标因素表（定标阶段用）》</w:t>
      </w:r>
      <w:r>
        <w:rPr>
          <w:rFonts w:hint="eastAsia" w:ascii="宋体" w:hAnsi="宋体" w:cs="宋体"/>
          <w:b/>
          <w:sz w:val="24"/>
          <w:szCs w:val="24"/>
        </w:rPr>
        <w:t xml:space="preserve">     修改类型：增加</w:t>
      </w:r>
    </w:p>
    <w:p w14:paraId="129A90DC">
      <w:pPr>
        <w:pBdr>
          <w:bottom w:val="single" w:color="auto" w:sz="6" w:space="1"/>
        </w:pBdr>
        <w:snapToGrid w:val="0"/>
        <w:spacing w:line="440" w:lineRule="exact"/>
        <w:ind w:firstLine="482" w:firstLineChars="200"/>
        <w:jc w:val="left"/>
        <w:rPr>
          <w:rFonts w:ascii="宋体" w:hAnsi="宋体" w:cs="宋体"/>
          <w:bCs/>
          <w:sz w:val="24"/>
          <w:szCs w:val="24"/>
          <w:u w:val="single"/>
        </w:rPr>
      </w:pPr>
      <w:r>
        <w:rPr>
          <w:rFonts w:hint="eastAsia" w:ascii="宋体" w:hAnsi="宋体" w:cs="宋体"/>
          <w:b/>
          <w:sz w:val="24"/>
          <w:szCs w:val="24"/>
        </w:rPr>
        <w:t>现文：</w:t>
      </w:r>
      <w:r>
        <w:rPr>
          <w:rFonts w:hint="eastAsia" w:ascii="宋体" w:hAnsi="宋体" w:cs="宋体"/>
          <w:bCs/>
          <w:sz w:val="24"/>
          <w:szCs w:val="24"/>
          <w:u w:val="single"/>
        </w:rPr>
        <w:t>详见附表</w:t>
      </w:r>
      <w:r>
        <w:rPr>
          <w:rFonts w:hint="eastAsia" w:ascii="宋体" w:hAnsi="宋体" w:cs="宋体"/>
          <w:bCs/>
          <w:sz w:val="24"/>
          <w:szCs w:val="24"/>
          <w:u w:val="single"/>
          <w:lang w:val="en-US" w:eastAsia="zh-CN"/>
        </w:rPr>
        <w:t>七</w:t>
      </w:r>
      <w:r>
        <w:rPr>
          <w:rFonts w:hint="eastAsia" w:ascii="宋体" w:hAnsi="宋体" w:cs="宋体"/>
          <w:bCs/>
          <w:sz w:val="24"/>
          <w:szCs w:val="24"/>
          <w:u w:val="single"/>
        </w:rPr>
        <w:t>：《定标因素表（定标阶段用）》。</w:t>
      </w:r>
    </w:p>
    <w:p w14:paraId="0B1C36AD">
      <w:pPr>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条款号：附件1《评标委员会成员声明》               修改类型：新增</w:t>
      </w:r>
    </w:p>
    <w:p w14:paraId="2A7D47E8">
      <w:pPr>
        <w:pBdr>
          <w:bottom w:val="single" w:color="auto" w:sz="6" w:space="1"/>
        </w:pBdr>
        <w:snapToGrid w:val="0"/>
        <w:spacing w:line="440" w:lineRule="exact"/>
        <w:ind w:firstLine="482" w:firstLineChars="200"/>
        <w:jc w:val="left"/>
        <w:rPr>
          <w:rFonts w:ascii="宋体" w:hAnsi="宋体" w:cs="宋体"/>
          <w:bCs/>
          <w:sz w:val="24"/>
          <w:szCs w:val="24"/>
        </w:rPr>
      </w:pPr>
      <w:r>
        <w:rPr>
          <w:rFonts w:hint="eastAsia" w:ascii="宋体" w:hAnsi="宋体" w:cs="宋体"/>
          <w:b/>
          <w:sz w:val="24"/>
          <w:szCs w:val="24"/>
        </w:rPr>
        <w:t>现文：</w:t>
      </w:r>
      <w:r>
        <w:rPr>
          <w:rFonts w:hint="eastAsia" w:ascii="宋体" w:hAnsi="宋体" w:cs="宋体"/>
          <w:sz w:val="24"/>
          <w:szCs w:val="24"/>
        </w:rPr>
        <w:t>见后附：</w:t>
      </w:r>
      <w:r>
        <w:rPr>
          <w:rFonts w:hint="eastAsia" w:ascii="宋体" w:hAnsi="宋体" w:cs="宋体"/>
          <w:bCs/>
          <w:sz w:val="24"/>
          <w:szCs w:val="24"/>
        </w:rPr>
        <w:t>附件1《评标委员会成员声明》。</w:t>
      </w:r>
    </w:p>
    <w:p w14:paraId="130958DD">
      <w:pPr>
        <w:adjustRightInd w:val="0"/>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条款号：附件2《定标委员会成员声明》               修改类型：新增</w:t>
      </w:r>
    </w:p>
    <w:p w14:paraId="483DC68A">
      <w:pPr>
        <w:snapToGrid w:val="0"/>
        <w:spacing w:line="440" w:lineRule="exact"/>
        <w:ind w:firstLine="482" w:firstLineChars="200"/>
        <w:jc w:val="left"/>
        <w:rPr>
          <w:rFonts w:ascii="宋体" w:hAnsi="宋体" w:cs="宋体"/>
          <w:b/>
          <w:bCs/>
          <w:sz w:val="24"/>
          <w:szCs w:val="24"/>
        </w:rPr>
      </w:pPr>
      <w:r>
        <w:rPr>
          <w:rFonts w:hint="eastAsia" w:ascii="宋体" w:hAnsi="宋体" w:cs="宋体"/>
          <w:b/>
          <w:sz w:val="24"/>
          <w:szCs w:val="24"/>
        </w:rPr>
        <w:t>现文：</w:t>
      </w:r>
      <w:r>
        <w:rPr>
          <w:rFonts w:hint="eastAsia" w:ascii="宋体" w:hAnsi="宋体" w:cs="宋体"/>
          <w:sz w:val="24"/>
          <w:szCs w:val="24"/>
        </w:rPr>
        <w:t>见后附</w:t>
      </w:r>
      <w:r>
        <w:rPr>
          <w:rFonts w:hint="eastAsia" w:ascii="宋体" w:hAnsi="宋体" w:cs="宋体"/>
          <w:b/>
          <w:bCs/>
          <w:sz w:val="24"/>
          <w:szCs w:val="24"/>
        </w:rPr>
        <w:t>：附件2《定标委员会成员声明》。</w:t>
      </w:r>
    </w:p>
    <w:p w14:paraId="66CD1B51">
      <w:pPr>
        <w:snapToGrid w:val="0"/>
        <w:spacing w:line="440" w:lineRule="exact"/>
        <w:ind w:firstLine="482" w:firstLineChars="200"/>
        <w:jc w:val="left"/>
        <w:rPr>
          <w:rFonts w:ascii="宋体" w:hAnsi="宋体" w:cs="宋体"/>
          <w:b/>
          <w:sz w:val="24"/>
          <w:szCs w:val="24"/>
        </w:rPr>
      </w:pPr>
      <w:r>
        <w:rPr>
          <w:rFonts w:hint="eastAsia" w:ascii="宋体" w:hAnsi="宋体" w:cs="宋体"/>
          <w:b/>
          <w:sz w:val="24"/>
          <w:szCs w:val="24"/>
        </w:rPr>
        <w:t>注：以上修改，仅限于本范本中有可供选择条款的情形。</w:t>
      </w:r>
    </w:p>
    <w:p w14:paraId="20B6B04D">
      <w:pPr>
        <w:snapToGrid w:val="0"/>
        <w:spacing w:line="440" w:lineRule="exact"/>
        <w:ind w:firstLine="482" w:firstLineChars="200"/>
        <w:jc w:val="left"/>
        <w:rPr>
          <w:rFonts w:ascii="宋体" w:hAnsi="宋体" w:cs="宋体"/>
          <w:sz w:val="24"/>
          <w:szCs w:val="24"/>
        </w:rPr>
      </w:pPr>
      <w:r>
        <w:rPr>
          <w:rFonts w:hint="eastAsia" w:ascii="宋体" w:hAnsi="宋体" w:cs="宋体"/>
          <w:b/>
          <w:sz w:val="24"/>
          <w:szCs w:val="24"/>
        </w:rPr>
        <w:t>（以下无正文）</w:t>
      </w:r>
    </w:p>
    <w:p w14:paraId="7F2BFE25">
      <w:pPr>
        <w:pStyle w:val="6"/>
        <w:spacing w:before="0" w:after="0" w:line="360" w:lineRule="auto"/>
        <w:ind w:left="0"/>
        <w:rPr>
          <w:rFonts w:ascii="宋体" w:hAnsi="宋体" w:cs="宋体"/>
          <w:color w:val="auto"/>
        </w:rPr>
      </w:pPr>
      <w:r>
        <w:rPr>
          <w:rFonts w:hint="eastAsia" w:ascii="宋体" w:hAnsi="宋体" w:cs="宋体"/>
          <w:color w:val="auto"/>
        </w:rPr>
        <w:br w:type="page"/>
      </w:r>
      <w:bookmarkStart w:id="23" w:name="_Toc30203"/>
      <w:r>
        <w:rPr>
          <w:rFonts w:hint="eastAsia" w:ascii="宋体" w:hAnsi="宋体" w:cs="宋体"/>
          <w:color w:val="auto"/>
          <w:sz w:val="28"/>
          <w:szCs w:val="28"/>
        </w:rPr>
        <w:t>二、开标、评标及定标办法</w:t>
      </w:r>
      <w:r>
        <w:rPr>
          <w:rFonts w:hint="eastAsia" w:ascii="宋体" w:hAnsi="宋体" w:cs="宋体"/>
          <w:color w:val="auto"/>
          <w:sz w:val="28"/>
          <w:szCs w:val="32"/>
        </w:rPr>
        <w:t>通用条款</w:t>
      </w:r>
      <w:bookmarkEnd w:id="23"/>
    </w:p>
    <w:p w14:paraId="35948C4B">
      <w:pPr>
        <w:pStyle w:val="7"/>
        <w:snapToGrid w:val="0"/>
        <w:spacing w:before="0" w:beforeAutospacing="0" w:after="0" w:afterAutospacing="0" w:line="440" w:lineRule="exact"/>
        <w:ind w:firstLine="480" w:firstLineChars="200"/>
        <w:rPr>
          <w:rFonts w:hAnsi="宋体" w:cs="宋体"/>
          <w:sz w:val="24"/>
          <w:szCs w:val="24"/>
        </w:rPr>
      </w:pPr>
      <w:bookmarkStart w:id="24" w:name="_Toc21525501"/>
      <w:bookmarkStart w:id="25" w:name="_Toc2272557"/>
      <w:bookmarkStart w:id="26" w:name="_Toc16181"/>
      <w:bookmarkStart w:id="27" w:name="_Toc18768"/>
      <w:r>
        <w:rPr>
          <w:rFonts w:hint="eastAsia" w:hAnsi="宋体" w:cs="宋体"/>
          <w:sz w:val="24"/>
          <w:szCs w:val="24"/>
        </w:rPr>
        <w:t>（一）总则</w:t>
      </w:r>
      <w:bookmarkEnd w:id="24"/>
      <w:bookmarkEnd w:id="25"/>
      <w:bookmarkEnd w:id="26"/>
    </w:p>
    <w:p w14:paraId="3219632D">
      <w:pPr>
        <w:snapToGrid w:val="0"/>
        <w:spacing w:line="440" w:lineRule="exact"/>
        <w:ind w:firstLine="480" w:firstLineChars="200"/>
        <w:rPr>
          <w:rFonts w:ascii="宋体" w:hAnsi="宋体" w:cs="宋体"/>
          <w:b/>
          <w:sz w:val="24"/>
          <w:szCs w:val="24"/>
        </w:rPr>
      </w:pPr>
      <w:r>
        <w:rPr>
          <w:rFonts w:hint="eastAsia" w:ascii="宋体" w:hAnsi="宋体" w:cs="宋体"/>
          <w:sz w:val="24"/>
          <w:szCs w:val="24"/>
        </w:rPr>
        <w:t>35 开标、评标及定标所依据的规则</w:t>
      </w:r>
    </w:p>
    <w:p w14:paraId="27F19349">
      <w:pPr>
        <w:snapToGrid w:val="0"/>
        <w:spacing w:line="440" w:lineRule="exact"/>
        <w:ind w:firstLine="480" w:firstLineChars="200"/>
        <w:rPr>
          <w:rFonts w:ascii="宋体" w:hAnsi="宋体" w:cs="宋体"/>
          <w:sz w:val="24"/>
          <w:szCs w:val="24"/>
        </w:rPr>
      </w:pPr>
      <w:r>
        <w:rPr>
          <w:rFonts w:hint="eastAsia" w:ascii="宋体" w:hAnsi="宋体" w:cs="宋体"/>
          <w:sz w:val="24"/>
          <w:szCs w:val="24"/>
        </w:rPr>
        <w:t>35.1《中华人民共和国招标投标法》；</w:t>
      </w:r>
    </w:p>
    <w:p w14:paraId="698DC569">
      <w:pPr>
        <w:snapToGrid w:val="0"/>
        <w:spacing w:line="440" w:lineRule="exact"/>
        <w:ind w:firstLine="480" w:firstLineChars="200"/>
        <w:rPr>
          <w:rFonts w:ascii="宋体" w:hAnsi="宋体" w:cs="宋体"/>
          <w:sz w:val="24"/>
          <w:szCs w:val="24"/>
        </w:rPr>
      </w:pPr>
      <w:r>
        <w:rPr>
          <w:rFonts w:hint="eastAsia" w:ascii="宋体" w:hAnsi="宋体" w:cs="宋体"/>
          <w:sz w:val="24"/>
          <w:szCs w:val="24"/>
        </w:rPr>
        <w:t>35.2《中华人民共和国招标投标法实施条例》；</w:t>
      </w:r>
    </w:p>
    <w:p w14:paraId="37E7434C">
      <w:pPr>
        <w:snapToGrid w:val="0"/>
        <w:spacing w:line="440" w:lineRule="exact"/>
        <w:ind w:firstLine="480" w:firstLineChars="200"/>
        <w:rPr>
          <w:rFonts w:ascii="宋体" w:hAnsi="宋体" w:cs="宋体"/>
          <w:sz w:val="24"/>
          <w:szCs w:val="24"/>
        </w:rPr>
      </w:pPr>
      <w:r>
        <w:rPr>
          <w:rFonts w:hint="eastAsia" w:ascii="宋体" w:hAnsi="宋体" w:cs="宋体"/>
          <w:sz w:val="24"/>
          <w:szCs w:val="24"/>
        </w:rPr>
        <w:t>35.3《评标委员会和评标方法暂行规定》（七部委第12号令）；</w:t>
      </w:r>
    </w:p>
    <w:p w14:paraId="0749A61C">
      <w:pPr>
        <w:snapToGrid w:val="0"/>
        <w:spacing w:line="440" w:lineRule="exact"/>
        <w:ind w:firstLine="480" w:firstLineChars="200"/>
        <w:rPr>
          <w:rFonts w:ascii="宋体" w:hAnsi="宋体" w:cs="宋体"/>
          <w:sz w:val="24"/>
          <w:szCs w:val="24"/>
        </w:rPr>
      </w:pPr>
      <w:r>
        <w:rPr>
          <w:rFonts w:hint="eastAsia" w:ascii="宋体" w:hAnsi="宋体" w:cs="宋体"/>
          <w:sz w:val="24"/>
          <w:szCs w:val="24"/>
        </w:rPr>
        <w:t>35.4《工程建设项目施工招标投标办法》（七部委2003年第30号令）；</w:t>
      </w:r>
    </w:p>
    <w:p w14:paraId="2C64152D">
      <w:pPr>
        <w:snapToGrid w:val="0"/>
        <w:spacing w:line="440" w:lineRule="exact"/>
        <w:ind w:firstLine="480" w:firstLineChars="200"/>
        <w:rPr>
          <w:rFonts w:ascii="宋体" w:hAnsi="宋体" w:cs="宋体"/>
          <w:sz w:val="24"/>
          <w:szCs w:val="24"/>
        </w:rPr>
      </w:pPr>
      <w:r>
        <w:rPr>
          <w:rFonts w:hint="eastAsia" w:ascii="宋体" w:hAnsi="宋体" w:cs="宋体"/>
          <w:sz w:val="24"/>
          <w:szCs w:val="24"/>
        </w:rPr>
        <w:t>35.5《广东省实施〈中华人民共和国招标投标法〉办法》；</w:t>
      </w:r>
    </w:p>
    <w:p w14:paraId="0D44B77C">
      <w:pPr>
        <w:snapToGrid w:val="0"/>
        <w:spacing w:line="440" w:lineRule="exact"/>
        <w:ind w:firstLine="480" w:firstLineChars="200"/>
        <w:rPr>
          <w:rFonts w:ascii="宋体" w:hAnsi="宋体" w:cs="宋体"/>
          <w:sz w:val="24"/>
          <w:szCs w:val="24"/>
        </w:rPr>
      </w:pPr>
      <w:r>
        <w:rPr>
          <w:rFonts w:hint="eastAsia" w:ascii="宋体" w:hAnsi="宋体" w:cs="宋体"/>
          <w:sz w:val="24"/>
          <w:szCs w:val="24"/>
        </w:rPr>
        <w:t>35.6《房屋建筑和市政基础设施工程施工招标投标管理办法》（建设部令第89号）；</w:t>
      </w:r>
    </w:p>
    <w:p w14:paraId="09967452">
      <w:pPr>
        <w:snapToGrid w:val="0"/>
        <w:spacing w:line="440" w:lineRule="exact"/>
        <w:ind w:firstLine="480" w:firstLineChars="200"/>
        <w:rPr>
          <w:rFonts w:ascii="宋体" w:hAnsi="宋体" w:cs="宋体"/>
          <w:sz w:val="24"/>
          <w:szCs w:val="24"/>
        </w:rPr>
      </w:pPr>
      <w:r>
        <w:rPr>
          <w:rFonts w:hint="eastAsia" w:ascii="宋体" w:hAnsi="宋体" w:cs="宋体"/>
          <w:sz w:val="24"/>
          <w:szCs w:val="24"/>
        </w:rPr>
        <w:t>35.7《财政部 工业和信息化部关于印发〈政府采购促进中小企业发展管理办法〉的通知》（财库〔2020〕46号）；</w:t>
      </w:r>
    </w:p>
    <w:p w14:paraId="0CB49388">
      <w:pPr>
        <w:snapToGrid w:val="0"/>
        <w:spacing w:line="440" w:lineRule="exact"/>
        <w:ind w:firstLine="480" w:firstLineChars="200"/>
        <w:rPr>
          <w:rFonts w:ascii="宋体" w:hAnsi="宋体" w:cs="宋体"/>
          <w:sz w:val="24"/>
          <w:szCs w:val="24"/>
        </w:rPr>
      </w:pPr>
      <w:r>
        <w:rPr>
          <w:rFonts w:hint="eastAsia" w:ascii="宋体" w:hAnsi="宋体" w:cs="宋体"/>
          <w:sz w:val="24"/>
          <w:szCs w:val="24"/>
        </w:rPr>
        <w:t>35.8《广东省加强建设工程招标投标监督管理的若干规定》（粤发[2004]4号）；</w:t>
      </w:r>
    </w:p>
    <w:p w14:paraId="4D0AAE97">
      <w:pPr>
        <w:snapToGrid w:val="0"/>
        <w:spacing w:line="440" w:lineRule="exact"/>
        <w:ind w:firstLine="480" w:firstLineChars="200"/>
        <w:rPr>
          <w:rFonts w:ascii="宋体" w:hAnsi="宋体" w:cs="宋体"/>
          <w:sz w:val="24"/>
          <w:szCs w:val="24"/>
        </w:rPr>
      </w:pPr>
      <w:r>
        <w:rPr>
          <w:rFonts w:hint="eastAsia" w:ascii="宋体" w:hAnsi="宋体" w:cs="宋体"/>
          <w:sz w:val="24"/>
          <w:szCs w:val="24"/>
        </w:rPr>
        <w:t>35.9《广东省政府采购促进中小企业发展实施细则（试行）》</w:t>
      </w:r>
    </w:p>
    <w:p w14:paraId="0D01D733">
      <w:pPr>
        <w:snapToGrid w:val="0"/>
        <w:spacing w:line="440" w:lineRule="exact"/>
        <w:ind w:firstLine="480" w:firstLineChars="200"/>
        <w:rPr>
          <w:rFonts w:ascii="宋体" w:hAnsi="宋体" w:cs="宋体"/>
          <w:sz w:val="24"/>
          <w:szCs w:val="24"/>
        </w:rPr>
      </w:pPr>
      <w:r>
        <w:rPr>
          <w:rFonts w:hint="eastAsia" w:ascii="宋体" w:hAnsi="宋体" w:cs="宋体"/>
          <w:sz w:val="24"/>
          <w:szCs w:val="24"/>
        </w:rPr>
        <w:t>35.10《广州市工程建设项目招标投标管理办法》（穗建规字〔2023〕12号）；</w:t>
      </w:r>
    </w:p>
    <w:p w14:paraId="59852974">
      <w:pPr>
        <w:snapToGrid w:val="0"/>
        <w:spacing w:line="440" w:lineRule="exact"/>
        <w:ind w:firstLine="480" w:firstLineChars="200"/>
        <w:rPr>
          <w:rFonts w:ascii="宋体" w:hAnsi="宋体" w:cs="宋体"/>
          <w:sz w:val="24"/>
          <w:szCs w:val="24"/>
        </w:rPr>
      </w:pPr>
      <w:r>
        <w:rPr>
          <w:rFonts w:hint="eastAsia" w:ascii="宋体" w:hAnsi="宋体" w:cs="宋体"/>
          <w:sz w:val="24"/>
          <w:szCs w:val="24"/>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2D30A3DE">
      <w:pPr>
        <w:snapToGrid w:val="0"/>
        <w:spacing w:line="440" w:lineRule="exact"/>
        <w:ind w:firstLine="480" w:firstLineChars="200"/>
        <w:rPr>
          <w:rFonts w:ascii="宋体" w:hAnsi="宋体" w:cs="宋体"/>
          <w:sz w:val="24"/>
          <w:szCs w:val="24"/>
        </w:rPr>
      </w:pPr>
      <w:r>
        <w:rPr>
          <w:rFonts w:hint="eastAsia" w:ascii="宋体" w:hAnsi="宋体" w:cs="宋体"/>
          <w:sz w:val="24"/>
          <w:szCs w:val="24"/>
        </w:rPr>
        <w:t>35.12本项目招标文件。</w:t>
      </w:r>
    </w:p>
    <w:p w14:paraId="4C0D781C">
      <w:pPr>
        <w:snapToGrid w:val="0"/>
        <w:spacing w:line="440" w:lineRule="exact"/>
        <w:ind w:firstLine="480" w:firstLineChars="200"/>
        <w:rPr>
          <w:rFonts w:ascii="宋体" w:hAnsi="宋体" w:cs="宋体"/>
          <w:sz w:val="24"/>
          <w:szCs w:val="24"/>
        </w:rPr>
      </w:pPr>
      <w:r>
        <w:rPr>
          <w:rFonts w:hint="eastAsia" w:ascii="宋体" w:hAnsi="宋体" w:cs="宋体"/>
          <w:sz w:val="24"/>
          <w:szCs w:val="24"/>
        </w:rPr>
        <w:t>36．开标</w:t>
      </w:r>
    </w:p>
    <w:p w14:paraId="6D7F1C4B">
      <w:pPr>
        <w:snapToGrid w:val="0"/>
        <w:spacing w:line="440" w:lineRule="exact"/>
        <w:ind w:firstLine="480" w:firstLineChars="200"/>
        <w:rPr>
          <w:rFonts w:ascii="宋体" w:hAnsi="宋体" w:cs="宋体"/>
          <w:sz w:val="24"/>
          <w:szCs w:val="24"/>
        </w:rPr>
      </w:pPr>
      <w:r>
        <w:rPr>
          <w:rFonts w:hint="eastAsia" w:ascii="宋体" w:hAnsi="宋体" w:cs="宋体"/>
          <w:sz w:val="24"/>
          <w:szCs w:val="24"/>
        </w:rPr>
        <w:t>36.1 招标人按投标须知前附表第18项所规定的时间和地点公开开标，并邀请所有投标人参加。截标后，开标开始时间因故推迟的，相关评标信息仍以原定的开标开始时间的信息为准。</w:t>
      </w:r>
    </w:p>
    <w:p w14:paraId="7B886648">
      <w:pPr>
        <w:snapToGrid w:val="0"/>
        <w:spacing w:line="440" w:lineRule="exact"/>
        <w:ind w:firstLine="480" w:firstLineChars="200"/>
        <w:rPr>
          <w:rFonts w:ascii="宋体" w:hAnsi="宋体" w:cs="宋体"/>
          <w:sz w:val="24"/>
          <w:szCs w:val="24"/>
        </w:rPr>
      </w:pPr>
      <w:r>
        <w:rPr>
          <w:rFonts w:hint="eastAsia" w:ascii="宋体" w:hAnsi="宋体" w:cs="宋体"/>
          <w:sz w:val="24"/>
          <w:szCs w:val="24"/>
        </w:rPr>
        <w:t>36.2 招标人在招标文件要求提交投标文件的截止时间前收到的投标文件，开标时都当众予以解密、公布。</w:t>
      </w:r>
    </w:p>
    <w:p w14:paraId="5FEDF45D">
      <w:pPr>
        <w:snapToGrid w:val="0"/>
        <w:spacing w:line="440" w:lineRule="exact"/>
        <w:ind w:firstLine="480" w:firstLineChars="200"/>
        <w:rPr>
          <w:rFonts w:ascii="宋体" w:hAnsi="宋体" w:cs="宋体"/>
          <w:sz w:val="24"/>
          <w:szCs w:val="24"/>
        </w:rPr>
      </w:pPr>
      <w:r>
        <w:rPr>
          <w:rFonts w:hint="eastAsia" w:ascii="宋体" w:hAnsi="宋体" w:cs="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14C25752">
      <w:pPr>
        <w:snapToGrid w:val="0"/>
        <w:spacing w:line="440" w:lineRule="exact"/>
        <w:ind w:firstLine="480" w:firstLineChars="200"/>
        <w:rPr>
          <w:rFonts w:ascii="宋体" w:hAnsi="宋体" w:cs="宋体"/>
          <w:sz w:val="24"/>
          <w:szCs w:val="24"/>
        </w:rPr>
      </w:pPr>
      <w:r>
        <w:rPr>
          <w:rFonts w:hint="eastAsia" w:ascii="宋体" w:hAnsi="宋体" w:cs="宋体"/>
          <w:sz w:val="24"/>
          <w:szCs w:val="24"/>
        </w:rPr>
        <w:t>36.4若递交投标文件的投标人不足3家，则重新组织招标。（当N个标段同时招标且不允许兼中时，若有效投标人不足N+2家，则重新组织招标）</w:t>
      </w:r>
    </w:p>
    <w:p w14:paraId="69E26282">
      <w:pPr>
        <w:snapToGrid w:val="0"/>
        <w:spacing w:line="440" w:lineRule="exact"/>
        <w:ind w:firstLine="480" w:firstLineChars="200"/>
        <w:rPr>
          <w:rFonts w:ascii="宋体" w:hAnsi="宋体" w:cs="宋体"/>
          <w:sz w:val="24"/>
          <w:szCs w:val="24"/>
        </w:rPr>
      </w:pPr>
      <w:r>
        <w:rPr>
          <w:rFonts w:hint="eastAsia" w:ascii="宋体" w:hAnsi="宋体" w:cs="宋体"/>
          <w:sz w:val="24"/>
          <w:szCs w:val="24"/>
        </w:rPr>
        <w:t>36.5按下列程序进行开标：</w:t>
      </w:r>
    </w:p>
    <w:p w14:paraId="5C5EEB6A">
      <w:pPr>
        <w:snapToGrid w:val="0"/>
        <w:spacing w:line="440" w:lineRule="exact"/>
        <w:ind w:firstLine="480" w:firstLineChars="200"/>
        <w:rPr>
          <w:rFonts w:ascii="宋体" w:hAnsi="宋体" w:cs="宋体"/>
          <w:sz w:val="24"/>
          <w:szCs w:val="24"/>
        </w:rPr>
      </w:pPr>
      <w:r>
        <w:rPr>
          <w:rFonts w:hint="eastAsia" w:ascii="宋体" w:hAnsi="宋体" w:cs="宋体"/>
          <w:sz w:val="24"/>
          <w:szCs w:val="24"/>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1893BAE9">
      <w:pPr>
        <w:snapToGrid w:val="0"/>
        <w:spacing w:line="440" w:lineRule="exact"/>
        <w:ind w:firstLine="480" w:firstLineChars="200"/>
        <w:rPr>
          <w:rFonts w:ascii="宋体" w:hAnsi="宋体" w:cs="宋体"/>
          <w:sz w:val="24"/>
          <w:szCs w:val="24"/>
        </w:rPr>
      </w:pPr>
      <w:r>
        <w:rPr>
          <w:rFonts w:hint="eastAsia" w:ascii="宋体" w:hAnsi="宋体" w:cs="宋体"/>
          <w:sz w:val="24"/>
          <w:szCs w:val="24"/>
        </w:rPr>
        <w:t>36.5.2备用光盘的读取按投标须知前附表第36项的规定执行；</w:t>
      </w:r>
    </w:p>
    <w:p w14:paraId="7ACFC130">
      <w:pPr>
        <w:snapToGrid w:val="0"/>
        <w:spacing w:line="440" w:lineRule="exact"/>
        <w:ind w:firstLine="480" w:firstLineChars="200"/>
        <w:rPr>
          <w:rFonts w:ascii="宋体" w:hAnsi="宋体" w:cs="宋体"/>
          <w:sz w:val="24"/>
          <w:szCs w:val="24"/>
        </w:rPr>
      </w:pPr>
      <w:r>
        <w:rPr>
          <w:rFonts w:hint="eastAsia" w:ascii="宋体" w:hAnsi="宋体" w:cs="宋体"/>
          <w:sz w:val="24"/>
          <w:szCs w:val="24"/>
        </w:rPr>
        <w:t>36.5.3投标人代表、招标人代表、监标人、记录人等有关人员在开标记录上签字确认；若有关人员不签字的，不影响开标程序；</w:t>
      </w:r>
    </w:p>
    <w:p w14:paraId="323CC4A1">
      <w:pPr>
        <w:snapToGrid w:val="0"/>
        <w:spacing w:line="440" w:lineRule="exact"/>
        <w:ind w:firstLine="480" w:firstLineChars="200"/>
        <w:rPr>
          <w:rFonts w:ascii="宋体" w:hAnsi="宋体" w:cs="宋体"/>
          <w:sz w:val="24"/>
          <w:szCs w:val="24"/>
        </w:rPr>
      </w:pPr>
      <w:r>
        <w:rPr>
          <w:rFonts w:hint="eastAsia" w:ascii="宋体" w:hAnsi="宋体" w:cs="宋体"/>
          <w:sz w:val="24"/>
          <w:szCs w:val="24"/>
        </w:rPr>
        <w:t>36.5.4开标结束。</w:t>
      </w:r>
    </w:p>
    <w:p w14:paraId="036FF2BB">
      <w:pPr>
        <w:snapToGrid w:val="0"/>
        <w:spacing w:line="440" w:lineRule="exact"/>
        <w:ind w:firstLine="480" w:firstLineChars="200"/>
        <w:rPr>
          <w:rFonts w:ascii="宋体" w:hAnsi="宋体" w:cs="宋体"/>
          <w:sz w:val="24"/>
          <w:szCs w:val="24"/>
        </w:rPr>
      </w:pPr>
      <w:r>
        <w:rPr>
          <w:rFonts w:hint="eastAsia" w:ascii="宋体" w:hAnsi="宋体" w:cs="宋体"/>
          <w:sz w:val="24"/>
          <w:szCs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9E742AA">
      <w:pPr>
        <w:snapToGrid w:val="0"/>
        <w:spacing w:line="440" w:lineRule="exact"/>
        <w:ind w:firstLine="480" w:firstLineChars="200"/>
        <w:rPr>
          <w:rFonts w:ascii="宋体" w:hAnsi="宋体" w:cs="宋体"/>
          <w:sz w:val="24"/>
          <w:szCs w:val="24"/>
        </w:rPr>
      </w:pPr>
      <w:r>
        <w:rPr>
          <w:rFonts w:hint="eastAsia" w:ascii="宋体" w:hAnsi="宋体" w:cs="宋体"/>
          <w:sz w:val="24"/>
          <w:szCs w:val="24"/>
        </w:rPr>
        <w:t>36.7开标时，两个（含两个）以上的投标人加密打包投标文件电脑机器特征码一致的，不参与下一程序，并由评标委员会否决其投标。</w:t>
      </w:r>
    </w:p>
    <w:p w14:paraId="1368B475">
      <w:pPr>
        <w:snapToGrid w:val="0"/>
        <w:spacing w:line="440" w:lineRule="exact"/>
        <w:ind w:firstLine="480" w:firstLineChars="200"/>
        <w:rPr>
          <w:rFonts w:ascii="宋体" w:hAnsi="宋体" w:cs="宋体"/>
          <w:sz w:val="24"/>
          <w:szCs w:val="24"/>
        </w:rPr>
      </w:pPr>
      <w:r>
        <w:rPr>
          <w:rFonts w:hint="eastAsia" w:ascii="宋体" w:hAnsi="宋体" w:cs="宋体"/>
          <w:sz w:val="24"/>
          <w:szCs w:val="24"/>
        </w:rPr>
        <w:t>37．评标</w:t>
      </w:r>
    </w:p>
    <w:p w14:paraId="27442402">
      <w:pPr>
        <w:snapToGrid w:val="0"/>
        <w:spacing w:line="440" w:lineRule="exact"/>
        <w:ind w:firstLine="480" w:firstLineChars="200"/>
        <w:rPr>
          <w:rFonts w:ascii="宋体" w:hAnsi="宋体" w:cs="宋体"/>
          <w:sz w:val="24"/>
          <w:szCs w:val="24"/>
        </w:rPr>
      </w:pPr>
      <w:r>
        <w:rPr>
          <w:rFonts w:hint="eastAsia" w:ascii="宋体" w:hAnsi="宋体" w:cs="宋体"/>
          <w:sz w:val="24"/>
          <w:szCs w:val="24"/>
        </w:rPr>
        <w:t>37.1评标委员会由招标人依法组建。</w:t>
      </w:r>
    </w:p>
    <w:p w14:paraId="6D8119D2">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37.2评标委员会在开始评标前，应了解评标专家的职责及守则，认真阅读附件1《评标委员会成员声明》的内容并签名，签字后方可进行评标。</w:t>
      </w:r>
    </w:p>
    <w:p w14:paraId="568C9608">
      <w:pPr>
        <w:snapToGrid w:val="0"/>
        <w:spacing w:line="440" w:lineRule="exact"/>
        <w:ind w:firstLine="480" w:firstLineChars="200"/>
        <w:rPr>
          <w:rFonts w:ascii="宋体" w:hAnsi="宋体" w:cs="宋体"/>
          <w:sz w:val="24"/>
          <w:szCs w:val="24"/>
        </w:rPr>
      </w:pPr>
      <w:r>
        <w:rPr>
          <w:rFonts w:hint="eastAsia" w:ascii="宋体" w:hAnsi="宋体" w:cs="宋体"/>
          <w:sz w:val="24"/>
          <w:szCs w:val="24"/>
        </w:rPr>
        <w:t>37.3评标委员会的职责及守则：</w:t>
      </w:r>
    </w:p>
    <w:p w14:paraId="0D1BE23B">
      <w:pPr>
        <w:snapToGrid w:val="0"/>
        <w:spacing w:line="440" w:lineRule="exact"/>
        <w:ind w:firstLine="480" w:firstLineChars="200"/>
        <w:rPr>
          <w:rFonts w:ascii="宋体" w:hAnsi="宋体" w:cs="宋体"/>
          <w:sz w:val="24"/>
          <w:szCs w:val="24"/>
        </w:rPr>
      </w:pPr>
      <w:r>
        <w:rPr>
          <w:rFonts w:hint="eastAsia" w:ascii="宋体" w:hAnsi="宋体" w:cs="宋体"/>
          <w:sz w:val="24"/>
          <w:szCs w:val="24"/>
        </w:rPr>
        <w:t>37.3.1根据评标细则，对投标文件进行认真评审，完成评审报告；</w:t>
      </w:r>
    </w:p>
    <w:p w14:paraId="4499B1A7">
      <w:pPr>
        <w:snapToGrid w:val="0"/>
        <w:spacing w:line="440" w:lineRule="exact"/>
        <w:ind w:firstLine="480" w:firstLineChars="200"/>
        <w:rPr>
          <w:rFonts w:ascii="宋体" w:hAnsi="宋体" w:cs="宋体"/>
          <w:sz w:val="24"/>
          <w:szCs w:val="24"/>
        </w:rPr>
      </w:pPr>
      <w:r>
        <w:rPr>
          <w:rFonts w:hint="eastAsia" w:ascii="宋体" w:hAnsi="宋体" w:cs="宋体"/>
          <w:sz w:val="24"/>
          <w:szCs w:val="24"/>
        </w:rPr>
        <w:t>37.3.2向招标人报告评审意见，推荐合格的中标候选人。</w:t>
      </w:r>
    </w:p>
    <w:p w14:paraId="18CD00BE">
      <w:pPr>
        <w:snapToGrid w:val="0"/>
        <w:spacing w:line="440" w:lineRule="exact"/>
        <w:ind w:firstLine="480" w:firstLineChars="200"/>
        <w:rPr>
          <w:rFonts w:ascii="宋体" w:hAnsi="宋体" w:cs="宋体"/>
          <w:sz w:val="24"/>
          <w:szCs w:val="24"/>
        </w:rPr>
      </w:pPr>
      <w:r>
        <w:rPr>
          <w:rFonts w:hint="eastAsia" w:ascii="宋体" w:hAnsi="宋体" w:cs="宋体"/>
          <w:bCs/>
          <w:sz w:val="24"/>
          <w:szCs w:val="24"/>
        </w:rPr>
        <w:t>37.3.3</w:t>
      </w:r>
      <w:r>
        <w:rPr>
          <w:rFonts w:hint="eastAsia" w:ascii="宋体" w:hAnsi="宋体" w:cs="宋体"/>
          <w:b/>
          <w:bCs/>
          <w:sz w:val="24"/>
          <w:szCs w:val="24"/>
        </w:rPr>
        <w:t xml:space="preserve"> </w:t>
      </w:r>
      <w:r>
        <w:rPr>
          <w:rFonts w:hint="eastAsia" w:ascii="宋体" w:hAnsi="宋体" w:cs="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4AE6091F">
      <w:pPr>
        <w:snapToGrid w:val="0"/>
        <w:spacing w:line="440" w:lineRule="exact"/>
        <w:ind w:firstLine="480" w:firstLineChars="200"/>
        <w:rPr>
          <w:rFonts w:ascii="宋体" w:hAnsi="宋体" w:cs="宋体"/>
          <w:sz w:val="24"/>
          <w:szCs w:val="24"/>
        </w:rPr>
      </w:pPr>
      <w:r>
        <w:rPr>
          <w:rFonts w:hint="eastAsia" w:ascii="宋体" w:hAnsi="宋体" w:cs="宋体"/>
          <w:sz w:val="24"/>
          <w:szCs w:val="24"/>
        </w:rPr>
        <w:t>37.3.4全体参与评标人员：</w:t>
      </w:r>
    </w:p>
    <w:p w14:paraId="24AC9237">
      <w:pPr>
        <w:snapToGrid w:val="0"/>
        <w:spacing w:line="440" w:lineRule="exact"/>
        <w:ind w:firstLine="480" w:firstLineChars="200"/>
        <w:rPr>
          <w:rFonts w:ascii="宋体" w:hAnsi="宋体" w:cs="宋体"/>
          <w:sz w:val="24"/>
          <w:szCs w:val="24"/>
        </w:rPr>
      </w:pPr>
      <w:r>
        <w:rPr>
          <w:rFonts w:hint="eastAsia" w:ascii="宋体" w:hAnsi="宋体" w:cs="宋体"/>
          <w:sz w:val="24"/>
          <w:szCs w:val="24"/>
        </w:rPr>
        <w:t>37.3.4.1 必须遵守评标纪律、不得泄密；</w:t>
      </w:r>
    </w:p>
    <w:p w14:paraId="2CFF1C84">
      <w:pPr>
        <w:snapToGrid w:val="0"/>
        <w:spacing w:line="440" w:lineRule="exact"/>
        <w:ind w:firstLine="480" w:firstLineChars="200"/>
        <w:rPr>
          <w:rFonts w:ascii="宋体" w:hAnsi="宋体" w:cs="宋体"/>
          <w:sz w:val="24"/>
          <w:szCs w:val="24"/>
        </w:rPr>
      </w:pPr>
      <w:r>
        <w:rPr>
          <w:rFonts w:hint="eastAsia" w:ascii="宋体" w:hAnsi="宋体" w:cs="宋体"/>
          <w:sz w:val="24"/>
          <w:szCs w:val="24"/>
        </w:rPr>
        <w:t>37.3.4.2 必须公正、不得循私；</w:t>
      </w:r>
    </w:p>
    <w:p w14:paraId="01995DDA">
      <w:pPr>
        <w:snapToGrid w:val="0"/>
        <w:spacing w:line="440" w:lineRule="exact"/>
        <w:ind w:firstLine="480" w:firstLineChars="200"/>
        <w:rPr>
          <w:rFonts w:ascii="宋体" w:hAnsi="宋体" w:cs="宋体"/>
          <w:sz w:val="24"/>
          <w:szCs w:val="24"/>
        </w:rPr>
      </w:pPr>
      <w:r>
        <w:rPr>
          <w:rFonts w:hint="eastAsia" w:ascii="宋体" w:hAnsi="宋体" w:cs="宋体"/>
          <w:sz w:val="24"/>
          <w:szCs w:val="24"/>
        </w:rPr>
        <w:t>37.3.4.3 必须科学、不得草率；</w:t>
      </w:r>
    </w:p>
    <w:p w14:paraId="773514BF">
      <w:pPr>
        <w:snapToGrid w:val="0"/>
        <w:spacing w:line="440" w:lineRule="exact"/>
        <w:ind w:firstLine="480" w:firstLineChars="200"/>
        <w:rPr>
          <w:rFonts w:ascii="宋体" w:hAnsi="宋体" w:cs="宋体"/>
          <w:sz w:val="24"/>
          <w:szCs w:val="24"/>
        </w:rPr>
      </w:pPr>
      <w:r>
        <w:rPr>
          <w:rFonts w:hint="eastAsia" w:ascii="宋体" w:hAnsi="宋体" w:cs="宋体"/>
          <w:sz w:val="24"/>
          <w:szCs w:val="24"/>
        </w:rPr>
        <w:t>37.3.4.4 必须客观、不得带有成见；</w:t>
      </w:r>
    </w:p>
    <w:p w14:paraId="5AE2885F">
      <w:pPr>
        <w:snapToGrid w:val="0"/>
        <w:spacing w:line="440" w:lineRule="exact"/>
        <w:ind w:firstLine="480" w:firstLineChars="200"/>
        <w:rPr>
          <w:rFonts w:ascii="宋体" w:hAnsi="宋体" w:cs="宋体"/>
          <w:sz w:val="24"/>
          <w:szCs w:val="24"/>
        </w:rPr>
      </w:pPr>
      <w:r>
        <w:rPr>
          <w:rFonts w:hint="eastAsia" w:ascii="宋体" w:hAnsi="宋体" w:cs="宋体"/>
          <w:sz w:val="24"/>
          <w:szCs w:val="24"/>
        </w:rPr>
        <w:t>37.3.4.5 必须平等、不得强加于人；</w:t>
      </w:r>
    </w:p>
    <w:p w14:paraId="009FD250">
      <w:pPr>
        <w:snapToGrid w:val="0"/>
        <w:spacing w:line="440" w:lineRule="exact"/>
        <w:ind w:firstLine="480" w:firstLineChars="200"/>
        <w:rPr>
          <w:rFonts w:ascii="宋体" w:hAnsi="宋体" w:cs="宋体"/>
          <w:sz w:val="24"/>
          <w:szCs w:val="24"/>
        </w:rPr>
      </w:pPr>
      <w:r>
        <w:rPr>
          <w:rFonts w:hint="eastAsia" w:ascii="宋体" w:hAnsi="宋体" w:cs="宋体"/>
          <w:sz w:val="24"/>
          <w:szCs w:val="24"/>
        </w:rPr>
        <w:t>37.3.4.6 必须严谨、不得随意马虎。</w:t>
      </w:r>
    </w:p>
    <w:p w14:paraId="005FB790">
      <w:pPr>
        <w:snapToGrid w:val="0"/>
        <w:spacing w:line="440" w:lineRule="exact"/>
        <w:ind w:firstLine="480"/>
        <w:rPr>
          <w:rFonts w:ascii="宋体" w:hAnsi="宋体" w:cs="宋体"/>
          <w:sz w:val="24"/>
          <w:szCs w:val="24"/>
        </w:rPr>
      </w:pPr>
      <w:r>
        <w:rPr>
          <w:rFonts w:hint="eastAsia" w:ascii="宋体" w:hAnsi="宋体" w:cs="宋体"/>
          <w:sz w:val="24"/>
          <w:szCs w:val="24"/>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1F7BD0C4">
      <w:pPr>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37.5评标结束后，评标委员会递交评标报告并依法推荐中标候选人。 </w:t>
      </w:r>
    </w:p>
    <w:p w14:paraId="63B4FAEE">
      <w:pPr>
        <w:snapToGrid w:val="0"/>
        <w:spacing w:line="440" w:lineRule="exact"/>
        <w:ind w:firstLine="480" w:firstLineChars="200"/>
        <w:rPr>
          <w:rFonts w:ascii="宋体" w:hAnsi="宋体" w:cs="宋体"/>
          <w:sz w:val="24"/>
          <w:szCs w:val="24"/>
        </w:rPr>
      </w:pPr>
      <w:r>
        <w:rPr>
          <w:rFonts w:hint="eastAsia" w:ascii="宋体" w:hAnsi="宋体" w:cs="宋体"/>
          <w:sz w:val="24"/>
          <w:szCs w:val="24"/>
        </w:rPr>
        <w:t>38．投标文件的澄清</w:t>
      </w:r>
    </w:p>
    <w:p w14:paraId="267C9C37">
      <w:pPr>
        <w:snapToGrid w:val="0"/>
        <w:spacing w:line="440" w:lineRule="exact"/>
        <w:ind w:firstLine="480" w:firstLineChars="200"/>
        <w:rPr>
          <w:rFonts w:ascii="宋体" w:hAnsi="宋体" w:cs="宋体"/>
          <w:sz w:val="24"/>
          <w:szCs w:val="24"/>
        </w:rPr>
      </w:pPr>
      <w:r>
        <w:rPr>
          <w:rFonts w:hint="eastAsia" w:ascii="宋体" w:hAnsi="宋体" w:cs="宋体"/>
          <w:sz w:val="24"/>
          <w:szCs w:val="24"/>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099E3CFF">
      <w:pPr>
        <w:snapToGrid w:val="0"/>
        <w:spacing w:line="440" w:lineRule="exact"/>
        <w:ind w:firstLine="480" w:firstLineChars="200"/>
        <w:rPr>
          <w:rFonts w:ascii="宋体" w:hAnsi="宋体" w:cs="宋体"/>
          <w:sz w:val="24"/>
          <w:szCs w:val="24"/>
        </w:rPr>
      </w:pPr>
      <w:r>
        <w:rPr>
          <w:rFonts w:hint="eastAsia" w:ascii="宋体" w:hAnsi="宋体" w:cs="宋体"/>
          <w:sz w:val="24"/>
          <w:szCs w:val="24"/>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69B0E4AC">
      <w:pPr>
        <w:snapToGrid w:val="0"/>
        <w:spacing w:line="440" w:lineRule="exact"/>
        <w:ind w:firstLine="480" w:firstLineChars="200"/>
        <w:rPr>
          <w:rFonts w:ascii="宋体" w:hAnsi="宋体" w:cs="宋体"/>
          <w:sz w:val="24"/>
          <w:szCs w:val="24"/>
        </w:rPr>
      </w:pPr>
      <w:r>
        <w:rPr>
          <w:rFonts w:hint="eastAsia" w:ascii="宋体" w:hAnsi="宋体" w:cs="宋体"/>
          <w:sz w:val="24"/>
          <w:szCs w:val="24"/>
        </w:rPr>
        <w:t>38.3 评标委员会或评标委员会专业评审组成员均应当阅读投标人的澄清，但应独立参考澄清对投标文件进行评审。</w:t>
      </w:r>
    </w:p>
    <w:p w14:paraId="0AE9B849">
      <w:pPr>
        <w:snapToGrid w:val="0"/>
        <w:spacing w:line="440" w:lineRule="exact"/>
        <w:ind w:firstLine="480" w:firstLineChars="200"/>
        <w:rPr>
          <w:rFonts w:ascii="宋体" w:hAnsi="宋体" w:cs="宋体"/>
          <w:sz w:val="24"/>
          <w:szCs w:val="24"/>
        </w:rPr>
      </w:pPr>
      <w:r>
        <w:rPr>
          <w:rFonts w:hint="eastAsia" w:ascii="宋体" w:hAnsi="宋体" w:cs="宋体"/>
          <w:sz w:val="24"/>
          <w:szCs w:val="24"/>
        </w:rPr>
        <w:t>38.4如果投标文件实质上不响应招标文件的各项要求，评标委员会将按照符合性审查标准予以拒绝，不接受投标人通过修改或撤销其不符合要求的差异或保留，使之成为具有响应性的投标。</w:t>
      </w:r>
    </w:p>
    <w:p w14:paraId="4FEC6A81">
      <w:pPr>
        <w:snapToGrid w:val="0"/>
        <w:spacing w:line="440" w:lineRule="exact"/>
        <w:ind w:firstLine="480" w:firstLineChars="200"/>
        <w:rPr>
          <w:rFonts w:ascii="宋体" w:hAnsi="宋体" w:cs="宋体"/>
          <w:sz w:val="24"/>
          <w:szCs w:val="24"/>
        </w:rPr>
      </w:pPr>
      <w:r>
        <w:rPr>
          <w:rFonts w:hint="eastAsia" w:ascii="宋体" w:hAnsi="宋体" w:cs="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566FBF47">
      <w:pPr>
        <w:snapToGrid w:val="0"/>
        <w:spacing w:line="440" w:lineRule="exact"/>
        <w:ind w:firstLine="480" w:firstLineChars="200"/>
        <w:rPr>
          <w:rFonts w:ascii="宋体" w:hAnsi="宋体" w:cs="宋体"/>
          <w:sz w:val="24"/>
          <w:szCs w:val="24"/>
        </w:rPr>
      </w:pPr>
      <w:r>
        <w:rPr>
          <w:rFonts w:hint="eastAsia" w:ascii="宋体" w:hAnsi="宋体" w:cs="宋体"/>
          <w:sz w:val="24"/>
          <w:szCs w:val="24"/>
        </w:rPr>
        <w:t>39．定标</w:t>
      </w:r>
    </w:p>
    <w:p w14:paraId="33C8FF8B">
      <w:pPr>
        <w:snapToGrid w:val="0"/>
        <w:spacing w:line="440" w:lineRule="exact"/>
        <w:ind w:firstLine="480" w:firstLineChars="200"/>
        <w:rPr>
          <w:rFonts w:ascii="宋体" w:hAnsi="宋体" w:cs="宋体"/>
          <w:sz w:val="24"/>
          <w:szCs w:val="24"/>
        </w:rPr>
      </w:pPr>
      <w:r>
        <w:rPr>
          <w:rFonts w:hint="eastAsia" w:ascii="宋体" w:hAnsi="宋体" w:cs="宋体"/>
          <w:sz w:val="24"/>
          <w:szCs w:val="24"/>
        </w:rPr>
        <w:t>39.1 招标人根据评标委员会递交的评标报告，最终审定中标人。</w:t>
      </w:r>
    </w:p>
    <w:p w14:paraId="0E82728D">
      <w:pPr>
        <w:snapToGrid w:val="0"/>
        <w:spacing w:line="440" w:lineRule="exact"/>
        <w:ind w:firstLine="480" w:firstLineChars="200"/>
        <w:rPr>
          <w:rFonts w:ascii="宋体" w:hAnsi="宋体" w:cs="宋体"/>
          <w:sz w:val="24"/>
          <w:szCs w:val="24"/>
        </w:rPr>
      </w:pPr>
      <w:r>
        <w:rPr>
          <w:rFonts w:hint="eastAsia" w:ascii="宋体" w:hAnsi="宋体" w:cs="宋体"/>
          <w:sz w:val="24"/>
          <w:szCs w:val="24"/>
        </w:rPr>
        <w:t>39.2 依法必须进行公开招标的项目，招标人应当确定排名第一的中标候选人为中标人。</w:t>
      </w:r>
    </w:p>
    <w:p w14:paraId="65F0D00F">
      <w:pPr>
        <w:snapToGrid w:val="0"/>
        <w:spacing w:line="440" w:lineRule="exact"/>
        <w:ind w:firstLine="480" w:firstLineChars="200"/>
        <w:rPr>
          <w:rFonts w:ascii="宋体" w:hAnsi="宋体" w:cs="宋体"/>
          <w:sz w:val="24"/>
          <w:szCs w:val="24"/>
        </w:rPr>
      </w:pPr>
      <w:r>
        <w:rPr>
          <w:rFonts w:hint="eastAsia" w:ascii="宋体" w:hAnsi="宋体" w:cs="宋体"/>
          <w:sz w:val="24"/>
          <w:szCs w:val="24"/>
        </w:rPr>
        <w:t>39.3排名第一的中标候选人放弃中标、或因不可抗力提出不能履行合同，或者招标文件规定应当提交履约担保而在规定的期限内未能提交的，招标人可以确定排名第二的中标候选人为中标人。</w:t>
      </w:r>
    </w:p>
    <w:p w14:paraId="489C97DE">
      <w:pPr>
        <w:snapToGrid w:val="0"/>
        <w:spacing w:line="440" w:lineRule="exact"/>
        <w:ind w:firstLine="480" w:firstLineChars="200"/>
        <w:rPr>
          <w:rFonts w:ascii="宋体" w:hAnsi="宋体" w:cs="宋体"/>
          <w:sz w:val="24"/>
          <w:szCs w:val="24"/>
        </w:rPr>
      </w:pPr>
      <w:r>
        <w:rPr>
          <w:rFonts w:hint="eastAsia" w:ascii="宋体" w:hAnsi="宋体" w:cs="宋体"/>
          <w:sz w:val="24"/>
          <w:szCs w:val="24"/>
        </w:rPr>
        <w:t>39.4排名第二的中标候选人出现前款所列的情形的，招标人可以确定排名第三的中标候选人为中标人。以此类推，如所有中标候选人均出现前款所列的情形，为招标失败，招标人依法重新招标。</w:t>
      </w:r>
    </w:p>
    <w:p w14:paraId="13D3908C">
      <w:pPr>
        <w:snapToGrid w:val="0"/>
        <w:spacing w:line="440" w:lineRule="exact"/>
        <w:ind w:firstLine="480" w:firstLineChars="200"/>
        <w:rPr>
          <w:rFonts w:ascii="宋体" w:hAnsi="宋体" w:cs="宋体"/>
          <w:sz w:val="24"/>
          <w:szCs w:val="24"/>
        </w:rPr>
      </w:pPr>
      <w:r>
        <w:rPr>
          <w:rFonts w:hint="eastAsia" w:ascii="宋体" w:hAnsi="宋体" w:cs="宋体"/>
          <w:sz w:val="24"/>
          <w:szCs w:val="24"/>
        </w:rPr>
        <w:t>39.5 重新评标的，评标信息（含业绩、奖项等）仍以投标截止时投标人的信息为准。因特殊原因需要延长投标有效期，投标人拒绝延长投标有效期的，仍参与评标，但不被推荐为中标候选人。</w:t>
      </w:r>
    </w:p>
    <w:p w14:paraId="46F57DBD">
      <w:pPr>
        <w:pStyle w:val="7"/>
        <w:snapToGrid w:val="0"/>
        <w:spacing w:before="0" w:beforeAutospacing="0" w:after="0" w:afterAutospacing="0" w:line="440" w:lineRule="exact"/>
        <w:ind w:firstLine="480" w:firstLineChars="200"/>
        <w:rPr>
          <w:rFonts w:hAnsi="宋体" w:cs="宋体"/>
          <w:sz w:val="24"/>
          <w:szCs w:val="24"/>
        </w:rPr>
      </w:pPr>
      <w:bookmarkStart w:id="28" w:name="_Toc825"/>
      <w:r>
        <w:rPr>
          <w:rFonts w:hint="eastAsia" w:hAnsi="宋体" w:cs="宋体"/>
          <w:sz w:val="24"/>
          <w:szCs w:val="24"/>
        </w:rPr>
        <w:t>（二）开标评标办法程序和细则</w:t>
      </w:r>
      <w:bookmarkEnd w:id="27"/>
      <w:bookmarkEnd w:id="28"/>
    </w:p>
    <w:p w14:paraId="60189C17">
      <w:pPr>
        <w:snapToGrid w:val="0"/>
        <w:spacing w:line="440" w:lineRule="exact"/>
        <w:ind w:firstLine="480" w:firstLineChars="200"/>
        <w:rPr>
          <w:rFonts w:ascii="宋体" w:hAnsi="宋体" w:cs="宋体"/>
          <w:sz w:val="24"/>
          <w:szCs w:val="24"/>
        </w:rPr>
      </w:pPr>
      <w:bookmarkStart w:id="29" w:name="_Toc21525509"/>
      <w:bookmarkStart w:id="30" w:name="_Toc2272564"/>
      <w:bookmarkStart w:id="31" w:name="_Toc25301"/>
      <w:r>
        <w:rPr>
          <w:rFonts w:hint="eastAsia" w:ascii="宋体" w:hAnsi="宋体" w:cs="宋体"/>
          <w:sz w:val="24"/>
          <w:szCs w:val="24"/>
        </w:rPr>
        <w:t>注：以下八种评标办法所述企业综合诚信评价分数即投标截止当日广州市工程招标行业协会网站上公布的企业综合诚信评价60日诚信分。</w:t>
      </w:r>
    </w:p>
    <w:bookmarkEnd w:id="29"/>
    <w:bookmarkEnd w:id="30"/>
    <w:bookmarkEnd w:id="31"/>
    <w:p w14:paraId="1665B1BB">
      <w:pPr>
        <w:pStyle w:val="8"/>
        <w:snapToGrid w:val="0"/>
        <w:spacing w:before="0" w:beforeLines="0" w:after="0" w:afterLines="0" w:line="440" w:lineRule="exact"/>
        <w:ind w:firstLine="480" w:firstLineChars="200"/>
        <w:rPr>
          <w:rFonts w:ascii="宋体" w:hAnsi="宋体" w:cs="宋体"/>
          <w:color w:val="auto"/>
          <w:sz w:val="24"/>
          <w:szCs w:val="24"/>
        </w:rPr>
      </w:pPr>
      <w:r>
        <w:rPr>
          <w:rFonts w:hint="eastAsia" w:ascii="宋体" w:hAnsi="宋体" w:cs="宋体"/>
          <w:color w:val="auto"/>
          <w:sz w:val="24"/>
          <w:szCs w:val="24"/>
        </w:rPr>
        <w:t>可选办法七（适合综合评分法四，技术标与经济标同时开启）</w:t>
      </w:r>
    </w:p>
    <w:p w14:paraId="44DE6F55">
      <w:pPr>
        <w:snapToGrid w:val="0"/>
        <w:spacing w:line="440" w:lineRule="exact"/>
        <w:ind w:firstLine="480" w:firstLineChars="200"/>
        <w:rPr>
          <w:rFonts w:ascii="宋体" w:hAnsi="宋体" w:cs="宋体"/>
          <w:sz w:val="24"/>
          <w:szCs w:val="24"/>
        </w:rPr>
      </w:pPr>
      <w:r>
        <w:rPr>
          <w:rFonts w:hint="eastAsia" w:ascii="宋体" w:hAnsi="宋体" w:cs="宋体"/>
          <w:sz w:val="24"/>
          <w:szCs w:val="24"/>
        </w:rPr>
        <w:t>40．开标和评标程序</w:t>
      </w:r>
    </w:p>
    <w:p w14:paraId="5D8FFC16">
      <w:pPr>
        <w:snapToGrid w:val="0"/>
        <w:spacing w:line="440" w:lineRule="exact"/>
        <w:ind w:firstLine="480" w:firstLineChars="200"/>
        <w:rPr>
          <w:rFonts w:ascii="宋体" w:hAnsi="宋体" w:cs="宋体"/>
          <w:sz w:val="24"/>
          <w:szCs w:val="24"/>
        </w:rPr>
      </w:pPr>
      <w:r>
        <w:rPr>
          <w:rFonts w:hint="eastAsia" w:ascii="宋体" w:hAnsi="宋体" w:cs="宋体"/>
          <w:sz w:val="24"/>
          <w:szCs w:val="24"/>
        </w:rPr>
        <w:t>40.1技术标（含资格审查文件）与经济标投标文件同时公开开标；</w:t>
      </w:r>
    </w:p>
    <w:p w14:paraId="1DF2B0E2">
      <w:pPr>
        <w:snapToGrid w:val="0"/>
        <w:spacing w:line="440" w:lineRule="exact"/>
        <w:ind w:firstLine="480" w:firstLineChars="200"/>
        <w:rPr>
          <w:rFonts w:ascii="宋体" w:hAnsi="宋体" w:cs="宋体"/>
          <w:sz w:val="24"/>
          <w:szCs w:val="24"/>
        </w:rPr>
      </w:pPr>
      <w:r>
        <w:rPr>
          <w:rFonts w:hint="eastAsia" w:ascii="宋体" w:hAnsi="宋体" w:cs="宋体"/>
          <w:sz w:val="24"/>
          <w:szCs w:val="24"/>
        </w:rPr>
        <w:t>40.2由评标委员会对所有已公开开标的投标人进行资格审查；</w:t>
      </w:r>
    </w:p>
    <w:p w14:paraId="02DD9BD9">
      <w:pPr>
        <w:snapToGrid w:val="0"/>
        <w:spacing w:line="440" w:lineRule="exact"/>
        <w:ind w:firstLine="480" w:firstLineChars="200"/>
        <w:rPr>
          <w:rFonts w:ascii="宋体" w:hAnsi="宋体" w:cs="宋体"/>
          <w:sz w:val="24"/>
          <w:szCs w:val="24"/>
        </w:rPr>
      </w:pPr>
      <w:r>
        <w:rPr>
          <w:rFonts w:hint="eastAsia" w:ascii="宋体" w:hAnsi="宋体" w:cs="宋体"/>
          <w:sz w:val="24"/>
          <w:szCs w:val="24"/>
        </w:rPr>
        <w:t>40.3技术标投标文件有效性审查；</w:t>
      </w:r>
    </w:p>
    <w:p w14:paraId="68A1A99A">
      <w:pPr>
        <w:snapToGrid w:val="0"/>
        <w:spacing w:line="440" w:lineRule="exact"/>
        <w:ind w:firstLine="480" w:firstLineChars="200"/>
        <w:rPr>
          <w:rFonts w:ascii="宋体" w:hAnsi="宋体" w:cs="宋体"/>
          <w:sz w:val="24"/>
          <w:szCs w:val="24"/>
        </w:rPr>
      </w:pPr>
      <w:r>
        <w:rPr>
          <w:rFonts w:hint="eastAsia" w:ascii="宋体" w:hAnsi="宋体" w:cs="宋体"/>
          <w:sz w:val="24"/>
          <w:szCs w:val="24"/>
        </w:rPr>
        <w:t>40.4技术标详细审查评分；</w:t>
      </w:r>
    </w:p>
    <w:p w14:paraId="31BB80CF">
      <w:pPr>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40.5经济标详细审查评分； </w:t>
      </w:r>
    </w:p>
    <w:p w14:paraId="12C289ED">
      <w:pPr>
        <w:snapToGrid w:val="0"/>
        <w:spacing w:line="440" w:lineRule="exact"/>
        <w:ind w:firstLine="480" w:firstLineChars="200"/>
        <w:rPr>
          <w:rFonts w:ascii="宋体" w:hAnsi="宋体" w:cs="宋体"/>
          <w:sz w:val="24"/>
          <w:szCs w:val="24"/>
        </w:rPr>
      </w:pPr>
      <w:r>
        <w:rPr>
          <w:rFonts w:hint="eastAsia" w:ascii="宋体" w:hAnsi="宋体" w:cs="宋体"/>
          <w:sz w:val="24"/>
          <w:szCs w:val="24"/>
        </w:rPr>
        <w:t>40.6评标委员会按照投标人总得分由高至低排序；</w:t>
      </w:r>
    </w:p>
    <w:p w14:paraId="76DE867B">
      <w:pPr>
        <w:snapToGrid w:val="0"/>
        <w:spacing w:line="440" w:lineRule="exact"/>
        <w:ind w:firstLine="480" w:firstLineChars="200"/>
        <w:rPr>
          <w:rFonts w:ascii="宋体" w:hAnsi="宋体" w:cs="宋体"/>
          <w:sz w:val="24"/>
          <w:szCs w:val="24"/>
        </w:rPr>
      </w:pPr>
      <w:r>
        <w:rPr>
          <w:rFonts w:hint="eastAsia" w:ascii="宋体" w:hAnsi="宋体" w:cs="宋体"/>
          <w:sz w:val="24"/>
          <w:szCs w:val="24"/>
        </w:rPr>
        <w:t>40.7经济标投标文件有效性审查；</w:t>
      </w:r>
    </w:p>
    <w:p w14:paraId="47604DE7">
      <w:pPr>
        <w:snapToGrid w:val="0"/>
        <w:spacing w:line="440" w:lineRule="exact"/>
        <w:ind w:firstLine="480" w:firstLineChars="200"/>
        <w:rPr>
          <w:rFonts w:ascii="宋体" w:hAnsi="宋体" w:cs="宋体"/>
          <w:sz w:val="24"/>
          <w:szCs w:val="24"/>
        </w:rPr>
      </w:pPr>
      <w:r>
        <w:rPr>
          <w:rFonts w:hint="eastAsia" w:ascii="宋体" w:hAnsi="宋体" w:cs="宋体"/>
          <w:sz w:val="24"/>
          <w:szCs w:val="24"/>
        </w:rPr>
        <w:t>40.8评标委员会按排序向招标人推荐中标候选人名单，并递交资格审查报告及评标报告。</w:t>
      </w:r>
    </w:p>
    <w:p w14:paraId="6E04EA71">
      <w:pPr>
        <w:snapToGrid w:val="0"/>
        <w:spacing w:line="440" w:lineRule="exact"/>
        <w:ind w:firstLine="480" w:firstLineChars="200"/>
        <w:rPr>
          <w:rFonts w:ascii="宋体" w:hAnsi="宋体" w:cs="宋体"/>
          <w:sz w:val="24"/>
          <w:szCs w:val="24"/>
        </w:rPr>
      </w:pPr>
      <w:r>
        <w:rPr>
          <w:rFonts w:hint="eastAsia" w:ascii="宋体" w:hAnsi="宋体" w:cs="宋体"/>
          <w:sz w:val="24"/>
          <w:szCs w:val="24"/>
        </w:rPr>
        <w:t>41．开标细则</w:t>
      </w:r>
    </w:p>
    <w:p w14:paraId="24944294">
      <w:pPr>
        <w:snapToGrid w:val="0"/>
        <w:spacing w:line="440" w:lineRule="exact"/>
        <w:ind w:firstLine="480" w:firstLineChars="200"/>
        <w:rPr>
          <w:rFonts w:ascii="宋体" w:hAnsi="宋体" w:cs="宋体"/>
          <w:sz w:val="24"/>
          <w:szCs w:val="24"/>
        </w:rPr>
      </w:pPr>
      <w:r>
        <w:rPr>
          <w:rFonts w:hint="eastAsia" w:ascii="宋体" w:hAnsi="宋体" w:cs="宋体"/>
          <w:sz w:val="24"/>
          <w:szCs w:val="24"/>
        </w:rPr>
        <w:t>41.1开标由招标人主持；</w:t>
      </w:r>
    </w:p>
    <w:p w14:paraId="0B7C3C9B">
      <w:pPr>
        <w:snapToGrid w:val="0"/>
        <w:spacing w:line="440" w:lineRule="exact"/>
        <w:ind w:firstLine="480" w:firstLineChars="200"/>
        <w:rPr>
          <w:rFonts w:ascii="宋体" w:hAnsi="宋体" w:cs="宋体"/>
          <w:sz w:val="24"/>
          <w:szCs w:val="24"/>
        </w:rPr>
      </w:pPr>
      <w:r>
        <w:rPr>
          <w:rFonts w:hint="eastAsia" w:ascii="宋体" w:hAnsi="宋体" w:cs="宋体"/>
          <w:sz w:val="24"/>
          <w:szCs w:val="24"/>
        </w:rPr>
        <w:t>41.2 细则</w:t>
      </w:r>
    </w:p>
    <w:p w14:paraId="0021EEAB">
      <w:pPr>
        <w:snapToGrid w:val="0"/>
        <w:spacing w:line="440" w:lineRule="exact"/>
        <w:ind w:firstLine="480" w:firstLineChars="200"/>
        <w:rPr>
          <w:rFonts w:ascii="宋体" w:hAnsi="宋体" w:cs="宋体"/>
          <w:sz w:val="24"/>
          <w:szCs w:val="24"/>
        </w:rPr>
      </w:pPr>
      <w:r>
        <w:rPr>
          <w:rFonts w:hint="eastAsia" w:ascii="宋体" w:hAnsi="宋体" w:cs="宋体"/>
          <w:sz w:val="24"/>
          <w:szCs w:val="24"/>
        </w:rPr>
        <w:t>41.2.1投标截止期前，各投标人递交投标文件（包括技术标投标文件、经济标投标文件）至</w:t>
      </w:r>
      <w:r>
        <w:rPr>
          <w:rFonts w:hint="eastAsia" w:ascii="宋体" w:hAnsi="宋体" w:cs="宋体"/>
          <w:sz w:val="24"/>
          <w:szCs w:val="24"/>
          <w:u w:val="single"/>
        </w:rPr>
        <w:t xml:space="preserve">        </w:t>
      </w:r>
      <w:r>
        <w:rPr>
          <w:rFonts w:hint="eastAsia" w:ascii="宋体" w:hAnsi="宋体" w:cs="宋体"/>
          <w:sz w:val="24"/>
          <w:szCs w:val="24"/>
        </w:rPr>
        <w:t xml:space="preserve">交易平台。有关投标文件提交的事项详见第一章投标须知。 </w:t>
      </w:r>
    </w:p>
    <w:p w14:paraId="680EB008">
      <w:pPr>
        <w:snapToGrid w:val="0"/>
        <w:spacing w:line="440" w:lineRule="exact"/>
        <w:ind w:firstLine="480" w:firstLineChars="200"/>
        <w:rPr>
          <w:rFonts w:ascii="宋体" w:hAnsi="宋体" w:cs="宋体"/>
          <w:sz w:val="24"/>
          <w:szCs w:val="24"/>
        </w:rPr>
      </w:pPr>
      <w:r>
        <w:rPr>
          <w:rFonts w:hint="eastAsia" w:ascii="宋体" w:hAnsi="宋体" w:cs="宋体"/>
          <w:sz w:val="24"/>
          <w:szCs w:val="24"/>
        </w:rPr>
        <w:t>41.2.2开标前，首先由招标人随机抽取确定该工程计算评标参考价的等分点值X。</w:t>
      </w:r>
    </w:p>
    <w:p w14:paraId="499C266B">
      <w:pPr>
        <w:snapToGrid w:val="0"/>
        <w:spacing w:line="440" w:lineRule="exact"/>
        <w:ind w:firstLine="480" w:firstLineChars="200"/>
        <w:rPr>
          <w:rFonts w:ascii="宋体" w:hAnsi="宋体" w:cs="宋体"/>
          <w:sz w:val="24"/>
          <w:szCs w:val="24"/>
        </w:rPr>
      </w:pPr>
      <w:r>
        <w:rPr>
          <w:rFonts w:hint="eastAsia" w:ascii="宋体" w:hAnsi="宋体" w:cs="宋体"/>
          <w:sz w:val="24"/>
          <w:szCs w:val="24"/>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65562AC2">
      <w:pPr>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41.2.4按36.5.1的规定完成解密后，公布下列内容，并予以记录，记录提交评标委员会评审： </w:t>
      </w:r>
    </w:p>
    <w:p w14:paraId="3D52198D">
      <w:pPr>
        <w:snapToGrid w:val="0"/>
        <w:spacing w:line="440" w:lineRule="exact"/>
        <w:ind w:firstLine="480" w:firstLineChars="200"/>
        <w:rPr>
          <w:rFonts w:ascii="宋体" w:hAnsi="宋体" w:cs="宋体"/>
          <w:sz w:val="24"/>
          <w:szCs w:val="24"/>
        </w:rPr>
      </w:pPr>
      <w:r>
        <w:rPr>
          <w:rFonts w:hint="eastAsia" w:ascii="宋体" w:hAnsi="宋体" w:cs="宋体"/>
          <w:sz w:val="24"/>
          <w:szCs w:val="24"/>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1CA0BD7D">
      <w:pPr>
        <w:snapToGrid w:val="0"/>
        <w:spacing w:line="440" w:lineRule="exact"/>
        <w:ind w:firstLine="480" w:firstLineChars="200"/>
        <w:rPr>
          <w:rFonts w:ascii="宋体" w:hAnsi="宋体" w:cs="宋体"/>
          <w:sz w:val="24"/>
          <w:szCs w:val="24"/>
        </w:rPr>
      </w:pPr>
      <w:r>
        <w:rPr>
          <w:rFonts w:hint="eastAsia" w:ascii="宋体" w:hAnsi="宋体" w:cs="宋体"/>
          <w:sz w:val="24"/>
          <w:szCs w:val="24"/>
        </w:rPr>
        <w:t>41.3招标人对开标过程进行记录，并存档备查，投标人在技术标开标记录上签字。</w:t>
      </w:r>
    </w:p>
    <w:p w14:paraId="398B09CE">
      <w:pPr>
        <w:snapToGrid w:val="0"/>
        <w:spacing w:line="440" w:lineRule="exact"/>
        <w:ind w:firstLine="480" w:firstLineChars="200"/>
        <w:rPr>
          <w:rFonts w:ascii="宋体" w:hAnsi="宋体" w:cs="宋体"/>
          <w:sz w:val="24"/>
          <w:szCs w:val="24"/>
        </w:rPr>
      </w:pPr>
      <w:r>
        <w:rPr>
          <w:rFonts w:hint="eastAsia" w:ascii="宋体" w:hAnsi="宋体" w:cs="宋体"/>
          <w:sz w:val="24"/>
          <w:szCs w:val="24"/>
        </w:rPr>
        <w:t>41.4 招标人将上述符合要求的投标文件，送至评标委员会进行评审。</w:t>
      </w:r>
    </w:p>
    <w:p w14:paraId="6B2B37D1">
      <w:pPr>
        <w:pStyle w:val="5"/>
        <w:tabs>
          <w:tab w:val="left" w:pos="7380"/>
        </w:tabs>
        <w:snapToGrid w:val="0"/>
        <w:spacing w:after="0" w:line="440" w:lineRule="exact"/>
        <w:ind w:firstLine="480" w:firstLineChars="200"/>
        <w:rPr>
          <w:rFonts w:ascii="宋体" w:hAnsi="宋体" w:cs="宋体"/>
          <w:sz w:val="24"/>
          <w:szCs w:val="24"/>
        </w:rPr>
      </w:pPr>
      <w:r>
        <w:rPr>
          <w:rFonts w:hint="eastAsia" w:ascii="宋体" w:hAnsi="宋体" w:cs="宋体"/>
          <w:sz w:val="24"/>
          <w:szCs w:val="24"/>
        </w:rPr>
        <w:t>42. 资格审查及评标细则</w:t>
      </w:r>
    </w:p>
    <w:p w14:paraId="089A21BA">
      <w:pPr>
        <w:pStyle w:val="5"/>
        <w:tabs>
          <w:tab w:val="left" w:pos="7380"/>
        </w:tabs>
        <w:snapToGrid w:val="0"/>
        <w:spacing w:after="0" w:line="440" w:lineRule="exact"/>
        <w:ind w:firstLine="480" w:firstLineChars="200"/>
        <w:rPr>
          <w:rFonts w:ascii="宋体" w:hAnsi="宋体" w:cs="宋体"/>
          <w:sz w:val="24"/>
          <w:szCs w:val="24"/>
        </w:rPr>
      </w:pPr>
      <w:r>
        <w:rPr>
          <w:rFonts w:hint="eastAsia" w:ascii="宋体" w:hAnsi="宋体" w:cs="宋体"/>
          <w:sz w:val="24"/>
          <w:szCs w:val="24"/>
        </w:rPr>
        <w:t>42.1资格审查及评标均由招标人依法组建的评标委员会负责。</w:t>
      </w:r>
    </w:p>
    <w:p w14:paraId="48427378">
      <w:pPr>
        <w:pStyle w:val="5"/>
        <w:tabs>
          <w:tab w:val="left" w:pos="7380"/>
        </w:tabs>
        <w:snapToGrid w:val="0"/>
        <w:spacing w:after="0" w:line="440" w:lineRule="exact"/>
        <w:ind w:firstLine="480" w:firstLineChars="200"/>
        <w:rPr>
          <w:rFonts w:ascii="宋体" w:hAnsi="宋体" w:cs="宋体"/>
          <w:sz w:val="24"/>
          <w:szCs w:val="24"/>
        </w:rPr>
      </w:pPr>
      <w:r>
        <w:rPr>
          <w:rFonts w:hint="eastAsia" w:ascii="宋体" w:hAnsi="宋体" w:cs="宋体"/>
          <w:sz w:val="24"/>
          <w:szCs w:val="24"/>
        </w:rPr>
        <w:t>42.2评标委员会的组成：方式</w:t>
      </w:r>
      <w:r>
        <w:rPr>
          <w:rFonts w:hint="eastAsia" w:ascii="宋体" w:hAnsi="宋体" w:cs="宋体"/>
          <w:sz w:val="24"/>
          <w:szCs w:val="24"/>
          <w:u w:val="single"/>
        </w:rPr>
        <w:t xml:space="preserve">   </w:t>
      </w:r>
      <w:r>
        <w:rPr>
          <w:rFonts w:hint="eastAsia" w:ascii="宋体" w:hAnsi="宋体" w:cs="宋体"/>
          <w:sz w:val="24"/>
          <w:szCs w:val="24"/>
        </w:rPr>
        <w:t>。</w:t>
      </w:r>
    </w:p>
    <w:p w14:paraId="5FAA4619">
      <w:pPr>
        <w:snapToGrid w:val="0"/>
        <w:spacing w:line="440" w:lineRule="exact"/>
        <w:ind w:firstLine="480" w:firstLineChars="200"/>
        <w:rPr>
          <w:rFonts w:ascii="宋体" w:hAnsi="宋体" w:cs="宋体"/>
          <w:sz w:val="24"/>
          <w:szCs w:val="24"/>
        </w:rPr>
      </w:pPr>
      <w:r>
        <w:rPr>
          <w:rFonts w:hint="eastAsia" w:ascii="宋体" w:hAnsi="宋体" w:cs="宋体"/>
          <w:sz w:val="24"/>
          <w:szCs w:val="24"/>
        </w:rPr>
        <w:t>方式一：评标委员会为综合评标委员会，负责资格审查及评标工作。</w:t>
      </w:r>
    </w:p>
    <w:p w14:paraId="42111BCB">
      <w:pPr>
        <w:pStyle w:val="5"/>
        <w:tabs>
          <w:tab w:val="left" w:pos="7380"/>
        </w:tabs>
        <w:snapToGrid w:val="0"/>
        <w:spacing w:after="0" w:line="440" w:lineRule="exact"/>
        <w:rPr>
          <w:rFonts w:ascii="宋体" w:hAnsi="宋体" w:cs="宋体"/>
          <w:sz w:val="24"/>
          <w:szCs w:val="24"/>
        </w:rPr>
      </w:pPr>
      <w:r>
        <w:rPr>
          <w:rFonts w:hint="eastAsia" w:ascii="宋体" w:hAnsi="宋体" w:cs="宋体"/>
          <w:sz w:val="24"/>
          <w:szCs w:val="24"/>
        </w:rPr>
        <w:t>方式二：评标委员会由技术评审组和经济评审组组成。其中：资格审查及技术评审由技术评标组负责，经济评审由经济评审组负责。</w:t>
      </w:r>
    </w:p>
    <w:p w14:paraId="23BE55FA">
      <w:pPr>
        <w:pStyle w:val="5"/>
        <w:tabs>
          <w:tab w:val="left" w:pos="7380"/>
        </w:tabs>
        <w:snapToGrid w:val="0"/>
        <w:spacing w:after="0" w:line="440" w:lineRule="exact"/>
        <w:ind w:firstLine="480" w:firstLineChars="200"/>
        <w:rPr>
          <w:rFonts w:ascii="宋体" w:hAnsi="宋体" w:cs="宋体"/>
          <w:sz w:val="24"/>
          <w:szCs w:val="24"/>
        </w:rPr>
      </w:pPr>
      <w:r>
        <w:rPr>
          <w:rFonts w:hint="eastAsia" w:ascii="宋体" w:hAnsi="宋体" w:cs="宋体"/>
          <w:sz w:val="24"/>
          <w:szCs w:val="24"/>
        </w:rPr>
        <w:t>43．投标人资格审查</w:t>
      </w:r>
    </w:p>
    <w:p w14:paraId="3C9D0BC0">
      <w:pPr>
        <w:pStyle w:val="5"/>
        <w:tabs>
          <w:tab w:val="left" w:pos="7380"/>
        </w:tabs>
        <w:snapToGrid w:val="0"/>
        <w:spacing w:after="0" w:line="440" w:lineRule="exact"/>
        <w:ind w:firstLine="480" w:firstLineChars="200"/>
        <w:rPr>
          <w:rFonts w:ascii="宋体" w:hAnsi="宋体" w:cs="宋体"/>
          <w:sz w:val="24"/>
          <w:szCs w:val="24"/>
        </w:rPr>
      </w:pPr>
      <w:r>
        <w:rPr>
          <w:rFonts w:hint="eastAsia" w:ascii="宋体" w:hAnsi="宋体" w:cs="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34BFE6F3">
      <w:pPr>
        <w:pStyle w:val="5"/>
        <w:tabs>
          <w:tab w:val="left" w:pos="7380"/>
        </w:tabs>
        <w:snapToGrid w:val="0"/>
        <w:spacing w:after="0" w:line="440" w:lineRule="exact"/>
        <w:ind w:firstLine="480" w:firstLineChars="200"/>
        <w:rPr>
          <w:rFonts w:ascii="宋体" w:hAnsi="宋体" w:cs="宋体"/>
          <w:sz w:val="24"/>
          <w:szCs w:val="24"/>
        </w:rPr>
      </w:pPr>
      <w:r>
        <w:rPr>
          <w:rFonts w:hint="eastAsia" w:ascii="宋体" w:hAnsi="宋体" w:cs="宋体"/>
          <w:sz w:val="24"/>
          <w:szCs w:val="24"/>
        </w:rPr>
        <w:t>43.2汇总资格审查情况，编写资格审查报告。</w:t>
      </w:r>
    </w:p>
    <w:p w14:paraId="020AD4B6">
      <w:pPr>
        <w:pStyle w:val="5"/>
        <w:tabs>
          <w:tab w:val="left" w:pos="7380"/>
        </w:tabs>
        <w:snapToGrid w:val="0"/>
        <w:spacing w:after="0" w:line="440" w:lineRule="exact"/>
        <w:ind w:firstLine="480" w:firstLineChars="200"/>
        <w:rPr>
          <w:rFonts w:ascii="宋体" w:hAnsi="宋体" w:cs="宋体"/>
          <w:sz w:val="24"/>
          <w:szCs w:val="24"/>
        </w:rPr>
      </w:pPr>
      <w:r>
        <w:rPr>
          <w:rFonts w:hint="eastAsia" w:ascii="宋体" w:hAnsi="宋体" w:cs="宋体"/>
          <w:sz w:val="24"/>
          <w:szCs w:val="24"/>
        </w:rPr>
        <w:t>43.3资格审查不合格的投标文件不参加下一阶段的评标，不参与评标参考价的计算。</w:t>
      </w:r>
    </w:p>
    <w:p w14:paraId="40B577DB">
      <w:pPr>
        <w:pStyle w:val="5"/>
        <w:tabs>
          <w:tab w:val="left" w:pos="7380"/>
        </w:tabs>
        <w:snapToGrid w:val="0"/>
        <w:spacing w:after="0" w:line="440" w:lineRule="exact"/>
        <w:ind w:firstLine="480" w:firstLineChars="200"/>
        <w:rPr>
          <w:rFonts w:ascii="宋体" w:hAnsi="宋体" w:cs="宋体"/>
          <w:sz w:val="24"/>
          <w:szCs w:val="24"/>
        </w:rPr>
      </w:pPr>
      <w:r>
        <w:rPr>
          <w:rFonts w:hint="eastAsia" w:ascii="宋体" w:hAnsi="宋体" w:cs="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7C0B7DF0">
      <w:pPr>
        <w:pStyle w:val="5"/>
        <w:tabs>
          <w:tab w:val="left" w:pos="7380"/>
        </w:tabs>
        <w:snapToGrid w:val="0"/>
        <w:spacing w:after="0" w:line="440" w:lineRule="exact"/>
        <w:ind w:firstLine="480" w:firstLineChars="200"/>
        <w:rPr>
          <w:rFonts w:ascii="宋体" w:hAnsi="宋体" w:cs="宋体"/>
          <w:sz w:val="24"/>
          <w:szCs w:val="24"/>
        </w:rPr>
      </w:pPr>
      <w:r>
        <w:rPr>
          <w:rFonts w:hint="eastAsia" w:ascii="宋体" w:hAnsi="宋体" w:cs="宋体"/>
          <w:sz w:val="24"/>
          <w:szCs w:val="24"/>
        </w:rPr>
        <w:t>43.5资审合格后，投标人的资格发生变化而不满足投标人合格条件，在发出中标通知书前，资格问题仍未解决的，招标人将取消其中标资格。</w:t>
      </w:r>
    </w:p>
    <w:p w14:paraId="3A312F31">
      <w:pPr>
        <w:pStyle w:val="5"/>
        <w:tabs>
          <w:tab w:val="left" w:pos="7380"/>
        </w:tabs>
        <w:snapToGrid w:val="0"/>
        <w:spacing w:after="0" w:line="440" w:lineRule="exact"/>
        <w:ind w:firstLine="480" w:firstLineChars="200"/>
        <w:rPr>
          <w:rFonts w:ascii="宋体" w:hAnsi="宋体" w:cs="宋体"/>
          <w:sz w:val="24"/>
          <w:szCs w:val="24"/>
        </w:rPr>
      </w:pPr>
      <w:r>
        <w:rPr>
          <w:rFonts w:hint="eastAsia" w:ascii="宋体" w:hAnsi="宋体" w:cs="宋体"/>
          <w:sz w:val="24"/>
          <w:szCs w:val="24"/>
        </w:rPr>
        <w:t>43.6资格审查合格的投标人少于3名的（当N个标段同时招标且不允许兼中时，资格审查合格的投标人少于N+2名），则本项目招标失败。</w:t>
      </w:r>
    </w:p>
    <w:p w14:paraId="6AA67B7F">
      <w:pPr>
        <w:pStyle w:val="5"/>
        <w:tabs>
          <w:tab w:val="left" w:pos="7380"/>
        </w:tabs>
        <w:snapToGrid w:val="0"/>
        <w:spacing w:after="0" w:line="440" w:lineRule="exact"/>
        <w:ind w:firstLine="480" w:firstLineChars="200"/>
        <w:rPr>
          <w:rFonts w:ascii="宋体" w:hAnsi="宋体" w:cs="宋体"/>
          <w:sz w:val="24"/>
          <w:szCs w:val="24"/>
        </w:rPr>
      </w:pPr>
      <w:r>
        <w:rPr>
          <w:rFonts w:hint="eastAsia" w:ascii="宋体" w:hAnsi="宋体" w:cs="宋体"/>
          <w:sz w:val="24"/>
          <w:szCs w:val="24"/>
        </w:rPr>
        <w:t>44．技术标评审</w:t>
      </w:r>
    </w:p>
    <w:p w14:paraId="244486C6">
      <w:pPr>
        <w:pStyle w:val="5"/>
        <w:tabs>
          <w:tab w:val="left" w:pos="7380"/>
        </w:tabs>
        <w:snapToGrid w:val="0"/>
        <w:spacing w:after="0" w:line="440" w:lineRule="exact"/>
        <w:ind w:firstLine="480" w:firstLineChars="200"/>
        <w:rPr>
          <w:rFonts w:ascii="宋体" w:hAnsi="宋体" w:cs="宋体"/>
          <w:sz w:val="24"/>
          <w:szCs w:val="24"/>
        </w:rPr>
      </w:pPr>
      <w:r>
        <w:rPr>
          <w:rFonts w:hint="eastAsia" w:ascii="宋体" w:hAnsi="宋体" w:cs="宋体"/>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4930A4F0">
      <w:pPr>
        <w:pStyle w:val="5"/>
        <w:tabs>
          <w:tab w:val="left" w:pos="7380"/>
        </w:tabs>
        <w:snapToGrid w:val="0"/>
        <w:spacing w:after="0" w:line="440" w:lineRule="exact"/>
        <w:ind w:firstLine="480" w:firstLineChars="200"/>
        <w:rPr>
          <w:rFonts w:ascii="宋体" w:hAnsi="宋体" w:cs="宋体"/>
          <w:sz w:val="24"/>
          <w:szCs w:val="24"/>
        </w:rPr>
      </w:pPr>
      <w:r>
        <w:rPr>
          <w:rFonts w:hint="eastAsia" w:ascii="宋体" w:hAnsi="宋体" w:cs="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366B63AF">
      <w:pPr>
        <w:pStyle w:val="5"/>
        <w:tabs>
          <w:tab w:val="left" w:pos="7380"/>
        </w:tabs>
        <w:snapToGrid w:val="0"/>
        <w:spacing w:after="0" w:line="440" w:lineRule="exact"/>
        <w:ind w:firstLine="480" w:firstLineChars="200"/>
        <w:rPr>
          <w:rFonts w:ascii="宋体" w:hAnsi="宋体" w:cs="宋体"/>
          <w:sz w:val="24"/>
          <w:szCs w:val="24"/>
        </w:rPr>
      </w:pPr>
      <w:r>
        <w:rPr>
          <w:rFonts w:hint="eastAsia" w:ascii="宋体" w:hAnsi="宋体" w:cs="宋体"/>
          <w:sz w:val="24"/>
          <w:szCs w:val="24"/>
        </w:rPr>
        <w:t>45．经济标评审和得分汇总</w:t>
      </w:r>
    </w:p>
    <w:p w14:paraId="65794A35">
      <w:pPr>
        <w:pStyle w:val="5"/>
        <w:tabs>
          <w:tab w:val="left" w:pos="7380"/>
        </w:tabs>
        <w:snapToGrid w:val="0"/>
        <w:spacing w:after="0" w:line="440" w:lineRule="exact"/>
        <w:ind w:firstLine="480" w:firstLineChars="200"/>
        <w:rPr>
          <w:rFonts w:ascii="宋体" w:hAnsi="宋体" w:cs="宋体"/>
          <w:sz w:val="24"/>
          <w:szCs w:val="24"/>
        </w:rPr>
      </w:pPr>
      <w:r>
        <w:rPr>
          <w:rFonts w:hint="eastAsia" w:ascii="宋体" w:hAnsi="宋体" w:cs="宋体"/>
          <w:sz w:val="24"/>
          <w:szCs w:val="24"/>
        </w:rPr>
        <w:t>45.1若通过技术标有效性审查的投标人中所有投标报价均大于等于最高投标限价，则本项目招标失败，由招标人依法重新招标。</w:t>
      </w:r>
    </w:p>
    <w:p w14:paraId="018BB226">
      <w:pPr>
        <w:pStyle w:val="5"/>
        <w:tabs>
          <w:tab w:val="left" w:pos="7380"/>
        </w:tabs>
        <w:snapToGrid w:val="0"/>
        <w:spacing w:after="0" w:line="440" w:lineRule="exact"/>
        <w:ind w:firstLine="480" w:firstLineChars="200"/>
        <w:rPr>
          <w:rFonts w:ascii="宋体" w:hAnsi="宋体" w:cs="宋体"/>
          <w:sz w:val="24"/>
          <w:szCs w:val="24"/>
        </w:rPr>
      </w:pPr>
      <w:r>
        <w:rPr>
          <w:rFonts w:hint="eastAsia" w:ascii="宋体" w:hAnsi="宋体" w:cs="宋体"/>
          <w:sz w:val="24"/>
          <w:szCs w:val="24"/>
        </w:rPr>
        <w:t xml:space="preserve"> 45.2计算评标参考价：</w:t>
      </w:r>
    </w:p>
    <w:p w14:paraId="784005CD">
      <w:pPr>
        <w:widowControl/>
        <w:snapToGrid w:val="0"/>
        <w:spacing w:line="440" w:lineRule="exact"/>
        <w:ind w:firstLine="482" w:firstLineChars="200"/>
        <w:rPr>
          <w:rFonts w:ascii="宋体" w:hAnsi="宋体" w:cs="宋体"/>
          <w:b/>
          <w:bCs/>
          <w:kern w:val="0"/>
          <w:sz w:val="24"/>
          <w:szCs w:val="24"/>
        </w:rPr>
      </w:pPr>
      <w:r>
        <w:rPr>
          <w:rFonts w:hint="eastAsia" w:ascii="宋体" w:hAnsi="宋体" w:cs="宋体"/>
          <w:b/>
          <w:bCs/>
          <w:kern w:val="0"/>
          <w:sz w:val="24"/>
          <w:szCs w:val="24"/>
        </w:rPr>
        <w:t>区间抽取法：</w:t>
      </w:r>
    </w:p>
    <w:p w14:paraId="206B5B51">
      <w:pPr>
        <w:widowControl/>
        <w:snapToGrid w:val="0"/>
        <w:spacing w:line="440" w:lineRule="exact"/>
        <w:ind w:firstLine="480" w:firstLineChars="200"/>
        <w:rPr>
          <w:rFonts w:ascii="宋体" w:hAnsi="宋体" w:cs="宋体"/>
          <w:kern w:val="0"/>
          <w:sz w:val="24"/>
          <w:szCs w:val="24"/>
        </w:rPr>
      </w:pPr>
      <w:r>
        <w:rPr>
          <w:rFonts w:hint="eastAsia" w:ascii="宋体" w:hAnsi="宋体" w:cs="宋体"/>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E24F57D">
      <w:pPr>
        <w:widowControl/>
        <w:snapToGrid w:val="0"/>
        <w:spacing w:line="440" w:lineRule="exact"/>
        <w:ind w:firstLine="480" w:firstLineChars="200"/>
        <w:rPr>
          <w:rFonts w:ascii="宋体" w:hAnsi="宋体" w:cs="宋体"/>
          <w:kern w:val="0"/>
          <w:sz w:val="24"/>
          <w:szCs w:val="24"/>
          <w:vertAlign w:val="subscript"/>
        </w:rPr>
      </w:pPr>
      <w:r>
        <w:rPr>
          <w:rFonts w:hint="eastAsia" w:ascii="宋体" w:hAnsi="宋体" w:cs="宋体"/>
          <w:kern w:val="0"/>
          <w:sz w:val="24"/>
          <w:szCs w:val="24"/>
        </w:rPr>
        <w:t>评标参考价=（Q</w:t>
      </w:r>
      <w:r>
        <w:rPr>
          <w:rFonts w:hint="eastAsia" w:ascii="宋体" w:hAnsi="宋体" w:cs="宋体"/>
          <w:kern w:val="0"/>
          <w:sz w:val="24"/>
          <w:szCs w:val="24"/>
          <w:vertAlign w:val="subscript"/>
        </w:rPr>
        <w:t>高</w:t>
      </w:r>
      <w:r>
        <w:rPr>
          <w:rFonts w:hint="eastAsia" w:ascii="宋体" w:hAnsi="宋体" w:cs="宋体"/>
          <w:kern w:val="0"/>
          <w:sz w:val="24"/>
          <w:szCs w:val="24"/>
        </w:rPr>
        <w:t>-Q</w:t>
      </w:r>
      <w:r>
        <w:rPr>
          <w:rFonts w:hint="eastAsia" w:ascii="宋体" w:hAnsi="宋体" w:cs="宋体"/>
          <w:kern w:val="0"/>
          <w:sz w:val="24"/>
          <w:szCs w:val="24"/>
          <w:vertAlign w:val="subscript"/>
        </w:rPr>
        <w:t>低</w:t>
      </w:r>
      <w:r>
        <w:rPr>
          <w:rFonts w:hint="eastAsia" w:ascii="宋体" w:hAnsi="宋体" w:cs="宋体"/>
          <w:kern w:val="0"/>
          <w:sz w:val="24"/>
          <w:szCs w:val="24"/>
        </w:rPr>
        <w:t>）/100*Ｘ+Q</w:t>
      </w:r>
      <w:r>
        <w:rPr>
          <w:rFonts w:hint="eastAsia" w:ascii="宋体" w:hAnsi="宋体" w:cs="宋体"/>
          <w:kern w:val="0"/>
          <w:sz w:val="24"/>
          <w:szCs w:val="24"/>
          <w:vertAlign w:val="subscript"/>
        </w:rPr>
        <w:t>低</w:t>
      </w:r>
    </w:p>
    <w:p w14:paraId="5B4CB47F">
      <w:pPr>
        <w:widowControl/>
        <w:snapToGrid w:val="0"/>
        <w:spacing w:line="440" w:lineRule="exact"/>
        <w:ind w:firstLine="480" w:firstLineChars="200"/>
        <w:rPr>
          <w:rFonts w:ascii="宋体" w:hAnsi="宋体" w:cs="宋体"/>
          <w:sz w:val="24"/>
          <w:szCs w:val="24"/>
        </w:rPr>
      </w:pPr>
      <w:r>
        <w:rPr>
          <w:rFonts w:hint="eastAsia" w:ascii="宋体" w:hAnsi="宋体" w:cs="宋体"/>
          <w:sz w:val="24"/>
          <w:szCs w:val="24"/>
        </w:rPr>
        <w:t>Q</w:t>
      </w:r>
      <w:r>
        <w:rPr>
          <w:rFonts w:hint="eastAsia" w:ascii="宋体" w:hAnsi="宋体" w:cs="宋体"/>
          <w:sz w:val="24"/>
          <w:szCs w:val="24"/>
          <w:vertAlign w:val="subscript"/>
        </w:rPr>
        <w:t>低</w:t>
      </w:r>
      <w:r>
        <w:rPr>
          <w:rFonts w:hint="eastAsia" w:ascii="宋体" w:hAnsi="宋体" w:cs="宋体"/>
          <w:sz w:val="24"/>
          <w:szCs w:val="24"/>
        </w:rPr>
        <w:t>：为达到或超过技术标及格分数线的投标人最低报价与工程成本警示价两者中的较高值；</w:t>
      </w:r>
    </w:p>
    <w:p w14:paraId="4BF71BF3">
      <w:pPr>
        <w:snapToGrid w:val="0"/>
        <w:spacing w:line="440" w:lineRule="exact"/>
        <w:ind w:firstLine="480" w:firstLineChars="200"/>
        <w:rPr>
          <w:rFonts w:ascii="宋体" w:hAnsi="宋体" w:cs="宋体"/>
          <w:sz w:val="24"/>
          <w:szCs w:val="24"/>
        </w:rPr>
      </w:pPr>
      <w:r>
        <w:rPr>
          <w:rFonts w:hint="eastAsia" w:ascii="宋体" w:hAnsi="宋体" w:cs="宋体"/>
          <w:kern w:val="0"/>
          <w:sz w:val="24"/>
          <w:szCs w:val="24"/>
        </w:rPr>
        <w:t>Q</w:t>
      </w:r>
      <w:r>
        <w:rPr>
          <w:rFonts w:hint="eastAsia" w:ascii="宋体" w:hAnsi="宋体" w:cs="宋体"/>
          <w:kern w:val="0"/>
          <w:sz w:val="24"/>
          <w:szCs w:val="24"/>
          <w:vertAlign w:val="subscript"/>
        </w:rPr>
        <w:t>高</w:t>
      </w:r>
      <w:r>
        <w:rPr>
          <w:rFonts w:hint="eastAsia" w:ascii="宋体" w:hAnsi="宋体" w:cs="宋体"/>
          <w:sz w:val="24"/>
          <w:szCs w:val="24"/>
        </w:rPr>
        <w:t>：最高投标限价</w:t>
      </w:r>
    </w:p>
    <w:p w14:paraId="7ECEE781">
      <w:pPr>
        <w:snapToGrid w:val="0"/>
        <w:spacing w:line="440" w:lineRule="exact"/>
        <w:ind w:firstLine="480" w:firstLineChars="200"/>
        <w:rPr>
          <w:rFonts w:ascii="宋体" w:hAnsi="宋体" w:cs="宋体"/>
          <w:sz w:val="24"/>
          <w:szCs w:val="24"/>
        </w:rPr>
      </w:pPr>
      <w:r>
        <w:rPr>
          <w:rFonts w:hint="eastAsia" w:ascii="宋体" w:hAnsi="宋体" w:cs="宋体"/>
          <w:sz w:val="24"/>
          <w:szCs w:val="24"/>
        </w:rPr>
        <w:t>X：为等分点值，在开标前从[0,100]整数中随机抽取</w:t>
      </w:r>
    </w:p>
    <w:p w14:paraId="06E994BB">
      <w:pPr>
        <w:snapToGrid w:val="0"/>
        <w:spacing w:line="440" w:lineRule="exact"/>
        <w:ind w:firstLine="480" w:firstLineChars="200"/>
        <w:rPr>
          <w:rFonts w:ascii="宋体" w:hAnsi="宋体" w:cs="宋体"/>
          <w:sz w:val="24"/>
          <w:szCs w:val="24"/>
        </w:rPr>
      </w:pPr>
      <w:r>
        <w:rPr>
          <w:rFonts w:hint="eastAsia" w:ascii="宋体" w:hAnsi="宋体" w:cs="宋体"/>
          <w:kern w:val="0"/>
          <w:sz w:val="24"/>
          <w:szCs w:val="24"/>
        </w:rPr>
        <w:t>45.3</w:t>
      </w:r>
      <w:r>
        <w:rPr>
          <w:rFonts w:hint="eastAsia" w:ascii="宋体" w:hAnsi="宋体" w:cs="宋体"/>
          <w:sz w:val="24"/>
          <w:szCs w:val="24"/>
        </w:rPr>
        <w:t>当标价等于评标参考价时得100分，标价每高于评标参考价1%，扣1.5分，每低于评标参考价1%，扣1分，扣至0分为止，得出经济分，精确到小数点后两位。</w:t>
      </w:r>
    </w:p>
    <w:p w14:paraId="390C135B">
      <w:pPr>
        <w:pStyle w:val="5"/>
        <w:tabs>
          <w:tab w:val="left" w:pos="7380"/>
        </w:tabs>
        <w:snapToGrid w:val="0"/>
        <w:spacing w:after="0" w:line="440" w:lineRule="exact"/>
        <w:ind w:firstLine="480" w:firstLineChars="200"/>
        <w:rPr>
          <w:rFonts w:ascii="宋体" w:hAnsi="宋体" w:cs="宋体"/>
          <w:sz w:val="24"/>
          <w:szCs w:val="24"/>
        </w:rPr>
      </w:pPr>
      <w:r>
        <w:rPr>
          <w:rFonts w:hint="eastAsia" w:ascii="宋体" w:hAnsi="宋体" w:cs="宋体"/>
          <w:sz w:val="24"/>
          <w:szCs w:val="24"/>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2BD780E1">
      <w:pPr>
        <w:pStyle w:val="5"/>
        <w:tabs>
          <w:tab w:val="left" w:pos="7380"/>
        </w:tabs>
        <w:snapToGrid w:val="0"/>
        <w:spacing w:after="0" w:line="440" w:lineRule="exact"/>
        <w:ind w:firstLine="480" w:firstLineChars="200"/>
        <w:rPr>
          <w:rFonts w:ascii="宋体" w:hAnsi="宋体" w:cs="宋体"/>
          <w:sz w:val="24"/>
          <w:szCs w:val="24"/>
        </w:rPr>
      </w:pPr>
      <w:r>
        <w:rPr>
          <w:rFonts w:hint="eastAsia" w:ascii="宋体" w:hAnsi="宋体" w:cs="宋体"/>
          <w:sz w:val="24"/>
          <w:szCs w:val="24"/>
        </w:rPr>
        <w:t>46.经济标的有效性审查</w:t>
      </w:r>
    </w:p>
    <w:p w14:paraId="7D107A7B">
      <w:pPr>
        <w:snapToGrid w:val="0"/>
        <w:spacing w:line="440" w:lineRule="exact"/>
        <w:ind w:firstLine="480" w:firstLineChars="200"/>
        <w:rPr>
          <w:rFonts w:ascii="宋体" w:hAnsi="宋体" w:cs="宋体"/>
          <w:sz w:val="24"/>
          <w:szCs w:val="24"/>
        </w:rPr>
      </w:pPr>
      <w:r>
        <w:rPr>
          <w:rFonts w:hint="eastAsia" w:ascii="宋体" w:hAnsi="宋体" w:cs="宋体"/>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67B5BAEC">
      <w:pPr>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 46.2经济标的算术校核。评标委员会对进行经济标有效性审查的投标文件投标报价按照就低不就高的原则进行算术校核，具体标准如下：</w:t>
      </w:r>
    </w:p>
    <w:p w14:paraId="0AA880F0">
      <w:pPr>
        <w:snapToGrid w:val="0"/>
        <w:spacing w:line="440" w:lineRule="exact"/>
        <w:ind w:firstLine="480" w:firstLineChars="200"/>
        <w:rPr>
          <w:rFonts w:ascii="宋体" w:hAnsi="宋体" w:cs="宋体"/>
          <w:sz w:val="24"/>
          <w:szCs w:val="24"/>
        </w:rPr>
      </w:pPr>
      <w:r>
        <w:rPr>
          <w:rFonts w:hint="eastAsia" w:ascii="宋体" w:hAnsi="宋体" w:cs="宋体"/>
          <w:sz w:val="24"/>
          <w:szCs w:val="24"/>
        </w:rPr>
        <w:t>46.2.1如果数字表示的金额和用文字表示的金额不一致时，应以文字表示的金额为准；</w:t>
      </w:r>
    </w:p>
    <w:p w14:paraId="2A8C6166">
      <w:pPr>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 46.2.2经算术复核的投标人报价与其投标报价不一致时，按就低不就高原则确定其最终报价；</w:t>
      </w:r>
    </w:p>
    <w:p w14:paraId="30247830">
      <w:pPr>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D9CFAA6">
      <w:pPr>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 46.2.4当合价、金额累加错误时，按就低不就高原则，如果累加修正值小于原累加值，则按累加修正值；如果累加修正值大于原累加值，则按原累加值；</w:t>
      </w:r>
    </w:p>
    <w:p w14:paraId="3A1AFF80">
      <w:pPr>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 46.2.5如果投标人的有关规费、暂列金额、暂估价、绿色施工安全防护措施费等未按招标文件规定的金额填写的，由评标委员会按照招标文件规定的金额进行修正；</w:t>
      </w:r>
    </w:p>
    <w:p w14:paraId="73D6110F">
      <w:pPr>
        <w:snapToGrid w:val="0"/>
        <w:spacing w:line="440" w:lineRule="exact"/>
        <w:ind w:firstLine="480" w:firstLineChars="200"/>
        <w:rPr>
          <w:rFonts w:ascii="宋体" w:hAnsi="宋体" w:cs="宋体"/>
          <w:sz w:val="24"/>
          <w:szCs w:val="24"/>
        </w:rPr>
      </w:pPr>
      <w:r>
        <w:rPr>
          <w:rFonts w:hint="eastAsia" w:ascii="宋体" w:hAnsi="宋体" w:cs="宋体"/>
          <w:sz w:val="24"/>
          <w:szCs w:val="24"/>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DD71512">
      <w:pPr>
        <w:snapToGrid w:val="0"/>
        <w:spacing w:line="440" w:lineRule="exact"/>
        <w:ind w:firstLine="480" w:firstLineChars="200"/>
        <w:rPr>
          <w:rFonts w:ascii="宋体" w:hAnsi="宋体" w:cs="宋体"/>
          <w:sz w:val="24"/>
          <w:szCs w:val="24"/>
        </w:rPr>
      </w:pPr>
      <w:r>
        <w:rPr>
          <w:rFonts w:hint="eastAsia" w:ascii="宋体" w:hAnsi="宋体" w:cs="宋体"/>
          <w:sz w:val="24"/>
          <w:szCs w:val="24"/>
        </w:rPr>
        <w:t>46.2.7按就低不就高原则，当修正后报价小于原报价，总价按修正后报价；当修正后报价大于原报价，总价按原报价，并在签订合同时载明在结算价中扣除修正报价与原报价的差额。</w:t>
      </w:r>
    </w:p>
    <w:p w14:paraId="20097016">
      <w:pPr>
        <w:snapToGrid w:val="0"/>
        <w:spacing w:line="440" w:lineRule="exact"/>
        <w:ind w:firstLine="480" w:firstLineChars="200"/>
        <w:rPr>
          <w:rFonts w:ascii="宋体" w:hAnsi="宋体" w:cs="宋体"/>
          <w:sz w:val="24"/>
          <w:szCs w:val="24"/>
        </w:rPr>
      </w:pPr>
      <w:r>
        <w:rPr>
          <w:rFonts w:hint="eastAsia" w:ascii="宋体" w:hAnsi="宋体" w:cs="宋体"/>
          <w:sz w:val="24"/>
          <w:szCs w:val="24"/>
        </w:rPr>
        <w:t>46.2.8按上述修正错误的原则及方法调整或修正投标文件的投标报价，调整后的投标报价对投标人起约束作用。如果投标人不接受修正后的报价，则取消其投标资格，并且其投标保证金也将不予退还。</w:t>
      </w:r>
    </w:p>
    <w:p w14:paraId="1907FDC4">
      <w:pPr>
        <w:snapToGrid w:val="0"/>
        <w:spacing w:line="440" w:lineRule="exact"/>
        <w:ind w:firstLine="480" w:firstLineChars="200"/>
        <w:rPr>
          <w:rFonts w:ascii="宋体" w:hAnsi="宋体" w:cs="宋体"/>
          <w:sz w:val="24"/>
          <w:szCs w:val="24"/>
        </w:rPr>
      </w:pPr>
      <w:r>
        <w:rPr>
          <w:rFonts w:hint="eastAsia" w:ascii="宋体" w:hAnsi="宋体" w:cs="宋体"/>
          <w:sz w:val="24"/>
          <w:szCs w:val="24"/>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6BC9F9B">
      <w:pPr>
        <w:snapToGrid w:val="0"/>
        <w:spacing w:line="440" w:lineRule="exact"/>
        <w:ind w:firstLine="480" w:firstLineChars="200"/>
        <w:rPr>
          <w:rFonts w:ascii="宋体" w:hAnsi="宋体" w:cs="宋体"/>
          <w:sz w:val="24"/>
          <w:szCs w:val="24"/>
        </w:rPr>
      </w:pPr>
      <w:r>
        <w:rPr>
          <w:rFonts w:hint="eastAsia" w:ascii="宋体" w:hAnsi="宋体" w:cs="宋体"/>
          <w:sz w:val="24"/>
          <w:szCs w:val="24"/>
        </w:rPr>
        <w:t>48.评标委员会应在通过投标文件经济标有效性审查的投标人中，按步骤45.4确定的投标人第二阶段排序，推荐前3名依次为第一中标候选人至第三中标候选人，并编制评标报告。</w:t>
      </w:r>
    </w:p>
    <w:p w14:paraId="7B2C010F">
      <w:pPr>
        <w:snapToGrid w:val="0"/>
        <w:spacing w:line="440" w:lineRule="exact"/>
        <w:ind w:firstLine="480" w:firstLineChars="200"/>
        <w:rPr>
          <w:rFonts w:ascii="宋体" w:hAnsi="宋体" w:cs="宋体"/>
          <w:sz w:val="24"/>
          <w:szCs w:val="24"/>
        </w:rPr>
      </w:pPr>
      <w:r>
        <w:rPr>
          <w:rFonts w:hint="eastAsia" w:ascii="宋体" w:hAnsi="宋体" w:cs="宋体"/>
          <w:sz w:val="24"/>
          <w:szCs w:val="24"/>
        </w:rPr>
        <w:t>49.若通过经济标有效性审查的投标人不足三家，应当依法重新招标。（当N个标段同时招标且不允许兼中时，若有效投标人不足N+2家，应当依法重新招标）</w:t>
      </w:r>
    </w:p>
    <w:p w14:paraId="001BFE9B">
      <w:pPr>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附件1</w:t>
      </w:r>
    </w:p>
    <w:p w14:paraId="0798C436">
      <w:pPr>
        <w:ind w:firstLine="723" w:firstLineChars="200"/>
        <w:jc w:val="center"/>
        <w:rPr>
          <w:rFonts w:ascii="宋体" w:hAnsi="宋体" w:cs="宋体"/>
          <w:b/>
          <w:bCs/>
          <w:sz w:val="36"/>
          <w:szCs w:val="36"/>
        </w:rPr>
      </w:pPr>
      <w:r>
        <w:rPr>
          <w:rFonts w:hint="eastAsia" w:ascii="宋体" w:hAnsi="宋体" w:cs="宋体"/>
          <w:b/>
          <w:bCs/>
          <w:sz w:val="36"/>
          <w:szCs w:val="36"/>
        </w:rPr>
        <w:t>评标委员会成员声明</w:t>
      </w:r>
    </w:p>
    <w:p w14:paraId="21EADF51">
      <w:pPr>
        <w:spacing w:line="360" w:lineRule="auto"/>
        <w:rPr>
          <w:rFonts w:ascii="宋体" w:hAnsi="宋体" w:cs="宋体"/>
          <w:sz w:val="24"/>
          <w:szCs w:val="24"/>
        </w:rPr>
      </w:pPr>
      <w:r>
        <w:rPr>
          <w:rFonts w:hint="eastAsia" w:ascii="宋体" w:hAnsi="宋体" w:cs="宋体"/>
          <w:sz w:val="24"/>
          <w:szCs w:val="24"/>
          <w:u w:val="single"/>
        </w:rPr>
        <w:t xml:space="preserve">   本项目招标人  </w:t>
      </w:r>
      <w:r>
        <w:rPr>
          <w:rFonts w:hint="eastAsia" w:ascii="宋体" w:hAnsi="宋体" w:cs="宋体"/>
          <w:sz w:val="24"/>
          <w:szCs w:val="24"/>
        </w:rPr>
        <w:t>：</w:t>
      </w:r>
    </w:p>
    <w:p w14:paraId="6A312018">
      <w:pPr>
        <w:spacing w:line="360" w:lineRule="auto"/>
        <w:ind w:firstLine="480" w:firstLineChars="200"/>
        <w:rPr>
          <w:rFonts w:ascii="宋体" w:hAnsi="宋体" w:cs="宋体"/>
          <w:sz w:val="24"/>
          <w:szCs w:val="24"/>
        </w:rPr>
      </w:pPr>
      <w:r>
        <w:rPr>
          <w:rFonts w:hint="eastAsia" w:ascii="宋体" w:hAnsi="宋体" w:cs="宋体"/>
          <w:sz w:val="24"/>
          <w:szCs w:val="24"/>
        </w:rPr>
        <w:t>本人就参与</w:t>
      </w:r>
      <w:r>
        <w:rPr>
          <w:rFonts w:hint="eastAsia" w:ascii="宋体" w:hAnsi="宋体" w:cs="宋体"/>
          <w:sz w:val="24"/>
          <w:szCs w:val="24"/>
          <w:u w:val="single"/>
        </w:rPr>
        <w:t xml:space="preserve">               </w:t>
      </w:r>
      <w:r>
        <w:rPr>
          <w:rFonts w:hint="eastAsia" w:ascii="宋体" w:hAnsi="宋体" w:cs="宋体"/>
          <w:sz w:val="24"/>
          <w:szCs w:val="24"/>
        </w:rPr>
        <w:t>项目的评标工作，作出郑重声明：</w:t>
      </w:r>
    </w:p>
    <w:p w14:paraId="0BA259F5">
      <w:pPr>
        <w:spacing w:line="360" w:lineRule="auto"/>
        <w:ind w:firstLine="480" w:firstLineChars="200"/>
        <w:rPr>
          <w:rFonts w:ascii="宋体" w:hAnsi="宋体" w:cs="宋体"/>
          <w:sz w:val="24"/>
          <w:szCs w:val="24"/>
        </w:rPr>
      </w:pPr>
      <w:r>
        <w:rPr>
          <w:rFonts w:hint="eastAsia" w:ascii="宋体" w:hAnsi="宋体" w:cs="宋体"/>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6EA2BA6">
      <w:pPr>
        <w:spacing w:line="360" w:lineRule="auto"/>
        <w:ind w:firstLine="480" w:firstLineChars="200"/>
        <w:rPr>
          <w:rFonts w:ascii="宋体" w:hAnsi="宋体" w:cs="宋体"/>
          <w:sz w:val="24"/>
          <w:szCs w:val="24"/>
        </w:rPr>
      </w:pPr>
      <w:r>
        <w:rPr>
          <w:rFonts w:hint="eastAsia" w:ascii="宋体" w:hAnsi="宋体" w:cs="宋体"/>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4476B4F">
      <w:pPr>
        <w:spacing w:line="360" w:lineRule="auto"/>
        <w:ind w:firstLine="480" w:firstLineChars="200"/>
        <w:rPr>
          <w:rFonts w:ascii="宋体" w:hAnsi="宋体" w:cs="宋体"/>
          <w:sz w:val="24"/>
          <w:szCs w:val="24"/>
        </w:rPr>
      </w:pPr>
      <w:r>
        <w:rPr>
          <w:rFonts w:hint="eastAsia" w:ascii="宋体" w:hAnsi="宋体" w:cs="宋体"/>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EB27D27">
      <w:pPr>
        <w:spacing w:line="360" w:lineRule="auto"/>
        <w:ind w:firstLine="480" w:firstLineChars="200"/>
        <w:rPr>
          <w:rFonts w:ascii="宋体" w:hAnsi="宋体" w:cs="宋体"/>
          <w:sz w:val="24"/>
          <w:szCs w:val="24"/>
        </w:rPr>
      </w:pPr>
      <w:r>
        <w:rPr>
          <w:rFonts w:hint="eastAsia" w:ascii="宋体" w:hAnsi="宋体" w:cs="宋体"/>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82F7AD9">
      <w:pPr>
        <w:spacing w:line="360" w:lineRule="auto"/>
        <w:ind w:firstLine="480" w:firstLineChars="200"/>
        <w:rPr>
          <w:rFonts w:ascii="宋体" w:hAnsi="宋体" w:cs="宋体"/>
          <w:sz w:val="24"/>
          <w:szCs w:val="24"/>
        </w:rPr>
      </w:pPr>
      <w:r>
        <w:rPr>
          <w:rFonts w:hint="eastAsia" w:ascii="宋体" w:hAnsi="宋体" w:cs="宋体"/>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5B910286">
      <w:pPr>
        <w:spacing w:line="360" w:lineRule="auto"/>
        <w:ind w:firstLine="480" w:firstLineChars="200"/>
        <w:rPr>
          <w:rFonts w:ascii="宋体" w:hAnsi="宋体" w:cs="宋体"/>
          <w:sz w:val="24"/>
          <w:szCs w:val="24"/>
        </w:rPr>
      </w:pPr>
      <w:r>
        <w:rPr>
          <w:rFonts w:hint="eastAsia" w:ascii="宋体" w:hAnsi="宋体" w:cs="宋体"/>
          <w:sz w:val="24"/>
          <w:szCs w:val="24"/>
        </w:rPr>
        <w:t>如果本人违反上述声明内容，造成的后果由本人自行承担。</w:t>
      </w:r>
    </w:p>
    <w:p w14:paraId="757A9E96">
      <w:pPr>
        <w:spacing w:line="360" w:lineRule="auto"/>
        <w:ind w:firstLine="480" w:firstLineChars="200"/>
        <w:rPr>
          <w:rFonts w:ascii="宋体" w:hAnsi="宋体" w:cs="宋体"/>
          <w:sz w:val="24"/>
          <w:szCs w:val="24"/>
        </w:rPr>
      </w:pPr>
    </w:p>
    <w:p w14:paraId="45DACD0A">
      <w:pPr>
        <w:spacing w:line="360" w:lineRule="auto"/>
        <w:rPr>
          <w:rFonts w:ascii="宋体" w:hAnsi="宋体" w:cs="宋体"/>
          <w:b/>
          <w:sz w:val="24"/>
          <w:szCs w:val="24"/>
          <w:u w:val="single"/>
        </w:rPr>
      </w:pPr>
      <w:r>
        <w:rPr>
          <w:rFonts w:hint="eastAsia" w:ascii="宋体" w:hAnsi="宋体" w:cs="宋体"/>
          <w:sz w:val="24"/>
          <w:szCs w:val="24"/>
        </w:rPr>
        <w:t xml:space="preserve">                             </w:t>
      </w:r>
      <w:r>
        <w:rPr>
          <w:rFonts w:hint="eastAsia" w:ascii="宋体" w:hAnsi="宋体" w:cs="宋体"/>
          <w:b/>
          <w:sz w:val="24"/>
          <w:szCs w:val="24"/>
        </w:rPr>
        <w:t>声明人：</w:t>
      </w:r>
      <w:r>
        <w:rPr>
          <w:rFonts w:hint="eastAsia" w:ascii="宋体" w:hAnsi="宋体" w:cs="宋体"/>
          <w:b/>
          <w:sz w:val="24"/>
          <w:szCs w:val="24"/>
          <w:u w:val="single"/>
        </w:rPr>
        <w:t xml:space="preserve">（签名）  </w:t>
      </w:r>
    </w:p>
    <w:p w14:paraId="0971427C">
      <w:pPr>
        <w:rPr>
          <w:rFonts w:ascii="宋体" w:hAnsi="宋体" w:cs="宋体"/>
          <w:b/>
          <w:sz w:val="28"/>
          <w:szCs w:val="28"/>
        </w:rPr>
      </w:pPr>
      <w:r>
        <w:rPr>
          <w:rFonts w:hint="eastAsia" w:ascii="宋体" w:hAnsi="宋体" w:cs="宋体"/>
          <w:b/>
          <w:sz w:val="24"/>
          <w:szCs w:val="24"/>
          <w:u w:val="single"/>
        </w:rPr>
        <w:br w:type="page"/>
      </w:r>
      <w:r>
        <w:rPr>
          <w:rFonts w:hint="eastAsia" w:ascii="宋体" w:hAnsi="宋体" w:cs="宋体"/>
          <w:b/>
          <w:sz w:val="28"/>
          <w:szCs w:val="28"/>
        </w:rPr>
        <w:t>附件2</w:t>
      </w:r>
    </w:p>
    <w:p w14:paraId="0D58F5CB">
      <w:pPr>
        <w:ind w:firstLine="723" w:firstLineChars="200"/>
        <w:jc w:val="center"/>
        <w:rPr>
          <w:rFonts w:ascii="宋体" w:hAnsi="宋体" w:cs="宋体"/>
          <w:b/>
          <w:bCs/>
          <w:sz w:val="36"/>
          <w:szCs w:val="36"/>
        </w:rPr>
      </w:pPr>
      <w:r>
        <w:rPr>
          <w:rFonts w:hint="eastAsia" w:ascii="宋体" w:hAnsi="宋体" w:cs="宋体"/>
          <w:b/>
          <w:bCs/>
          <w:sz w:val="36"/>
          <w:szCs w:val="36"/>
        </w:rPr>
        <w:t>定标委员会成员声明</w:t>
      </w:r>
    </w:p>
    <w:p w14:paraId="19C6BE26">
      <w:pPr>
        <w:spacing w:line="360" w:lineRule="auto"/>
        <w:rPr>
          <w:rFonts w:ascii="宋体" w:hAnsi="宋体" w:cs="宋体"/>
          <w:sz w:val="24"/>
          <w:szCs w:val="24"/>
        </w:rPr>
      </w:pPr>
      <w:r>
        <w:rPr>
          <w:rFonts w:hint="eastAsia" w:ascii="宋体" w:hAnsi="宋体" w:cs="宋体"/>
          <w:sz w:val="24"/>
          <w:szCs w:val="24"/>
          <w:u w:val="single"/>
        </w:rPr>
        <w:t>本项目招标人</w:t>
      </w:r>
      <w:r>
        <w:rPr>
          <w:rFonts w:hint="eastAsia" w:ascii="宋体" w:hAnsi="宋体" w:cs="宋体"/>
          <w:sz w:val="24"/>
          <w:szCs w:val="24"/>
        </w:rPr>
        <w:t>：</w:t>
      </w:r>
    </w:p>
    <w:p w14:paraId="4D7225BD">
      <w:pPr>
        <w:spacing w:line="360" w:lineRule="auto"/>
        <w:ind w:firstLine="480" w:firstLineChars="200"/>
        <w:rPr>
          <w:rFonts w:ascii="宋体" w:hAnsi="宋体" w:cs="宋体"/>
          <w:sz w:val="24"/>
          <w:szCs w:val="24"/>
        </w:rPr>
      </w:pPr>
      <w:r>
        <w:rPr>
          <w:rFonts w:hint="eastAsia" w:ascii="宋体" w:hAnsi="宋体" w:cs="宋体"/>
          <w:sz w:val="24"/>
          <w:szCs w:val="24"/>
        </w:rPr>
        <w:t>本人就参与</w:t>
      </w:r>
      <w:r>
        <w:rPr>
          <w:rFonts w:hint="eastAsia" w:ascii="宋体" w:hAnsi="宋体" w:cs="宋体"/>
          <w:sz w:val="24"/>
          <w:szCs w:val="24"/>
          <w:u w:val="single"/>
        </w:rPr>
        <w:t xml:space="preserve">    （项目名称）    </w:t>
      </w:r>
      <w:r>
        <w:rPr>
          <w:rFonts w:hint="eastAsia" w:ascii="宋体" w:hAnsi="宋体" w:cs="宋体"/>
          <w:sz w:val="24"/>
          <w:szCs w:val="24"/>
        </w:rPr>
        <w:t>项目的定标工作，作出郑重声明：</w:t>
      </w:r>
    </w:p>
    <w:p w14:paraId="65D0F147">
      <w:pPr>
        <w:spacing w:line="360" w:lineRule="auto"/>
        <w:ind w:firstLine="480" w:firstLineChars="200"/>
        <w:rPr>
          <w:rFonts w:ascii="宋体" w:hAnsi="宋体" w:cs="宋体"/>
          <w:sz w:val="24"/>
          <w:szCs w:val="24"/>
        </w:rPr>
      </w:pPr>
      <w:r>
        <w:rPr>
          <w:rFonts w:hint="eastAsia" w:ascii="宋体" w:hAnsi="宋体" w:cs="宋体"/>
          <w:sz w:val="24"/>
          <w:szCs w:val="24"/>
        </w:rPr>
        <w:t>一、本人严格遵守定标场所管理规定，服从定标场所现场管理。本人完全知悉并自愿在评审过程中通过电子手写签名板产生电子形式的签名，并认同由此方式产生的签名与本人手写、电子签名具有同等效力；本人使用该签名所签署的定标（审）材料及内容均为本人充分理解并符合本人真实意思表示。</w:t>
      </w:r>
    </w:p>
    <w:p w14:paraId="18BA8A57">
      <w:pPr>
        <w:spacing w:line="360" w:lineRule="auto"/>
        <w:ind w:firstLine="480" w:firstLineChars="200"/>
        <w:rPr>
          <w:rFonts w:ascii="宋体" w:hAnsi="宋体" w:cs="宋体"/>
          <w:sz w:val="24"/>
          <w:szCs w:val="24"/>
        </w:rPr>
      </w:pPr>
      <w:r>
        <w:rPr>
          <w:rFonts w:hint="eastAsia" w:ascii="宋体" w:hAnsi="宋体" w:cs="宋体"/>
          <w:sz w:val="24"/>
          <w:szCs w:val="24"/>
        </w:rPr>
        <w:t>二、在本项目定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E4A43F0">
      <w:pPr>
        <w:spacing w:line="360" w:lineRule="auto"/>
        <w:ind w:firstLine="480" w:firstLineChars="200"/>
        <w:rPr>
          <w:rFonts w:ascii="宋体" w:hAnsi="宋体" w:cs="宋体"/>
          <w:sz w:val="24"/>
          <w:szCs w:val="24"/>
        </w:rPr>
      </w:pPr>
      <w:r>
        <w:rPr>
          <w:rFonts w:hint="eastAsia" w:ascii="宋体" w:hAnsi="宋体" w:cs="宋体"/>
          <w:sz w:val="24"/>
          <w:szCs w:val="24"/>
        </w:rPr>
        <w:t>三、本人将按照本项目招标文件规定的定标标准和方法，客观、公正地对投标文件提出评审意见，不故意拖延定标时间，或者敷衍塞责随意定标，不透露本项目定标委员会成员身份，不透露对本项目投标文件的评审和比较、中标人的情况、在定标过程中知悉的国家秘密和商业秘密以及与定标有关的其他情况。在本项目定标过程中，本人不对定标委员会其他成员的独立评审施加不当影响；不接受任何单位或者个人明示或者暗示提出的倾向或者排斥本项目特定投标人的要求；不对定标委员会其他成员或者其他人员发表带有倾向性、误导性的言论或者暗示性的意见建议。</w:t>
      </w:r>
    </w:p>
    <w:p w14:paraId="40CA6DA8">
      <w:pPr>
        <w:spacing w:line="360" w:lineRule="auto"/>
        <w:ind w:firstLine="480" w:firstLineChars="200"/>
        <w:rPr>
          <w:rFonts w:ascii="宋体" w:hAnsi="宋体" w:cs="宋体"/>
          <w:sz w:val="24"/>
          <w:szCs w:val="24"/>
        </w:rPr>
      </w:pPr>
      <w:r>
        <w:rPr>
          <w:rFonts w:hint="eastAsia" w:ascii="宋体" w:hAnsi="宋体" w:cs="宋体"/>
          <w:sz w:val="24"/>
          <w:szCs w:val="24"/>
        </w:rPr>
        <w:t>四、定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F101671">
      <w:pPr>
        <w:spacing w:line="360" w:lineRule="auto"/>
        <w:ind w:firstLine="480" w:firstLineChars="200"/>
        <w:rPr>
          <w:rFonts w:ascii="宋体" w:hAnsi="宋体" w:cs="宋体"/>
          <w:sz w:val="24"/>
          <w:szCs w:val="24"/>
        </w:rPr>
      </w:pPr>
      <w:r>
        <w:rPr>
          <w:rFonts w:hint="eastAsia" w:ascii="宋体" w:hAnsi="宋体" w:cs="宋体"/>
          <w:sz w:val="24"/>
          <w:szCs w:val="24"/>
        </w:rPr>
        <w:t>五、招标监督机构依法处理本项目投诉、信访或者举报时，经调查后确认本人存在评审错误的，本人接受招标人不支付本项目评审酬劳、将本人列入招标人评（定）标专家回避名单等相关处理措施，本人也接受本项目招标监督机构依法对本人进行的处理。</w:t>
      </w:r>
    </w:p>
    <w:p w14:paraId="5F00F2BF">
      <w:pPr>
        <w:spacing w:line="360" w:lineRule="auto"/>
        <w:ind w:firstLine="480" w:firstLineChars="200"/>
        <w:rPr>
          <w:rFonts w:ascii="宋体" w:hAnsi="宋体" w:cs="宋体"/>
          <w:sz w:val="24"/>
          <w:szCs w:val="24"/>
        </w:rPr>
      </w:pPr>
      <w:r>
        <w:rPr>
          <w:rFonts w:hint="eastAsia" w:ascii="宋体" w:hAnsi="宋体" w:cs="宋体"/>
          <w:sz w:val="24"/>
          <w:szCs w:val="24"/>
        </w:rPr>
        <w:t>如果本人违反上述声明内容，造成的后果由本人自行承担。</w:t>
      </w:r>
    </w:p>
    <w:p w14:paraId="0B0D6D3B">
      <w:pPr>
        <w:spacing w:line="360" w:lineRule="auto"/>
        <w:ind w:firstLine="480" w:firstLineChars="200"/>
        <w:rPr>
          <w:rFonts w:ascii="宋体" w:hAnsi="宋体" w:cs="宋体"/>
          <w:sz w:val="24"/>
          <w:szCs w:val="24"/>
        </w:rPr>
      </w:pPr>
    </w:p>
    <w:p w14:paraId="6A386EFF">
      <w:pPr>
        <w:widowControl/>
        <w:spacing w:line="360" w:lineRule="auto"/>
        <w:ind w:firstLine="560" w:firstLineChars="200"/>
        <w:jc w:val="left"/>
        <w:rPr>
          <w:rFonts w:ascii="宋体" w:hAnsi="宋体" w:cs="宋体"/>
          <w:szCs w:val="21"/>
        </w:rPr>
      </w:pPr>
      <w:r>
        <w:rPr>
          <w:rFonts w:hint="eastAsia" w:ascii="宋体" w:hAnsi="宋体" w:cs="宋体"/>
          <w:sz w:val="28"/>
          <w:szCs w:val="28"/>
        </w:rPr>
        <w:t xml:space="preserve">                         声明人：</w:t>
      </w:r>
      <w:r>
        <w:rPr>
          <w:rFonts w:hint="eastAsia" w:ascii="宋体" w:hAnsi="宋体" w:cs="宋体"/>
          <w:sz w:val="28"/>
          <w:szCs w:val="28"/>
          <w:u w:val="single"/>
        </w:rPr>
        <w:t>（签名）</w:t>
      </w:r>
      <w:r>
        <w:rPr>
          <w:rFonts w:hint="eastAsia" w:ascii="宋体" w:hAnsi="宋体" w:cs="宋体"/>
          <w:szCs w:val="21"/>
        </w:rPr>
        <w:br w:type="page"/>
      </w:r>
      <w:r>
        <w:rPr>
          <w:rFonts w:hint="eastAsia" w:ascii="宋体" w:hAnsi="宋体" w:cs="宋体"/>
          <w:szCs w:val="21"/>
        </w:rPr>
        <w:t>附表一：</w:t>
      </w:r>
    </w:p>
    <w:p w14:paraId="0F60560E">
      <w:pPr>
        <w:jc w:val="center"/>
        <w:outlineLvl w:val="4"/>
        <w:rPr>
          <w:rFonts w:ascii="宋体" w:hAnsi="宋体" w:cs="宋体"/>
          <w:b/>
          <w:sz w:val="32"/>
          <w:szCs w:val="32"/>
        </w:rPr>
      </w:pPr>
      <w:r>
        <w:rPr>
          <w:rFonts w:hint="eastAsia" w:ascii="宋体" w:hAnsi="宋体" w:cs="宋体"/>
          <w:b/>
          <w:sz w:val="32"/>
          <w:szCs w:val="32"/>
        </w:rPr>
        <w:t>资格审查表</w:t>
      </w:r>
    </w:p>
    <w:p w14:paraId="637D1FC0">
      <w:pPr>
        <w:jc w:val="left"/>
        <w:rPr>
          <w:rFonts w:ascii="宋体" w:hAnsi="宋体" w:cs="宋体"/>
          <w:szCs w:val="21"/>
        </w:rPr>
      </w:pPr>
      <w:r>
        <w:rPr>
          <w:rFonts w:hint="eastAsia" w:ascii="宋体" w:hAnsi="宋体" w:cs="宋体"/>
          <w:szCs w:val="21"/>
        </w:rPr>
        <w:t>工程名称：</w:t>
      </w:r>
    </w:p>
    <w:p w14:paraId="39846FF4">
      <w:pPr>
        <w:jc w:val="left"/>
        <w:rPr>
          <w:rFonts w:ascii="宋体" w:hAnsi="宋体" w:cs="宋体"/>
          <w:szCs w:val="21"/>
        </w:rPr>
      </w:pPr>
      <w:r>
        <w:rPr>
          <w:rFonts w:hint="eastAsia" w:ascii="宋体" w:hAnsi="宋体" w:cs="宋体"/>
          <w:szCs w:val="21"/>
        </w:rPr>
        <w:t>投标人名称：</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4420"/>
        <w:gridCol w:w="4189"/>
        <w:gridCol w:w="727"/>
      </w:tblGrid>
      <w:tr w14:paraId="5565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6D175599">
            <w:pPr>
              <w:spacing w:before="120" w:after="60"/>
              <w:jc w:val="center"/>
              <w:rPr>
                <w:rFonts w:ascii="宋体" w:hAnsi="宋体" w:cs="宋体"/>
                <w:b/>
                <w:szCs w:val="21"/>
              </w:rPr>
            </w:pPr>
            <w:r>
              <w:rPr>
                <w:rFonts w:hint="eastAsia" w:ascii="宋体" w:hAnsi="宋体" w:cs="宋体"/>
                <w:b/>
                <w:szCs w:val="21"/>
              </w:rPr>
              <w:t>序号</w:t>
            </w:r>
          </w:p>
        </w:tc>
        <w:tc>
          <w:tcPr>
            <w:tcW w:w="2219" w:type="pct"/>
            <w:tcBorders>
              <w:top w:val="single" w:color="auto" w:sz="4" w:space="0"/>
              <w:left w:val="single" w:color="auto" w:sz="4" w:space="0"/>
              <w:bottom w:val="single" w:color="auto" w:sz="4" w:space="0"/>
              <w:right w:val="single" w:color="auto" w:sz="4" w:space="0"/>
            </w:tcBorders>
            <w:vAlign w:val="center"/>
          </w:tcPr>
          <w:p w14:paraId="0C91076C">
            <w:pPr>
              <w:spacing w:before="120" w:after="60"/>
              <w:jc w:val="center"/>
              <w:rPr>
                <w:rFonts w:ascii="宋体" w:hAnsi="宋体" w:cs="宋体"/>
                <w:b/>
                <w:szCs w:val="21"/>
              </w:rPr>
            </w:pPr>
            <w:r>
              <w:rPr>
                <w:rFonts w:hint="eastAsia" w:ascii="宋体" w:hAnsi="宋体" w:cs="宋体"/>
                <w:b/>
                <w:szCs w:val="21"/>
              </w:rPr>
              <w:t>审查项目</w:t>
            </w:r>
          </w:p>
        </w:tc>
        <w:tc>
          <w:tcPr>
            <w:tcW w:w="2103" w:type="pct"/>
            <w:tcBorders>
              <w:top w:val="single" w:color="auto" w:sz="4" w:space="0"/>
              <w:left w:val="single" w:color="auto" w:sz="4" w:space="0"/>
              <w:bottom w:val="single" w:color="auto" w:sz="4" w:space="0"/>
              <w:right w:val="single" w:color="auto" w:sz="4" w:space="0"/>
            </w:tcBorders>
            <w:vAlign w:val="center"/>
          </w:tcPr>
          <w:p w14:paraId="64BDD11D">
            <w:pPr>
              <w:spacing w:before="120" w:after="60"/>
              <w:jc w:val="center"/>
              <w:rPr>
                <w:rFonts w:ascii="宋体" w:hAnsi="宋体" w:cs="宋体"/>
                <w:b/>
                <w:szCs w:val="21"/>
              </w:rPr>
            </w:pPr>
            <w:r>
              <w:rPr>
                <w:rFonts w:hint="eastAsia" w:ascii="宋体" w:hAnsi="宋体" w:cs="宋体"/>
                <w:b/>
                <w:szCs w:val="21"/>
              </w:rPr>
              <w:t>须审查的资料</w:t>
            </w:r>
          </w:p>
        </w:tc>
        <w:tc>
          <w:tcPr>
            <w:tcW w:w="365" w:type="pct"/>
            <w:tcBorders>
              <w:top w:val="single" w:color="auto" w:sz="4" w:space="0"/>
              <w:left w:val="single" w:color="auto" w:sz="4" w:space="0"/>
              <w:bottom w:val="single" w:color="auto" w:sz="4" w:space="0"/>
              <w:right w:val="single" w:color="auto" w:sz="4" w:space="0"/>
            </w:tcBorders>
            <w:vAlign w:val="center"/>
          </w:tcPr>
          <w:p w14:paraId="5C038ACC">
            <w:pPr>
              <w:spacing w:before="120" w:after="60"/>
              <w:jc w:val="center"/>
              <w:rPr>
                <w:rFonts w:ascii="宋体" w:hAnsi="宋体" w:cs="宋体"/>
                <w:b/>
                <w:szCs w:val="21"/>
              </w:rPr>
            </w:pPr>
            <w:r>
              <w:rPr>
                <w:rFonts w:hint="eastAsia" w:ascii="宋体" w:hAnsi="宋体" w:cs="宋体"/>
                <w:b/>
                <w:szCs w:val="21"/>
              </w:rPr>
              <w:t>审查结果</w:t>
            </w:r>
          </w:p>
        </w:tc>
      </w:tr>
      <w:tr w14:paraId="79B9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25C587F7">
            <w:pPr>
              <w:spacing w:before="120" w:after="60"/>
              <w:jc w:val="center"/>
              <w:rPr>
                <w:rFonts w:ascii="宋体" w:hAnsi="宋体" w:cs="宋体"/>
                <w:szCs w:val="21"/>
              </w:rPr>
            </w:pPr>
            <w:r>
              <w:rPr>
                <w:rFonts w:hint="eastAsia" w:ascii="宋体" w:hAnsi="宋体" w:cs="宋体"/>
                <w:szCs w:val="21"/>
              </w:rPr>
              <w:t>1</w:t>
            </w:r>
          </w:p>
        </w:tc>
        <w:tc>
          <w:tcPr>
            <w:tcW w:w="2219" w:type="pct"/>
            <w:tcBorders>
              <w:top w:val="single" w:color="auto" w:sz="4" w:space="0"/>
              <w:left w:val="single" w:color="auto" w:sz="4" w:space="0"/>
              <w:bottom w:val="single" w:color="auto" w:sz="4" w:space="0"/>
              <w:right w:val="single" w:color="auto" w:sz="4" w:space="0"/>
            </w:tcBorders>
            <w:vAlign w:val="center"/>
          </w:tcPr>
          <w:p w14:paraId="0A830E4A">
            <w:pPr>
              <w:spacing w:before="120" w:after="60"/>
              <w:jc w:val="center"/>
              <w:rPr>
                <w:rFonts w:ascii="宋体" w:hAnsi="宋体" w:cs="宋体"/>
                <w:szCs w:val="21"/>
              </w:rPr>
            </w:pPr>
            <w:r>
              <w:rPr>
                <w:rFonts w:hint="eastAsia" w:ascii="宋体" w:hAnsi="宋体" w:cs="宋体"/>
                <w:szCs w:val="21"/>
              </w:rPr>
              <w:t>投标人参加投标的意思表达清楚，投标人代表被授权有效</w:t>
            </w:r>
          </w:p>
        </w:tc>
        <w:tc>
          <w:tcPr>
            <w:tcW w:w="2103" w:type="pct"/>
            <w:tcBorders>
              <w:top w:val="single" w:color="auto" w:sz="4" w:space="0"/>
              <w:left w:val="single" w:color="auto" w:sz="4" w:space="0"/>
              <w:bottom w:val="single" w:color="auto" w:sz="4" w:space="0"/>
              <w:right w:val="single" w:color="auto" w:sz="4" w:space="0"/>
            </w:tcBorders>
            <w:vAlign w:val="center"/>
          </w:tcPr>
          <w:p w14:paraId="6635355A">
            <w:pPr>
              <w:spacing w:before="120" w:after="60"/>
              <w:jc w:val="center"/>
              <w:rPr>
                <w:rFonts w:ascii="宋体" w:hAnsi="宋体" w:cs="宋体"/>
                <w:szCs w:val="21"/>
              </w:rPr>
            </w:pPr>
            <w:r>
              <w:rPr>
                <w:rFonts w:hint="eastAsia" w:ascii="宋体" w:hAnsi="宋体" w:cs="宋体"/>
                <w:szCs w:val="21"/>
              </w:rPr>
              <w:t>投标人声明、法定代表人证明书；委托投标的还应提供法定代表人授权委托证明书</w:t>
            </w:r>
          </w:p>
        </w:tc>
        <w:tc>
          <w:tcPr>
            <w:tcW w:w="365" w:type="pct"/>
            <w:tcBorders>
              <w:top w:val="single" w:color="auto" w:sz="4" w:space="0"/>
              <w:left w:val="single" w:color="auto" w:sz="4" w:space="0"/>
              <w:bottom w:val="single" w:color="auto" w:sz="4" w:space="0"/>
              <w:right w:val="single" w:color="auto" w:sz="4" w:space="0"/>
            </w:tcBorders>
            <w:vAlign w:val="center"/>
          </w:tcPr>
          <w:p w14:paraId="0772ED0E">
            <w:pPr>
              <w:spacing w:before="120" w:after="60"/>
              <w:jc w:val="center"/>
              <w:rPr>
                <w:rFonts w:ascii="宋体" w:hAnsi="宋体" w:cs="宋体"/>
                <w:szCs w:val="21"/>
              </w:rPr>
            </w:pPr>
          </w:p>
        </w:tc>
      </w:tr>
      <w:tr w14:paraId="1F13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15F59D33">
            <w:pPr>
              <w:spacing w:before="120" w:after="60"/>
              <w:jc w:val="center"/>
              <w:rPr>
                <w:rFonts w:ascii="宋体" w:hAnsi="宋体" w:cs="宋体"/>
                <w:szCs w:val="21"/>
              </w:rPr>
            </w:pPr>
            <w:r>
              <w:rPr>
                <w:rFonts w:hint="eastAsia" w:ascii="宋体" w:hAnsi="宋体" w:cs="宋体"/>
                <w:szCs w:val="21"/>
              </w:rPr>
              <w:t>2</w:t>
            </w:r>
          </w:p>
        </w:tc>
        <w:tc>
          <w:tcPr>
            <w:tcW w:w="2219" w:type="pct"/>
            <w:tcBorders>
              <w:top w:val="single" w:color="auto" w:sz="4" w:space="0"/>
              <w:left w:val="single" w:color="auto" w:sz="4" w:space="0"/>
              <w:bottom w:val="single" w:color="auto" w:sz="4" w:space="0"/>
              <w:right w:val="single" w:color="auto" w:sz="4" w:space="0"/>
            </w:tcBorders>
            <w:vAlign w:val="center"/>
          </w:tcPr>
          <w:p w14:paraId="55DAC9F1">
            <w:pPr>
              <w:spacing w:before="120" w:after="60"/>
              <w:jc w:val="center"/>
              <w:rPr>
                <w:rFonts w:ascii="宋体" w:hAnsi="宋体" w:cs="宋体"/>
                <w:szCs w:val="21"/>
              </w:rPr>
            </w:pPr>
            <w:r>
              <w:rPr>
                <w:rFonts w:hint="eastAsia" w:ascii="宋体" w:hAnsi="宋体" w:cs="宋体"/>
                <w:szCs w:val="21"/>
              </w:rPr>
              <w:t>投标人均具有独立法人资格，按国家法律经营</w:t>
            </w:r>
          </w:p>
        </w:tc>
        <w:tc>
          <w:tcPr>
            <w:tcW w:w="2103" w:type="pct"/>
            <w:tcBorders>
              <w:top w:val="single" w:color="auto" w:sz="4" w:space="0"/>
              <w:left w:val="single" w:color="auto" w:sz="4" w:space="0"/>
              <w:bottom w:val="single" w:color="auto" w:sz="4" w:space="0"/>
              <w:right w:val="single" w:color="auto" w:sz="4" w:space="0"/>
            </w:tcBorders>
            <w:vAlign w:val="center"/>
          </w:tcPr>
          <w:p w14:paraId="737E2D96">
            <w:pPr>
              <w:spacing w:before="120" w:after="60"/>
              <w:jc w:val="center"/>
              <w:rPr>
                <w:rFonts w:ascii="宋体" w:hAnsi="宋体" w:cs="宋体"/>
                <w:szCs w:val="21"/>
              </w:rPr>
            </w:pPr>
            <w:r>
              <w:rPr>
                <w:rFonts w:hint="eastAsia" w:ascii="宋体" w:hAnsi="宋体" w:cs="宋体"/>
                <w:szCs w:val="21"/>
              </w:rPr>
              <w:t>营业执照扫描件或电子证照</w:t>
            </w:r>
          </w:p>
        </w:tc>
        <w:tc>
          <w:tcPr>
            <w:tcW w:w="365" w:type="pct"/>
            <w:tcBorders>
              <w:top w:val="single" w:color="auto" w:sz="4" w:space="0"/>
              <w:left w:val="single" w:color="auto" w:sz="4" w:space="0"/>
              <w:bottom w:val="single" w:color="auto" w:sz="4" w:space="0"/>
              <w:right w:val="single" w:color="auto" w:sz="4" w:space="0"/>
            </w:tcBorders>
            <w:vAlign w:val="center"/>
          </w:tcPr>
          <w:p w14:paraId="76DE662D">
            <w:pPr>
              <w:spacing w:before="120" w:after="60"/>
              <w:jc w:val="center"/>
              <w:rPr>
                <w:rFonts w:ascii="宋体" w:hAnsi="宋体" w:cs="宋体"/>
                <w:szCs w:val="21"/>
              </w:rPr>
            </w:pPr>
          </w:p>
        </w:tc>
      </w:tr>
      <w:tr w14:paraId="188B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092E3767">
            <w:pPr>
              <w:spacing w:before="120" w:after="60"/>
              <w:jc w:val="center"/>
              <w:rPr>
                <w:rFonts w:ascii="宋体" w:hAnsi="宋体" w:cs="宋体"/>
                <w:szCs w:val="21"/>
              </w:rPr>
            </w:pPr>
            <w:r>
              <w:rPr>
                <w:rFonts w:hint="eastAsia" w:ascii="宋体" w:hAnsi="宋体" w:cs="宋体"/>
                <w:szCs w:val="21"/>
              </w:rPr>
              <w:t>3</w:t>
            </w:r>
          </w:p>
        </w:tc>
        <w:tc>
          <w:tcPr>
            <w:tcW w:w="2219" w:type="pct"/>
            <w:tcBorders>
              <w:top w:val="single" w:color="auto" w:sz="4" w:space="0"/>
              <w:left w:val="single" w:color="auto" w:sz="4" w:space="0"/>
              <w:bottom w:val="single" w:color="auto" w:sz="4" w:space="0"/>
              <w:right w:val="single" w:color="auto" w:sz="4" w:space="0"/>
            </w:tcBorders>
            <w:vAlign w:val="center"/>
          </w:tcPr>
          <w:p w14:paraId="481D48D3">
            <w:pPr>
              <w:jc w:val="center"/>
              <w:rPr>
                <w:rFonts w:ascii="宋体" w:hAnsi="宋体" w:cs="宋体"/>
                <w:szCs w:val="21"/>
              </w:rPr>
            </w:pPr>
            <w:r>
              <w:rPr>
                <w:rFonts w:hint="eastAsia" w:ascii="宋体" w:hAnsi="宋体" w:cs="宋体"/>
                <w:szCs w:val="21"/>
              </w:rPr>
              <w:t>投标人均持有建设行政主管部门颁发的企业资质证书及安全生产许可证；投标人资质符合公告要求</w:t>
            </w:r>
          </w:p>
        </w:tc>
        <w:tc>
          <w:tcPr>
            <w:tcW w:w="2103" w:type="pct"/>
            <w:tcBorders>
              <w:top w:val="single" w:color="auto" w:sz="4" w:space="0"/>
              <w:left w:val="single" w:color="auto" w:sz="4" w:space="0"/>
              <w:bottom w:val="single" w:color="auto" w:sz="4" w:space="0"/>
              <w:right w:val="single" w:color="auto" w:sz="4" w:space="0"/>
            </w:tcBorders>
            <w:vAlign w:val="center"/>
          </w:tcPr>
          <w:p w14:paraId="53AF50DB">
            <w:pPr>
              <w:jc w:val="center"/>
              <w:rPr>
                <w:rFonts w:ascii="宋体" w:hAnsi="宋体" w:cs="宋体"/>
                <w:szCs w:val="21"/>
              </w:rPr>
            </w:pPr>
            <w:r>
              <w:rPr>
                <w:rFonts w:hint="eastAsia" w:ascii="宋体" w:hAnsi="宋体" w:cs="宋体"/>
                <w:szCs w:val="21"/>
              </w:rPr>
              <w:t>资质证书扫描件或电子证照、安全生产许可证扫描件或电子证照</w:t>
            </w:r>
          </w:p>
        </w:tc>
        <w:tc>
          <w:tcPr>
            <w:tcW w:w="365" w:type="pct"/>
            <w:tcBorders>
              <w:top w:val="single" w:color="auto" w:sz="4" w:space="0"/>
              <w:left w:val="single" w:color="auto" w:sz="4" w:space="0"/>
              <w:bottom w:val="single" w:color="auto" w:sz="4" w:space="0"/>
              <w:right w:val="single" w:color="auto" w:sz="4" w:space="0"/>
            </w:tcBorders>
            <w:vAlign w:val="center"/>
          </w:tcPr>
          <w:p w14:paraId="3D1E4FEA">
            <w:pPr>
              <w:spacing w:before="120" w:after="60"/>
              <w:jc w:val="center"/>
              <w:rPr>
                <w:rFonts w:ascii="宋体" w:hAnsi="宋体" w:cs="宋体"/>
                <w:szCs w:val="21"/>
              </w:rPr>
            </w:pPr>
          </w:p>
        </w:tc>
      </w:tr>
      <w:tr w14:paraId="1CE2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0705112F">
            <w:pPr>
              <w:spacing w:before="120" w:after="60"/>
              <w:jc w:val="center"/>
              <w:rPr>
                <w:rFonts w:ascii="宋体" w:hAnsi="宋体" w:cs="宋体"/>
                <w:szCs w:val="21"/>
              </w:rPr>
            </w:pPr>
            <w:r>
              <w:rPr>
                <w:rFonts w:hint="eastAsia" w:ascii="宋体" w:hAnsi="宋体" w:cs="宋体"/>
                <w:szCs w:val="21"/>
              </w:rPr>
              <w:t>4</w:t>
            </w:r>
          </w:p>
        </w:tc>
        <w:tc>
          <w:tcPr>
            <w:tcW w:w="2219" w:type="pct"/>
            <w:tcBorders>
              <w:top w:val="single" w:color="auto" w:sz="4" w:space="0"/>
              <w:left w:val="single" w:color="auto" w:sz="4" w:space="0"/>
              <w:bottom w:val="single" w:color="auto" w:sz="4" w:space="0"/>
              <w:right w:val="single" w:color="auto" w:sz="4" w:space="0"/>
            </w:tcBorders>
            <w:vAlign w:val="center"/>
          </w:tcPr>
          <w:p w14:paraId="441A3BCF">
            <w:pPr>
              <w:jc w:val="center"/>
              <w:rPr>
                <w:rFonts w:ascii="宋体" w:hAnsi="宋体" w:cs="宋体"/>
                <w:szCs w:val="21"/>
              </w:rPr>
            </w:pPr>
            <w:r>
              <w:rPr>
                <w:rFonts w:hint="eastAsia" w:ascii="宋体" w:hAnsi="宋体" w:cs="宋体"/>
                <w:szCs w:val="21"/>
              </w:rPr>
              <w:t>投标人拟担任本工程项目负责人符合公告要求</w:t>
            </w:r>
          </w:p>
        </w:tc>
        <w:tc>
          <w:tcPr>
            <w:tcW w:w="2103" w:type="pct"/>
            <w:tcBorders>
              <w:top w:val="single" w:color="auto" w:sz="4" w:space="0"/>
              <w:left w:val="single" w:color="auto" w:sz="4" w:space="0"/>
              <w:bottom w:val="single" w:color="auto" w:sz="4" w:space="0"/>
              <w:right w:val="single" w:color="auto" w:sz="4" w:space="0"/>
            </w:tcBorders>
            <w:vAlign w:val="center"/>
          </w:tcPr>
          <w:p w14:paraId="3D95B31E">
            <w:pPr>
              <w:jc w:val="center"/>
              <w:rPr>
                <w:rFonts w:ascii="宋体" w:hAnsi="宋体" w:cs="宋体"/>
                <w:szCs w:val="21"/>
              </w:rPr>
            </w:pPr>
            <w:r>
              <w:rPr>
                <w:rFonts w:hint="eastAsia" w:ascii="宋体" w:hAnsi="宋体" w:cs="宋体"/>
                <w:szCs w:val="21"/>
              </w:rPr>
              <w:t>有效期内的建造师注册证书扫描件或电子证书（注：打印建造师电子证书后，在个人签名处手写本人签名再扫描提交。）</w:t>
            </w:r>
          </w:p>
        </w:tc>
        <w:tc>
          <w:tcPr>
            <w:tcW w:w="365" w:type="pct"/>
            <w:tcBorders>
              <w:top w:val="single" w:color="auto" w:sz="4" w:space="0"/>
              <w:left w:val="single" w:color="auto" w:sz="4" w:space="0"/>
              <w:bottom w:val="single" w:color="auto" w:sz="4" w:space="0"/>
              <w:right w:val="single" w:color="auto" w:sz="4" w:space="0"/>
            </w:tcBorders>
            <w:vAlign w:val="center"/>
          </w:tcPr>
          <w:p w14:paraId="26FF862A">
            <w:pPr>
              <w:spacing w:before="120" w:after="60"/>
              <w:jc w:val="center"/>
              <w:rPr>
                <w:rFonts w:ascii="宋体" w:hAnsi="宋体" w:cs="宋体"/>
                <w:szCs w:val="21"/>
              </w:rPr>
            </w:pPr>
          </w:p>
        </w:tc>
      </w:tr>
      <w:tr w14:paraId="587D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5F32F04B">
            <w:pPr>
              <w:spacing w:before="120" w:after="60"/>
              <w:jc w:val="center"/>
              <w:rPr>
                <w:rFonts w:ascii="宋体" w:hAnsi="宋体" w:cs="宋体"/>
                <w:szCs w:val="21"/>
              </w:rPr>
            </w:pPr>
            <w:r>
              <w:rPr>
                <w:rFonts w:hint="eastAsia" w:ascii="宋体" w:hAnsi="宋体" w:cs="宋体"/>
                <w:szCs w:val="21"/>
              </w:rPr>
              <w:t>5</w:t>
            </w:r>
          </w:p>
        </w:tc>
        <w:tc>
          <w:tcPr>
            <w:tcW w:w="2219" w:type="pct"/>
            <w:tcBorders>
              <w:top w:val="single" w:color="auto" w:sz="4" w:space="0"/>
              <w:left w:val="single" w:color="auto" w:sz="4" w:space="0"/>
              <w:bottom w:val="single" w:color="auto" w:sz="4" w:space="0"/>
              <w:right w:val="single" w:color="auto" w:sz="4" w:space="0"/>
            </w:tcBorders>
            <w:vAlign w:val="center"/>
          </w:tcPr>
          <w:p w14:paraId="4FA02650">
            <w:pPr>
              <w:jc w:val="center"/>
              <w:rPr>
                <w:rFonts w:ascii="宋体" w:hAnsi="宋体" w:cs="宋体"/>
                <w:szCs w:val="21"/>
              </w:rPr>
            </w:pPr>
            <w:r>
              <w:rPr>
                <w:rFonts w:hint="eastAsia" w:ascii="宋体" w:hAnsi="宋体" w:cs="宋体"/>
                <w:szCs w:val="21"/>
              </w:rPr>
              <w:t>持有</w:t>
            </w:r>
            <w:r>
              <w:rPr>
                <w:rFonts w:hint="eastAsia" w:ascii="宋体" w:hAnsi="宋体" w:cs="宋体"/>
                <w:szCs w:val="21"/>
                <w:u w:val="single"/>
              </w:rPr>
              <w:t>在有效期内的</w:t>
            </w:r>
            <w:r>
              <w:rPr>
                <w:rFonts w:hint="eastAsia" w:ascii="宋体" w:hAnsi="宋体" w:cs="宋体"/>
                <w:szCs w:val="21"/>
              </w:rPr>
              <w:t>项目负责人安全生产考核合格证（B类）或建筑施工企业项目负责人安全生产考核合格证</w:t>
            </w:r>
          </w:p>
        </w:tc>
        <w:tc>
          <w:tcPr>
            <w:tcW w:w="2103" w:type="pct"/>
            <w:tcBorders>
              <w:top w:val="single" w:color="auto" w:sz="4" w:space="0"/>
              <w:left w:val="single" w:color="auto" w:sz="4" w:space="0"/>
              <w:bottom w:val="single" w:color="auto" w:sz="4" w:space="0"/>
              <w:right w:val="single" w:color="auto" w:sz="4" w:space="0"/>
            </w:tcBorders>
            <w:vAlign w:val="center"/>
          </w:tcPr>
          <w:p w14:paraId="02EE5688">
            <w:pPr>
              <w:jc w:val="center"/>
              <w:rPr>
                <w:rFonts w:ascii="宋体" w:hAnsi="宋体" w:cs="宋体"/>
                <w:szCs w:val="21"/>
              </w:rPr>
            </w:pPr>
            <w:r>
              <w:rPr>
                <w:rFonts w:hint="eastAsia" w:ascii="宋体" w:hAnsi="宋体" w:cs="宋体"/>
                <w:szCs w:val="21"/>
              </w:rPr>
              <w:t>项目负责人安全生产考核合格证（B类）或建筑施工企业项目负责人安全生产考核合格证证书扫描件或电子证书</w:t>
            </w:r>
          </w:p>
        </w:tc>
        <w:tc>
          <w:tcPr>
            <w:tcW w:w="365" w:type="pct"/>
            <w:tcBorders>
              <w:top w:val="single" w:color="auto" w:sz="4" w:space="0"/>
              <w:left w:val="single" w:color="auto" w:sz="4" w:space="0"/>
              <w:bottom w:val="single" w:color="auto" w:sz="4" w:space="0"/>
              <w:right w:val="single" w:color="auto" w:sz="4" w:space="0"/>
            </w:tcBorders>
            <w:vAlign w:val="center"/>
          </w:tcPr>
          <w:p w14:paraId="7A1A98F4">
            <w:pPr>
              <w:spacing w:before="120" w:after="60"/>
              <w:jc w:val="center"/>
              <w:rPr>
                <w:rFonts w:ascii="宋体" w:hAnsi="宋体" w:cs="宋体"/>
                <w:szCs w:val="21"/>
              </w:rPr>
            </w:pPr>
          </w:p>
        </w:tc>
      </w:tr>
      <w:tr w14:paraId="2909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436F44E1">
            <w:pPr>
              <w:spacing w:before="120" w:after="60"/>
              <w:jc w:val="center"/>
              <w:rPr>
                <w:rFonts w:ascii="宋体" w:hAnsi="宋体" w:cs="宋体"/>
                <w:szCs w:val="21"/>
              </w:rPr>
            </w:pPr>
            <w:r>
              <w:rPr>
                <w:rFonts w:hint="eastAsia" w:ascii="宋体" w:hAnsi="宋体" w:cs="宋体"/>
                <w:szCs w:val="21"/>
              </w:rPr>
              <w:t>6</w:t>
            </w:r>
          </w:p>
        </w:tc>
        <w:tc>
          <w:tcPr>
            <w:tcW w:w="2219" w:type="pct"/>
            <w:tcBorders>
              <w:top w:val="single" w:color="auto" w:sz="4" w:space="0"/>
              <w:left w:val="single" w:color="auto" w:sz="4" w:space="0"/>
              <w:bottom w:val="single" w:color="auto" w:sz="4" w:space="0"/>
              <w:right w:val="single" w:color="auto" w:sz="4" w:space="0"/>
            </w:tcBorders>
            <w:vAlign w:val="center"/>
          </w:tcPr>
          <w:p w14:paraId="3DE86B0F">
            <w:pPr>
              <w:jc w:val="center"/>
              <w:rPr>
                <w:rFonts w:ascii="宋体" w:hAnsi="宋体" w:cs="宋体"/>
                <w:szCs w:val="21"/>
              </w:rPr>
            </w:pPr>
            <w:r>
              <w:rPr>
                <w:rFonts w:hint="eastAsia" w:ascii="宋体" w:hAnsi="宋体" w:cs="宋体"/>
                <w:szCs w:val="21"/>
              </w:rPr>
              <w:t>投标人拟担任本工程技术负责人符合公告要求</w:t>
            </w:r>
          </w:p>
        </w:tc>
        <w:tc>
          <w:tcPr>
            <w:tcW w:w="2103" w:type="pct"/>
            <w:tcBorders>
              <w:top w:val="single" w:color="auto" w:sz="4" w:space="0"/>
              <w:left w:val="single" w:color="auto" w:sz="4" w:space="0"/>
              <w:bottom w:val="single" w:color="auto" w:sz="4" w:space="0"/>
              <w:right w:val="single" w:color="auto" w:sz="4" w:space="0"/>
            </w:tcBorders>
            <w:vAlign w:val="center"/>
          </w:tcPr>
          <w:p w14:paraId="39EE15E1">
            <w:pPr>
              <w:jc w:val="center"/>
              <w:rPr>
                <w:rFonts w:ascii="宋体" w:hAnsi="宋体" w:cs="宋体"/>
                <w:szCs w:val="21"/>
              </w:rPr>
            </w:pPr>
            <w:r>
              <w:rPr>
                <w:rFonts w:hint="eastAsia" w:ascii="宋体" w:hAnsi="宋体" w:cs="宋体"/>
                <w:szCs w:val="21"/>
              </w:rPr>
              <w:t>拟委托技术负责人的职称证书扫描件</w:t>
            </w:r>
          </w:p>
        </w:tc>
        <w:tc>
          <w:tcPr>
            <w:tcW w:w="365" w:type="pct"/>
            <w:tcBorders>
              <w:top w:val="single" w:color="auto" w:sz="4" w:space="0"/>
              <w:left w:val="single" w:color="auto" w:sz="4" w:space="0"/>
              <w:bottom w:val="single" w:color="auto" w:sz="4" w:space="0"/>
              <w:right w:val="single" w:color="auto" w:sz="4" w:space="0"/>
            </w:tcBorders>
            <w:vAlign w:val="center"/>
          </w:tcPr>
          <w:p w14:paraId="53AC6E76">
            <w:pPr>
              <w:spacing w:before="120" w:after="60"/>
              <w:jc w:val="center"/>
              <w:rPr>
                <w:rFonts w:ascii="宋体" w:hAnsi="宋体" w:cs="宋体"/>
                <w:szCs w:val="21"/>
              </w:rPr>
            </w:pPr>
          </w:p>
        </w:tc>
      </w:tr>
      <w:tr w14:paraId="10C4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4A1AA44D">
            <w:pPr>
              <w:spacing w:before="120" w:after="60"/>
              <w:jc w:val="center"/>
              <w:rPr>
                <w:rFonts w:ascii="宋体" w:hAnsi="宋体" w:cs="宋体"/>
                <w:szCs w:val="21"/>
              </w:rPr>
            </w:pPr>
            <w:r>
              <w:rPr>
                <w:rFonts w:hint="eastAsia" w:ascii="宋体" w:hAnsi="宋体" w:cs="宋体"/>
                <w:szCs w:val="21"/>
              </w:rPr>
              <w:t>7</w:t>
            </w:r>
          </w:p>
        </w:tc>
        <w:tc>
          <w:tcPr>
            <w:tcW w:w="2219" w:type="pct"/>
            <w:tcBorders>
              <w:top w:val="single" w:color="auto" w:sz="4" w:space="0"/>
              <w:left w:val="single" w:color="auto" w:sz="4" w:space="0"/>
              <w:bottom w:val="single" w:color="auto" w:sz="4" w:space="0"/>
              <w:right w:val="single" w:color="auto" w:sz="4" w:space="0"/>
            </w:tcBorders>
            <w:vAlign w:val="center"/>
          </w:tcPr>
          <w:p w14:paraId="39A0DE06">
            <w:pPr>
              <w:jc w:val="center"/>
              <w:rPr>
                <w:rFonts w:ascii="宋体" w:hAnsi="宋体" w:cs="宋体"/>
                <w:szCs w:val="21"/>
              </w:rPr>
            </w:pPr>
            <w:r>
              <w:rPr>
                <w:rFonts w:hint="eastAsia" w:ascii="宋体" w:hAnsi="宋体" w:cs="宋体"/>
                <w:szCs w:val="21"/>
              </w:rPr>
              <w:t>专职安全员须具有</w:t>
            </w:r>
            <w:r>
              <w:rPr>
                <w:rFonts w:hint="eastAsia" w:ascii="宋体" w:hAnsi="宋体" w:cs="宋体"/>
                <w:szCs w:val="21"/>
                <w:u w:val="single"/>
              </w:rPr>
              <w:t>在有效期内的</w:t>
            </w:r>
            <w:r>
              <w:rPr>
                <w:rFonts w:hint="eastAsia" w:ascii="宋体" w:hAnsi="宋体" w:cs="宋体"/>
                <w:szCs w:val="21"/>
              </w:rPr>
              <w:t>安全生产考核合格证（C类）或建筑施工企业专职安全生产管理人员安全生产考核合格证书</w:t>
            </w:r>
            <w:r>
              <w:rPr>
                <w:rFonts w:hint="eastAsia" w:ascii="宋体" w:hAnsi="宋体" w:cs="宋体"/>
                <w:szCs w:val="21"/>
                <w:u w:val="single"/>
              </w:rPr>
              <w:t>（C3类）</w:t>
            </w:r>
          </w:p>
        </w:tc>
        <w:tc>
          <w:tcPr>
            <w:tcW w:w="2103" w:type="pct"/>
            <w:tcBorders>
              <w:top w:val="single" w:color="auto" w:sz="4" w:space="0"/>
              <w:left w:val="single" w:color="auto" w:sz="4" w:space="0"/>
              <w:bottom w:val="single" w:color="auto" w:sz="4" w:space="0"/>
              <w:right w:val="single" w:color="auto" w:sz="4" w:space="0"/>
            </w:tcBorders>
            <w:vAlign w:val="center"/>
          </w:tcPr>
          <w:p w14:paraId="77A25C09">
            <w:pPr>
              <w:jc w:val="center"/>
              <w:rPr>
                <w:rFonts w:ascii="宋体" w:hAnsi="宋体" w:cs="宋体"/>
                <w:szCs w:val="21"/>
              </w:rPr>
            </w:pPr>
            <w:r>
              <w:rPr>
                <w:rFonts w:hint="eastAsia" w:ascii="宋体" w:hAnsi="宋体" w:cs="宋体"/>
                <w:szCs w:val="21"/>
              </w:rPr>
              <w:t>专职安全员的安全生产考核合格证（C类）或建筑施工企业专职安全生产管理人员安全生产考核合格证证书</w:t>
            </w:r>
            <w:r>
              <w:rPr>
                <w:rFonts w:hint="eastAsia" w:ascii="宋体" w:hAnsi="宋体" w:cs="宋体"/>
                <w:szCs w:val="21"/>
                <w:u w:val="single"/>
              </w:rPr>
              <w:t>（C3类）</w:t>
            </w:r>
            <w:r>
              <w:rPr>
                <w:rFonts w:hint="eastAsia" w:ascii="宋体" w:hAnsi="宋体" w:cs="宋体"/>
                <w:szCs w:val="21"/>
              </w:rPr>
              <w:t>扫描件或电子证书</w:t>
            </w:r>
          </w:p>
        </w:tc>
        <w:tc>
          <w:tcPr>
            <w:tcW w:w="365" w:type="pct"/>
            <w:tcBorders>
              <w:top w:val="single" w:color="auto" w:sz="4" w:space="0"/>
              <w:left w:val="single" w:color="auto" w:sz="4" w:space="0"/>
              <w:bottom w:val="single" w:color="auto" w:sz="4" w:space="0"/>
              <w:right w:val="single" w:color="auto" w:sz="4" w:space="0"/>
            </w:tcBorders>
            <w:vAlign w:val="center"/>
          </w:tcPr>
          <w:p w14:paraId="6D0A6316">
            <w:pPr>
              <w:spacing w:before="120" w:after="60"/>
              <w:jc w:val="center"/>
              <w:rPr>
                <w:rFonts w:ascii="宋体" w:hAnsi="宋体" w:cs="宋体"/>
                <w:szCs w:val="21"/>
              </w:rPr>
            </w:pPr>
          </w:p>
        </w:tc>
      </w:tr>
      <w:tr w14:paraId="0E8D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1B7E4BD0">
            <w:pPr>
              <w:spacing w:before="120" w:after="60"/>
              <w:jc w:val="center"/>
              <w:rPr>
                <w:rFonts w:ascii="宋体" w:hAnsi="宋体" w:cs="宋体"/>
                <w:szCs w:val="21"/>
              </w:rPr>
            </w:pPr>
            <w:r>
              <w:rPr>
                <w:rFonts w:hint="eastAsia" w:ascii="宋体" w:hAnsi="宋体" w:cs="宋体"/>
                <w:szCs w:val="21"/>
              </w:rPr>
              <w:t>8</w:t>
            </w:r>
          </w:p>
        </w:tc>
        <w:tc>
          <w:tcPr>
            <w:tcW w:w="2219" w:type="pct"/>
            <w:tcBorders>
              <w:top w:val="single" w:color="auto" w:sz="4" w:space="0"/>
              <w:left w:val="single" w:color="auto" w:sz="4" w:space="0"/>
              <w:bottom w:val="single" w:color="auto" w:sz="4" w:space="0"/>
              <w:right w:val="single" w:color="auto" w:sz="4" w:space="0"/>
            </w:tcBorders>
            <w:vAlign w:val="center"/>
          </w:tcPr>
          <w:p w14:paraId="630AEFAC">
            <w:pPr>
              <w:jc w:val="center"/>
              <w:rPr>
                <w:rFonts w:ascii="宋体" w:hAnsi="宋体" w:cs="宋体"/>
                <w:szCs w:val="21"/>
              </w:rPr>
            </w:pPr>
            <w:r>
              <w:rPr>
                <w:rStyle w:val="80"/>
                <w:rFonts w:hint="eastAsia" w:ascii="宋体" w:hAnsi="宋体" w:cs="宋体"/>
                <w:szCs w:val="21"/>
              </w:rPr>
              <w:t>投标人提供的投标人声明符合公告要求</w:t>
            </w:r>
          </w:p>
        </w:tc>
        <w:tc>
          <w:tcPr>
            <w:tcW w:w="2103" w:type="pct"/>
            <w:tcBorders>
              <w:top w:val="single" w:color="auto" w:sz="4" w:space="0"/>
              <w:left w:val="single" w:color="auto" w:sz="4" w:space="0"/>
              <w:bottom w:val="single" w:color="auto" w:sz="4" w:space="0"/>
              <w:right w:val="single" w:color="auto" w:sz="4" w:space="0"/>
            </w:tcBorders>
            <w:vAlign w:val="center"/>
          </w:tcPr>
          <w:p w14:paraId="436B2477">
            <w:pPr>
              <w:jc w:val="center"/>
              <w:rPr>
                <w:rFonts w:ascii="宋体" w:hAnsi="宋体" w:cs="宋体"/>
                <w:szCs w:val="21"/>
              </w:rPr>
            </w:pPr>
            <w:r>
              <w:rPr>
                <w:rStyle w:val="80"/>
                <w:rFonts w:hint="eastAsia" w:ascii="宋体" w:hAnsi="宋体" w:cs="宋体"/>
                <w:szCs w:val="21"/>
              </w:rPr>
              <w:t>投标人声明</w:t>
            </w:r>
          </w:p>
        </w:tc>
        <w:tc>
          <w:tcPr>
            <w:tcW w:w="365" w:type="pct"/>
            <w:tcBorders>
              <w:top w:val="single" w:color="auto" w:sz="4" w:space="0"/>
              <w:left w:val="single" w:color="auto" w:sz="4" w:space="0"/>
              <w:bottom w:val="single" w:color="auto" w:sz="4" w:space="0"/>
              <w:right w:val="single" w:color="auto" w:sz="4" w:space="0"/>
            </w:tcBorders>
            <w:vAlign w:val="center"/>
          </w:tcPr>
          <w:p w14:paraId="3902F2B2">
            <w:pPr>
              <w:spacing w:before="120" w:after="60"/>
              <w:jc w:val="center"/>
              <w:rPr>
                <w:rFonts w:ascii="宋体" w:hAnsi="宋体" w:cs="宋体"/>
                <w:szCs w:val="21"/>
              </w:rPr>
            </w:pPr>
          </w:p>
        </w:tc>
      </w:tr>
      <w:tr w14:paraId="44FE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7513D9A1">
            <w:pPr>
              <w:spacing w:before="120" w:after="60"/>
              <w:jc w:val="center"/>
              <w:rPr>
                <w:rFonts w:ascii="宋体" w:hAnsi="宋体" w:cs="宋体"/>
                <w:szCs w:val="21"/>
              </w:rPr>
            </w:pPr>
            <w:r>
              <w:rPr>
                <w:rFonts w:hint="eastAsia" w:ascii="宋体" w:hAnsi="宋体" w:cs="宋体"/>
                <w:szCs w:val="21"/>
              </w:rPr>
              <w:t>9</w:t>
            </w:r>
          </w:p>
        </w:tc>
        <w:tc>
          <w:tcPr>
            <w:tcW w:w="2219" w:type="pct"/>
            <w:tcBorders>
              <w:top w:val="single" w:color="auto" w:sz="4" w:space="0"/>
              <w:left w:val="single" w:color="auto" w:sz="4" w:space="0"/>
              <w:bottom w:val="single" w:color="auto" w:sz="4" w:space="0"/>
              <w:right w:val="single" w:color="auto" w:sz="4" w:space="0"/>
            </w:tcBorders>
            <w:vAlign w:val="center"/>
          </w:tcPr>
          <w:p w14:paraId="36819BEB">
            <w:pPr>
              <w:jc w:val="center"/>
              <w:rPr>
                <w:rFonts w:ascii="宋体" w:hAnsi="宋体" w:cs="宋体"/>
                <w:szCs w:val="21"/>
              </w:rPr>
            </w:pPr>
            <w:r>
              <w:rPr>
                <w:rFonts w:hint="eastAsia" w:ascii="宋体" w:hAnsi="宋体" w:cs="宋体"/>
                <w:szCs w:val="21"/>
              </w:rPr>
              <w:t>投标人声明中签字的项目负责人和技术负责人与本项目拟派的项目负责人和技术负责人一致</w:t>
            </w:r>
          </w:p>
        </w:tc>
        <w:tc>
          <w:tcPr>
            <w:tcW w:w="2103" w:type="pct"/>
            <w:tcBorders>
              <w:top w:val="single" w:color="auto" w:sz="4" w:space="0"/>
              <w:left w:val="single" w:color="auto" w:sz="4" w:space="0"/>
              <w:bottom w:val="single" w:color="auto" w:sz="4" w:space="0"/>
              <w:right w:val="single" w:color="auto" w:sz="4" w:space="0"/>
            </w:tcBorders>
            <w:vAlign w:val="center"/>
          </w:tcPr>
          <w:p w14:paraId="56C059EB">
            <w:pPr>
              <w:jc w:val="center"/>
              <w:rPr>
                <w:rFonts w:ascii="宋体" w:hAnsi="宋体" w:cs="宋体"/>
                <w:szCs w:val="21"/>
              </w:rPr>
            </w:pPr>
            <w:r>
              <w:rPr>
                <w:rFonts w:hint="eastAsia" w:ascii="宋体" w:hAnsi="宋体" w:cs="宋体"/>
                <w:szCs w:val="21"/>
              </w:rPr>
              <w:t>网上投标时选择拟投标的项目负责人、资格审查文件中拟委派的技术负责人及投标人声明</w:t>
            </w:r>
          </w:p>
        </w:tc>
        <w:tc>
          <w:tcPr>
            <w:tcW w:w="365" w:type="pct"/>
            <w:tcBorders>
              <w:top w:val="single" w:color="auto" w:sz="4" w:space="0"/>
              <w:left w:val="single" w:color="auto" w:sz="4" w:space="0"/>
              <w:bottom w:val="single" w:color="auto" w:sz="4" w:space="0"/>
              <w:right w:val="single" w:color="auto" w:sz="4" w:space="0"/>
            </w:tcBorders>
            <w:vAlign w:val="center"/>
          </w:tcPr>
          <w:p w14:paraId="04B388E5">
            <w:pPr>
              <w:spacing w:before="120" w:after="60"/>
              <w:jc w:val="center"/>
              <w:rPr>
                <w:rFonts w:ascii="宋体" w:hAnsi="宋体" w:cs="宋体"/>
                <w:szCs w:val="21"/>
              </w:rPr>
            </w:pPr>
          </w:p>
        </w:tc>
      </w:tr>
      <w:tr w14:paraId="70AE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554A4969">
            <w:pPr>
              <w:spacing w:before="120" w:after="60"/>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2219" w:type="pct"/>
            <w:tcBorders>
              <w:top w:val="single" w:color="auto" w:sz="4" w:space="0"/>
              <w:left w:val="single" w:color="auto" w:sz="4" w:space="0"/>
              <w:bottom w:val="single" w:color="auto" w:sz="4" w:space="0"/>
              <w:right w:val="single" w:color="auto" w:sz="4" w:space="0"/>
            </w:tcBorders>
            <w:vAlign w:val="center"/>
          </w:tcPr>
          <w:p w14:paraId="22A90F74">
            <w:pPr>
              <w:jc w:val="center"/>
              <w:rPr>
                <w:rFonts w:hint="eastAsia" w:ascii="宋体" w:hAnsi="宋体" w:cs="宋体"/>
                <w:color w:val="auto"/>
                <w:szCs w:val="21"/>
              </w:rPr>
            </w:pPr>
            <w:r>
              <w:rPr>
                <w:rFonts w:hint="eastAsia" w:ascii="宋体" w:hAnsi="宋体"/>
                <w:color w:val="auto"/>
                <w:szCs w:val="21"/>
                <w:u w:val="single"/>
              </w:rPr>
              <w:t>关于联合体投标</w:t>
            </w:r>
          </w:p>
        </w:tc>
        <w:tc>
          <w:tcPr>
            <w:tcW w:w="2103" w:type="pct"/>
            <w:tcBorders>
              <w:top w:val="single" w:color="auto" w:sz="4" w:space="0"/>
              <w:left w:val="single" w:color="auto" w:sz="4" w:space="0"/>
              <w:bottom w:val="single" w:color="auto" w:sz="4" w:space="0"/>
              <w:right w:val="single" w:color="auto" w:sz="4" w:space="0"/>
            </w:tcBorders>
            <w:vAlign w:val="center"/>
          </w:tcPr>
          <w:p w14:paraId="71F83807">
            <w:pPr>
              <w:jc w:val="center"/>
              <w:rPr>
                <w:rFonts w:hint="eastAsia" w:ascii="宋体" w:hAnsi="宋体" w:cs="宋体"/>
                <w:color w:val="auto"/>
                <w:szCs w:val="21"/>
              </w:rPr>
            </w:pPr>
            <w:r>
              <w:rPr>
                <w:rFonts w:hint="eastAsia" w:ascii="宋体" w:hAnsi="宋体"/>
                <w:color w:val="auto"/>
                <w:szCs w:val="21"/>
                <w:u w:val="single"/>
              </w:rPr>
              <w:t>未以联合体形式投标</w:t>
            </w:r>
          </w:p>
        </w:tc>
        <w:tc>
          <w:tcPr>
            <w:tcW w:w="365" w:type="pct"/>
            <w:tcBorders>
              <w:top w:val="single" w:color="auto" w:sz="4" w:space="0"/>
              <w:left w:val="single" w:color="auto" w:sz="4" w:space="0"/>
              <w:bottom w:val="single" w:color="auto" w:sz="4" w:space="0"/>
              <w:right w:val="single" w:color="auto" w:sz="4" w:space="0"/>
            </w:tcBorders>
            <w:vAlign w:val="center"/>
          </w:tcPr>
          <w:p w14:paraId="6DB7403E">
            <w:pPr>
              <w:spacing w:before="120" w:after="60"/>
              <w:jc w:val="center"/>
              <w:rPr>
                <w:rFonts w:ascii="宋体" w:hAnsi="宋体" w:cs="宋体"/>
                <w:szCs w:val="21"/>
              </w:rPr>
            </w:pPr>
          </w:p>
        </w:tc>
      </w:tr>
      <w:tr w14:paraId="2CF0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33A2B7E4">
            <w:pPr>
              <w:spacing w:before="120" w:after="60"/>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p>
        </w:tc>
        <w:tc>
          <w:tcPr>
            <w:tcW w:w="2219" w:type="pct"/>
            <w:tcBorders>
              <w:top w:val="single" w:color="auto" w:sz="4" w:space="0"/>
              <w:left w:val="single" w:color="auto" w:sz="4" w:space="0"/>
              <w:bottom w:val="single" w:color="auto" w:sz="4" w:space="0"/>
              <w:right w:val="single" w:color="auto" w:sz="4" w:space="0"/>
            </w:tcBorders>
            <w:shd w:val="clear" w:color="auto" w:fill="auto"/>
            <w:vAlign w:val="center"/>
          </w:tcPr>
          <w:p w14:paraId="0736E714">
            <w:pPr>
              <w:spacing w:before="120" w:after="60"/>
              <w:jc w:val="center"/>
              <w:rPr>
                <w:rFonts w:ascii="宋体" w:hAnsi="宋体" w:cs="宋体"/>
                <w:szCs w:val="21"/>
              </w:rPr>
            </w:pPr>
            <w:r>
              <w:rPr>
                <w:rFonts w:hint="eastAsia" w:ascii="宋体" w:hAnsi="宋体" w:cs="宋体"/>
                <w:szCs w:val="21"/>
              </w:rPr>
              <w:t>资格审查前，投标人须在广州市住房和城乡建设局建立企业信用档案及拟担任本工程项目负责人、专职安全员须是本企业中的在册人员</w:t>
            </w:r>
          </w:p>
        </w:tc>
        <w:tc>
          <w:tcPr>
            <w:tcW w:w="2103" w:type="pct"/>
            <w:tcBorders>
              <w:top w:val="single" w:color="auto" w:sz="4" w:space="0"/>
              <w:left w:val="single" w:color="auto" w:sz="4" w:space="0"/>
              <w:bottom w:val="single" w:color="auto" w:sz="4" w:space="0"/>
              <w:right w:val="single" w:color="auto" w:sz="4" w:space="0"/>
            </w:tcBorders>
            <w:shd w:val="clear" w:color="auto" w:fill="auto"/>
            <w:vAlign w:val="center"/>
          </w:tcPr>
          <w:p w14:paraId="0B72CB5E">
            <w:pPr>
              <w:spacing w:before="120" w:after="60"/>
              <w:jc w:val="center"/>
              <w:rPr>
                <w:rFonts w:ascii="宋体" w:hAnsi="宋体" w:cs="宋体"/>
                <w:szCs w:val="21"/>
              </w:rPr>
            </w:pPr>
            <w:r>
              <w:rPr>
                <w:rFonts w:hint="eastAsia" w:ascii="宋体" w:hAnsi="宋体" w:cs="宋体"/>
                <w:szCs w:val="21"/>
              </w:rPr>
              <w:t>投标人在广州市住建行业信用管理平台内企业信用档案的企业和人员信息</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4575FB00">
            <w:pPr>
              <w:spacing w:before="120" w:after="60"/>
              <w:jc w:val="center"/>
              <w:rPr>
                <w:rFonts w:ascii="宋体" w:hAnsi="宋体" w:cs="宋体"/>
                <w:szCs w:val="21"/>
              </w:rPr>
            </w:pPr>
          </w:p>
        </w:tc>
      </w:tr>
      <w:tr w14:paraId="2DA3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201642C6">
            <w:pPr>
              <w:spacing w:before="120" w:after="60"/>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2</w:t>
            </w:r>
          </w:p>
        </w:tc>
        <w:tc>
          <w:tcPr>
            <w:tcW w:w="2219" w:type="pct"/>
            <w:tcBorders>
              <w:top w:val="single" w:color="auto" w:sz="4" w:space="0"/>
              <w:left w:val="single" w:color="auto" w:sz="4" w:space="0"/>
              <w:bottom w:val="single" w:color="auto" w:sz="4" w:space="0"/>
              <w:right w:val="single" w:color="auto" w:sz="4" w:space="0"/>
            </w:tcBorders>
            <w:vAlign w:val="center"/>
          </w:tcPr>
          <w:p w14:paraId="36C2B596">
            <w:pPr>
              <w:jc w:val="center"/>
              <w:rPr>
                <w:rFonts w:ascii="宋体" w:hAnsi="宋体" w:cs="宋体"/>
                <w:szCs w:val="21"/>
              </w:rPr>
            </w:pPr>
            <w:r>
              <w:rPr>
                <w:rFonts w:hint="eastAsia" w:ascii="宋体" w:hAnsi="宋体" w:cs="宋体"/>
                <w:szCs w:val="21"/>
              </w:rPr>
              <w:t>投标人未出现以下情形：与其它投标人的单位负责人为同一人或者存在控股、管理关系的（按投标人提供的《投标人声明》第</w:t>
            </w:r>
            <w:r>
              <w:rPr>
                <w:rFonts w:hint="eastAsia" w:ascii="宋体" w:hAnsi="宋体" w:cs="宋体"/>
                <w:szCs w:val="21"/>
                <w:lang w:val="en-US" w:eastAsia="zh-CN"/>
              </w:rPr>
              <w:t>九</w:t>
            </w:r>
            <w:r>
              <w:rPr>
                <w:rFonts w:hint="eastAsia" w:ascii="宋体" w:hAnsi="宋体" w:cs="宋体"/>
                <w:szCs w:val="21"/>
              </w:rPr>
              <w:t>条内容进行评审）。</w:t>
            </w:r>
          </w:p>
        </w:tc>
        <w:tc>
          <w:tcPr>
            <w:tcW w:w="2103" w:type="pct"/>
            <w:tcBorders>
              <w:top w:val="single" w:color="auto" w:sz="4" w:space="0"/>
              <w:left w:val="single" w:color="auto" w:sz="4" w:space="0"/>
              <w:bottom w:val="single" w:color="auto" w:sz="4" w:space="0"/>
              <w:right w:val="single" w:color="auto" w:sz="4" w:space="0"/>
            </w:tcBorders>
            <w:vAlign w:val="center"/>
          </w:tcPr>
          <w:p w14:paraId="7E821E2F">
            <w:pPr>
              <w:jc w:val="center"/>
              <w:rPr>
                <w:rFonts w:ascii="宋体" w:hAnsi="宋体" w:cs="宋体"/>
                <w:szCs w:val="21"/>
              </w:rPr>
            </w:pPr>
            <w:r>
              <w:rPr>
                <w:rFonts w:hint="eastAsia" w:ascii="宋体" w:hAnsi="宋体" w:cs="宋体"/>
                <w:szCs w:val="21"/>
              </w:rPr>
              <w:t>投标人声明</w:t>
            </w:r>
          </w:p>
        </w:tc>
        <w:tc>
          <w:tcPr>
            <w:tcW w:w="365" w:type="pct"/>
            <w:tcBorders>
              <w:top w:val="single" w:color="auto" w:sz="4" w:space="0"/>
              <w:left w:val="single" w:color="auto" w:sz="4" w:space="0"/>
              <w:bottom w:val="single" w:color="auto" w:sz="4" w:space="0"/>
              <w:right w:val="single" w:color="auto" w:sz="4" w:space="0"/>
            </w:tcBorders>
            <w:vAlign w:val="center"/>
          </w:tcPr>
          <w:p w14:paraId="146B3571">
            <w:pPr>
              <w:spacing w:before="120" w:after="60"/>
              <w:jc w:val="center"/>
              <w:rPr>
                <w:rFonts w:ascii="宋体" w:hAnsi="宋体" w:cs="宋体"/>
                <w:szCs w:val="21"/>
              </w:rPr>
            </w:pPr>
          </w:p>
        </w:tc>
      </w:tr>
      <w:tr w14:paraId="0018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2F4E48CE">
            <w:pPr>
              <w:spacing w:before="120" w:after="60"/>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p>
        </w:tc>
        <w:tc>
          <w:tcPr>
            <w:tcW w:w="2219" w:type="pct"/>
            <w:tcBorders>
              <w:top w:val="single" w:color="auto" w:sz="4" w:space="0"/>
              <w:left w:val="single" w:color="auto" w:sz="4" w:space="0"/>
              <w:bottom w:val="single" w:color="auto" w:sz="4" w:space="0"/>
              <w:right w:val="single" w:color="auto" w:sz="4" w:space="0"/>
            </w:tcBorders>
            <w:vAlign w:val="center"/>
          </w:tcPr>
          <w:p w14:paraId="09687BCE">
            <w:pPr>
              <w:jc w:val="center"/>
              <w:rPr>
                <w:rFonts w:ascii="宋体" w:hAnsi="宋体" w:cs="宋体"/>
                <w:szCs w:val="21"/>
              </w:rPr>
            </w:pPr>
            <w:r>
              <w:rPr>
                <w:rFonts w:hint="eastAsia" w:ascii="宋体" w:hAnsi="宋体" w:cs="宋体"/>
                <w:szCs w:val="21"/>
              </w:rPr>
              <w:t>投标人未被列入拖欠农民工工资失信联合惩戒对象名单</w:t>
            </w:r>
          </w:p>
        </w:tc>
        <w:tc>
          <w:tcPr>
            <w:tcW w:w="2103" w:type="pct"/>
            <w:tcBorders>
              <w:top w:val="single" w:color="auto" w:sz="4" w:space="0"/>
              <w:left w:val="single" w:color="auto" w:sz="4" w:space="0"/>
              <w:bottom w:val="single" w:color="auto" w:sz="4" w:space="0"/>
              <w:right w:val="single" w:color="auto" w:sz="4" w:space="0"/>
            </w:tcBorders>
            <w:vAlign w:val="center"/>
          </w:tcPr>
          <w:p w14:paraId="72D63271">
            <w:pPr>
              <w:jc w:val="center"/>
              <w:rPr>
                <w:rFonts w:ascii="宋体" w:hAnsi="宋体" w:cs="宋体"/>
                <w:szCs w:val="21"/>
              </w:rPr>
            </w:pPr>
            <w:r>
              <w:rPr>
                <w:rFonts w:hint="eastAsia" w:ascii="宋体" w:hAnsi="宋体" w:cs="宋体"/>
                <w:szCs w:val="21"/>
              </w:rPr>
              <w:t>投标人无需提供资料，按投标截止时间交易系统比对的结果进行评审</w:t>
            </w:r>
          </w:p>
        </w:tc>
        <w:tc>
          <w:tcPr>
            <w:tcW w:w="365" w:type="pct"/>
            <w:tcBorders>
              <w:top w:val="single" w:color="auto" w:sz="4" w:space="0"/>
              <w:left w:val="single" w:color="auto" w:sz="4" w:space="0"/>
              <w:bottom w:val="single" w:color="auto" w:sz="4" w:space="0"/>
              <w:right w:val="single" w:color="auto" w:sz="4" w:space="0"/>
            </w:tcBorders>
            <w:vAlign w:val="center"/>
          </w:tcPr>
          <w:p w14:paraId="0E4BBF6E">
            <w:pPr>
              <w:spacing w:before="120" w:after="60"/>
              <w:jc w:val="center"/>
              <w:rPr>
                <w:rFonts w:ascii="宋体" w:hAnsi="宋体" w:cs="宋体"/>
                <w:szCs w:val="21"/>
              </w:rPr>
            </w:pPr>
          </w:p>
        </w:tc>
      </w:tr>
    </w:tbl>
    <w:p w14:paraId="59C72A7E">
      <w:pPr>
        <w:ind w:firstLine="420" w:firstLineChars="200"/>
        <w:jc w:val="left"/>
        <w:rPr>
          <w:rFonts w:ascii="宋体" w:hAnsi="宋体" w:cs="宋体"/>
          <w:szCs w:val="21"/>
        </w:rPr>
      </w:pPr>
      <w:r>
        <w:rPr>
          <w:rFonts w:hint="eastAsia" w:ascii="宋体" w:hAnsi="宋体" w:cs="宋体"/>
          <w:szCs w:val="21"/>
        </w:rPr>
        <w:t xml:space="preserve">备注：1、每一项目符合的打“○”，不符合的打“×”； </w:t>
      </w:r>
    </w:p>
    <w:p w14:paraId="72D1D76E">
      <w:pPr>
        <w:ind w:firstLine="420" w:firstLineChars="200"/>
        <w:jc w:val="left"/>
        <w:rPr>
          <w:rFonts w:ascii="宋体" w:hAnsi="宋体" w:cs="宋体"/>
          <w:szCs w:val="21"/>
        </w:rPr>
      </w:pPr>
      <w:r>
        <w:rPr>
          <w:rFonts w:hint="eastAsia" w:ascii="宋体" w:hAnsi="宋体" w:cs="宋体"/>
          <w:szCs w:val="21"/>
        </w:rPr>
        <w:t>2、若评委意见不一致时，则按少数服从多数的原则，作出评审结论。汇总后，出现一个“×”的结论为“不通过”。</w:t>
      </w:r>
    </w:p>
    <w:p w14:paraId="10C11B90">
      <w:pPr>
        <w:ind w:firstLine="420" w:firstLineChars="200"/>
        <w:jc w:val="left"/>
        <w:rPr>
          <w:rFonts w:ascii="宋体" w:hAnsi="宋体" w:cs="宋体"/>
          <w:szCs w:val="21"/>
        </w:rPr>
      </w:pPr>
      <w:r>
        <w:rPr>
          <w:rFonts w:hint="eastAsia" w:ascii="宋体" w:hAnsi="宋体" w:cs="宋体"/>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77DA20B3">
      <w:pPr>
        <w:ind w:firstLine="420" w:firstLineChars="200"/>
        <w:jc w:val="left"/>
        <w:rPr>
          <w:rFonts w:ascii="宋体" w:hAnsi="宋体" w:cs="宋体"/>
          <w:szCs w:val="21"/>
        </w:rPr>
      </w:pPr>
    </w:p>
    <w:p w14:paraId="50BDA24D">
      <w:pPr>
        <w:ind w:firstLine="420" w:firstLineChars="200"/>
        <w:jc w:val="left"/>
        <w:rPr>
          <w:rFonts w:ascii="宋体" w:hAnsi="宋体" w:cs="宋体"/>
          <w:szCs w:val="21"/>
        </w:rPr>
      </w:pPr>
    </w:p>
    <w:p w14:paraId="6936381C">
      <w:pPr>
        <w:ind w:firstLine="420" w:firstLineChars="200"/>
        <w:jc w:val="left"/>
        <w:rPr>
          <w:rFonts w:ascii="宋体" w:hAnsi="宋体" w:cs="宋体"/>
          <w:szCs w:val="21"/>
        </w:rPr>
        <w:sectPr>
          <w:pgSz w:w="11906" w:h="16838"/>
          <w:pgMar w:top="1440" w:right="1080" w:bottom="1440" w:left="1080" w:header="851" w:footer="907" w:gutter="0"/>
          <w:cols w:space="720" w:num="1"/>
          <w:titlePg/>
          <w:docGrid w:type="lines" w:linePitch="312" w:charSpace="0"/>
        </w:sectPr>
      </w:pPr>
    </w:p>
    <w:p w14:paraId="67D27A25">
      <w:pPr>
        <w:wordWrap w:val="0"/>
        <w:spacing w:line="360" w:lineRule="auto"/>
        <w:outlineLvl w:val="1"/>
        <w:rPr>
          <w:rFonts w:ascii="宋体" w:hAnsi="宋体" w:cs="宋体"/>
          <w:szCs w:val="21"/>
        </w:rPr>
      </w:pPr>
      <w:r>
        <w:rPr>
          <w:rFonts w:hint="eastAsia" w:ascii="宋体" w:hAnsi="宋体" w:cs="宋体"/>
          <w:szCs w:val="21"/>
        </w:rPr>
        <w:t>附表二</w:t>
      </w:r>
    </w:p>
    <w:p w14:paraId="2338A37B">
      <w:pPr>
        <w:jc w:val="center"/>
        <w:outlineLvl w:val="4"/>
        <w:rPr>
          <w:rFonts w:ascii="宋体" w:hAnsi="宋体" w:cs="宋体"/>
          <w:b/>
          <w:sz w:val="36"/>
          <w:szCs w:val="36"/>
        </w:rPr>
      </w:pPr>
      <w:r>
        <w:rPr>
          <w:rFonts w:hint="eastAsia" w:ascii="宋体" w:hAnsi="宋体" w:cs="宋体"/>
          <w:b/>
          <w:sz w:val="36"/>
          <w:szCs w:val="36"/>
        </w:rPr>
        <w:t>技术标有效性审查表</w:t>
      </w:r>
    </w:p>
    <w:p w14:paraId="5B00F799">
      <w:pPr>
        <w:rPr>
          <w:rFonts w:ascii="宋体" w:hAnsi="宋体" w:cs="宋体"/>
          <w:szCs w:val="21"/>
        </w:rPr>
      </w:pPr>
      <w:r>
        <w:rPr>
          <w:rFonts w:hint="eastAsia" w:ascii="宋体" w:hAnsi="宋体" w:cs="宋体"/>
          <w:szCs w:val="21"/>
        </w:rPr>
        <w:t>工程名称：</w:t>
      </w:r>
    </w:p>
    <w:tbl>
      <w:tblPr>
        <w:tblStyle w:val="4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4415"/>
        <w:gridCol w:w="1644"/>
        <w:gridCol w:w="1644"/>
        <w:gridCol w:w="1644"/>
        <w:gridCol w:w="1644"/>
        <w:gridCol w:w="1644"/>
        <w:gridCol w:w="1645"/>
      </w:tblGrid>
      <w:tr w14:paraId="51A1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760AC9E6">
            <w:pPr>
              <w:adjustRightInd w:val="0"/>
              <w:rPr>
                <w:rFonts w:ascii="宋体" w:hAnsi="宋体" w:cs="宋体"/>
                <w:szCs w:val="21"/>
              </w:rPr>
            </w:pPr>
            <w:r>
              <w:rPr>
                <w:rFonts w:hint="eastAsia" w:ascii="宋体" w:hAnsi="宋体" w:cs="宋体"/>
                <w:szCs w:val="21"/>
              </w:rPr>
              <w:t>序号</w:t>
            </w:r>
          </w:p>
        </w:tc>
        <w:tc>
          <w:tcPr>
            <w:tcW w:w="1482" w:type="pct"/>
            <w:tcBorders>
              <w:top w:val="single" w:color="auto" w:sz="4" w:space="0"/>
              <w:left w:val="single" w:color="auto" w:sz="4" w:space="0"/>
              <w:bottom w:val="single" w:color="auto" w:sz="4" w:space="0"/>
              <w:right w:val="single" w:color="auto" w:sz="4" w:space="0"/>
              <w:tl2br w:val="single" w:color="auto" w:sz="4" w:space="0"/>
            </w:tcBorders>
          </w:tcPr>
          <w:p w14:paraId="24CC57F1">
            <w:pPr>
              <w:adjustRightInd w:val="0"/>
              <w:rPr>
                <w:rFonts w:ascii="宋体" w:hAnsi="宋体" w:cs="宋体"/>
                <w:szCs w:val="21"/>
              </w:rPr>
            </w:pPr>
            <w:r>
              <w:rPr>
                <w:rFonts w:hint="eastAsia" w:ascii="宋体" w:hAnsi="宋体" w:cs="宋体"/>
                <w:szCs w:val="21"/>
              </w:rPr>
              <w:t xml:space="preserve">               投标人</w:t>
            </w:r>
          </w:p>
          <w:p w14:paraId="190EA84F">
            <w:pPr>
              <w:adjustRightInd w:val="0"/>
              <w:rPr>
                <w:rFonts w:ascii="宋体" w:hAnsi="宋体" w:cs="宋体"/>
                <w:szCs w:val="21"/>
              </w:rPr>
            </w:pPr>
          </w:p>
          <w:p w14:paraId="77824025">
            <w:pPr>
              <w:adjustRightInd w:val="0"/>
              <w:rPr>
                <w:rFonts w:ascii="宋体" w:hAnsi="宋体" w:cs="宋体"/>
                <w:szCs w:val="21"/>
              </w:rPr>
            </w:pPr>
            <w:r>
              <w:rPr>
                <w:rFonts w:hint="eastAsia" w:ascii="宋体" w:hAnsi="宋体" w:cs="宋体"/>
                <w:szCs w:val="21"/>
              </w:rPr>
              <w:t>评审内容</w:t>
            </w:r>
          </w:p>
        </w:tc>
        <w:tc>
          <w:tcPr>
            <w:tcW w:w="552" w:type="pct"/>
            <w:tcBorders>
              <w:top w:val="single" w:color="auto" w:sz="4" w:space="0"/>
              <w:left w:val="single" w:color="auto" w:sz="4" w:space="0"/>
              <w:bottom w:val="single" w:color="auto" w:sz="4" w:space="0"/>
              <w:right w:val="single" w:color="auto" w:sz="4" w:space="0"/>
            </w:tcBorders>
          </w:tcPr>
          <w:p w14:paraId="144E62E1">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03E700B3">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6B39BCFA">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399E9DBA">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16D513CB">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453CE083">
            <w:pPr>
              <w:adjustRightInd w:val="0"/>
              <w:rPr>
                <w:rFonts w:ascii="宋体" w:hAnsi="宋体" w:cs="宋体"/>
                <w:szCs w:val="21"/>
              </w:rPr>
            </w:pPr>
          </w:p>
        </w:tc>
      </w:tr>
      <w:tr w14:paraId="51C3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193DDE58">
            <w:pPr>
              <w:adjustRightInd w:val="0"/>
              <w:rPr>
                <w:rFonts w:ascii="宋体" w:hAnsi="宋体" w:cs="宋体"/>
                <w:szCs w:val="21"/>
              </w:rPr>
            </w:pPr>
            <w:r>
              <w:rPr>
                <w:rFonts w:hint="eastAsia" w:ascii="宋体" w:hAnsi="宋体" w:cs="宋体"/>
                <w:szCs w:val="21"/>
              </w:rPr>
              <w:t>1</w:t>
            </w:r>
          </w:p>
        </w:tc>
        <w:tc>
          <w:tcPr>
            <w:tcW w:w="1482" w:type="pct"/>
            <w:tcBorders>
              <w:top w:val="single" w:color="auto" w:sz="4" w:space="0"/>
              <w:left w:val="single" w:color="auto" w:sz="4" w:space="0"/>
              <w:bottom w:val="single" w:color="auto" w:sz="4" w:space="0"/>
              <w:right w:val="single" w:color="auto" w:sz="4" w:space="0"/>
            </w:tcBorders>
            <w:vAlign w:val="center"/>
          </w:tcPr>
          <w:p w14:paraId="518EFE9A">
            <w:pPr>
              <w:adjustRightInd w:val="0"/>
              <w:rPr>
                <w:rFonts w:ascii="宋体" w:hAnsi="宋体" w:cs="宋体"/>
                <w:szCs w:val="21"/>
              </w:rPr>
            </w:pPr>
            <w:r>
              <w:rPr>
                <w:rFonts w:hint="eastAsia" w:ascii="宋体" w:hAnsi="宋体" w:cs="宋体"/>
                <w:szCs w:val="21"/>
                <w:u w:val="single"/>
              </w:rPr>
              <w:t>《广州建设工程施工招标投标书》中投标总工期</w:t>
            </w:r>
            <w:r>
              <w:rPr>
                <w:rFonts w:hint="eastAsia" w:ascii="宋体" w:hAnsi="宋体" w:cs="宋体"/>
                <w:szCs w:val="21"/>
              </w:rPr>
              <w:t>不能满足完成投标项目工期的；</w:t>
            </w:r>
          </w:p>
        </w:tc>
        <w:tc>
          <w:tcPr>
            <w:tcW w:w="552" w:type="pct"/>
            <w:tcBorders>
              <w:top w:val="single" w:color="auto" w:sz="4" w:space="0"/>
              <w:left w:val="single" w:color="auto" w:sz="4" w:space="0"/>
              <w:bottom w:val="single" w:color="auto" w:sz="4" w:space="0"/>
              <w:right w:val="single" w:color="auto" w:sz="4" w:space="0"/>
            </w:tcBorders>
          </w:tcPr>
          <w:p w14:paraId="031CBD83">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46E03A64">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767745C7">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0D776269">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2E188BE7">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2C199438">
            <w:pPr>
              <w:adjustRightInd w:val="0"/>
              <w:rPr>
                <w:rFonts w:ascii="宋体" w:hAnsi="宋体" w:cs="宋体"/>
                <w:szCs w:val="21"/>
              </w:rPr>
            </w:pPr>
          </w:p>
        </w:tc>
      </w:tr>
      <w:tr w14:paraId="012A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11D29635">
            <w:pPr>
              <w:adjustRightInd w:val="0"/>
              <w:rPr>
                <w:rFonts w:ascii="宋体" w:hAnsi="宋体" w:cs="宋体"/>
                <w:strike/>
                <w:szCs w:val="21"/>
              </w:rPr>
            </w:pPr>
            <w:r>
              <w:rPr>
                <w:rFonts w:hint="eastAsia" w:ascii="宋体" w:hAnsi="宋体" w:cs="宋体"/>
                <w:szCs w:val="21"/>
              </w:rPr>
              <w:t>2</w:t>
            </w:r>
          </w:p>
        </w:tc>
        <w:tc>
          <w:tcPr>
            <w:tcW w:w="1482" w:type="pct"/>
            <w:tcBorders>
              <w:top w:val="single" w:color="auto" w:sz="4" w:space="0"/>
              <w:left w:val="single" w:color="auto" w:sz="4" w:space="0"/>
              <w:bottom w:val="single" w:color="auto" w:sz="4" w:space="0"/>
              <w:right w:val="single" w:color="auto" w:sz="4" w:space="0"/>
            </w:tcBorders>
            <w:vAlign w:val="center"/>
          </w:tcPr>
          <w:p w14:paraId="6EE34E9E">
            <w:pPr>
              <w:adjustRightInd w:val="0"/>
              <w:rPr>
                <w:rFonts w:ascii="宋体" w:hAnsi="宋体" w:cs="宋体"/>
                <w:strike/>
                <w:szCs w:val="21"/>
              </w:rPr>
            </w:pPr>
            <w:r>
              <w:rPr>
                <w:rFonts w:hint="eastAsia" w:ascii="宋体" w:hAnsi="宋体" w:cs="宋体"/>
                <w:szCs w:val="21"/>
                <w:u w:val="single"/>
              </w:rPr>
              <w:t>《广州建设工程施工招标投标书》中工程质量标准不符合招标文件要求的；</w:t>
            </w:r>
          </w:p>
        </w:tc>
        <w:tc>
          <w:tcPr>
            <w:tcW w:w="552" w:type="pct"/>
            <w:tcBorders>
              <w:top w:val="single" w:color="auto" w:sz="4" w:space="0"/>
              <w:left w:val="single" w:color="auto" w:sz="4" w:space="0"/>
              <w:bottom w:val="single" w:color="auto" w:sz="4" w:space="0"/>
              <w:right w:val="single" w:color="auto" w:sz="4" w:space="0"/>
            </w:tcBorders>
          </w:tcPr>
          <w:p w14:paraId="384B585B">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46EF1C5F">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20456463">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5B7919A1">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32A11494">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7BF6F702">
            <w:pPr>
              <w:adjustRightInd w:val="0"/>
              <w:rPr>
                <w:rFonts w:ascii="宋体" w:hAnsi="宋体" w:cs="宋体"/>
                <w:szCs w:val="21"/>
              </w:rPr>
            </w:pPr>
          </w:p>
        </w:tc>
      </w:tr>
      <w:tr w14:paraId="154A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29E7FF56">
            <w:pPr>
              <w:adjustRightInd w:val="0"/>
              <w:rPr>
                <w:rFonts w:ascii="宋体" w:hAnsi="宋体" w:cs="宋体"/>
                <w:szCs w:val="21"/>
              </w:rPr>
            </w:pPr>
            <w:r>
              <w:rPr>
                <w:rFonts w:hint="eastAsia" w:ascii="宋体" w:hAnsi="宋体" w:cs="宋体"/>
                <w:szCs w:val="21"/>
              </w:rPr>
              <w:t>3</w:t>
            </w:r>
          </w:p>
        </w:tc>
        <w:tc>
          <w:tcPr>
            <w:tcW w:w="1482" w:type="pct"/>
            <w:tcBorders>
              <w:top w:val="single" w:color="auto" w:sz="4" w:space="0"/>
              <w:left w:val="single" w:color="auto" w:sz="4" w:space="0"/>
              <w:bottom w:val="single" w:color="auto" w:sz="4" w:space="0"/>
              <w:right w:val="single" w:color="auto" w:sz="4" w:space="0"/>
            </w:tcBorders>
            <w:vAlign w:val="center"/>
          </w:tcPr>
          <w:p w14:paraId="5540E9E3">
            <w:pPr>
              <w:adjustRightInd w:val="0"/>
              <w:rPr>
                <w:rFonts w:ascii="宋体" w:hAnsi="宋体" w:cs="宋体"/>
                <w:szCs w:val="21"/>
              </w:rPr>
            </w:pPr>
            <w:r>
              <w:rPr>
                <w:rFonts w:hint="eastAsia" w:ascii="宋体" w:hAnsi="宋体" w:cs="宋体"/>
                <w:szCs w:val="21"/>
              </w:rPr>
              <w:t>投标文件中没有有效的法定代表人证明书，或由委托代理人签署或盖章的投标文件中没有法定代表人授权书；</w:t>
            </w:r>
          </w:p>
        </w:tc>
        <w:tc>
          <w:tcPr>
            <w:tcW w:w="552" w:type="pct"/>
            <w:tcBorders>
              <w:top w:val="single" w:color="auto" w:sz="4" w:space="0"/>
              <w:left w:val="single" w:color="auto" w:sz="4" w:space="0"/>
              <w:bottom w:val="single" w:color="auto" w:sz="4" w:space="0"/>
              <w:right w:val="single" w:color="auto" w:sz="4" w:space="0"/>
            </w:tcBorders>
          </w:tcPr>
          <w:p w14:paraId="590CB70F">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054FC3B5">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7BB1F2E3">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3117E30D">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25C82A67">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0E52F45B">
            <w:pPr>
              <w:adjustRightInd w:val="0"/>
              <w:rPr>
                <w:rFonts w:ascii="宋体" w:hAnsi="宋体" w:cs="宋体"/>
                <w:szCs w:val="21"/>
              </w:rPr>
            </w:pPr>
          </w:p>
        </w:tc>
      </w:tr>
      <w:tr w14:paraId="57D9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57FEA3AD">
            <w:pPr>
              <w:adjustRightInd w:val="0"/>
              <w:rPr>
                <w:rFonts w:ascii="宋体" w:hAnsi="宋体" w:cs="宋体"/>
                <w:szCs w:val="21"/>
              </w:rPr>
            </w:pPr>
            <w:r>
              <w:rPr>
                <w:rFonts w:hint="eastAsia" w:ascii="宋体" w:hAnsi="宋体" w:cs="宋体"/>
                <w:szCs w:val="21"/>
              </w:rPr>
              <w:t>4</w:t>
            </w:r>
          </w:p>
        </w:tc>
        <w:tc>
          <w:tcPr>
            <w:tcW w:w="1482" w:type="pct"/>
            <w:tcBorders>
              <w:top w:val="single" w:color="auto" w:sz="4" w:space="0"/>
              <w:left w:val="single" w:color="auto" w:sz="4" w:space="0"/>
              <w:bottom w:val="single" w:color="auto" w:sz="4" w:space="0"/>
              <w:right w:val="single" w:color="auto" w:sz="4" w:space="0"/>
            </w:tcBorders>
            <w:vAlign w:val="center"/>
          </w:tcPr>
          <w:p w14:paraId="59FEF5D0">
            <w:pPr>
              <w:adjustRightInd w:val="0"/>
              <w:rPr>
                <w:rFonts w:ascii="宋体" w:hAnsi="宋体" w:cs="宋体"/>
                <w:szCs w:val="21"/>
              </w:rPr>
            </w:pPr>
            <w:r>
              <w:rPr>
                <w:rFonts w:hint="eastAsia" w:ascii="宋体" w:hAnsi="宋体" w:cs="宋体"/>
                <w:szCs w:val="21"/>
              </w:rPr>
              <w:t>投标文件未按规定的格式</w:t>
            </w:r>
            <w:r>
              <w:rPr>
                <w:rFonts w:hint="eastAsia" w:ascii="宋体" w:hAnsi="宋体" w:cs="宋体"/>
                <w:szCs w:val="21"/>
                <w:u w:val="single"/>
              </w:rPr>
              <w:t>（技术标</w:t>
            </w:r>
            <w:r>
              <w:rPr>
                <w:rFonts w:hint="eastAsia" w:ascii="宋体" w:hAnsi="宋体" w:cs="宋体"/>
                <w:spacing w:val="-4"/>
                <w:u w:val="single"/>
              </w:rPr>
              <w:t>格式四、格式</w:t>
            </w:r>
            <w:r>
              <w:rPr>
                <w:rFonts w:hint="eastAsia" w:ascii="宋体" w:hAnsi="宋体" w:cs="宋体"/>
                <w:spacing w:val="-4"/>
                <w:u w:val="single"/>
                <w:lang w:val="en-US" w:eastAsia="zh-CN"/>
              </w:rPr>
              <w:t>七</w:t>
            </w:r>
            <w:r>
              <w:rPr>
                <w:rFonts w:hint="eastAsia" w:ascii="宋体" w:hAnsi="宋体" w:cs="宋体"/>
                <w:spacing w:val="-4"/>
                <w:u w:val="single"/>
              </w:rPr>
              <w:t>、格式</w:t>
            </w:r>
            <w:r>
              <w:rPr>
                <w:rFonts w:hint="eastAsia" w:ascii="宋体" w:hAnsi="宋体" w:cs="宋体"/>
                <w:spacing w:val="-4"/>
                <w:u w:val="single"/>
                <w:lang w:val="en-US" w:eastAsia="zh-CN"/>
              </w:rPr>
              <w:t>八</w:t>
            </w:r>
            <w:r>
              <w:rPr>
                <w:rFonts w:hint="eastAsia" w:ascii="宋体" w:hAnsi="宋体" w:cs="宋体"/>
                <w:spacing w:val="-4"/>
                <w:u w:val="single"/>
              </w:rPr>
              <w:t>）</w:t>
            </w:r>
            <w:r>
              <w:rPr>
                <w:rFonts w:hint="eastAsia" w:ascii="宋体" w:hAnsi="宋体" w:cs="宋体"/>
                <w:szCs w:val="21"/>
              </w:rPr>
              <w:t>填写，或主要内容不全，或关键字迹模糊、无法辨认的；</w:t>
            </w:r>
          </w:p>
        </w:tc>
        <w:tc>
          <w:tcPr>
            <w:tcW w:w="552" w:type="pct"/>
            <w:tcBorders>
              <w:top w:val="single" w:color="auto" w:sz="4" w:space="0"/>
              <w:left w:val="single" w:color="auto" w:sz="4" w:space="0"/>
              <w:bottom w:val="single" w:color="auto" w:sz="4" w:space="0"/>
              <w:right w:val="single" w:color="auto" w:sz="4" w:space="0"/>
            </w:tcBorders>
          </w:tcPr>
          <w:p w14:paraId="5243D9D2">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7F7586A2">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184369EC">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2920A522">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21A638D8">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0BEFD2CB">
            <w:pPr>
              <w:adjustRightInd w:val="0"/>
              <w:rPr>
                <w:rFonts w:ascii="宋体" w:hAnsi="宋体" w:cs="宋体"/>
                <w:szCs w:val="21"/>
              </w:rPr>
            </w:pPr>
          </w:p>
        </w:tc>
      </w:tr>
      <w:tr w14:paraId="7E45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 w:type="pct"/>
            <w:tcBorders>
              <w:top w:val="single" w:color="auto" w:sz="4" w:space="0"/>
              <w:left w:val="single" w:color="auto" w:sz="4" w:space="0"/>
              <w:bottom w:val="single" w:color="auto" w:sz="4" w:space="0"/>
              <w:right w:val="single" w:color="auto" w:sz="4" w:space="0"/>
            </w:tcBorders>
            <w:vAlign w:val="center"/>
          </w:tcPr>
          <w:p w14:paraId="76A89651">
            <w:pPr>
              <w:adjustRightInd w:val="0"/>
              <w:rPr>
                <w:rFonts w:ascii="宋体" w:hAnsi="宋体" w:cs="宋体"/>
                <w:szCs w:val="21"/>
              </w:rPr>
            </w:pPr>
            <w:r>
              <w:rPr>
                <w:rFonts w:hint="eastAsia" w:ascii="宋体" w:hAnsi="宋体" w:cs="宋体"/>
                <w:szCs w:val="21"/>
              </w:rPr>
              <w:t>5</w:t>
            </w:r>
          </w:p>
        </w:tc>
        <w:tc>
          <w:tcPr>
            <w:tcW w:w="1482" w:type="pct"/>
            <w:tcBorders>
              <w:top w:val="single" w:color="auto" w:sz="4" w:space="0"/>
              <w:left w:val="single" w:color="auto" w:sz="4" w:space="0"/>
              <w:bottom w:val="single" w:color="auto" w:sz="4" w:space="0"/>
              <w:right w:val="single" w:color="auto" w:sz="4" w:space="0"/>
            </w:tcBorders>
            <w:vAlign w:val="center"/>
          </w:tcPr>
          <w:p w14:paraId="7B774DC6">
            <w:pPr>
              <w:adjustRightInd w:val="0"/>
              <w:rPr>
                <w:rFonts w:ascii="宋体" w:hAnsi="宋体" w:cs="宋体"/>
                <w:szCs w:val="21"/>
              </w:rPr>
            </w:pPr>
            <w:r>
              <w:rPr>
                <w:rFonts w:hint="eastAsia" w:ascii="宋体" w:hAnsi="宋体" w:cs="宋体"/>
                <w:szCs w:val="21"/>
              </w:rPr>
              <w:t>投标人之间存在《广东省实施&lt;中华人民共和国招标投标法&gt;办法》第十六条所禁止的情形的；</w:t>
            </w:r>
          </w:p>
        </w:tc>
        <w:tc>
          <w:tcPr>
            <w:tcW w:w="552" w:type="pct"/>
            <w:tcBorders>
              <w:top w:val="single" w:color="auto" w:sz="4" w:space="0"/>
              <w:left w:val="single" w:color="auto" w:sz="4" w:space="0"/>
              <w:bottom w:val="single" w:color="auto" w:sz="4" w:space="0"/>
              <w:right w:val="single" w:color="auto" w:sz="4" w:space="0"/>
            </w:tcBorders>
          </w:tcPr>
          <w:p w14:paraId="7DB0DE02">
            <w:pPr>
              <w:adjustRightInd w:val="0"/>
              <w:rPr>
                <w:rFonts w:ascii="宋体" w:hAnsi="宋体" w:cs="宋体"/>
                <w:szCs w:val="21"/>
                <w:shd w:val="pct10" w:color="auto" w:fill="FFFFFF"/>
              </w:rPr>
            </w:pPr>
          </w:p>
        </w:tc>
        <w:tc>
          <w:tcPr>
            <w:tcW w:w="552" w:type="pct"/>
            <w:tcBorders>
              <w:top w:val="single" w:color="auto" w:sz="4" w:space="0"/>
              <w:left w:val="single" w:color="auto" w:sz="4" w:space="0"/>
              <w:bottom w:val="single" w:color="auto" w:sz="4" w:space="0"/>
              <w:right w:val="single" w:color="auto" w:sz="4" w:space="0"/>
            </w:tcBorders>
          </w:tcPr>
          <w:p w14:paraId="4C1CCFEA">
            <w:pPr>
              <w:adjustRightInd w:val="0"/>
              <w:rPr>
                <w:rFonts w:ascii="宋体" w:hAnsi="宋体" w:cs="宋体"/>
                <w:szCs w:val="21"/>
                <w:shd w:val="pct10" w:color="auto" w:fill="FFFFFF"/>
              </w:rPr>
            </w:pPr>
          </w:p>
        </w:tc>
        <w:tc>
          <w:tcPr>
            <w:tcW w:w="552" w:type="pct"/>
            <w:tcBorders>
              <w:top w:val="single" w:color="auto" w:sz="4" w:space="0"/>
              <w:left w:val="single" w:color="auto" w:sz="4" w:space="0"/>
              <w:bottom w:val="single" w:color="auto" w:sz="4" w:space="0"/>
              <w:right w:val="single" w:color="auto" w:sz="4" w:space="0"/>
            </w:tcBorders>
          </w:tcPr>
          <w:p w14:paraId="3BB18728">
            <w:pPr>
              <w:adjustRightInd w:val="0"/>
              <w:rPr>
                <w:rFonts w:ascii="宋体" w:hAnsi="宋体" w:cs="宋体"/>
                <w:szCs w:val="21"/>
                <w:shd w:val="pct10" w:color="auto" w:fill="FFFFFF"/>
              </w:rPr>
            </w:pPr>
          </w:p>
        </w:tc>
        <w:tc>
          <w:tcPr>
            <w:tcW w:w="552" w:type="pct"/>
            <w:tcBorders>
              <w:top w:val="single" w:color="auto" w:sz="4" w:space="0"/>
              <w:left w:val="single" w:color="auto" w:sz="4" w:space="0"/>
              <w:bottom w:val="single" w:color="auto" w:sz="4" w:space="0"/>
              <w:right w:val="single" w:color="auto" w:sz="4" w:space="0"/>
            </w:tcBorders>
          </w:tcPr>
          <w:p w14:paraId="20E5B9B2">
            <w:pPr>
              <w:adjustRightInd w:val="0"/>
              <w:rPr>
                <w:rFonts w:ascii="宋体" w:hAnsi="宋体" w:cs="宋体"/>
                <w:szCs w:val="21"/>
                <w:shd w:val="pct10" w:color="auto" w:fill="FFFFFF"/>
              </w:rPr>
            </w:pPr>
          </w:p>
        </w:tc>
        <w:tc>
          <w:tcPr>
            <w:tcW w:w="552" w:type="pct"/>
            <w:tcBorders>
              <w:top w:val="single" w:color="auto" w:sz="4" w:space="0"/>
              <w:left w:val="single" w:color="auto" w:sz="4" w:space="0"/>
              <w:bottom w:val="single" w:color="auto" w:sz="4" w:space="0"/>
              <w:right w:val="single" w:color="auto" w:sz="4" w:space="0"/>
            </w:tcBorders>
          </w:tcPr>
          <w:p w14:paraId="3CAC6960">
            <w:pPr>
              <w:adjustRightInd w:val="0"/>
              <w:rPr>
                <w:rFonts w:ascii="宋体" w:hAnsi="宋体" w:cs="宋体"/>
                <w:szCs w:val="21"/>
                <w:shd w:val="pct10" w:color="auto" w:fill="FFFFFF"/>
              </w:rPr>
            </w:pPr>
          </w:p>
        </w:tc>
        <w:tc>
          <w:tcPr>
            <w:tcW w:w="552" w:type="pct"/>
            <w:tcBorders>
              <w:top w:val="single" w:color="auto" w:sz="4" w:space="0"/>
              <w:left w:val="single" w:color="auto" w:sz="4" w:space="0"/>
              <w:bottom w:val="single" w:color="auto" w:sz="4" w:space="0"/>
              <w:right w:val="single" w:color="auto" w:sz="4" w:space="0"/>
            </w:tcBorders>
          </w:tcPr>
          <w:p w14:paraId="595FEC76">
            <w:pPr>
              <w:adjustRightInd w:val="0"/>
              <w:rPr>
                <w:rFonts w:ascii="宋体" w:hAnsi="宋体" w:cs="宋体"/>
                <w:szCs w:val="21"/>
                <w:shd w:val="pct10" w:color="auto" w:fill="FFFFFF"/>
              </w:rPr>
            </w:pPr>
          </w:p>
        </w:tc>
      </w:tr>
      <w:tr w14:paraId="4BCC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404B7CC0">
            <w:pPr>
              <w:adjustRightInd w:val="0"/>
              <w:rPr>
                <w:rFonts w:ascii="宋体" w:hAnsi="宋体" w:cs="宋体"/>
                <w:szCs w:val="21"/>
              </w:rPr>
            </w:pPr>
            <w:r>
              <w:rPr>
                <w:rFonts w:hint="eastAsia" w:ascii="宋体" w:hAnsi="宋体" w:cs="宋体"/>
                <w:szCs w:val="21"/>
              </w:rPr>
              <w:t>6</w:t>
            </w:r>
          </w:p>
        </w:tc>
        <w:tc>
          <w:tcPr>
            <w:tcW w:w="1482" w:type="pct"/>
            <w:tcBorders>
              <w:top w:val="single" w:color="auto" w:sz="4" w:space="0"/>
              <w:left w:val="single" w:color="auto" w:sz="4" w:space="0"/>
              <w:bottom w:val="single" w:color="auto" w:sz="4" w:space="0"/>
              <w:right w:val="single" w:color="auto" w:sz="4" w:space="0"/>
            </w:tcBorders>
            <w:vAlign w:val="center"/>
          </w:tcPr>
          <w:p w14:paraId="5D1E79D1">
            <w:pPr>
              <w:adjustRightInd w:val="0"/>
              <w:rPr>
                <w:rFonts w:ascii="宋体" w:hAnsi="宋体" w:cs="宋体"/>
                <w:szCs w:val="21"/>
              </w:rPr>
            </w:pPr>
            <w:r>
              <w:rPr>
                <w:rFonts w:hint="eastAsia" w:ascii="宋体" w:hAnsi="宋体" w:cs="宋体"/>
                <w:szCs w:val="21"/>
              </w:rPr>
              <w:t>无《参与编制技术标投标文件人员名单》的</w:t>
            </w:r>
          </w:p>
        </w:tc>
        <w:tc>
          <w:tcPr>
            <w:tcW w:w="552" w:type="pct"/>
            <w:tcBorders>
              <w:top w:val="single" w:color="auto" w:sz="4" w:space="0"/>
              <w:left w:val="single" w:color="auto" w:sz="4" w:space="0"/>
              <w:bottom w:val="single" w:color="auto" w:sz="4" w:space="0"/>
              <w:right w:val="single" w:color="auto" w:sz="4" w:space="0"/>
            </w:tcBorders>
          </w:tcPr>
          <w:p w14:paraId="0A324AF4">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0C8D000E">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06CE3421">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43638883">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2E3F6758">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5966A48E">
            <w:pPr>
              <w:adjustRightInd w:val="0"/>
              <w:rPr>
                <w:rFonts w:ascii="宋体" w:hAnsi="宋体" w:cs="宋体"/>
                <w:szCs w:val="21"/>
              </w:rPr>
            </w:pPr>
          </w:p>
        </w:tc>
      </w:tr>
      <w:tr w14:paraId="04B8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16439713">
            <w:pPr>
              <w:adjustRightInd w:val="0"/>
              <w:rPr>
                <w:rFonts w:hint="eastAsia" w:ascii="宋体" w:hAnsi="宋体" w:eastAsia="宋体" w:cs="宋体"/>
                <w:szCs w:val="21"/>
                <w:lang w:eastAsia="zh-CN"/>
              </w:rPr>
            </w:pPr>
            <w:r>
              <w:rPr>
                <w:rFonts w:hint="eastAsia" w:ascii="宋体" w:hAnsi="宋体" w:cs="宋体"/>
                <w:szCs w:val="21"/>
                <w:lang w:val="en-US" w:eastAsia="zh-CN"/>
              </w:rPr>
              <w:t>7</w:t>
            </w:r>
          </w:p>
        </w:tc>
        <w:tc>
          <w:tcPr>
            <w:tcW w:w="1482" w:type="pct"/>
            <w:tcBorders>
              <w:top w:val="single" w:color="auto" w:sz="4" w:space="0"/>
              <w:left w:val="single" w:color="auto" w:sz="4" w:space="0"/>
              <w:bottom w:val="single" w:color="auto" w:sz="4" w:space="0"/>
              <w:right w:val="single" w:color="auto" w:sz="4" w:space="0"/>
            </w:tcBorders>
            <w:vAlign w:val="center"/>
          </w:tcPr>
          <w:p w14:paraId="3BE74769">
            <w:pPr>
              <w:adjustRightInd w:val="0"/>
              <w:rPr>
                <w:rFonts w:ascii="宋体" w:hAnsi="宋体" w:cs="宋体"/>
                <w:szCs w:val="21"/>
              </w:rPr>
            </w:pPr>
            <w:r>
              <w:rPr>
                <w:rFonts w:hint="eastAsia" w:ascii="宋体" w:hAnsi="宋体" w:cs="宋体"/>
                <w:szCs w:val="21"/>
              </w:rPr>
              <w:t>投标人与本项目其他投标人加密打包投标文件电脑机器特征码一致的(以广州交易集团有限公司（广州公共资源交易中心）交易平台评标系统的检索信息为准)</w:t>
            </w:r>
          </w:p>
        </w:tc>
        <w:tc>
          <w:tcPr>
            <w:tcW w:w="552" w:type="pct"/>
            <w:tcBorders>
              <w:top w:val="single" w:color="auto" w:sz="4" w:space="0"/>
              <w:left w:val="single" w:color="auto" w:sz="4" w:space="0"/>
              <w:bottom w:val="single" w:color="auto" w:sz="4" w:space="0"/>
              <w:right w:val="single" w:color="auto" w:sz="4" w:space="0"/>
            </w:tcBorders>
          </w:tcPr>
          <w:p w14:paraId="7E4F7521">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6C69D079">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19D13221">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6827AF99">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387DF28F">
            <w:pPr>
              <w:adjustRightInd w:val="0"/>
              <w:rPr>
                <w:rFonts w:ascii="宋体" w:hAnsi="宋体" w:cs="宋体"/>
                <w:szCs w:val="21"/>
              </w:rPr>
            </w:pPr>
          </w:p>
        </w:tc>
        <w:tc>
          <w:tcPr>
            <w:tcW w:w="552" w:type="pct"/>
            <w:tcBorders>
              <w:top w:val="single" w:color="auto" w:sz="4" w:space="0"/>
              <w:left w:val="single" w:color="auto" w:sz="4" w:space="0"/>
              <w:bottom w:val="single" w:color="auto" w:sz="4" w:space="0"/>
              <w:right w:val="single" w:color="auto" w:sz="4" w:space="0"/>
            </w:tcBorders>
          </w:tcPr>
          <w:p w14:paraId="07AFE869">
            <w:pPr>
              <w:adjustRightInd w:val="0"/>
              <w:rPr>
                <w:rFonts w:ascii="宋体" w:hAnsi="宋体" w:cs="宋体"/>
                <w:szCs w:val="21"/>
              </w:rPr>
            </w:pPr>
          </w:p>
        </w:tc>
      </w:tr>
    </w:tbl>
    <w:p w14:paraId="099D57A4">
      <w:pPr>
        <w:ind w:firstLine="420" w:firstLineChars="200"/>
        <w:jc w:val="left"/>
        <w:rPr>
          <w:rFonts w:ascii="宋体" w:hAnsi="宋体" w:cs="宋体"/>
          <w:szCs w:val="21"/>
        </w:rPr>
      </w:pPr>
      <w:r>
        <w:rPr>
          <w:rFonts w:hint="eastAsia" w:ascii="宋体" w:hAnsi="宋体" w:cs="宋体"/>
          <w:szCs w:val="21"/>
        </w:rPr>
        <w:t>注：1.本表使用GZZB2018-3招标文件范本，与范本内容不同之处均以下划线标明。技术标评审中，响应性、承诺性内容不应作为评分因素，可在该表中对上述内容进行符合性审查。审查标准须具备可操作性。</w:t>
      </w:r>
    </w:p>
    <w:p w14:paraId="1FE483A3">
      <w:pPr>
        <w:ind w:firstLine="420" w:firstLineChars="200"/>
        <w:jc w:val="left"/>
        <w:rPr>
          <w:rFonts w:ascii="宋体" w:hAnsi="宋体" w:cs="宋体"/>
          <w:szCs w:val="21"/>
        </w:rPr>
      </w:pPr>
      <w:r>
        <w:rPr>
          <w:rFonts w:hint="eastAsia" w:ascii="宋体" w:hAnsi="宋体" w:cs="宋体"/>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60FF1F3A">
      <w:pPr>
        <w:ind w:firstLine="420" w:firstLineChars="200"/>
        <w:jc w:val="left"/>
        <w:rPr>
          <w:rFonts w:ascii="宋体" w:hAnsi="宋体" w:cs="宋体"/>
          <w:szCs w:val="21"/>
        </w:rPr>
      </w:pPr>
      <w:r>
        <w:rPr>
          <w:rFonts w:hint="eastAsia" w:ascii="宋体" w:hAnsi="宋体" w:cs="宋体"/>
          <w:szCs w:val="21"/>
        </w:rPr>
        <w:t>3.凡出现以上任何一项情形，结论均为无效，否则就为有效。</w:t>
      </w:r>
    </w:p>
    <w:p w14:paraId="79C25152">
      <w:pPr>
        <w:ind w:firstLine="420" w:firstLineChars="200"/>
        <w:jc w:val="left"/>
        <w:rPr>
          <w:rFonts w:ascii="宋体" w:hAnsi="宋体" w:cs="宋体"/>
          <w:szCs w:val="21"/>
        </w:rPr>
      </w:pPr>
      <w:r>
        <w:rPr>
          <w:rFonts w:hint="eastAsia" w:ascii="宋体" w:hAnsi="宋体" w:cs="宋体"/>
          <w:szCs w:val="21"/>
        </w:rPr>
        <w:t>4.如对本表中某种情形的评审意见不一致时，以评标委员会过半数成员的意见作为评标委员会对该情形的认定结论。</w:t>
      </w:r>
    </w:p>
    <w:p w14:paraId="7708493E">
      <w:pPr>
        <w:ind w:firstLine="420" w:firstLineChars="200"/>
        <w:jc w:val="left"/>
        <w:rPr>
          <w:rFonts w:ascii="宋体" w:hAnsi="宋体" w:cs="宋体"/>
          <w:szCs w:val="21"/>
        </w:rPr>
      </w:pPr>
      <w:r>
        <w:rPr>
          <w:rFonts w:hint="eastAsia" w:ascii="宋体" w:hAnsi="宋体" w:cs="宋体"/>
          <w:szCs w:val="21"/>
        </w:rPr>
        <w:t>评委签名：</w:t>
      </w:r>
    </w:p>
    <w:p w14:paraId="61F0FCF6">
      <w:pPr>
        <w:wordWrap w:val="0"/>
        <w:spacing w:line="360" w:lineRule="auto"/>
        <w:outlineLvl w:val="1"/>
        <w:rPr>
          <w:rFonts w:ascii="宋体" w:hAnsi="宋体" w:cs="宋体"/>
          <w:szCs w:val="21"/>
        </w:rPr>
      </w:pPr>
      <w:r>
        <w:rPr>
          <w:rFonts w:hint="eastAsia" w:ascii="宋体" w:hAnsi="宋体" w:cs="宋体"/>
        </w:rPr>
        <w:br w:type="page"/>
      </w:r>
      <w:r>
        <w:rPr>
          <w:rFonts w:hint="eastAsia" w:ascii="宋体" w:hAnsi="宋体" w:cs="宋体"/>
          <w:szCs w:val="21"/>
        </w:rPr>
        <w:t>附表三</w:t>
      </w:r>
    </w:p>
    <w:p w14:paraId="2FEA7DEB">
      <w:pPr>
        <w:jc w:val="center"/>
        <w:outlineLvl w:val="4"/>
        <w:rPr>
          <w:rFonts w:ascii="宋体" w:hAnsi="宋体" w:cs="宋体"/>
          <w:b/>
          <w:sz w:val="36"/>
          <w:szCs w:val="36"/>
        </w:rPr>
      </w:pPr>
      <w:r>
        <w:rPr>
          <w:rFonts w:hint="eastAsia" w:ascii="宋体" w:hAnsi="宋体" w:cs="宋体"/>
          <w:b/>
          <w:sz w:val="36"/>
          <w:szCs w:val="36"/>
        </w:rPr>
        <w:t>经济标有效性审查表</w:t>
      </w:r>
    </w:p>
    <w:p w14:paraId="3AF974F9">
      <w:pPr>
        <w:rPr>
          <w:rFonts w:ascii="宋体" w:hAnsi="宋体" w:cs="宋体"/>
          <w:szCs w:val="21"/>
        </w:rPr>
      </w:pPr>
      <w:r>
        <w:rPr>
          <w:rFonts w:hint="eastAsia" w:ascii="宋体" w:hAnsi="宋体" w:cs="宋体"/>
          <w:szCs w:val="21"/>
        </w:rPr>
        <w:t>工程名称：</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6263"/>
        <w:gridCol w:w="1177"/>
        <w:gridCol w:w="1385"/>
        <w:gridCol w:w="1385"/>
        <w:gridCol w:w="1382"/>
        <w:gridCol w:w="1386"/>
        <w:gridCol w:w="1386"/>
      </w:tblGrid>
      <w:tr w14:paraId="3DE1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76" w:type="pct"/>
            <w:tcBorders>
              <w:top w:val="single" w:color="auto" w:sz="4" w:space="0"/>
              <w:left w:val="single" w:color="auto" w:sz="4" w:space="0"/>
              <w:bottom w:val="single" w:color="auto" w:sz="4" w:space="0"/>
              <w:right w:val="single" w:color="auto" w:sz="4" w:space="0"/>
            </w:tcBorders>
            <w:vAlign w:val="center"/>
          </w:tcPr>
          <w:p w14:paraId="6FE18778">
            <w:pPr>
              <w:rPr>
                <w:rFonts w:ascii="宋体" w:hAnsi="宋体" w:cs="宋体"/>
                <w:szCs w:val="21"/>
              </w:rPr>
            </w:pPr>
            <w:r>
              <w:rPr>
                <w:rFonts w:hint="eastAsia" w:ascii="宋体" w:hAnsi="宋体" w:cs="宋体"/>
                <w:szCs w:val="21"/>
              </w:rPr>
              <w:t>序号</w:t>
            </w:r>
          </w:p>
        </w:tc>
        <w:tc>
          <w:tcPr>
            <w:tcW w:w="2102" w:type="pct"/>
            <w:tcBorders>
              <w:top w:val="single" w:color="auto" w:sz="4" w:space="0"/>
              <w:left w:val="single" w:color="auto" w:sz="4" w:space="0"/>
              <w:bottom w:val="single" w:color="auto" w:sz="4" w:space="0"/>
              <w:right w:val="single" w:color="auto" w:sz="4" w:space="0"/>
              <w:tl2br w:val="single" w:color="auto" w:sz="4" w:space="0"/>
            </w:tcBorders>
          </w:tcPr>
          <w:p w14:paraId="2536A770">
            <w:pPr>
              <w:rPr>
                <w:rFonts w:ascii="宋体" w:hAnsi="宋体" w:cs="宋体"/>
                <w:szCs w:val="21"/>
              </w:rPr>
            </w:pPr>
            <w:r>
              <w:rPr>
                <w:rFonts w:hint="eastAsia" w:ascii="宋体" w:hAnsi="宋体" w:cs="宋体"/>
                <w:szCs w:val="21"/>
              </w:rPr>
              <w:t xml:space="preserve">               投标人</w:t>
            </w:r>
          </w:p>
          <w:p w14:paraId="298BAF0A">
            <w:pPr>
              <w:rPr>
                <w:rFonts w:ascii="宋体" w:hAnsi="宋体" w:cs="宋体"/>
                <w:szCs w:val="21"/>
              </w:rPr>
            </w:pPr>
          </w:p>
          <w:p w14:paraId="5453F0F5">
            <w:pPr>
              <w:rPr>
                <w:rFonts w:ascii="宋体" w:hAnsi="宋体" w:cs="宋体"/>
                <w:szCs w:val="21"/>
              </w:rPr>
            </w:pPr>
            <w:r>
              <w:rPr>
                <w:rFonts w:hint="eastAsia" w:ascii="宋体" w:hAnsi="宋体" w:cs="宋体"/>
                <w:szCs w:val="21"/>
              </w:rPr>
              <w:t>评审内容</w:t>
            </w:r>
          </w:p>
        </w:tc>
        <w:tc>
          <w:tcPr>
            <w:tcW w:w="395" w:type="pct"/>
            <w:tcBorders>
              <w:top w:val="single" w:color="auto" w:sz="4" w:space="0"/>
              <w:left w:val="single" w:color="auto" w:sz="4" w:space="0"/>
              <w:bottom w:val="single" w:color="auto" w:sz="4" w:space="0"/>
              <w:right w:val="single" w:color="auto" w:sz="4" w:space="0"/>
            </w:tcBorders>
          </w:tcPr>
          <w:p w14:paraId="6FA6BEA4">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56000E35">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05854C6F">
            <w:pPr>
              <w:rPr>
                <w:rFonts w:ascii="宋体" w:hAnsi="宋体" w:cs="宋体"/>
                <w:szCs w:val="21"/>
              </w:rPr>
            </w:pPr>
          </w:p>
        </w:tc>
        <w:tc>
          <w:tcPr>
            <w:tcW w:w="464" w:type="pct"/>
            <w:tcBorders>
              <w:top w:val="single" w:color="auto" w:sz="4" w:space="0"/>
              <w:left w:val="single" w:color="auto" w:sz="4" w:space="0"/>
              <w:bottom w:val="single" w:color="auto" w:sz="4" w:space="0"/>
              <w:right w:val="single" w:color="auto" w:sz="4" w:space="0"/>
            </w:tcBorders>
          </w:tcPr>
          <w:p w14:paraId="67A7261E">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076C7423">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1B4A1E2C">
            <w:pPr>
              <w:rPr>
                <w:rFonts w:ascii="宋体" w:hAnsi="宋体" w:cs="宋体"/>
                <w:szCs w:val="21"/>
              </w:rPr>
            </w:pPr>
          </w:p>
        </w:tc>
      </w:tr>
      <w:tr w14:paraId="1484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 w:type="pct"/>
            <w:tcBorders>
              <w:top w:val="single" w:color="auto" w:sz="4" w:space="0"/>
              <w:left w:val="single" w:color="auto" w:sz="4" w:space="0"/>
              <w:bottom w:val="single" w:color="auto" w:sz="4" w:space="0"/>
              <w:right w:val="single" w:color="auto" w:sz="4" w:space="0"/>
            </w:tcBorders>
            <w:vAlign w:val="center"/>
          </w:tcPr>
          <w:p w14:paraId="247AD0DE">
            <w:pPr>
              <w:rPr>
                <w:rFonts w:ascii="宋体" w:hAnsi="宋体" w:cs="宋体"/>
                <w:szCs w:val="21"/>
              </w:rPr>
            </w:pPr>
            <w:r>
              <w:rPr>
                <w:rFonts w:hint="eastAsia" w:ascii="宋体" w:hAnsi="宋体" w:cs="宋体"/>
                <w:szCs w:val="21"/>
              </w:rPr>
              <w:t>1</w:t>
            </w:r>
          </w:p>
        </w:tc>
        <w:tc>
          <w:tcPr>
            <w:tcW w:w="2102" w:type="pct"/>
            <w:tcBorders>
              <w:top w:val="single" w:color="auto" w:sz="4" w:space="0"/>
              <w:left w:val="single" w:color="auto" w:sz="4" w:space="0"/>
              <w:bottom w:val="single" w:color="auto" w:sz="4" w:space="0"/>
              <w:right w:val="single" w:color="auto" w:sz="4" w:space="0"/>
            </w:tcBorders>
            <w:vAlign w:val="center"/>
          </w:tcPr>
          <w:p w14:paraId="4CBA9BCE">
            <w:pPr>
              <w:rPr>
                <w:rFonts w:ascii="宋体" w:hAnsi="宋体" w:cs="宋体"/>
                <w:szCs w:val="21"/>
              </w:rPr>
            </w:pPr>
            <w:r>
              <w:rPr>
                <w:rFonts w:hint="eastAsia" w:ascii="宋体" w:hAnsi="宋体" w:cs="宋体"/>
                <w:szCs w:val="21"/>
              </w:rPr>
              <w:t>对同一招标项目出现两个或以上的投标报价，且没有申明哪个有效；</w:t>
            </w:r>
          </w:p>
        </w:tc>
        <w:tc>
          <w:tcPr>
            <w:tcW w:w="395" w:type="pct"/>
            <w:tcBorders>
              <w:top w:val="single" w:color="auto" w:sz="4" w:space="0"/>
              <w:left w:val="single" w:color="auto" w:sz="4" w:space="0"/>
              <w:bottom w:val="single" w:color="auto" w:sz="4" w:space="0"/>
              <w:right w:val="single" w:color="auto" w:sz="4" w:space="0"/>
            </w:tcBorders>
          </w:tcPr>
          <w:p w14:paraId="1163599E">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3D46044B">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1E79112A">
            <w:pPr>
              <w:rPr>
                <w:rFonts w:ascii="宋体" w:hAnsi="宋体" w:cs="宋体"/>
                <w:szCs w:val="21"/>
              </w:rPr>
            </w:pPr>
          </w:p>
        </w:tc>
        <w:tc>
          <w:tcPr>
            <w:tcW w:w="464" w:type="pct"/>
            <w:tcBorders>
              <w:top w:val="single" w:color="auto" w:sz="4" w:space="0"/>
              <w:left w:val="single" w:color="auto" w:sz="4" w:space="0"/>
              <w:bottom w:val="single" w:color="auto" w:sz="4" w:space="0"/>
              <w:right w:val="single" w:color="auto" w:sz="4" w:space="0"/>
            </w:tcBorders>
          </w:tcPr>
          <w:p w14:paraId="28EBCB18">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152D7A5B">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6D0D11C4">
            <w:pPr>
              <w:rPr>
                <w:rFonts w:ascii="宋体" w:hAnsi="宋体" w:cs="宋体"/>
                <w:szCs w:val="21"/>
              </w:rPr>
            </w:pPr>
          </w:p>
        </w:tc>
      </w:tr>
      <w:tr w14:paraId="2F2E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 w:type="pct"/>
            <w:tcBorders>
              <w:top w:val="single" w:color="auto" w:sz="4" w:space="0"/>
              <w:left w:val="single" w:color="auto" w:sz="4" w:space="0"/>
              <w:bottom w:val="single" w:color="auto" w:sz="4" w:space="0"/>
              <w:right w:val="single" w:color="auto" w:sz="4" w:space="0"/>
            </w:tcBorders>
            <w:vAlign w:val="center"/>
          </w:tcPr>
          <w:p w14:paraId="3FC823C5">
            <w:pPr>
              <w:rPr>
                <w:rFonts w:ascii="宋体" w:hAnsi="宋体" w:cs="宋体"/>
                <w:szCs w:val="21"/>
              </w:rPr>
            </w:pPr>
            <w:r>
              <w:rPr>
                <w:rFonts w:hint="eastAsia" w:ascii="宋体" w:hAnsi="宋体" w:cs="宋体"/>
                <w:szCs w:val="21"/>
              </w:rPr>
              <w:t>2</w:t>
            </w:r>
          </w:p>
        </w:tc>
        <w:tc>
          <w:tcPr>
            <w:tcW w:w="2102" w:type="pct"/>
            <w:tcBorders>
              <w:top w:val="single" w:color="auto" w:sz="4" w:space="0"/>
              <w:left w:val="single" w:color="auto" w:sz="4" w:space="0"/>
              <w:bottom w:val="single" w:color="auto" w:sz="4" w:space="0"/>
              <w:right w:val="single" w:color="auto" w:sz="4" w:space="0"/>
            </w:tcBorders>
            <w:vAlign w:val="center"/>
          </w:tcPr>
          <w:p w14:paraId="724C9E3C">
            <w:pPr>
              <w:rPr>
                <w:rFonts w:ascii="宋体" w:hAnsi="宋体" w:cs="宋体"/>
                <w:szCs w:val="21"/>
              </w:rPr>
            </w:pPr>
            <w:r>
              <w:rPr>
                <w:rFonts w:hint="eastAsia" w:ascii="宋体" w:hAnsi="宋体" w:cs="宋体"/>
                <w:szCs w:val="21"/>
              </w:rPr>
              <w:t>投标总报价高于最高投标限价的；</w:t>
            </w:r>
          </w:p>
        </w:tc>
        <w:tc>
          <w:tcPr>
            <w:tcW w:w="395" w:type="pct"/>
            <w:tcBorders>
              <w:top w:val="single" w:color="auto" w:sz="4" w:space="0"/>
              <w:left w:val="single" w:color="auto" w:sz="4" w:space="0"/>
              <w:bottom w:val="single" w:color="auto" w:sz="4" w:space="0"/>
              <w:right w:val="single" w:color="auto" w:sz="4" w:space="0"/>
            </w:tcBorders>
          </w:tcPr>
          <w:p w14:paraId="137C4361">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70FCD854">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7A3FC636">
            <w:pPr>
              <w:rPr>
                <w:rFonts w:ascii="宋体" w:hAnsi="宋体" w:cs="宋体"/>
                <w:szCs w:val="21"/>
              </w:rPr>
            </w:pPr>
          </w:p>
        </w:tc>
        <w:tc>
          <w:tcPr>
            <w:tcW w:w="464" w:type="pct"/>
            <w:tcBorders>
              <w:top w:val="single" w:color="auto" w:sz="4" w:space="0"/>
              <w:left w:val="single" w:color="auto" w:sz="4" w:space="0"/>
              <w:bottom w:val="single" w:color="auto" w:sz="4" w:space="0"/>
              <w:right w:val="single" w:color="auto" w:sz="4" w:space="0"/>
            </w:tcBorders>
          </w:tcPr>
          <w:p w14:paraId="16BDD8B0">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2A5FFCD5">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4BD8BB9F">
            <w:pPr>
              <w:rPr>
                <w:rFonts w:ascii="宋体" w:hAnsi="宋体" w:cs="宋体"/>
                <w:szCs w:val="21"/>
              </w:rPr>
            </w:pPr>
          </w:p>
        </w:tc>
      </w:tr>
      <w:tr w14:paraId="5306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 w:type="pct"/>
            <w:tcBorders>
              <w:top w:val="single" w:color="auto" w:sz="4" w:space="0"/>
              <w:left w:val="single" w:color="auto" w:sz="4" w:space="0"/>
              <w:bottom w:val="single" w:color="auto" w:sz="4" w:space="0"/>
              <w:right w:val="single" w:color="auto" w:sz="4" w:space="0"/>
            </w:tcBorders>
            <w:vAlign w:val="center"/>
          </w:tcPr>
          <w:p w14:paraId="7CF1D100">
            <w:pPr>
              <w:rPr>
                <w:rFonts w:ascii="宋体" w:hAnsi="宋体" w:cs="宋体"/>
                <w:szCs w:val="21"/>
              </w:rPr>
            </w:pPr>
            <w:r>
              <w:rPr>
                <w:rFonts w:hint="eastAsia" w:ascii="宋体" w:hAnsi="宋体" w:cs="宋体"/>
                <w:szCs w:val="21"/>
              </w:rPr>
              <w:t>3</w:t>
            </w:r>
          </w:p>
        </w:tc>
        <w:tc>
          <w:tcPr>
            <w:tcW w:w="2102" w:type="pct"/>
            <w:tcBorders>
              <w:top w:val="single" w:color="auto" w:sz="4" w:space="0"/>
              <w:left w:val="single" w:color="auto" w:sz="4" w:space="0"/>
              <w:bottom w:val="single" w:color="auto" w:sz="4" w:space="0"/>
              <w:right w:val="single" w:color="auto" w:sz="4" w:space="0"/>
            </w:tcBorders>
            <w:vAlign w:val="center"/>
          </w:tcPr>
          <w:p w14:paraId="0DE85325">
            <w:pPr>
              <w:autoSpaceDE w:val="0"/>
              <w:autoSpaceDN w:val="0"/>
              <w:adjustRightInd w:val="0"/>
              <w:ind w:left="-2" w:leftChars="-1"/>
              <w:jc w:val="left"/>
              <w:rPr>
                <w:rFonts w:ascii="宋体" w:hAnsi="宋体" w:cs="宋体"/>
                <w:szCs w:val="21"/>
              </w:rPr>
            </w:pPr>
            <w:r>
              <w:rPr>
                <w:rFonts w:hint="eastAsia" w:ascii="宋体" w:hAnsi="宋体" w:cs="宋体"/>
                <w:szCs w:val="21"/>
              </w:rPr>
              <w:t>投标报价低于成本的</w:t>
            </w:r>
            <w:r>
              <w:rPr>
                <w:rFonts w:hint="eastAsia" w:ascii="宋体" w:hAnsi="宋体"/>
                <w:color w:val="000000"/>
                <w:szCs w:val="21"/>
                <w:u w:val="single"/>
              </w:rPr>
              <w:t>（投标人的报价低于成本警戒价，使得其投标报价可能低于其个别成本，又不能合理说明或者不能提供相关证明材料，评标委员会认定该投标人低于成本报价的）</w:t>
            </w:r>
            <w:r>
              <w:rPr>
                <w:rFonts w:hint="eastAsia" w:ascii="宋体" w:hAnsi="宋体" w:cs="宋体"/>
                <w:szCs w:val="21"/>
              </w:rPr>
              <w:t>；</w:t>
            </w:r>
          </w:p>
        </w:tc>
        <w:tc>
          <w:tcPr>
            <w:tcW w:w="395" w:type="pct"/>
            <w:tcBorders>
              <w:top w:val="single" w:color="auto" w:sz="4" w:space="0"/>
              <w:left w:val="single" w:color="auto" w:sz="4" w:space="0"/>
              <w:bottom w:val="single" w:color="auto" w:sz="4" w:space="0"/>
              <w:right w:val="single" w:color="auto" w:sz="4" w:space="0"/>
            </w:tcBorders>
          </w:tcPr>
          <w:p w14:paraId="279C039F">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35F38651">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24A2B2EE">
            <w:pPr>
              <w:rPr>
                <w:rFonts w:ascii="宋体" w:hAnsi="宋体" w:cs="宋体"/>
                <w:szCs w:val="21"/>
              </w:rPr>
            </w:pPr>
          </w:p>
        </w:tc>
        <w:tc>
          <w:tcPr>
            <w:tcW w:w="464" w:type="pct"/>
            <w:tcBorders>
              <w:top w:val="single" w:color="auto" w:sz="4" w:space="0"/>
              <w:left w:val="single" w:color="auto" w:sz="4" w:space="0"/>
              <w:bottom w:val="single" w:color="auto" w:sz="4" w:space="0"/>
              <w:right w:val="single" w:color="auto" w:sz="4" w:space="0"/>
            </w:tcBorders>
          </w:tcPr>
          <w:p w14:paraId="46047E02">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77E9B0B6">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6E895C10">
            <w:pPr>
              <w:rPr>
                <w:rFonts w:ascii="宋体" w:hAnsi="宋体" w:cs="宋体"/>
                <w:szCs w:val="21"/>
              </w:rPr>
            </w:pPr>
          </w:p>
        </w:tc>
      </w:tr>
      <w:tr w14:paraId="2C8B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 w:type="pct"/>
            <w:tcBorders>
              <w:top w:val="single" w:color="auto" w:sz="4" w:space="0"/>
              <w:left w:val="single" w:color="auto" w:sz="4" w:space="0"/>
              <w:bottom w:val="single" w:color="auto" w:sz="4" w:space="0"/>
              <w:right w:val="single" w:color="auto" w:sz="4" w:space="0"/>
            </w:tcBorders>
            <w:vAlign w:val="center"/>
          </w:tcPr>
          <w:p w14:paraId="15378821">
            <w:pPr>
              <w:rPr>
                <w:rFonts w:ascii="宋体" w:hAnsi="宋体" w:cs="宋体"/>
                <w:szCs w:val="21"/>
              </w:rPr>
            </w:pPr>
            <w:r>
              <w:rPr>
                <w:rFonts w:hint="eastAsia" w:ascii="宋体" w:hAnsi="宋体" w:cs="宋体"/>
                <w:szCs w:val="21"/>
              </w:rPr>
              <w:t>4</w:t>
            </w:r>
          </w:p>
        </w:tc>
        <w:tc>
          <w:tcPr>
            <w:tcW w:w="2102" w:type="pct"/>
            <w:tcBorders>
              <w:top w:val="single" w:color="auto" w:sz="4" w:space="0"/>
              <w:left w:val="single" w:color="auto" w:sz="4" w:space="0"/>
              <w:bottom w:val="single" w:color="auto" w:sz="4" w:space="0"/>
              <w:right w:val="single" w:color="auto" w:sz="4" w:space="0"/>
            </w:tcBorders>
            <w:vAlign w:val="center"/>
          </w:tcPr>
          <w:p w14:paraId="6165CBDA">
            <w:pPr>
              <w:rPr>
                <w:rFonts w:ascii="宋体" w:hAnsi="宋体" w:cs="宋体"/>
                <w:szCs w:val="21"/>
              </w:rPr>
            </w:pPr>
            <w:r>
              <w:rPr>
                <w:rFonts w:hint="eastAsia" w:ascii="宋体" w:hAnsi="宋体" w:cs="宋体"/>
                <w:szCs w:val="21"/>
              </w:rPr>
              <w:t>投标文件未按规定的格式</w:t>
            </w:r>
            <w:r>
              <w:rPr>
                <w:rFonts w:hint="eastAsia" w:ascii="宋体" w:hAnsi="宋体" w:cs="宋体"/>
                <w:szCs w:val="21"/>
                <w:u w:val="single"/>
              </w:rPr>
              <w:t>（经济标格式三、格式四）</w:t>
            </w:r>
            <w:r>
              <w:rPr>
                <w:rFonts w:hint="eastAsia" w:ascii="宋体" w:hAnsi="宋体" w:cs="宋体"/>
                <w:szCs w:val="21"/>
              </w:rPr>
              <w:t>填写，或主要内容不全，或关键字迹模糊、无法辨认的；</w:t>
            </w:r>
          </w:p>
        </w:tc>
        <w:tc>
          <w:tcPr>
            <w:tcW w:w="395" w:type="pct"/>
            <w:tcBorders>
              <w:top w:val="single" w:color="auto" w:sz="4" w:space="0"/>
              <w:left w:val="single" w:color="auto" w:sz="4" w:space="0"/>
              <w:bottom w:val="single" w:color="auto" w:sz="4" w:space="0"/>
              <w:right w:val="single" w:color="auto" w:sz="4" w:space="0"/>
            </w:tcBorders>
          </w:tcPr>
          <w:p w14:paraId="550522CB">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407A1C9C">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0C52CC38">
            <w:pPr>
              <w:rPr>
                <w:rFonts w:ascii="宋体" w:hAnsi="宋体" w:cs="宋体"/>
                <w:szCs w:val="21"/>
              </w:rPr>
            </w:pPr>
          </w:p>
        </w:tc>
        <w:tc>
          <w:tcPr>
            <w:tcW w:w="464" w:type="pct"/>
            <w:tcBorders>
              <w:top w:val="single" w:color="auto" w:sz="4" w:space="0"/>
              <w:left w:val="single" w:color="auto" w:sz="4" w:space="0"/>
              <w:bottom w:val="single" w:color="auto" w:sz="4" w:space="0"/>
              <w:right w:val="single" w:color="auto" w:sz="4" w:space="0"/>
            </w:tcBorders>
          </w:tcPr>
          <w:p w14:paraId="01269278">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21A944F7">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32DB3D4D">
            <w:pPr>
              <w:rPr>
                <w:rFonts w:ascii="宋体" w:hAnsi="宋体" w:cs="宋体"/>
                <w:szCs w:val="21"/>
              </w:rPr>
            </w:pPr>
          </w:p>
        </w:tc>
      </w:tr>
      <w:tr w14:paraId="284F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 w:type="pct"/>
            <w:tcBorders>
              <w:top w:val="single" w:color="auto" w:sz="4" w:space="0"/>
              <w:left w:val="single" w:color="auto" w:sz="4" w:space="0"/>
              <w:bottom w:val="single" w:color="auto" w:sz="4" w:space="0"/>
              <w:right w:val="single" w:color="auto" w:sz="4" w:space="0"/>
            </w:tcBorders>
            <w:vAlign w:val="center"/>
          </w:tcPr>
          <w:p w14:paraId="351A23D6">
            <w:pPr>
              <w:rPr>
                <w:rFonts w:ascii="宋体" w:hAnsi="宋体" w:cs="宋体"/>
                <w:szCs w:val="21"/>
              </w:rPr>
            </w:pPr>
            <w:r>
              <w:rPr>
                <w:rFonts w:hint="eastAsia" w:ascii="宋体" w:hAnsi="宋体" w:cs="宋体"/>
                <w:szCs w:val="21"/>
              </w:rPr>
              <w:t>5</w:t>
            </w:r>
          </w:p>
        </w:tc>
        <w:tc>
          <w:tcPr>
            <w:tcW w:w="2102" w:type="pct"/>
            <w:tcBorders>
              <w:top w:val="single" w:color="auto" w:sz="4" w:space="0"/>
              <w:left w:val="single" w:color="auto" w:sz="4" w:space="0"/>
              <w:bottom w:val="single" w:color="auto" w:sz="4" w:space="0"/>
              <w:right w:val="single" w:color="auto" w:sz="4" w:space="0"/>
            </w:tcBorders>
            <w:vAlign w:val="center"/>
          </w:tcPr>
          <w:p w14:paraId="5C80C541">
            <w:pPr>
              <w:rPr>
                <w:rFonts w:ascii="宋体" w:hAnsi="宋体" w:cs="宋体"/>
                <w:szCs w:val="21"/>
              </w:rPr>
            </w:pPr>
            <w:r>
              <w:rPr>
                <w:rFonts w:hint="eastAsia" w:ascii="宋体" w:hAnsi="宋体" w:cs="宋体"/>
                <w:szCs w:val="21"/>
              </w:rPr>
              <w:t>投标人之间存在《广东省实施&lt;中华人民共和国招标投标法&gt;办法》第十六条所禁止的情形的；</w:t>
            </w:r>
          </w:p>
        </w:tc>
        <w:tc>
          <w:tcPr>
            <w:tcW w:w="395" w:type="pct"/>
            <w:tcBorders>
              <w:top w:val="single" w:color="auto" w:sz="4" w:space="0"/>
              <w:left w:val="single" w:color="auto" w:sz="4" w:space="0"/>
              <w:bottom w:val="single" w:color="auto" w:sz="4" w:space="0"/>
              <w:right w:val="single" w:color="auto" w:sz="4" w:space="0"/>
            </w:tcBorders>
          </w:tcPr>
          <w:p w14:paraId="57D69D70">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6556CFB5">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27BE1030">
            <w:pPr>
              <w:rPr>
                <w:rFonts w:ascii="宋体" w:hAnsi="宋体" w:cs="宋体"/>
                <w:szCs w:val="21"/>
              </w:rPr>
            </w:pPr>
          </w:p>
        </w:tc>
        <w:tc>
          <w:tcPr>
            <w:tcW w:w="464" w:type="pct"/>
            <w:tcBorders>
              <w:top w:val="single" w:color="auto" w:sz="4" w:space="0"/>
              <w:left w:val="single" w:color="auto" w:sz="4" w:space="0"/>
              <w:bottom w:val="single" w:color="auto" w:sz="4" w:space="0"/>
              <w:right w:val="single" w:color="auto" w:sz="4" w:space="0"/>
            </w:tcBorders>
          </w:tcPr>
          <w:p w14:paraId="65C28FDB">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34ACAAAD">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08EB9879">
            <w:pPr>
              <w:rPr>
                <w:rFonts w:ascii="宋体" w:hAnsi="宋体" w:cs="宋体"/>
                <w:szCs w:val="21"/>
              </w:rPr>
            </w:pPr>
          </w:p>
        </w:tc>
      </w:tr>
      <w:tr w14:paraId="4453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 w:type="pct"/>
            <w:tcBorders>
              <w:top w:val="single" w:color="auto" w:sz="4" w:space="0"/>
              <w:left w:val="single" w:color="auto" w:sz="4" w:space="0"/>
              <w:bottom w:val="single" w:color="auto" w:sz="4" w:space="0"/>
              <w:right w:val="single" w:color="auto" w:sz="4" w:space="0"/>
            </w:tcBorders>
            <w:vAlign w:val="center"/>
          </w:tcPr>
          <w:p w14:paraId="693EEE72">
            <w:pPr>
              <w:rPr>
                <w:rFonts w:ascii="宋体" w:hAnsi="宋体" w:cs="宋体"/>
                <w:szCs w:val="21"/>
              </w:rPr>
            </w:pPr>
            <w:r>
              <w:rPr>
                <w:rFonts w:hint="eastAsia" w:ascii="宋体" w:hAnsi="宋体" w:cs="宋体"/>
                <w:szCs w:val="21"/>
              </w:rPr>
              <w:t>6</w:t>
            </w:r>
          </w:p>
        </w:tc>
        <w:tc>
          <w:tcPr>
            <w:tcW w:w="2102" w:type="pct"/>
            <w:tcBorders>
              <w:top w:val="single" w:color="auto" w:sz="4" w:space="0"/>
              <w:left w:val="single" w:color="auto" w:sz="4" w:space="0"/>
              <w:bottom w:val="single" w:color="auto" w:sz="4" w:space="0"/>
              <w:right w:val="single" w:color="auto" w:sz="4" w:space="0"/>
            </w:tcBorders>
            <w:vAlign w:val="center"/>
          </w:tcPr>
          <w:p w14:paraId="5F98C67C">
            <w:pPr>
              <w:rPr>
                <w:rFonts w:ascii="宋体" w:hAnsi="宋体" w:cs="宋体"/>
                <w:szCs w:val="21"/>
              </w:rPr>
            </w:pPr>
            <w:r>
              <w:rPr>
                <w:rFonts w:hint="eastAsia" w:ascii="宋体" w:hAnsi="宋体" w:cs="宋体"/>
                <w:szCs w:val="21"/>
              </w:rPr>
              <w:t>无《参与编制经济标投标文件人员名单》的；</w:t>
            </w:r>
          </w:p>
        </w:tc>
        <w:tc>
          <w:tcPr>
            <w:tcW w:w="395" w:type="pct"/>
            <w:tcBorders>
              <w:top w:val="single" w:color="auto" w:sz="4" w:space="0"/>
              <w:left w:val="single" w:color="auto" w:sz="4" w:space="0"/>
              <w:bottom w:val="single" w:color="auto" w:sz="4" w:space="0"/>
              <w:right w:val="single" w:color="auto" w:sz="4" w:space="0"/>
            </w:tcBorders>
          </w:tcPr>
          <w:p w14:paraId="5992C3E4">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60A44431">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2AA05A89">
            <w:pPr>
              <w:rPr>
                <w:rFonts w:ascii="宋体" w:hAnsi="宋体" w:cs="宋体"/>
                <w:szCs w:val="21"/>
              </w:rPr>
            </w:pPr>
          </w:p>
        </w:tc>
        <w:tc>
          <w:tcPr>
            <w:tcW w:w="464" w:type="pct"/>
            <w:tcBorders>
              <w:top w:val="single" w:color="auto" w:sz="4" w:space="0"/>
              <w:left w:val="single" w:color="auto" w:sz="4" w:space="0"/>
              <w:bottom w:val="single" w:color="auto" w:sz="4" w:space="0"/>
              <w:right w:val="single" w:color="auto" w:sz="4" w:space="0"/>
            </w:tcBorders>
          </w:tcPr>
          <w:p w14:paraId="1BFADED6">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3FACC547">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15834708">
            <w:pPr>
              <w:rPr>
                <w:rFonts w:ascii="宋体" w:hAnsi="宋体" w:cs="宋体"/>
                <w:szCs w:val="21"/>
              </w:rPr>
            </w:pPr>
          </w:p>
        </w:tc>
      </w:tr>
      <w:tr w14:paraId="2602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 w:type="pct"/>
            <w:tcBorders>
              <w:top w:val="single" w:color="auto" w:sz="4" w:space="0"/>
              <w:left w:val="single" w:color="auto" w:sz="4" w:space="0"/>
              <w:bottom w:val="single" w:color="auto" w:sz="4" w:space="0"/>
              <w:right w:val="single" w:color="auto" w:sz="4" w:space="0"/>
            </w:tcBorders>
            <w:vAlign w:val="center"/>
          </w:tcPr>
          <w:p w14:paraId="2D1E59B5">
            <w:pPr>
              <w:rPr>
                <w:rFonts w:ascii="宋体" w:hAnsi="宋体" w:cs="宋体"/>
                <w:szCs w:val="21"/>
              </w:rPr>
            </w:pPr>
            <w:r>
              <w:rPr>
                <w:rFonts w:hint="eastAsia" w:ascii="宋体" w:hAnsi="宋体" w:cs="宋体"/>
                <w:szCs w:val="21"/>
              </w:rPr>
              <w:t>7</w:t>
            </w:r>
          </w:p>
        </w:tc>
        <w:tc>
          <w:tcPr>
            <w:tcW w:w="2102" w:type="pct"/>
            <w:tcBorders>
              <w:top w:val="single" w:color="auto" w:sz="4" w:space="0"/>
              <w:left w:val="single" w:color="auto" w:sz="4" w:space="0"/>
              <w:bottom w:val="single" w:color="auto" w:sz="4" w:space="0"/>
              <w:right w:val="single" w:color="auto" w:sz="4" w:space="0"/>
            </w:tcBorders>
            <w:vAlign w:val="center"/>
          </w:tcPr>
          <w:p w14:paraId="064AF671">
            <w:pPr>
              <w:rPr>
                <w:rFonts w:ascii="宋体" w:hAnsi="宋体" w:cs="宋体"/>
                <w:szCs w:val="21"/>
              </w:rPr>
            </w:pPr>
            <w:r>
              <w:rPr>
                <w:rFonts w:hint="eastAsia" w:ascii="宋体" w:hAnsi="宋体" w:cs="宋体"/>
                <w:szCs w:val="21"/>
              </w:rPr>
              <w:t>无《对投标文件编制的承诺》</w:t>
            </w:r>
          </w:p>
        </w:tc>
        <w:tc>
          <w:tcPr>
            <w:tcW w:w="395" w:type="pct"/>
            <w:tcBorders>
              <w:top w:val="single" w:color="auto" w:sz="4" w:space="0"/>
              <w:left w:val="single" w:color="auto" w:sz="4" w:space="0"/>
              <w:bottom w:val="single" w:color="auto" w:sz="4" w:space="0"/>
              <w:right w:val="single" w:color="auto" w:sz="4" w:space="0"/>
            </w:tcBorders>
          </w:tcPr>
          <w:p w14:paraId="4BFBCA82">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0629BFEC">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1010EE32">
            <w:pPr>
              <w:rPr>
                <w:rFonts w:ascii="宋体" w:hAnsi="宋体" w:cs="宋体"/>
                <w:szCs w:val="21"/>
              </w:rPr>
            </w:pPr>
          </w:p>
        </w:tc>
        <w:tc>
          <w:tcPr>
            <w:tcW w:w="464" w:type="pct"/>
            <w:tcBorders>
              <w:top w:val="single" w:color="auto" w:sz="4" w:space="0"/>
              <w:left w:val="single" w:color="auto" w:sz="4" w:space="0"/>
              <w:bottom w:val="single" w:color="auto" w:sz="4" w:space="0"/>
              <w:right w:val="single" w:color="auto" w:sz="4" w:space="0"/>
            </w:tcBorders>
          </w:tcPr>
          <w:p w14:paraId="38CE7122">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130945F3">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5B07B6C6">
            <w:pPr>
              <w:rPr>
                <w:rFonts w:ascii="宋体" w:hAnsi="宋体" w:cs="宋体"/>
                <w:szCs w:val="21"/>
              </w:rPr>
            </w:pPr>
          </w:p>
        </w:tc>
      </w:tr>
      <w:tr w14:paraId="35D8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 w:type="pct"/>
            <w:tcBorders>
              <w:top w:val="single" w:color="auto" w:sz="4" w:space="0"/>
              <w:left w:val="single" w:color="auto" w:sz="4" w:space="0"/>
              <w:bottom w:val="single" w:color="auto" w:sz="4" w:space="0"/>
              <w:right w:val="single" w:color="auto" w:sz="4" w:space="0"/>
            </w:tcBorders>
            <w:vAlign w:val="center"/>
          </w:tcPr>
          <w:p w14:paraId="51B32563">
            <w:pPr>
              <w:rPr>
                <w:rFonts w:ascii="宋体" w:hAnsi="宋体" w:cs="宋体"/>
                <w:szCs w:val="21"/>
              </w:rPr>
            </w:pPr>
            <w:r>
              <w:rPr>
                <w:rFonts w:hint="eastAsia" w:ascii="宋体" w:hAnsi="宋体" w:cs="宋体"/>
                <w:szCs w:val="21"/>
              </w:rPr>
              <w:t>8</w:t>
            </w:r>
          </w:p>
        </w:tc>
        <w:tc>
          <w:tcPr>
            <w:tcW w:w="2102" w:type="pct"/>
            <w:tcBorders>
              <w:top w:val="single" w:color="auto" w:sz="4" w:space="0"/>
              <w:left w:val="single" w:color="auto" w:sz="4" w:space="0"/>
              <w:bottom w:val="single" w:color="auto" w:sz="4" w:space="0"/>
              <w:right w:val="single" w:color="auto" w:sz="4" w:space="0"/>
            </w:tcBorders>
            <w:vAlign w:val="center"/>
          </w:tcPr>
          <w:p w14:paraId="29933E8F">
            <w:pPr>
              <w:rPr>
                <w:rFonts w:ascii="宋体" w:hAnsi="宋体" w:cs="宋体"/>
                <w:szCs w:val="21"/>
              </w:rPr>
            </w:pPr>
            <w:r>
              <w:rPr>
                <w:rFonts w:hint="eastAsia" w:ascii="宋体" w:hAnsi="宋体" w:cs="宋体"/>
                <w:szCs w:val="21"/>
              </w:rPr>
              <w:t>投标人与本项目其他投标人的投标文件工程量清单编制机器硬件信息一致的（以广州交易集团有限公司（广州公共资源交易中心）交易平台评标系统的检索信息为准）</w:t>
            </w:r>
          </w:p>
        </w:tc>
        <w:tc>
          <w:tcPr>
            <w:tcW w:w="395" w:type="pct"/>
            <w:tcBorders>
              <w:top w:val="single" w:color="auto" w:sz="4" w:space="0"/>
              <w:left w:val="single" w:color="auto" w:sz="4" w:space="0"/>
              <w:bottom w:val="single" w:color="auto" w:sz="4" w:space="0"/>
              <w:right w:val="single" w:color="auto" w:sz="4" w:space="0"/>
            </w:tcBorders>
          </w:tcPr>
          <w:p w14:paraId="6F0FF91B">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314EBF0C">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3D67A0A7">
            <w:pPr>
              <w:rPr>
                <w:rFonts w:ascii="宋体" w:hAnsi="宋体" w:cs="宋体"/>
                <w:szCs w:val="21"/>
              </w:rPr>
            </w:pPr>
          </w:p>
        </w:tc>
        <w:tc>
          <w:tcPr>
            <w:tcW w:w="464" w:type="pct"/>
            <w:tcBorders>
              <w:top w:val="single" w:color="auto" w:sz="4" w:space="0"/>
              <w:left w:val="single" w:color="auto" w:sz="4" w:space="0"/>
              <w:bottom w:val="single" w:color="auto" w:sz="4" w:space="0"/>
              <w:right w:val="single" w:color="auto" w:sz="4" w:space="0"/>
            </w:tcBorders>
          </w:tcPr>
          <w:p w14:paraId="6B61C8F1">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21697F74">
            <w:pPr>
              <w:rPr>
                <w:rFonts w:ascii="宋体" w:hAnsi="宋体" w:cs="宋体"/>
                <w:szCs w:val="21"/>
              </w:rPr>
            </w:pPr>
          </w:p>
        </w:tc>
        <w:tc>
          <w:tcPr>
            <w:tcW w:w="465" w:type="pct"/>
            <w:tcBorders>
              <w:top w:val="single" w:color="auto" w:sz="4" w:space="0"/>
              <w:left w:val="single" w:color="auto" w:sz="4" w:space="0"/>
              <w:bottom w:val="single" w:color="auto" w:sz="4" w:space="0"/>
              <w:right w:val="single" w:color="auto" w:sz="4" w:space="0"/>
            </w:tcBorders>
          </w:tcPr>
          <w:p w14:paraId="76AA6C7D">
            <w:pPr>
              <w:rPr>
                <w:rFonts w:ascii="宋体" w:hAnsi="宋体" w:cs="宋体"/>
                <w:szCs w:val="21"/>
              </w:rPr>
            </w:pPr>
          </w:p>
        </w:tc>
      </w:tr>
    </w:tbl>
    <w:p w14:paraId="6BE10884">
      <w:pPr>
        <w:pStyle w:val="5"/>
        <w:spacing w:after="0"/>
        <w:ind w:firstLineChars="200"/>
        <w:jc w:val="left"/>
        <w:rPr>
          <w:rFonts w:ascii="宋体" w:hAnsi="宋体" w:cs="宋体"/>
          <w:sz w:val="21"/>
          <w:szCs w:val="21"/>
        </w:rPr>
      </w:pPr>
      <w:r>
        <w:rPr>
          <w:rFonts w:hint="eastAsia" w:ascii="宋体" w:hAnsi="宋体" w:cs="宋体"/>
          <w:sz w:val="21"/>
          <w:szCs w:val="21"/>
        </w:rPr>
        <w:t>注：</w:t>
      </w:r>
    </w:p>
    <w:p w14:paraId="03B99D08">
      <w:pPr>
        <w:pStyle w:val="5"/>
        <w:spacing w:after="0"/>
        <w:ind w:firstLineChars="200"/>
        <w:jc w:val="left"/>
        <w:rPr>
          <w:rFonts w:ascii="宋体" w:hAnsi="宋体" w:cs="宋体"/>
          <w:sz w:val="21"/>
          <w:szCs w:val="21"/>
        </w:rPr>
      </w:pPr>
      <w:r>
        <w:rPr>
          <w:rFonts w:hint="eastAsia" w:ascii="宋体" w:hAnsi="宋体" w:cs="宋体"/>
          <w:sz w:val="21"/>
          <w:szCs w:val="21"/>
        </w:rPr>
        <w:t>1.本表使用GZZB2018-3招标文件范本，与范本内容不同之处均以下划线标明。</w:t>
      </w:r>
    </w:p>
    <w:p w14:paraId="1D0D9605">
      <w:pPr>
        <w:pStyle w:val="5"/>
        <w:spacing w:after="0"/>
        <w:ind w:firstLineChars="200"/>
        <w:jc w:val="left"/>
        <w:rPr>
          <w:rFonts w:ascii="宋体" w:hAnsi="宋体" w:cs="宋体"/>
          <w:sz w:val="21"/>
          <w:szCs w:val="21"/>
        </w:rPr>
      </w:pPr>
      <w:r>
        <w:rPr>
          <w:rFonts w:hint="eastAsia" w:ascii="宋体" w:hAnsi="宋体" w:cs="宋体"/>
          <w:sz w:val="21"/>
          <w:szCs w:val="21"/>
        </w:rPr>
        <w:t>2.凡出现以上任何一项情形，结论均为无效，否则就为有效。</w:t>
      </w:r>
    </w:p>
    <w:p w14:paraId="78B753AD">
      <w:pPr>
        <w:pStyle w:val="5"/>
        <w:spacing w:after="0"/>
        <w:ind w:firstLineChars="200"/>
        <w:jc w:val="left"/>
        <w:rPr>
          <w:rFonts w:ascii="宋体" w:hAnsi="宋体" w:cs="宋体"/>
          <w:sz w:val="21"/>
          <w:szCs w:val="21"/>
        </w:rPr>
      </w:pPr>
      <w:r>
        <w:rPr>
          <w:rFonts w:hint="eastAsia" w:ascii="宋体" w:hAnsi="宋体" w:cs="宋体"/>
          <w:sz w:val="21"/>
          <w:szCs w:val="21"/>
        </w:rPr>
        <w:t>3.如对本表中某种情形的评审意见不一致时，以评标委员会过半数成员的意见作为评标委员会对该情形的认定结论。</w:t>
      </w:r>
    </w:p>
    <w:p w14:paraId="2B2445EF">
      <w:pPr>
        <w:pStyle w:val="5"/>
        <w:spacing w:after="0"/>
        <w:ind w:firstLineChars="200"/>
        <w:jc w:val="left"/>
        <w:rPr>
          <w:rFonts w:ascii="宋体" w:hAnsi="宋体" w:cs="宋体"/>
          <w:sz w:val="21"/>
          <w:szCs w:val="21"/>
        </w:rPr>
      </w:pPr>
      <w:r>
        <w:rPr>
          <w:rFonts w:hint="eastAsia" w:ascii="宋体" w:hAnsi="宋体" w:cs="宋体"/>
          <w:sz w:val="21"/>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F1E49DB">
      <w:pPr>
        <w:pStyle w:val="5"/>
        <w:spacing w:after="0"/>
        <w:ind w:firstLineChars="200"/>
        <w:jc w:val="left"/>
        <w:rPr>
          <w:rFonts w:ascii="宋体" w:hAnsi="宋体" w:cs="宋体"/>
          <w:sz w:val="21"/>
          <w:szCs w:val="21"/>
        </w:rPr>
        <w:sectPr>
          <w:pgSz w:w="16838" w:h="11906" w:orient="landscape"/>
          <w:pgMar w:top="1440" w:right="1080" w:bottom="1440" w:left="1080" w:header="851" w:footer="907" w:gutter="0"/>
          <w:cols w:space="720" w:num="1"/>
          <w:titlePg/>
          <w:docGrid w:type="lines" w:linePitch="312" w:charSpace="0"/>
        </w:sectPr>
      </w:pPr>
      <w:r>
        <w:rPr>
          <w:rFonts w:hint="eastAsia" w:ascii="宋体" w:hAnsi="宋体" w:cs="宋体"/>
          <w:sz w:val="21"/>
          <w:szCs w:val="21"/>
        </w:rPr>
        <w:t>评委签名：</w:t>
      </w:r>
    </w:p>
    <w:p w14:paraId="506AE8CB">
      <w:pPr>
        <w:wordWrap w:val="0"/>
        <w:spacing w:line="360" w:lineRule="auto"/>
        <w:outlineLvl w:val="1"/>
        <w:rPr>
          <w:rFonts w:ascii="宋体" w:hAnsi="宋体" w:cs="宋体"/>
          <w:szCs w:val="21"/>
        </w:rPr>
      </w:pPr>
      <w:r>
        <w:rPr>
          <w:rFonts w:hint="eastAsia" w:ascii="宋体" w:hAnsi="宋体" w:cs="宋体"/>
          <w:szCs w:val="21"/>
        </w:rPr>
        <w:t>附表四：技术标详细审查评分表（删除）</w:t>
      </w:r>
    </w:p>
    <w:p w14:paraId="05900A90">
      <w:pPr>
        <w:wordWrap w:val="0"/>
        <w:spacing w:line="360" w:lineRule="auto"/>
        <w:outlineLvl w:val="1"/>
        <w:rPr>
          <w:rFonts w:ascii="宋体" w:hAnsi="宋体" w:cs="宋体"/>
          <w:b/>
          <w:szCs w:val="21"/>
        </w:rPr>
      </w:pPr>
      <w:r>
        <w:rPr>
          <w:rFonts w:hint="eastAsia" w:ascii="宋体" w:hAnsi="宋体" w:cs="宋体"/>
          <w:szCs w:val="21"/>
        </w:rPr>
        <w:t>附表五：经济标评分表（适用于区间抽取法）（删除）</w:t>
      </w:r>
    </w:p>
    <w:p w14:paraId="1947F999">
      <w:pPr>
        <w:wordWrap w:val="0"/>
        <w:spacing w:line="360" w:lineRule="auto"/>
        <w:outlineLvl w:val="1"/>
        <w:rPr>
          <w:rFonts w:ascii="宋体" w:hAnsi="宋体" w:cs="宋体"/>
          <w:szCs w:val="21"/>
        </w:rPr>
      </w:pPr>
      <w:r>
        <w:rPr>
          <w:rFonts w:hint="eastAsia" w:ascii="宋体" w:hAnsi="宋体" w:cs="宋体"/>
          <w:szCs w:val="21"/>
        </w:rPr>
        <w:br w:type="page"/>
      </w:r>
      <w:r>
        <w:rPr>
          <w:rFonts w:hint="eastAsia" w:ascii="宋体" w:hAnsi="宋体" w:cs="宋体"/>
          <w:szCs w:val="21"/>
        </w:rPr>
        <w:t>附表六</w:t>
      </w:r>
    </w:p>
    <w:p w14:paraId="14E14D35">
      <w:pPr>
        <w:jc w:val="center"/>
        <w:rPr>
          <w:rFonts w:ascii="宋体" w:hAnsi="宋体" w:cs="宋体"/>
          <w:b/>
          <w:sz w:val="36"/>
          <w:szCs w:val="36"/>
        </w:rPr>
      </w:pPr>
      <w:r>
        <w:rPr>
          <w:rFonts w:hint="eastAsia" w:ascii="宋体" w:hAnsi="宋体" w:cs="宋体"/>
          <w:b/>
          <w:sz w:val="36"/>
          <w:szCs w:val="36"/>
        </w:rPr>
        <w:t>算术复核表</w:t>
      </w:r>
    </w:p>
    <w:p w14:paraId="5BAB7633">
      <w:pPr>
        <w:rPr>
          <w:rFonts w:ascii="宋体" w:hAnsi="宋体" w:cs="宋体"/>
          <w:kern w:val="0"/>
          <w:szCs w:val="21"/>
        </w:rPr>
      </w:pPr>
      <w:r>
        <w:rPr>
          <w:rFonts w:hint="eastAsia" w:ascii="宋体" w:hAnsi="宋体" w:cs="宋体"/>
          <w:kern w:val="0"/>
          <w:szCs w:val="21"/>
        </w:rPr>
        <w:t>工程名称：                                           投标人：                                                  单位：元</w:t>
      </w:r>
    </w:p>
    <w:tbl>
      <w:tblPr>
        <w:tblStyle w:val="42"/>
        <w:tblW w:w="0" w:type="auto"/>
        <w:tblInd w:w="-116"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07634B3A">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64722EB0">
            <w:pPr>
              <w:rPr>
                <w:rFonts w:ascii="宋体" w:hAnsi="宋体" w:cs="宋体"/>
                <w:kern w:val="0"/>
                <w:szCs w:val="21"/>
              </w:rPr>
            </w:pPr>
            <w:r>
              <w:rPr>
                <w:rFonts w:hint="eastAsia" w:ascii="宋体" w:hAnsi="宋体" w:cs="宋体"/>
                <w:kern w:val="0"/>
                <w:szCs w:val="21"/>
              </w:rPr>
              <w:t>编号</w:t>
            </w:r>
          </w:p>
        </w:tc>
        <w:tc>
          <w:tcPr>
            <w:tcW w:w="4488" w:type="dxa"/>
            <w:tcBorders>
              <w:top w:val="single" w:color="auto" w:sz="4" w:space="0"/>
              <w:left w:val="nil"/>
              <w:bottom w:val="single" w:color="auto" w:sz="4" w:space="0"/>
              <w:right w:val="single" w:color="auto" w:sz="4" w:space="0"/>
            </w:tcBorders>
            <w:vAlign w:val="center"/>
          </w:tcPr>
          <w:p w14:paraId="0A88E926">
            <w:pPr>
              <w:rPr>
                <w:rFonts w:ascii="宋体" w:hAnsi="宋体" w:cs="宋体"/>
                <w:kern w:val="0"/>
                <w:szCs w:val="21"/>
              </w:rPr>
            </w:pPr>
            <w:r>
              <w:rPr>
                <w:rFonts w:hint="eastAsia" w:ascii="宋体" w:hAnsi="宋体" w:cs="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14:paraId="3E32227E">
            <w:pPr>
              <w:rPr>
                <w:rFonts w:ascii="宋体" w:hAnsi="宋体" w:cs="宋体"/>
                <w:kern w:val="0"/>
                <w:szCs w:val="21"/>
              </w:rPr>
            </w:pPr>
            <w:r>
              <w:rPr>
                <w:rFonts w:hint="eastAsia" w:ascii="宋体" w:hAnsi="宋体" w:cs="宋体"/>
                <w:kern w:val="0"/>
                <w:szCs w:val="21"/>
              </w:rPr>
              <w:t>修正前投标</w:t>
            </w:r>
          </w:p>
          <w:p w14:paraId="3999F95A">
            <w:pPr>
              <w:rPr>
                <w:rFonts w:ascii="宋体" w:hAnsi="宋体" w:cs="宋体"/>
                <w:kern w:val="0"/>
                <w:szCs w:val="21"/>
              </w:rPr>
            </w:pPr>
            <w:r>
              <w:rPr>
                <w:rFonts w:hint="eastAsia" w:ascii="宋体" w:hAnsi="宋体" w:cs="宋体"/>
                <w:kern w:val="0"/>
                <w:szCs w:val="21"/>
              </w:rPr>
              <w:t>报价A</w:t>
            </w:r>
          </w:p>
        </w:tc>
        <w:tc>
          <w:tcPr>
            <w:tcW w:w="1575" w:type="dxa"/>
            <w:tcBorders>
              <w:top w:val="single" w:color="auto" w:sz="4" w:space="0"/>
              <w:left w:val="nil"/>
              <w:bottom w:val="single" w:color="auto" w:sz="4" w:space="0"/>
              <w:right w:val="single" w:color="auto" w:sz="4" w:space="0"/>
            </w:tcBorders>
            <w:vAlign w:val="center"/>
          </w:tcPr>
          <w:p w14:paraId="6C03BF64">
            <w:pPr>
              <w:rPr>
                <w:rFonts w:ascii="宋体" w:hAnsi="宋体" w:cs="宋体"/>
                <w:kern w:val="0"/>
                <w:szCs w:val="21"/>
              </w:rPr>
            </w:pPr>
            <w:r>
              <w:rPr>
                <w:rFonts w:hint="eastAsia" w:ascii="宋体" w:hAnsi="宋体" w:cs="宋体"/>
                <w:kern w:val="0"/>
                <w:szCs w:val="21"/>
              </w:rPr>
              <w:t>修正后投标</w:t>
            </w:r>
          </w:p>
          <w:p w14:paraId="2D1D3F1A">
            <w:pPr>
              <w:rPr>
                <w:rFonts w:ascii="宋体" w:hAnsi="宋体" w:cs="宋体"/>
                <w:kern w:val="0"/>
                <w:szCs w:val="21"/>
              </w:rPr>
            </w:pPr>
            <w:r>
              <w:rPr>
                <w:rFonts w:hint="eastAsia" w:ascii="宋体" w:hAnsi="宋体" w:cs="宋体"/>
                <w:kern w:val="0"/>
                <w:szCs w:val="21"/>
              </w:rPr>
              <w:t>报价B</w:t>
            </w:r>
          </w:p>
        </w:tc>
        <w:tc>
          <w:tcPr>
            <w:tcW w:w="1575" w:type="dxa"/>
            <w:tcBorders>
              <w:top w:val="single" w:color="auto" w:sz="4" w:space="0"/>
              <w:left w:val="nil"/>
              <w:bottom w:val="single" w:color="auto" w:sz="4" w:space="0"/>
              <w:right w:val="single" w:color="auto" w:sz="4" w:space="0"/>
            </w:tcBorders>
            <w:vAlign w:val="center"/>
          </w:tcPr>
          <w:p w14:paraId="4D881647">
            <w:pPr>
              <w:rPr>
                <w:rFonts w:ascii="宋体" w:hAnsi="宋体" w:cs="宋体"/>
                <w:kern w:val="0"/>
                <w:szCs w:val="21"/>
              </w:rPr>
            </w:pPr>
            <w:r>
              <w:rPr>
                <w:rFonts w:hint="eastAsia" w:ascii="宋体" w:hAnsi="宋体" w:cs="宋体"/>
                <w:kern w:val="0"/>
                <w:szCs w:val="21"/>
              </w:rPr>
              <w:t>修正率</w:t>
            </w:r>
          </w:p>
          <w:p w14:paraId="531C8E43">
            <w:pPr>
              <w:rPr>
                <w:rFonts w:ascii="宋体" w:hAnsi="宋体" w:cs="宋体"/>
                <w:kern w:val="0"/>
                <w:szCs w:val="21"/>
              </w:rPr>
            </w:pPr>
            <w:r>
              <w:rPr>
                <w:rFonts w:hint="eastAsia" w:ascii="宋体" w:hAnsi="宋体" w:cs="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14:paraId="1B3E9A3C">
            <w:pPr>
              <w:rPr>
                <w:rFonts w:ascii="宋体" w:hAnsi="宋体" w:cs="宋体"/>
                <w:kern w:val="0"/>
                <w:szCs w:val="21"/>
              </w:rPr>
            </w:pPr>
            <w:r>
              <w:rPr>
                <w:rFonts w:hint="eastAsia" w:ascii="宋体" w:hAnsi="宋体" w:cs="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7F5D93D2">
            <w:pPr>
              <w:rPr>
                <w:rFonts w:ascii="宋体" w:hAnsi="宋体" w:cs="宋体"/>
                <w:kern w:val="0"/>
                <w:szCs w:val="21"/>
              </w:rPr>
            </w:pPr>
            <w:r>
              <w:rPr>
                <w:rFonts w:hint="eastAsia" w:ascii="宋体" w:hAnsi="宋体" w:cs="宋体"/>
                <w:kern w:val="0"/>
                <w:szCs w:val="21"/>
              </w:rPr>
              <w:t>当B&gt;A时，修正后报价与原报价的差额；当B≤A时,R=0</w:t>
            </w:r>
          </w:p>
        </w:tc>
      </w:tr>
      <w:tr w14:paraId="38C2818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9FA2F83">
            <w:pPr>
              <w:rPr>
                <w:rFonts w:ascii="宋体" w:hAnsi="宋体" w:cs="宋体"/>
                <w:kern w:val="0"/>
                <w:szCs w:val="21"/>
              </w:rPr>
            </w:pPr>
            <w:r>
              <w:rPr>
                <w:rFonts w:hint="eastAsia" w:ascii="宋体" w:hAnsi="宋体" w:cs="宋体"/>
                <w:kern w:val="0"/>
                <w:szCs w:val="21"/>
              </w:rPr>
              <w:t>1</w:t>
            </w:r>
          </w:p>
        </w:tc>
        <w:tc>
          <w:tcPr>
            <w:tcW w:w="4488" w:type="dxa"/>
            <w:tcBorders>
              <w:top w:val="nil"/>
              <w:left w:val="nil"/>
              <w:bottom w:val="single" w:color="auto" w:sz="4" w:space="0"/>
              <w:right w:val="single" w:color="auto" w:sz="4" w:space="0"/>
            </w:tcBorders>
            <w:vAlign w:val="center"/>
          </w:tcPr>
          <w:p w14:paraId="4022CA40">
            <w:pPr>
              <w:rPr>
                <w:rFonts w:ascii="宋体" w:hAnsi="宋体" w:cs="宋体"/>
                <w:kern w:val="0"/>
                <w:szCs w:val="21"/>
              </w:rPr>
            </w:pPr>
            <w:r>
              <w:rPr>
                <w:rFonts w:hint="eastAsia" w:ascii="宋体" w:hAnsi="宋体" w:cs="宋体"/>
                <w:kern w:val="0"/>
                <w:szCs w:val="21"/>
              </w:rPr>
              <w:t>[单位工程1]</w:t>
            </w:r>
          </w:p>
        </w:tc>
        <w:tc>
          <w:tcPr>
            <w:tcW w:w="1602" w:type="dxa"/>
            <w:tcBorders>
              <w:top w:val="nil"/>
              <w:left w:val="nil"/>
              <w:bottom w:val="single" w:color="auto" w:sz="4" w:space="0"/>
              <w:right w:val="single" w:color="auto" w:sz="4" w:space="0"/>
            </w:tcBorders>
            <w:vAlign w:val="center"/>
          </w:tcPr>
          <w:p w14:paraId="3EBABF09">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54755E27">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037DFC04">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14:paraId="69463D40">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1CC35719">
            <w:pPr>
              <w:rPr>
                <w:rFonts w:ascii="宋体" w:hAnsi="宋体" w:cs="宋体"/>
                <w:kern w:val="0"/>
                <w:szCs w:val="21"/>
              </w:rPr>
            </w:pPr>
          </w:p>
        </w:tc>
      </w:tr>
      <w:tr w14:paraId="029D3C8D">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48E4B99">
            <w:pPr>
              <w:rPr>
                <w:rFonts w:ascii="宋体" w:hAnsi="宋体" w:cs="宋体"/>
                <w:kern w:val="0"/>
                <w:szCs w:val="21"/>
              </w:rPr>
            </w:pPr>
            <w:r>
              <w:rPr>
                <w:rFonts w:hint="eastAsia" w:ascii="宋体" w:hAnsi="宋体" w:cs="宋体"/>
                <w:kern w:val="0"/>
                <w:szCs w:val="21"/>
              </w:rPr>
              <w:t>2</w:t>
            </w:r>
          </w:p>
        </w:tc>
        <w:tc>
          <w:tcPr>
            <w:tcW w:w="4488" w:type="dxa"/>
            <w:tcBorders>
              <w:top w:val="nil"/>
              <w:left w:val="nil"/>
              <w:bottom w:val="single" w:color="auto" w:sz="4" w:space="0"/>
              <w:right w:val="single" w:color="auto" w:sz="4" w:space="0"/>
            </w:tcBorders>
            <w:vAlign w:val="center"/>
          </w:tcPr>
          <w:p w14:paraId="77ED6647">
            <w:pPr>
              <w:rPr>
                <w:rFonts w:ascii="宋体" w:hAnsi="宋体" w:cs="宋体"/>
                <w:kern w:val="0"/>
                <w:szCs w:val="21"/>
              </w:rPr>
            </w:pPr>
            <w:r>
              <w:rPr>
                <w:rFonts w:hint="eastAsia" w:ascii="宋体" w:hAnsi="宋体" w:cs="宋体"/>
                <w:kern w:val="0"/>
                <w:szCs w:val="21"/>
              </w:rPr>
              <w:t>[单位工程2]</w:t>
            </w:r>
          </w:p>
        </w:tc>
        <w:tc>
          <w:tcPr>
            <w:tcW w:w="1602" w:type="dxa"/>
            <w:tcBorders>
              <w:top w:val="nil"/>
              <w:left w:val="nil"/>
              <w:bottom w:val="single" w:color="auto" w:sz="4" w:space="0"/>
              <w:right w:val="single" w:color="auto" w:sz="4" w:space="0"/>
            </w:tcBorders>
            <w:vAlign w:val="center"/>
          </w:tcPr>
          <w:p w14:paraId="0504F5B8">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7E70D54D">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066F5F54">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14:paraId="2CADD2A3">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73BC3D23">
            <w:pPr>
              <w:rPr>
                <w:rFonts w:ascii="宋体" w:hAnsi="宋体" w:cs="宋体"/>
                <w:kern w:val="0"/>
                <w:szCs w:val="21"/>
              </w:rPr>
            </w:pPr>
          </w:p>
        </w:tc>
      </w:tr>
      <w:tr w14:paraId="2582BC24">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8F93E9E">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14:paraId="2C618693">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14:paraId="7D25CAC4">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08ECE315">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2BD28B2E">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14:paraId="5280FF28">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604BFE32">
            <w:pPr>
              <w:rPr>
                <w:rFonts w:ascii="宋体" w:hAnsi="宋体" w:cs="宋体"/>
                <w:kern w:val="0"/>
                <w:szCs w:val="21"/>
              </w:rPr>
            </w:pPr>
          </w:p>
        </w:tc>
      </w:tr>
      <w:tr w14:paraId="3B118C7D">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A4A8DB0">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14:paraId="7262DA84">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14:paraId="26D539DD">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7BB80EA3">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2910D8F3">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14:paraId="5589AD65">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0E137582">
            <w:pPr>
              <w:rPr>
                <w:rFonts w:ascii="宋体" w:hAnsi="宋体" w:cs="宋体"/>
                <w:kern w:val="0"/>
                <w:szCs w:val="21"/>
              </w:rPr>
            </w:pPr>
          </w:p>
        </w:tc>
      </w:tr>
      <w:tr w14:paraId="70861F5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82FD94C">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14:paraId="39CA8353">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14:paraId="3A65245E">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1C0BB69F">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206B9FBB">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14:paraId="7ED0C8E8">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0E482C00">
            <w:pPr>
              <w:rPr>
                <w:rFonts w:ascii="宋体" w:hAnsi="宋体" w:cs="宋体"/>
                <w:kern w:val="0"/>
                <w:szCs w:val="21"/>
              </w:rPr>
            </w:pPr>
          </w:p>
        </w:tc>
      </w:tr>
      <w:tr w14:paraId="3820A34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936CB3D">
            <w:pPr>
              <w:rPr>
                <w:rFonts w:ascii="宋体" w:hAnsi="宋体" w:cs="宋体"/>
                <w:kern w:val="0"/>
                <w:szCs w:val="21"/>
              </w:rPr>
            </w:pPr>
            <w:r>
              <w:rPr>
                <w:rFonts w:hint="eastAsia" w:ascii="宋体" w:hAnsi="宋体" w:cs="宋体"/>
                <w:kern w:val="0"/>
                <w:szCs w:val="21"/>
              </w:rPr>
              <w:t>n</w:t>
            </w:r>
          </w:p>
        </w:tc>
        <w:tc>
          <w:tcPr>
            <w:tcW w:w="4488" w:type="dxa"/>
            <w:tcBorders>
              <w:top w:val="nil"/>
              <w:left w:val="nil"/>
              <w:bottom w:val="single" w:color="auto" w:sz="4" w:space="0"/>
              <w:right w:val="single" w:color="auto" w:sz="4" w:space="0"/>
            </w:tcBorders>
            <w:vAlign w:val="center"/>
          </w:tcPr>
          <w:p w14:paraId="3819F7C2">
            <w:pPr>
              <w:rPr>
                <w:rFonts w:ascii="宋体" w:hAnsi="宋体" w:cs="宋体"/>
                <w:kern w:val="0"/>
                <w:szCs w:val="21"/>
              </w:rPr>
            </w:pPr>
            <w:r>
              <w:rPr>
                <w:rFonts w:hint="eastAsia" w:ascii="宋体" w:hAnsi="宋体" w:cs="宋体"/>
                <w:kern w:val="0"/>
                <w:szCs w:val="21"/>
              </w:rPr>
              <w:t>[单位工程n]</w:t>
            </w:r>
          </w:p>
        </w:tc>
        <w:tc>
          <w:tcPr>
            <w:tcW w:w="1602" w:type="dxa"/>
            <w:tcBorders>
              <w:top w:val="nil"/>
              <w:left w:val="nil"/>
              <w:bottom w:val="single" w:color="auto" w:sz="4" w:space="0"/>
              <w:right w:val="single" w:color="auto" w:sz="4" w:space="0"/>
            </w:tcBorders>
            <w:vAlign w:val="center"/>
          </w:tcPr>
          <w:p w14:paraId="454DED49">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61AFB246">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5B9CD598">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14:paraId="64A7B8BF">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21234018">
            <w:pPr>
              <w:rPr>
                <w:rFonts w:ascii="宋体" w:hAnsi="宋体" w:cs="宋体"/>
                <w:kern w:val="0"/>
                <w:szCs w:val="21"/>
              </w:rPr>
            </w:pPr>
          </w:p>
        </w:tc>
      </w:tr>
      <w:tr w14:paraId="73CAD97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0B6DCFE">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14:paraId="2E216564">
            <w:pPr>
              <w:rPr>
                <w:rFonts w:ascii="宋体" w:hAnsi="宋体" w:cs="宋体"/>
                <w:kern w:val="0"/>
                <w:szCs w:val="21"/>
              </w:rPr>
            </w:pPr>
            <w:r>
              <w:rPr>
                <w:rFonts w:hint="eastAsia" w:ascii="宋体" w:hAnsi="宋体" w:cs="宋体"/>
                <w:kern w:val="0"/>
                <w:szCs w:val="21"/>
              </w:rPr>
              <w:t>投标总报价</w:t>
            </w:r>
          </w:p>
        </w:tc>
        <w:tc>
          <w:tcPr>
            <w:tcW w:w="1602" w:type="dxa"/>
            <w:tcBorders>
              <w:top w:val="nil"/>
              <w:left w:val="nil"/>
              <w:bottom w:val="single" w:color="auto" w:sz="4" w:space="0"/>
              <w:right w:val="single" w:color="auto" w:sz="4" w:space="0"/>
            </w:tcBorders>
            <w:vAlign w:val="center"/>
          </w:tcPr>
          <w:p w14:paraId="1D79B8F6">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164230AB">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14:paraId="0A7A28E1">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14:paraId="5C0C987B">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2C1CA9B8">
            <w:pPr>
              <w:rPr>
                <w:rFonts w:ascii="宋体" w:hAnsi="宋体" w:cs="宋体"/>
                <w:kern w:val="0"/>
                <w:szCs w:val="21"/>
              </w:rPr>
            </w:pPr>
            <w:r>
              <w:rPr>
                <w:rFonts w:hint="eastAsia" w:ascii="宋体" w:hAnsi="宋体" w:cs="宋体"/>
                <w:kern w:val="0"/>
                <w:szCs w:val="21"/>
              </w:rPr>
              <w:t>∑A=A</w:t>
            </w:r>
            <w:r>
              <w:rPr>
                <w:rFonts w:hint="eastAsia" w:ascii="宋体" w:hAnsi="宋体" w:cs="宋体"/>
                <w:kern w:val="0"/>
                <w:szCs w:val="21"/>
                <w:vertAlign w:val="subscript"/>
              </w:rPr>
              <w:t>1</w:t>
            </w:r>
            <w:r>
              <w:rPr>
                <w:rFonts w:hint="eastAsia" w:ascii="宋体" w:hAnsi="宋体" w:cs="宋体"/>
                <w:kern w:val="0"/>
                <w:szCs w:val="21"/>
              </w:rPr>
              <w:t>+A</w:t>
            </w:r>
            <w:r>
              <w:rPr>
                <w:rFonts w:hint="eastAsia" w:ascii="宋体" w:hAnsi="宋体" w:cs="宋体"/>
                <w:kern w:val="0"/>
                <w:szCs w:val="21"/>
                <w:vertAlign w:val="subscript"/>
              </w:rPr>
              <w:t>2</w:t>
            </w:r>
            <w:r>
              <w:rPr>
                <w:rFonts w:hint="eastAsia" w:ascii="宋体" w:hAnsi="宋体" w:cs="宋体"/>
                <w:kern w:val="0"/>
                <w:szCs w:val="21"/>
              </w:rPr>
              <w:t>+…An；∑B=B</w:t>
            </w:r>
            <w:r>
              <w:rPr>
                <w:rFonts w:hint="eastAsia" w:ascii="宋体" w:hAnsi="宋体" w:cs="宋体"/>
                <w:kern w:val="0"/>
                <w:szCs w:val="21"/>
                <w:vertAlign w:val="subscript"/>
              </w:rPr>
              <w:t>1</w:t>
            </w:r>
            <w:r>
              <w:rPr>
                <w:rFonts w:hint="eastAsia" w:ascii="宋体" w:hAnsi="宋体" w:cs="宋体"/>
                <w:kern w:val="0"/>
                <w:szCs w:val="21"/>
              </w:rPr>
              <w:t>+B</w:t>
            </w:r>
            <w:r>
              <w:rPr>
                <w:rFonts w:hint="eastAsia" w:ascii="宋体" w:hAnsi="宋体" w:cs="宋体"/>
                <w:kern w:val="0"/>
                <w:szCs w:val="21"/>
                <w:vertAlign w:val="subscript"/>
              </w:rPr>
              <w:t>2</w:t>
            </w:r>
            <w:r>
              <w:rPr>
                <w:rFonts w:hint="eastAsia" w:ascii="宋体" w:hAnsi="宋体" w:cs="宋体"/>
                <w:kern w:val="0"/>
                <w:szCs w:val="21"/>
              </w:rPr>
              <w:t>+…Bn</w:t>
            </w:r>
          </w:p>
        </w:tc>
      </w:tr>
    </w:tbl>
    <w:p w14:paraId="5AEF6A13">
      <w:pPr>
        <w:rPr>
          <w:rFonts w:ascii="宋体" w:hAnsi="宋体" w:cs="宋体"/>
          <w:kern w:val="0"/>
          <w:szCs w:val="21"/>
        </w:rPr>
      </w:pPr>
      <w:r>
        <w:rPr>
          <w:rFonts w:hint="eastAsia" w:ascii="宋体" w:hAnsi="宋体" w:cs="宋体"/>
          <w:kern w:val="0"/>
          <w:szCs w:val="21"/>
        </w:rPr>
        <w:t>修正原则：</w:t>
      </w:r>
      <w:r>
        <w:rPr>
          <w:rFonts w:hint="eastAsia" w:ascii="宋体" w:hAnsi="宋体" w:cs="宋体"/>
          <w:szCs w:val="21"/>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szCs w:val="21"/>
        </w:rPr>
        <w:tab/>
      </w:r>
    </w:p>
    <w:p w14:paraId="7EE5DD4B">
      <w:pPr>
        <w:rPr>
          <w:rFonts w:ascii="宋体" w:hAnsi="宋体" w:cs="宋体"/>
          <w:kern w:val="0"/>
          <w:szCs w:val="21"/>
        </w:rPr>
      </w:pPr>
      <w:r>
        <w:rPr>
          <w:rFonts w:hint="eastAsia" w:ascii="宋体" w:hAnsi="宋体" w:cs="宋体"/>
          <w:kern w:val="0"/>
          <w:szCs w:val="21"/>
        </w:rPr>
        <w:t>评委签名：</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日期：</w:t>
      </w:r>
    </w:p>
    <w:p w14:paraId="71DB5B81">
      <w:pPr>
        <w:rPr>
          <w:rFonts w:ascii="宋体" w:hAnsi="宋体" w:cs="宋体"/>
        </w:rPr>
      </w:pPr>
    </w:p>
    <w:p w14:paraId="13471B96">
      <w:pPr>
        <w:rPr>
          <w:rFonts w:ascii="宋体" w:hAnsi="宋体" w:cs="宋体"/>
        </w:rPr>
      </w:pPr>
      <w:r>
        <w:rPr>
          <w:rFonts w:hint="eastAsia" w:ascii="宋体" w:hAnsi="宋体" w:cs="宋体"/>
        </w:rPr>
        <w:br w:type="page"/>
      </w:r>
    </w:p>
    <w:p w14:paraId="7A6A2616">
      <w:pPr>
        <w:jc w:val="center"/>
        <w:rPr>
          <w:rFonts w:ascii="宋体" w:hAnsi="宋体" w:cs="宋体"/>
          <w:b/>
          <w:sz w:val="36"/>
          <w:szCs w:val="36"/>
        </w:rPr>
      </w:pPr>
      <w:r>
        <w:rPr>
          <w:rFonts w:hint="eastAsia" w:ascii="宋体" w:hAnsi="宋体" w:cs="宋体"/>
          <w:b/>
          <w:sz w:val="36"/>
          <w:szCs w:val="36"/>
        </w:rPr>
        <w:t>算术复核表</w:t>
      </w:r>
    </w:p>
    <w:p w14:paraId="732625E1">
      <w:pPr>
        <w:rPr>
          <w:rFonts w:ascii="宋体" w:hAnsi="宋体" w:cs="宋体"/>
          <w:szCs w:val="21"/>
        </w:rPr>
      </w:pPr>
      <w:r>
        <w:rPr>
          <w:rFonts w:hint="eastAsia" w:ascii="宋体" w:hAnsi="宋体" w:cs="宋体"/>
          <w:szCs w:val="21"/>
        </w:rPr>
        <w:t>工程名称：</w:t>
      </w:r>
    </w:p>
    <w:tbl>
      <w:tblPr>
        <w:tblStyle w:val="4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46A1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6BB4AA4">
            <w:pPr>
              <w:rPr>
                <w:rFonts w:ascii="宋体" w:hAnsi="宋体" w:cs="宋体"/>
                <w:b/>
                <w:sz w:val="28"/>
                <w:szCs w:val="28"/>
              </w:rPr>
            </w:pPr>
            <w:r>
              <w:rPr>
                <w:rFonts w:hint="eastAsia" w:ascii="宋体" w:hAnsi="宋体" w:cs="宋体"/>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14:paraId="20EBBB94">
            <w:pPr>
              <w:rPr>
                <w:rFonts w:ascii="宋体" w:hAnsi="宋体" w:cs="宋体"/>
                <w:b/>
                <w:sz w:val="28"/>
                <w:szCs w:val="28"/>
              </w:rPr>
            </w:pPr>
            <w:r>
              <w:rPr>
                <w:rFonts w:hint="eastAsia" w:ascii="宋体" w:hAnsi="宋体" w:cs="宋体"/>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14:paraId="2F2E5CBB">
            <w:pPr>
              <w:rPr>
                <w:rFonts w:ascii="宋体" w:hAnsi="宋体" w:cs="宋体"/>
                <w:b/>
                <w:sz w:val="28"/>
                <w:szCs w:val="28"/>
              </w:rPr>
            </w:pPr>
            <w:r>
              <w:rPr>
                <w:rFonts w:hint="eastAsia" w:ascii="宋体" w:hAnsi="宋体" w:cs="宋体"/>
                <w:b/>
                <w:sz w:val="28"/>
                <w:szCs w:val="28"/>
              </w:rPr>
              <w:t>原投标报价（A）</w:t>
            </w:r>
          </w:p>
        </w:tc>
        <w:tc>
          <w:tcPr>
            <w:tcW w:w="3101" w:type="dxa"/>
            <w:tcBorders>
              <w:top w:val="single" w:color="auto" w:sz="4" w:space="0"/>
              <w:left w:val="single" w:color="auto" w:sz="4" w:space="0"/>
              <w:bottom w:val="single" w:color="auto" w:sz="4" w:space="0"/>
              <w:right w:val="single" w:color="auto" w:sz="4" w:space="0"/>
            </w:tcBorders>
          </w:tcPr>
          <w:p w14:paraId="315A8B5F">
            <w:pPr>
              <w:rPr>
                <w:rFonts w:ascii="宋体" w:hAnsi="宋体" w:cs="宋体"/>
                <w:b/>
                <w:sz w:val="28"/>
                <w:szCs w:val="28"/>
              </w:rPr>
            </w:pPr>
            <w:r>
              <w:rPr>
                <w:rFonts w:hint="eastAsia" w:ascii="宋体" w:hAnsi="宋体" w:cs="宋体"/>
                <w:b/>
                <w:sz w:val="28"/>
                <w:szCs w:val="28"/>
              </w:rPr>
              <w:t>算数复核后投标报价（B）</w:t>
            </w:r>
          </w:p>
        </w:tc>
        <w:tc>
          <w:tcPr>
            <w:tcW w:w="3423" w:type="dxa"/>
            <w:tcBorders>
              <w:top w:val="single" w:color="auto" w:sz="4" w:space="0"/>
              <w:left w:val="single" w:color="auto" w:sz="4" w:space="0"/>
              <w:bottom w:val="single" w:color="auto" w:sz="4" w:space="0"/>
              <w:right w:val="single" w:color="auto" w:sz="4" w:space="0"/>
            </w:tcBorders>
          </w:tcPr>
          <w:p w14:paraId="6E01EA56">
            <w:pPr>
              <w:rPr>
                <w:rFonts w:ascii="宋体" w:hAnsi="宋体" w:cs="宋体"/>
                <w:b/>
                <w:sz w:val="28"/>
                <w:szCs w:val="28"/>
              </w:rPr>
            </w:pPr>
            <w:r>
              <w:rPr>
                <w:rFonts w:hint="eastAsia" w:ascii="宋体" w:hAnsi="宋体" w:cs="宋体"/>
                <w:b/>
                <w:sz w:val="28"/>
                <w:szCs w:val="28"/>
              </w:rPr>
              <w:t>误差率（r=|A-B|/A*100%）</w:t>
            </w:r>
          </w:p>
        </w:tc>
      </w:tr>
      <w:tr w14:paraId="6DC6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2C3CF46">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14:paraId="7BFD562E">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14:paraId="13AB8841">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14:paraId="0F2E5989">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14:paraId="2A9DD276">
            <w:pPr>
              <w:rPr>
                <w:rFonts w:ascii="宋体" w:hAnsi="宋体" w:cs="宋体"/>
                <w:sz w:val="36"/>
                <w:szCs w:val="36"/>
              </w:rPr>
            </w:pPr>
          </w:p>
        </w:tc>
      </w:tr>
      <w:tr w14:paraId="4852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4383ADA">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14:paraId="5612937B">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14:paraId="1F78FB99">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14:paraId="7F23EC29">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14:paraId="020592F2">
            <w:pPr>
              <w:rPr>
                <w:rFonts w:ascii="宋体" w:hAnsi="宋体" w:cs="宋体"/>
                <w:sz w:val="36"/>
                <w:szCs w:val="36"/>
              </w:rPr>
            </w:pPr>
          </w:p>
        </w:tc>
      </w:tr>
      <w:tr w14:paraId="31FF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30B8078">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14:paraId="1892B6EC">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14:paraId="3FCC75E3">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14:paraId="53BF5061">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14:paraId="45F4FC4B">
            <w:pPr>
              <w:rPr>
                <w:rFonts w:ascii="宋体" w:hAnsi="宋体" w:cs="宋体"/>
                <w:sz w:val="36"/>
                <w:szCs w:val="36"/>
              </w:rPr>
            </w:pPr>
          </w:p>
        </w:tc>
      </w:tr>
      <w:tr w14:paraId="3C4B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027483C">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14:paraId="3D96E2B4">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14:paraId="369474FC">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14:paraId="2156F966">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14:paraId="2C205373">
            <w:pPr>
              <w:rPr>
                <w:rFonts w:ascii="宋体" w:hAnsi="宋体" w:cs="宋体"/>
                <w:sz w:val="36"/>
                <w:szCs w:val="36"/>
              </w:rPr>
            </w:pPr>
          </w:p>
        </w:tc>
      </w:tr>
      <w:tr w14:paraId="0766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FDAB2DA">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14:paraId="1934B292">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14:paraId="1258B3A3">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14:paraId="59D850AB">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14:paraId="5782A32B">
            <w:pPr>
              <w:rPr>
                <w:rFonts w:ascii="宋体" w:hAnsi="宋体" w:cs="宋体"/>
                <w:sz w:val="36"/>
                <w:szCs w:val="36"/>
              </w:rPr>
            </w:pPr>
          </w:p>
        </w:tc>
      </w:tr>
      <w:tr w14:paraId="10A1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86B3170">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14:paraId="708BE3C2">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14:paraId="5CA72DF5">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14:paraId="274F305A">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14:paraId="4D7AF159">
            <w:pPr>
              <w:rPr>
                <w:rFonts w:ascii="宋体" w:hAnsi="宋体" w:cs="宋体"/>
                <w:sz w:val="36"/>
                <w:szCs w:val="36"/>
              </w:rPr>
            </w:pPr>
          </w:p>
        </w:tc>
      </w:tr>
      <w:tr w14:paraId="647A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CF445A0">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14:paraId="654F5583">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14:paraId="70ADF590">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14:paraId="015C11A3">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14:paraId="13B88782">
            <w:pPr>
              <w:rPr>
                <w:rFonts w:ascii="宋体" w:hAnsi="宋体" w:cs="宋体"/>
                <w:sz w:val="36"/>
                <w:szCs w:val="36"/>
              </w:rPr>
            </w:pPr>
          </w:p>
        </w:tc>
      </w:tr>
      <w:tr w14:paraId="51AC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DAF41C5">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14:paraId="51A1FF2C">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14:paraId="7AF44E51">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14:paraId="6C13076F">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14:paraId="13120068">
            <w:pPr>
              <w:rPr>
                <w:rFonts w:ascii="宋体" w:hAnsi="宋体" w:cs="宋体"/>
                <w:sz w:val="36"/>
                <w:szCs w:val="36"/>
              </w:rPr>
            </w:pPr>
          </w:p>
        </w:tc>
      </w:tr>
    </w:tbl>
    <w:p w14:paraId="21187292">
      <w:pPr>
        <w:rPr>
          <w:rFonts w:ascii="宋体" w:hAnsi="宋体" w:cs="宋体"/>
          <w:szCs w:val="21"/>
        </w:rPr>
      </w:pPr>
      <w:r>
        <w:rPr>
          <w:rFonts w:hint="eastAsia" w:ascii="宋体" w:hAnsi="宋体" w:cs="宋体"/>
          <w:szCs w:val="21"/>
        </w:rPr>
        <w:t>评委签名：</w:t>
      </w:r>
    </w:p>
    <w:p w14:paraId="25A828DA">
      <w:pPr>
        <w:outlineLvl w:val="3"/>
        <w:rPr>
          <w:rFonts w:ascii="宋体" w:hAnsi="宋体" w:cs="宋体"/>
          <w:szCs w:val="21"/>
        </w:rPr>
        <w:sectPr>
          <w:headerReference r:id="rId10" w:type="default"/>
          <w:footerReference r:id="rId11" w:type="default"/>
          <w:pgSz w:w="16838" w:h="11905" w:orient="landscape"/>
          <w:pgMar w:top="1440" w:right="1080" w:bottom="1440" w:left="1080" w:header="851" w:footer="992" w:gutter="0"/>
          <w:cols w:space="720" w:num="1"/>
          <w:docGrid w:type="lines" w:linePitch="322" w:charSpace="0"/>
        </w:sectPr>
      </w:pPr>
    </w:p>
    <w:p w14:paraId="0AE5C8A6">
      <w:pPr>
        <w:outlineLvl w:val="3"/>
        <w:rPr>
          <w:rFonts w:ascii="宋体" w:hAnsi="宋体" w:cs="宋体"/>
          <w:b/>
          <w:bCs/>
        </w:rPr>
      </w:pPr>
      <w:r>
        <w:rPr>
          <w:rFonts w:hint="eastAsia" w:ascii="宋体" w:hAnsi="宋体" w:cs="宋体"/>
          <w:b/>
          <w:bCs/>
        </w:rPr>
        <w:t>附表</w:t>
      </w:r>
      <w:r>
        <w:rPr>
          <w:rFonts w:hint="eastAsia" w:ascii="宋体" w:hAnsi="宋体" w:cs="宋体"/>
          <w:b/>
          <w:bCs/>
          <w:lang w:val="en-US" w:eastAsia="zh-CN"/>
        </w:rPr>
        <w:t>七</w:t>
      </w:r>
      <w:r>
        <w:rPr>
          <w:rFonts w:hint="eastAsia" w:ascii="宋体" w:hAnsi="宋体" w:cs="宋体"/>
          <w:b/>
          <w:bCs/>
        </w:rPr>
        <w:t xml:space="preserve"> 定标因素表</w:t>
      </w:r>
    </w:p>
    <w:p w14:paraId="43E41909">
      <w:pPr>
        <w:jc w:val="center"/>
        <w:rPr>
          <w:rFonts w:ascii="宋体" w:hAnsi="宋体" w:cs="宋体"/>
          <w:b/>
          <w:sz w:val="28"/>
          <w:szCs w:val="28"/>
          <w:highlight w:val="none"/>
        </w:rPr>
      </w:pPr>
      <w:bookmarkStart w:id="32" w:name="_Toc11586"/>
      <w:r>
        <w:rPr>
          <w:rFonts w:hint="eastAsia" w:ascii="宋体" w:hAnsi="宋体" w:cs="宋体"/>
          <w:b/>
          <w:sz w:val="28"/>
          <w:szCs w:val="28"/>
          <w:highlight w:val="none"/>
        </w:rPr>
        <w:t>定标因素表（定标阶段用）</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834"/>
        <w:gridCol w:w="788"/>
        <w:gridCol w:w="6203"/>
      </w:tblGrid>
      <w:tr w14:paraId="0FE1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04" w:type="pct"/>
            <w:vAlign w:val="center"/>
          </w:tcPr>
          <w:p w14:paraId="05C006DE">
            <w:pPr>
              <w:pStyle w:val="124"/>
              <w:spacing w:line="360" w:lineRule="auto"/>
              <w:rPr>
                <w:rFonts w:ascii="宋体" w:hAnsi="宋体" w:cs="宋体"/>
                <w:szCs w:val="21"/>
              </w:rPr>
            </w:pPr>
            <w:r>
              <w:rPr>
                <w:rFonts w:hint="eastAsia" w:ascii="宋体" w:hAnsi="宋体" w:cs="宋体"/>
                <w:szCs w:val="21"/>
              </w:rPr>
              <w:t>序号</w:t>
            </w:r>
          </w:p>
        </w:tc>
        <w:tc>
          <w:tcPr>
            <w:tcW w:w="953" w:type="pct"/>
            <w:gridSpan w:val="2"/>
            <w:vAlign w:val="center"/>
          </w:tcPr>
          <w:p w14:paraId="1B54E2F4">
            <w:pPr>
              <w:pStyle w:val="124"/>
              <w:spacing w:line="360" w:lineRule="auto"/>
              <w:rPr>
                <w:rFonts w:ascii="宋体" w:hAnsi="宋体" w:cs="宋体"/>
                <w:szCs w:val="21"/>
              </w:rPr>
            </w:pPr>
            <w:r>
              <w:rPr>
                <w:rFonts w:hint="eastAsia" w:ascii="宋体" w:hAnsi="宋体" w:cs="宋体"/>
                <w:szCs w:val="21"/>
              </w:rPr>
              <w:t>定标因素</w:t>
            </w:r>
          </w:p>
        </w:tc>
        <w:tc>
          <w:tcPr>
            <w:tcW w:w="3642" w:type="pct"/>
            <w:vAlign w:val="center"/>
          </w:tcPr>
          <w:p w14:paraId="188E1FE4">
            <w:pPr>
              <w:pStyle w:val="124"/>
              <w:spacing w:line="360" w:lineRule="auto"/>
              <w:rPr>
                <w:rFonts w:ascii="宋体" w:hAnsi="宋体" w:cs="宋体"/>
                <w:szCs w:val="21"/>
              </w:rPr>
            </w:pPr>
            <w:r>
              <w:rPr>
                <w:rFonts w:hint="eastAsia" w:ascii="宋体" w:hAnsi="宋体" w:cs="宋体"/>
                <w:szCs w:val="21"/>
              </w:rPr>
              <w:t>内容</w:t>
            </w:r>
          </w:p>
        </w:tc>
      </w:tr>
      <w:tr w14:paraId="0778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404" w:type="pct"/>
            <w:vMerge w:val="restart"/>
            <w:vAlign w:val="center"/>
          </w:tcPr>
          <w:p w14:paraId="114409F4">
            <w:pPr>
              <w:pStyle w:val="124"/>
              <w:spacing w:line="360" w:lineRule="auto"/>
              <w:rPr>
                <w:rFonts w:ascii="宋体" w:hAnsi="宋体" w:cs="宋体"/>
                <w:b w:val="0"/>
                <w:bCs/>
                <w:szCs w:val="21"/>
              </w:rPr>
            </w:pPr>
            <w:bookmarkStart w:id="33" w:name="OLE_LINK8" w:colFirst="2" w:colLast="3"/>
            <w:r>
              <w:rPr>
                <w:rFonts w:hint="eastAsia" w:ascii="宋体" w:hAnsi="宋体" w:cs="宋体"/>
                <w:b w:val="0"/>
                <w:bCs/>
                <w:szCs w:val="21"/>
              </w:rPr>
              <w:t>1</w:t>
            </w:r>
          </w:p>
        </w:tc>
        <w:tc>
          <w:tcPr>
            <w:tcW w:w="490" w:type="pct"/>
            <w:vMerge w:val="restart"/>
            <w:vAlign w:val="center"/>
          </w:tcPr>
          <w:p w14:paraId="7C9AC310">
            <w:pPr>
              <w:pStyle w:val="124"/>
              <w:spacing w:line="360" w:lineRule="auto"/>
              <w:rPr>
                <w:rFonts w:ascii="宋体" w:hAnsi="宋体" w:cs="宋体"/>
                <w:b w:val="0"/>
                <w:bCs/>
                <w:szCs w:val="21"/>
              </w:rPr>
            </w:pPr>
            <w:r>
              <w:rPr>
                <w:rFonts w:hint="eastAsia" w:ascii="宋体" w:hAnsi="宋体" w:cs="宋体"/>
                <w:b w:val="0"/>
                <w:bCs/>
                <w:szCs w:val="21"/>
              </w:rPr>
              <w:t>资信因素（</w:t>
            </w:r>
            <w:r>
              <w:rPr>
                <w:rFonts w:hint="eastAsia" w:ascii="宋体" w:hAnsi="宋体" w:cs="宋体"/>
                <w:b w:val="0"/>
                <w:bCs/>
                <w:szCs w:val="21"/>
                <w:lang w:val="en-US" w:eastAsia="zh-CN"/>
              </w:rPr>
              <w:t>12</w:t>
            </w:r>
            <w:r>
              <w:rPr>
                <w:rFonts w:hint="eastAsia" w:ascii="宋体" w:hAnsi="宋体" w:cs="宋体"/>
                <w:b w:val="0"/>
                <w:bCs/>
                <w:szCs w:val="21"/>
              </w:rPr>
              <w:t>分）</w:t>
            </w:r>
          </w:p>
        </w:tc>
        <w:tc>
          <w:tcPr>
            <w:tcW w:w="463" w:type="pct"/>
            <w:vAlign w:val="center"/>
          </w:tcPr>
          <w:p w14:paraId="671F65A0">
            <w:pPr>
              <w:pStyle w:val="124"/>
              <w:spacing w:line="360" w:lineRule="auto"/>
              <w:rPr>
                <w:rFonts w:ascii="宋体" w:hAnsi="宋体" w:cs="宋体"/>
                <w:b w:val="0"/>
                <w:bCs/>
                <w:szCs w:val="21"/>
              </w:rPr>
            </w:pPr>
            <w:r>
              <w:rPr>
                <w:rFonts w:hint="eastAsia" w:ascii="宋体" w:hAnsi="宋体" w:cs="宋体"/>
                <w:b w:val="0"/>
                <w:bCs/>
                <w:szCs w:val="21"/>
              </w:rPr>
              <w:t>投标人业绩（5分）</w:t>
            </w:r>
          </w:p>
        </w:tc>
        <w:tc>
          <w:tcPr>
            <w:tcW w:w="3642" w:type="pct"/>
            <w:vAlign w:val="center"/>
          </w:tcPr>
          <w:p w14:paraId="25872224">
            <w:pPr>
              <w:adjustRightInd w:val="0"/>
              <w:snapToGrid w:val="0"/>
              <w:spacing w:line="360" w:lineRule="auto"/>
              <w:jc w:val="left"/>
              <w:rPr>
                <w:rFonts w:ascii="宋体" w:hAnsi="宋体" w:cs="宋体"/>
                <w:szCs w:val="21"/>
              </w:rPr>
            </w:pPr>
            <w:r>
              <w:rPr>
                <w:rFonts w:hint="eastAsia" w:ascii="宋体" w:hAnsi="宋体" w:cs="宋体"/>
                <w:szCs w:val="21"/>
              </w:rPr>
              <w:t>投标人提供2022年1月1日至今完成过质量合格的类似工程业绩（类似工程是指建筑工</w:t>
            </w:r>
            <w:r>
              <w:rPr>
                <w:rFonts w:hint="eastAsia" w:ascii="宋体" w:hAnsi="宋体" w:cs="宋体"/>
                <w:color w:val="auto"/>
                <w:szCs w:val="21"/>
                <w:highlight w:val="none"/>
              </w:rPr>
              <w:t>程施工总承包项目。</w:t>
            </w:r>
            <w:r>
              <w:rPr>
                <w:rFonts w:hint="eastAsia" w:ascii="宋体" w:hAnsi="宋体" w:cs="宋体"/>
                <w:color w:val="auto"/>
                <w:szCs w:val="21"/>
                <w:highlight w:val="none"/>
                <w:lang w:val="en-US" w:eastAsia="zh-CN"/>
              </w:rPr>
              <w:t>投标人</w:t>
            </w:r>
            <w:r>
              <w:rPr>
                <w:rFonts w:hint="eastAsia" w:ascii="宋体" w:hAnsi="宋体" w:cs="宋体"/>
                <w:szCs w:val="21"/>
              </w:rPr>
              <w:t>需提供中标通知书或免招标证明、施工合同、竣工验收报告</w:t>
            </w:r>
            <w:r>
              <w:rPr>
                <w:rFonts w:hint="eastAsia" w:ascii="宋体" w:hAnsi="宋体" w:cs="宋体"/>
                <w:szCs w:val="21"/>
                <w:lang w:val="en-US" w:eastAsia="zh-CN"/>
              </w:rPr>
              <w:t>扫描件</w:t>
            </w:r>
            <w:r>
              <w:rPr>
                <w:rFonts w:hint="eastAsia" w:ascii="宋体" w:hAnsi="宋体" w:cs="宋体"/>
                <w:szCs w:val="21"/>
              </w:rPr>
              <w:t>并加盖公章，完成时间以竣工验收报告为准。），每项得2.5分，本项最多得5分。</w:t>
            </w:r>
          </w:p>
          <w:p w14:paraId="4D523DD0">
            <w:pPr>
              <w:adjustRightInd w:val="0"/>
              <w:snapToGrid w:val="0"/>
              <w:spacing w:line="360" w:lineRule="auto"/>
              <w:jc w:val="left"/>
              <w:rPr>
                <w:rFonts w:hint="eastAsia" w:ascii="宋体" w:hAnsi="宋体" w:cs="宋体"/>
                <w:szCs w:val="21"/>
              </w:rPr>
            </w:pPr>
            <w:r>
              <w:rPr>
                <w:rFonts w:hint="eastAsia" w:ascii="宋体" w:hAnsi="宋体" w:cs="宋体"/>
                <w:szCs w:val="21"/>
              </w:rPr>
              <w:t>注：不符合上述条件或未提供上述资料的不得分。</w:t>
            </w:r>
          </w:p>
        </w:tc>
      </w:tr>
      <w:tr w14:paraId="5F9F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404" w:type="pct"/>
            <w:vMerge w:val="continue"/>
            <w:vAlign w:val="center"/>
          </w:tcPr>
          <w:p w14:paraId="55E507E1">
            <w:pPr>
              <w:pStyle w:val="124"/>
              <w:spacing w:line="360" w:lineRule="auto"/>
              <w:rPr>
                <w:rFonts w:hint="eastAsia" w:ascii="宋体" w:hAnsi="宋体" w:cs="宋体"/>
                <w:b w:val="0"/>
                <w:bCs/>
                <w:szCs w:val="21"/>
              </w:rPr>
            </w:pPr>
          </w:p>
        </w:tc>
        <w:tc>
          <w:tcPr>
            <w:tcW w:w="490" w:type="pct"/>
            <w:vMerge w:val="continue"/>
            <w:vAlign w:val="center"/>
          </w:tcPr>
          <w:p w14:paraId="4E6C2B6A">
            <w:pPr>
              <w:pStyle w:val="124"/>
              <w:spacing w:line="360" w:lineRule="auto"/>
              <w:rPr>
                <w:rFonts w:hint="eastAsia" w:ascii="宋体" w:hAnsi="宋体" w:cs="宋体"/>
                <w:b w:val="0"/>
                <w:bCs/>
                <w:szCs w:val="21"/>
              </w:rPr>
            </w:pPr>
          </w:p>
        </w:tc>
        <w:tc>
          <w:tcPr>
            <w:tcW w:w="463" w:type="pct"/>
            <w:vAlign w:val="center"/>
          </w:tcPr>
          <w:p w14:paraId="26CA51D5">
            <w:pPr>
              <w:pStyle w:val="124"/>
              <w:spacing w:line="360" w:lineRule="auto"/>
              <w:rPr>
                <w:rFonts w:hint="default" w:ascii="宋体" w:hAnsi="宋体" w:eastAsia="宋体" w:cs="宋体"/>
                <w:b w:val="0"/>
                <w:bCs/>
                <w:szCs w:val="21"/>
                <w:lang w:val="en-US" w:eastAsia="zh-CN"/>
              </w:rPr>
            </w:pPr>
            <w:r>
              <w:rPr>
                <w:rFonts w:hint="eastAsia" w:ascii="宋体" w:hAnsi="宋体" w:cs="宋体"/>
                <w:b w:val="0"/>
                <w:bCs/>
                <w:szCs w:val="21"/>
                <w:lang w:val="en-US" w:eastAsia="zh-CN"/>
              </w:rPr>
              <w:t>项目管理机构人员（7分）</w:t>
            </w:r>
          </w:p>
        </w:tc>
        <w:tc>
          <w:tcPr>
            <w:tcW w:w="3642" w:type="pct"/>
            <w:vAlign w:val="center"/>
          </w:tcPr>
          <w:p w14:paraId="26BC5E37">
            <w:pPr>
              <w:adjustRightInd w:val="0"/>
              <w:snapToGrid w:val="0"/>
              <w:spacing w:line="360" w:lineRule="auto"/>
              <w:jc w:val="left"/>
              <w:rPr>
                <w:rFonts w:hint="default"/>
                <w:lang w:val="en-US" w:eastAsia="zh-CN"/>
              </w:rPr>
            </w:pPr>
            <w:r>
              <w:rPr>
                <w:rFonts w:hint="eastAsia" w:ascii="宋体" w:hAnsi="宋体" w:cs="宋体"/>
                <w:szCs w:val="21"/>
                <w:lang w:val="en-US" w:eastAsia="zh-CN"/>
              </w:rPr>
              <w:t>（1）拟派项目负责人：</w:t>
            </w:r>
            <w:r>
              <w:rPr>
                <w:rFonts w:hint="default"/>
                <w:lang w:val="en-US" w:eastAsia="zh-CN"/>
              </w:rPr>
              <w:t>取得建筑</w:t>
            </w:r>
            <w:r>
              <w:rPr>
                <w:rFonts w:hint="eastAsia"/>
                <w:lang w:val="en-US" w:eastAsia="zh-CN"/>
              </w:rPr>
              <w:t>工程</w:t>
            </w:r>
            <w:r>
              <w:rPr>
                <w:rFonts w:hint="default"/>
                <w:lang w:val="en-US" w:eastAsia="zh-CN"/>
              </w:rPr>
              <w:t>相关专业高级(或以上)技术职称证书的，得</w:t>
            </w:r>
            <w:r>
              <w:rPr>
                <w:rFonts w:hint="eastAsia"/>
                <w:lang w:val="en-US" w:eastAsia="zh-CN"/>
              </w:rPr>
              <w:t>3</w:t>
            </w:r>
            <w:r>
              <w:rPr>
                <w:rFonts w:hint="default"/>
                <w:lang w:val="en-US" w:eastAsia="zh-CN"/>
              </w:rPr>
              <w:t>分</w:t>
            </w:r>
            <w:r>
              <w:rPr>
                <w:rFonts w:hint="eastAsia"/>
                <w:lang w:val="en-US" w:eastAsia="zh-CN"/>
              </w:rPr>
              <w:t>；</w:t>
            </w:r>
            <w:r>
              <w:rPr>
                <w:rFonts w:hint="default"/>
                <w:lang w:val="en-US" w:eastAsia="zh-CN"/>
              </w:rPr>
              <w:t>取得建筑</w:t>
            </w:r>
            <w:r>
              <w:rPr>
                <w:rFonts w:hint="eastAsia"/>
                <w:lang w:val="en-US" w:eastAsia="zh-CN"/>
              </w:rPr>
              <w:t>工程</w:t>
            </w:r>
            <w:r>
              <w:rPr>
                <w:rFonts w:hint="default"/>
                <w:lang w:val="en-US" w:eastAsia="zh-CN"/>
              </w:rPr>
              <w:t>相关专业</w:t>
            </w:r>
            <w:r>
              <w:rPr>
                <w:rFonts w:hint="eastAsia"/>
                <w:lang w:val="en-US" w:eastAsia="zh-CN"/>
              </w:rPr>
              <w:t>中</w:t>
            </w:r>
            <w:r>
              <w:rPr>
                <w:rFonts w:hint="default"/>
                <w:lang w:val="en-US" w:eastAsia="zh-CN"/>
              </w:rPr>
              <w:t>级技术职称证书的</w:t>
            </w:r>
            <w:r>
              <w:rPr>
                <w:rFonts w:hint="eastAsia"/>
                <w:lang w:val="en-US" w:eastAsia="zh-CN"/>
              </w:rPr>
              <w:t>得2分。</w:t>
            </w:r>
            <w:r>
              <w:rPr>
                <w:rFonts w:hint="default"/>
                <w:lang w:val="en-US" w:eastAsia="zh-CN"/>
              </w:rPr>
              <w:t>本小项最多得</w:t>
            </w:r>
            <w:r>
              <w:rPr>
                <w:rFonts w:hint="eastAsia"/>
                <w:lang w:val="en-US" w:eastAsia="zh-CN"/>
              </w:rPr>
              <w:t>3</w:t>
            </w:r>
            <w:r>
              <w:rPr>
                <w:rFonts w:hint="default"/>
                <w:lang w:val="en-US" w:eastAsia="zh-CN"/>
              </w:rPr>
              <w:t>分，不满足上述情况的，不得分。</w:t>
            </w:r>
          </w:p>
          <w:p w14:paraId="77D01C8B">
            <w:pPr>
              <w:adjustRightInd w:val="0"/>
              <w:snapToGrid w:val="0"/>
              <w:spacing w:line="360" w:lineRule="auto"/>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2）拟派工程</w:t>
            </w:r>
            <w:r>
              <w:rPr>
                <w:rFonts w:hint="eastAsia" w:ascii="宋体" w:hAnsi="宋体" w:cs="宋体"/>
                <w:szCs w:val="21"/>
              </w:rPr>
              <w:t>技术负责人：取得建筑</w:t>
            </w:r>
            <w:r>
              <w:rPr>
                <w:rFonts w:hint="eastAsia" w:ascii="宋体" w:hAnsi="宋体" w:cs="宋体"/>
                <w:szCs w:val="21"/>
                <w:lang w:val="en-US" w:eastAsia="zh-CN"/>
              </w:rPr>
              <w:t>工程</w:t>
            </w:r>
            <w:r>
              <w:rPr>
                <w:rFonts w:hint="eastAsia" w:ascii="宋体" w:hAnsi="宋体" w:cs="宋体"/>
                <w:szCs w:val="21"/>
              </w:rPr>
              <w:t>相关专业高级(或以上)技术职称证书的，得2分。本小项最多得2分，不满足上述情况的，不得分。</w:t>
            </w:r>
          </w:p>
          <w:p w14:paraId="5CD319F8">
            <w:pPr>
              <w:adjustRightInd w:val="0"/>
              <w:snapToGrid w:val="0"/>
              <w:spacing w:line="360" w:lineRule="auto"/>
              <w:jc w:val="left"/>
              <w:rPr>
                <w:rFonts w:hint="eastAsia" w:ascii="宋体" w:hAnsi="宋体" w:eastAsia="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rPr>
              <w:t>质量主管</w:t>
            </w:r>
            <w:r>
              <w:rPr>
                <w:rFonts w:hint="eastAsia" w:ascii="宋体" w:hAnsi="宋体" w:cs="宋体"/>
                <w:szCs w:val="21"/>
                <w:lang w:eastAsia="zh-CN"/>
              </w:rPr>
              <w:t>：</w:t>
            </w:r>
            <w:r>
              <w:rPr>
                <w:rFonts w:hint="default"/>
                <w:lang w:val="en-US" w:eastAsia="zh-CN"/>
              </w:rPr>
              <w:t>取得建筑</w:t>
            </w:r>
            <w:r>
              <w:rPr>
                <w:rFonts w:hint="eastAsia"/>
                <w:lang w:val="en-US" w:eastAsia="zh-CN"/>
              </w:rPr>
              <w:t>工程</w:t>
            </w:r>
            <w:r>
              <w:rPr>
                <w:rFonts w:hint="default"/>
                <w:lang w:val="en-US" w:eastAsia="zh-CN"/>
              </w:rPr>
              <w:t>相关专业高级(或以上)技术职称证书的，得</w:t>
            </w:r>
            <w:r>
              <w:rPr>
                <w:rFonts w:hint="eastAsia"/>
                <w:lang w:val="en-US" w:eastAsia="zh-CN"/>
              </w:rPr>
              <w:t>1</w:t>
            </w:r>
            <w:r>
              <w:rPr>
                <w:rFonts w:hint="default"/>
                <w:lang w:val="en-US" w:eastAsia="zh-CN"/>
              </w:rPr>
              <w:t>分</w:t>
            </w:r>
            <w:r>
              <w:rPr>
                <w:rFonts w:hint="eastAsia"/>
                <w:lang w:val="en-US" w:eastAsia="zh-CN"/>
              </w:rPr>
              <w:t>；</w:t>
            </w:r>
            <w:r>
              <w:rPr>
                <w:rFonts w:hint="default"/>
                <w:lang w:val="en-US" w:eastAsia="zh-CN"/>
              </w:rPr>
              <w:t>取得建筑</w:t>
            </w:r>
            <w:r>
              <w:rPr>
                <w:rFonts w:hint="eastAsia"/>
                <w:lang w:val="en-US" w:eastAsia="zh-CN"/>
              </w:rPr>
              <w:t>工程</w:t>
            </w:r>
            <w:r>
              <w:rPr>
                <w:rFonts w:hint="default"/>
                <w:lang w:val="en-US" w:eastAsia="zh-CN"/>
              </w:rPr>
              <w:t>相关专业</w:t>
            </w:r>
            <w:r>
              <w:rPr>
                <w:rFonts w:hint="eastAsia"/>
                <w:lang w:val="en-US" w:eastAsia="zh-CN"/>
              </w:rPr>
              <w:t>中</w:t>
            </w:r>
            <w:r>
              <w:rPr>
                <w:rFonts w:hint="default"/>
                <w:lang w:val="en-US" w:eastAsia="zh-CN"/>
              </w:rPr>
              <w:t>级技术职称证书的</w:t>
            </w:r>
            <w:r>
              <w:rPr>
                <w:rFonts w:hint="eastAsia"/>
                <w:lang w:val="en-US" w:eastAsia="zh-CN"/>
              </w:rPr>
              <w:t>得0.5分。</w:t>
            </w:r>
            <w:r>
              <w:rPr>
                <w:rFonts w:hint="default"/>
                <w:lang w:val="en-US" w:eastAsia="zh-CN"/>
              </w:rPr>
              <w:t>本小项最多得</w:t>
            </w:r>
            <w:r>
              <w:rPr>
                <w:rFonts w:hint="eastAsia"/>
                <w:lang w:val="en-US" w:eastAsia="zh-CN"/>
              </w:rPr>
              <w:t>1</w:t>
            </w:r>
            <w:r>
              <w:rPr>
                <w:rFonts w:hint="default"/>
                <w:lang w:val="en-US" w:eastAsia="zh-CN"/>
              </w:rPr>
              <w:t>分，不满足上述情况的，不得分。</w:t>
            </w:r>
          </w:p>
          <w:p w14:paraId="3AB2276E">
            <w:pPr>
              <w:adjustRightInd w:val="0"/>
              <w:snapToGrid w:val="0"/>
              <w:spacing w:line="360" w:lineRule="auto"/>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4）安全</w:t>
            </w:r>
            <w:r>
              <w:rPr>
                <w:rFonts w:hint="eastAsia" w:ascii="宋体" w:hAnsi="宋体" w:cs="宋体"/>
                <w:szCs w:val="21"/>
              </w:rPr>
              <w:t>主管</w:t>
            </w:r>
            <w:r>
              <w:rPr>
                <w:rFonts w:hint="eastAsia" w:ascii="宋体" w:hAnsi="宋体" w:cs="宋体"/>
                <w:szCs w:val="21"/>
                <w:lang w:eastAsia="zh-CN"/>
              </w:rPr>
              <w:t>：</w:t>
            </w:r>
            <w:r>
              <w:rPr>
                <w:rFonts w:hint="default"/>
                <w:lang w:val="en-US" w:eastAsia="zh-CN"/>
              </w:rPr>
              <w:t>取得建筑</w:t>
            </w:r>
            <w:r>
              <w:rPr>
                <w:rFonts w:hint="eastAsia"/>
                <w:lang w:val="en-US" w:eastAsia="zh-CN"/>
              </w:rPr>
              <w:t>工程</w:t>
            </w:r>
            <w:r>
              <w:rPr>
                <w:rFonts w:hint="default"/>
                <w:lang w:val="en-US" w:eastAsia="zh-CN"/>
              </w:rPr>
              <w:t>相关专业高级(或以上)技术职称证书的，得</w:t>
            </w:r>
            <w:r>
              <w:rPr>
                <w:rFonts w:hint="eastAsia"/>
                <w:lang w:val="en-US" w:eastAsia="zh-CN"/>
              </w:rPr>
              <w:t>1</w:t>
            </w:r>
            <w:r>
              <w:rPr>
                <w:rFonts w:hint="default"/>
                <w:lang w:val="en-US" w:eastAsia="zh-CN"/>
              </w:rPr>
              <w:t>分</w:t>
            </w:r>
            <w:r>
              <w:rPr>
                <w:rFonts w:hint="eastAsia"/>
                <w:lang w:val="en-US" w:eastAsia="zh-CN"/>
              </w:rPr>
              <w:t>；</w:t>
            </w:r>
            <w:r>
              <w:rPr>
                <w:rFonts w:hint="default"/>
                <w:lang w:val="en-US" w:eastAsia="zh-CN"/>
              </w:rPr>
              <w:t>取得建筑</w:t>
            </w:r>
            <w:r>
              <w:rPr>
                <w:rFonts w:hint="eastAsia"/>
                <w:lang w:val="en-US" w:eastAsia="zh-CN"/>
              </w:rPr>
              <w:t>工程</w:t>
            </w:r>
            <w:r>
              <w:rPr>
                <w:rFonts w:hint="default"/>
                <w:lang w:val="en-US" w:eastAsia="zh-CN"/>
              </w:rPr>
              <w:t>相关专业</w:t>
            </w:r>
            <w:r>
              <w:rPr>
                <w:rFonts w:hint="eastAsia"/>
                <w:lang w:val="en-US" w:eastAsia="zh-CN"/>
              </w:rPr>
              <w:t>中</w:t>
            </w:r>
            <w:r>
              <w:rPr>
                <w:rFonts w:hint="default"/>
                <w:lang w:val="en-US" w:eastAsia="zh-CN"/>
              </w:rPr>
              <w:t>级技术职称证书的</w:t>
            </w:r>
            <w:r>
              <w:rPr>
                <w:rFonts w:hint="eastAsia"/>
                <w:lang w:val="en-US" w:eastAsia="zh-CN"/>
              </w:rPr>
              <w:t>得0.5分。</w:t>
            </w:r>
            <w:r>
              <w:rPr>
                <w:rFonts w:hint="default"/>
                <w:lang w:val="en-US" w:eastAsia="zh-CN"/>
              </w:rPr>
              <w:t>本小项最多得</w:t>
            </w:r>
            <w:r>
              <w:rPr>
                <w:rFonts w:hint="eastAsia"/>
                <w:lang w:val="en-US" w:eastAsia="zh-CN"/>
              </w:rPr>
              <w:t>1</w:t>
            </w:r>
            <w:r>
              <w:rPr>
                <w:rFonts w:hint="default"/>
                <w:lang w:val="en-US" w:eastAsia="zh-CN"/>
              </w:rPr>
              <w:t>分，不满足上述情况的，不得分。</w:t>
            </w:r>
          </w:p>
        </w:tc>
      </w:tr>
      <w:bookmarkEnd w:id="33"/>
      <w:tr w14:paraId="1667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04" w:type="pct"/>
            <w:vMerge w:val="restart"/>
            <w:vAlign w:val="center"/>
          </w:tcPr>
          <w:p w14:paraId="22154BC0">
            <w:pPr>
              <w:pStyle w:val="124"/>
              <w:spacing w:line="360" w:lineRule="auto"/>
              <w:rPr>
                <w:rFonts w:ascii="宋体" w:hAnsi="宋体" w:cs="宋体"/>
                <w:b w:val="0"/>
                <w:bCs/>
                <w:szCs w:val="21"/>
              </w:rPr>
            </w:pPr>
            <w:r>
              <w:rPr>
                <w:rFonts w:hint="eastAsia" w:ascii="宋体" w:hAnsi="宋体" w:cs="宋体"/>
                <w:b w:val="0"/>
                <w:bCs/>
                <w:szCs w:val="21"/>
              </w:rPr>
              <w:t>2</w:t>
            </w:r>
          </w:p>
        </w:tc>
        <w:tc>
          <w:tcPr>
            <w:tcW w:w="953" w:type="pct"/>
            <w:gridSpan w:val="2"/>
            <w:vMerge w:val="restart"/>
            <w:vAlign w:val="center"/>
          </w:tcPr>
          <w:p w14:paraId="2774738F">
            <w:pPr>
              <w:adjustRightInd w:val="0"/>
              <w:snapToGrid w:val="0"/>
              <w:spacing w:line="360" w:lineRule="auto"/>
              <w:jc w:val="left"/>
              <w:rPr>
                <w:rFonts w:ascii="宋体" w:hAnsi="宋体" w:cs="宋体"/>
                <w:szCs w:val="21"/>
              </w:rPr>
            </w:pPr>
            <w:r>
              <w:rPr>
                <w:rFonts w:hint="eastAsia" w:ascii="宋体" w:hAnsi="宋体" w:cs="宋体"/>
                <w:szCs w:val="21"/>
              </w:rPr>
              <w:t>方案因素</w:t>
            </w:r>
            <w:r>
              <w:rPr>
                <w:rFonts w:hint="eastAsia" w:ascii="宋体" w:hAnsi="宋体" w:cs="宋体"/>
                <w:bCs/>
                <w:szCs w:val="21"/>
              </w:rPr>
              <w:t>（</w:t>
            </w:r>
            <w:r>
              <w:rPr>
                <w:rFonts w:hint="eastAsia" w:ascii="宋体" w:hAnsi="宋体" w:cs="宋体"/>
                <w:bCs/>
                <w:szCs w:val="21"/>
                <w:lang w:val="en-US" w:eastAsia="zh-CN"/>
              </w:rPr>
              <w:t>38</w:t>
            </w:r>
            <w:r>
              <w:rPr>
                <w:rFonts w:hint="eastAsia" w:ascii="宋体" w:hAnsi="宋体" w:cs="宋体"/>
                <w:bCs/>
                <w:szCs w:val="21"/>
              </w:rPr>
              <w:t>分）</w:t>
            </w:r>
          </w:p>
        </w:tc>
        <w:tc>
          <w:tcPr>
            <w:tcW w:w="3642" w:type="pct"/>
            <w:vAlign w:val="center"/>
          </w:tcPr>
          <w:p w14:paraId="515A8327">
            <w:pPr>
              <w:adjustRightInd w:val="0"/>
              <w:snapToGrid w:val="0"/>
              <w:spacing w:line="360" w:lineRule="auto"/>
              <w:jc w:val="left"/>
              <w:rPr>
                <w:rStyle w:val="45"/>
                <w:rFonts w:hint="eastAsia" w:ascii="宋体" w:hAnsi="宋体" w:cs="宋体"/>
                <w:bCs/>
                <w:szCs w:val="21"/>
              </w:rPr>
            </w:pPr>
            <w:r>
              <w:rPr>
                <w:rStyle w:val="45"/>
                <w:rFonts w:hint="eastAsia" w:ascii="宋体" w:hAnsi="宋体" w:cs="宋体"/>
                <w:bCs/>
                <w:szCs w:val="21"/>
              </w:rPr>
              <w:t>定标委员会对合格的中标候选人的施工组织方案和质量保证措施进行综合评审，投标人需仔细研究招标文件和施工图纸，针对本项目在已投产园区内进行施工的特点进行编制：</w:t>
            </w:r>
          </w:p>
          <w:p w14:paraId="52B2CB0C">
            <w:pPr>
              <w:adjustRightInd w:val="0"/>
              <w:snapToGrid w:val="0"/>
              <w:spacing w:line="360" w:lineRule="auto"/>
              <w:jc w:val="left"/>
              <w:rPr>
                <w:rFonts w:ascii="宋体" w:hAnsi="宋体" w:cs="宋体"/>
                <w:szCs w:val="21"/>
              </w:rPr>
            </w:pPr>
            <w:r>
              <w:rPr>
                <w:rFonts w:hint="eastAsia" w:ascii="宋体" w:hAnsi="宋体" w:cs="宋体"/>
                <w:szCs w:val="21"/>
              </w:rPr>
              <w:t>（1）施工组织方案完善、可行，具备切实可行的质量目标、完善的质量保证措施</w:t>
            </w:r>
            <w:r>
              <w:rPr>
                <w:rFonts w:hint="eastAsia" w:ascii="宋体" w:hAnsi="宋体" w:cs="宋体"/>
                <w:szCs w:val="21"/>
                <w:lang w:val="en-US" w:eastAsia="zh-CN"/>
              </w:rPr>
              <w:t>的</w:t>
            </w:r>
            <w:r>
              <w:rPr>
                <w:rFonts w:hint="eastAsia" w:ascii="宋体" w:hAnsi="宋体" w:cs="宋体"/>
                <w:szCs w:val="21"/>
              </w:rPr>
              <w:t>得[12-9）分；</w:t>
            </w:r>
          </w:p>
          <w:p w14:paraId="5706FA93">
            <w:pPr>
              <w:adjustRightInd w:val="0"/>
              <w:snapToGrid w:val="0"/>
              <w:spacing w:line="360" w:lineRule="auto"/>
              <w:jc w:val="left"/>
              <w:rPr>
                <w:rFonts w:hint="eastAsia" w:ascii="宋体" w:hAnsi="宋体" w:cs="宋体"/>
                <w:szCs w:val="21"/>
              </w:rPr>
            </w:pPr>
            <w:r>
              <w:rPr>
                <w:rFonts w:hint="eastAsia" w:ascii="宋体" w:hAnsi="宋体" w:cs="宋体"/>
                <w:szCs w:val="21"/>
              </w:rPr>
              <w:t>（2）施工组织方案</w:t>
            </w:r>
            <w:r>
              <w:rPr>
                <w:rFonts w:hint="eastAsia" w:ascii="宋体" w:hAnsi="宋体" w:cs="宋体"/>
                <w:szCs w:val="21"/>
                <w:lang w:val="en-US" w:eastAsia="zh-CN"/>
              </w:rPr>
              <w:t>比较完善可行</w:t>
            </w:r>
            <w:r>
              <w:rPr>
                <w:rFonts w:hint="eastAsia" w:ascii="宋体" w:hAnsi="宋体" w:cs="宋体"/>
                <w:szCs w:val="21"/>
                <w:lang w:eastAsia="zh-CN"/>
              </w:rPr>
              <w:t>，</w:t>
            </w:r>
            <w:r>
              <w:rPr>
                <w:rFonts w:hint="eastAsia" w:ascii="宋体" w:hAnsi="宋体" w:cs="宋体"/>
                <w:szCs w:val="21"/>
              </w:rPr>
              <w:t>质量目标</w:t>
            </w:r>
            <w:r>
              <w:rPr>
                <w:rFonts w:hint="eastAsia" w:ascii="宋体" w:hAnsi="宋体" w:cs="宋体"/>
                <w:szCs w:val="21"/>
                <w:lang w:val="en-US" w:eastAsia="zh-CN"/>
              </w:rPr>
              <w:t>较为可行</w:t>
            </w:r>
            <w:r>
              <w:rPr>
                <w:rFonts w:hint="eastAsia" w:ascii="宋体" w:hAnsi="宋体" w:cs="宋体"/>
                <w:szCs w:val="21"/>
                <w:lang w:eastAsia="zh-CN"/>
              </w:rPr>
              <w:t>，</w:t>
            </w:r>
            <w:r>
              <w:rPr>
                <w:rFonts w:hint="eastAsia" w:ascii="宋体" w:hAnsi="宋体" w:cs="宋体"/>
                <w:szCs w:val="21"/>
              </w:rPr>
              <w:t>质量保证措施较完善、较可行</w:t>
            </w:r>
            <w:r>
              <w:rPr>
                <w:rFonts w:hint="eastAsia" w:ascii="宋体" w:hAnsi="宋体" w:cs="宋体"/>
                <w:szCs w:val="21"/>
                <w:lang w:val="en-US" w:eastAsia="zh-CN"/>
              </w:rPr>
              <w:t>的</w:t>
            </w:r>
            <w:r>
              <w:rPr>
                <w:rFonts w:hint="eastAsia" w:ascii="宋体" w:hAnsi="宋体" w:cs="宋体"/>
                <w:szCs w:val="21"/>
              </w:rPr>
              <w:t>得[9-6）分；</w:t>
            </w:r>
          </w:p>
          <w:p w14:paraId="00B20BFC">
            <w:pPr>
              <w:adjustRightInd w:val="0"/>
              <w:snapToGrid w:val="0"/>
              <w:spacing w:line="360" w:lineRule="auto"/>
              <w:jc w:val="lef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）施工组织方案</w:t>
            </w:r>
            <w:r>
              <w:rPr>
                <w:rFonts w:hint="eastAsia" w:ascii="宋体" w:hAnsi="宋体" w:cs="宋体"/>
                <w:szCs w:val="21"/>
                <w:lang w:val="en-US" w:eastAsia="zh-CN"/>
              </w:rPr>
              <w:t>基本完善</w:t>
            </w:r>
            <w:r>
              <w:rPr>
                <w:rFonts w:hint="eastAsia" w:ascii="宋体" w:hAnsi="宋体" w:cs="宋体"/>
                <w:szCs w:val="21"/>
                <w:lang w:eastAsia="zh-CN"/>
              </w:rPr>
              <w:t>，</w:t>
            </w:r>
            <w:r>
              <w:rPr>
                <w:rFonts w:hint="eastAsia" w:ascii="宋体" w:hAnsi="宋体" w:cs="宋体"/>
                <w:szCs w:val="21"/>
              </w:rPr>
              <w:t>质量目标</w:t>
            </w:r>
            <w:r>
              <w:rPr>
                <w:rFonts w:hint="eastAsia" w:ascii="宋体" w:hAnsi="宋体" w:cs="宋体"/>
                <w:szCs w:val="21"/>
                <w:lang w:val="en-US" w:eastAsia="zh-CN"/>
              </w:rPr>
              <w:t>基本可行</w:t>
            </w:r>
            <w:r>
              <w:rPr>
                <w:rFonts w:hint="eastAsia" w:ascii="宋体" w:hAnsi="宋体" w:cs="宋体"/>
                <w:szCs w:val="21"/>
                <w:lang w:eastAsia="zh-CN"/>
              </w:rPr>
              <w:t>，</w:t>
            </w:r>
            <w:r>
              <w:rPr>
                <w:rFonts w:hint="eastAsia" w:ascii="宋体" w:hAnsi="宋体" w:cs="宋体"/>
                <w:szCs w:val="21"/>
              </w:rPr>
              <w:t>质量保证措施基本完善、基本可行</w:t>
            </w:r>
            <w:r>
              <w:rPr>
                <w:rFonts w:hint="eastAsia" w:ascii="宋体" w:hAnsi="宋体" w:cs="宋体"/>
                <w:szCs w:val="21"/>
                <w:lang w:val="en-US" w:eastAsia="zh-CN"/>
              </w:rPr>
              <w:t>的</w:t>
            </w:r>
            <w:r>
              <w:rPr>
                <w:rFonts w:hint="eastAsia" w:ascii="宋体" w:hAnsi="宋体" w:cs="宋体"/>
                <w:szCs w:val="21"/>
              </w:rPr>
              <w:t>得[6-3）分；</w:t>
            </w:r>
          </w:p>
          <w:p w14:paraId="00E6045E">
            <w:pPr>
              <w:adjustRightInd w:val="0"/>
              <w:snapToGrid w:val="0"/>
              <w:spacing w:line="360" w:lineRule="auto"/>
              <w:jc w:val="lef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）施工组织方案</w:t>
            </w:r>
            <w:r>
              <w:rPr>
                <w:rFonts w:hint="eastAsia" w:ascii="宋体" w:hAnsi="宋体" w:cs="宋体"/>
                <w:szCs w:val="21"/>
                <w:lang w:val="en-US" w:eastAsia="zh-CN"/>
              </w:rPr>
              <w:t>不完善</w:t>
            </w:r>
            <w:r>
              <w:rPr>
                <w:rFonts w:hint="eastAsia" w:ascii="宋体" w:hAnsi="宋体" w:cs="宋体"/>
                <w:szCs w:val="21"/>
                <w:lang w:eastAsia="zh-CN"/>
              </w:rPr>
              <w:t>，</w:t>
            </w:r>
            <w:r>
              <w:rPr>
                <w:rFonts w:hint="eastAsia" w:ascii="宋体" w:hAnsi="宋体" w:cs="宋体"/>
                <w:szCs w:val="21"/>
              </w:rPr>
              <w:t>质量目标</w:t>
            </w:r>
            <w:r>
              <w:rPr>
                <w:rFonts w:hint="eastAsia" w:ascii="宋体" w:hAnsi="宋体" w:cs="宋体"/>
                <w:szCs w:val="21"/>
                <w:lang w:val="en-US" w:eastAsia="zh-CN"/>
              </w:rPr>
              <w:t>不可行</w:t>
            </w:r>
            <w:r>
              <w:rPr>
                <w:rFonts w:hint="eastAsia" w:ascii="宋体" w:hAnsi="宋体" w:cs="宋体"/>
                <w:szCs w:val="21"/>
                <w:lang w:eastAsia="zh-CN"/>
              </w:rPr>
              <w:t>，</w:t>
            </w:r>
            <w:r>
              <w:rPr>
                <w:rFonts w:hint="eastAsia" w:ascii="宋体" w:hAnsi="宋体" w:cs="宋体"/>
                <w:szCs w:val="21"/>
              </w:rPr>
              <w:t>质量保证措施缺乏完整性、部分不可行</w:t>
            </w:r>
            <w:r>
              <w:rPr>
                <w:rFonts w:hint="eastAsia" w:ascii="宋体" w:hAnsi="宋体" w:cs="宋体"/>
                <w:szCs w:val="21"/>
                <w:lang w:val="en-US" w:eastAsia="zh-CN"/>
              </w:rPr>
              <w:t>的</w:t>
            </w:r>
            <w:r>
              <w:rPr>
                <w:rFonts w:hint="eastAsia" w:ascii="宋体" w:hAnsi="宋体" w:cs="宋体"/>
                <w:szCs w:val="21"/>
              </w:rPr>
              <w:t>得[3-0）；</w:t>
            </w:r>
          </w:p>
          <w:p w14:paraId="722AF9F0">
            <w:pPr>
              <w:adjustRightInd w:val="0"/>
              <w:snapToGrid w:val="0"/>
              <w:spacing w:line="360" w:lineRule="auto"/>
              <w:jc w:val="lef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）不提供内容的，不得分。</w:t>
            </w:r>
          </w:p>
          <w:p w14:paraId="208A5987">
            <w:pPr>
              <w:adjustRightInd w:val="0"/>
              <w:snapToGrid w:val="0"/>
              <w:spacing w:line="360" w:lineRule="auto"/>
              <w:jc w:val="left"/>
              <w:rPr>
                <w:rFonts w:ascii="宋体" w:hAnsi="宋体" w:cs="宋体"/>
                <w:szCs w:val="21"/>
              </w:rPr>
            </w:pPr>
            <w:r>
              <w:rPr>
                <w:rFonts w:hint="eastAsia" w:ascii="宋体" w:hAnsi="宋体" w:cs="宋体"/>
                <w:szCs w:val="21"/>
              </w:rPr>
              <w:t>注：质量保证措施包括但不限于材料保障措施、技术措施、管理措施等。</w:t>
            </w:r>
          </w:p>
        </w:tc>
      </w:tr>
      <w:tr w14:paraId="768C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04" w:type="pct"/>
            <w:vMerge w:val="continue"/>
            <w:vAlign w:val="center"/>
          </w:tcPr>
          <w:p w14:paraId="1BE84B53">
            <w:pPr>
              <w:pStyle w:val="124"/>
              <w:spacing w:line="360" w:lineRule="auto"/>
              <w:rPr>
                <w:rFonts w:ascii="宋体" w:hAnsi="宋体" w:cs="宋体"/>
                <w:b w:val="0"/>
                <w:bCs/>
                <w:szCs w:val="21"/>
              </w:rPr>
            </w:pPr>
          </w:p>
        </w:tc>
        <w:tc>
          <w:tcPr>
            <w:tcW w:w="953" w:type="pct"/>
            <w:gridSpan w:val="2"/>
            <w:vMerge w:val="continue"/>
            <w:vAlign w:val="center"/>
          </w:tcPr>
          <w:p w14:paraId="4A94514C">
            <w:pPr>
              <w:adjustRightInd w:val="0"/>
              <w:snapToGrid w:val="0"/>
              <w:spacing w:line="360" w:lineRule="auto"/>
              <w:jc w:val="left"/>
              <w:rPr>
                <w:rFonts w:ascii="宋体" w:hAnsi="宋体" w:cs="宋体"/>
                <w:szCs w:val="21"/>
              </w:rPr>
            </w:pPr>
          </w:p>
        </w:tc>
        <w:tc>
          <w:tcPr>
            <w:tcW w:w="3642" w:type="pct"/>
            <w:vAlign w:val="center"/>
          </w:tcPr>
          <w:p w14:paraId="3D34EED6">
            <w:pPr>
              <w:pStyle w:val="37"/>
              <w:widowControl/>
              <w:shd w:val="clear" w:color="auto" w:fill="FFFFFF"/>
              <w:spacing w:line="360" w:lineRule="auto"/>
              <w:rPr>
                <w:rFonts w:ascii="宋体" w:hAnsi="宋体" w:cs="宋体"/>
                <w:sz w:val="21"/>
                <w:szCs w:val="21"/>
              </w:rPr>
            </w:pPr>
            <w:r>
              <w:rPr>
                <w:rFonts w:hint="eastAsia" w:ascii="宋体" w:hAnsi="宋体" w:cs="宋体"/>
                <w:b/>
                <w:bCs/>
                <w:sz w:val="21"/>
                <w:szCs w:val="21"/>
              </w:rPr>
              <w:t>定标委员会对合格的中标候选人的进度计划及保障措施进行综合评审，投标人需仔细研究招标文件和施工图纸，针对本项目在已投产园区内进行施工的特点进行编制：</w:t>
            </w:r>
          </w:p>
          <w:p w14:paraId="55C4DCF5">
            <w:pPr>
              <w:adjustRightInd w:val="0"/>
              <w:snapToGrid w:val="0"/>
              <w:spacing w:line="360" w:lineRule="auto"/>
              <w:rPr>
                <w:rFonts w:ascii="宋体" w:hAnsi="宋体" w:cs="宋体"/>
                <w:szCs w:val="21"/>
              </w:rPr>
            </w:pPr>
            <w:r>
              <w:rPr>
                <w:rFonts w:hint="eastAsia" w:ascii="宋体" w:hAnsi="宋体" w:cs="宋体"/>
                <w:szCs w:val="21"/>
              </w:rPr>
              <w:t>（1）施工进度计划安排完善，工期优化方案科学合理，可行性高的得[9-6）分；</w:t>
            </w:r>
          </w:p>
          <w:p w14:paraId="77123C7F">
            <w:pPr>
              <w:adjustRightInd w:val="0"/>
              <w:snapToGrid w:val="0"/>
              <w:spacing w:line="360" w:lineRule="auto"/>
              <w:rPr>
                <w:rFonts w:ascii="宋体" w:hAnsi="宋体" w:cs="宋体"/>
                <w:szCs w:val="21"/>
              </w:rPr>
            </w:pPr>
            <w:r>
              <w:rPr>
                <w:rFonts w:hint="eastAsia" w:ascii="宋体" w:hAnsi="宋体" w:cs="宋体"/>
                <w:szCs w:val="21"/>
              </w:rPr>
              <w:t>（2）施工进度计划安排基本合理，工期优化方案一般，可行性一般的得[6-3）分；</w:t>
            </w:r>
          </w:p>
          <w:p w14:paraId="689307F8">
            <w:pPr>
              <w:adjustRightInd w:val="0"/>
              <w:snapToGrid w:val="0"/>
              <w:spacing w:line="360" w:lineRule="auto"/>
              <w:rPr>
                <w:rFonts w:ascii="宋体" w:hAnsi="宋体" w:cs="宋体"/>
                <w:szCs w:val="21"/>
              </w:rPr>
            </w:pPr>
            <w:r>
              <w:rPr>
                <w:rFonts w:hint="eastAsia" w:ascii="宋体" w:hAnsi="宋体" w:cs="宋体"/>
                <w:szCs w:val="21"/>
              </w:rPr>
              <w:t>（3）施工进度计划安排基本合理，工期优化方案一般，可行性较低的得[3-0）分；</w:t>
            </w:r>
          </w:p>
          <w:p w14:paraId="2C2D6487">
            <w:pPr>
              <w:adjustRightInd w:val="0"/>
              <w:snapToGrid w:val="0"/>
              <w:spacing w:line="360" w:lineRule="auto"/>
              <w:jc w:val="left"/>
              <w:rPr>
                <w:rFonts w:ascii="宋体" w:hAnsi="宋体" w:cs="宋体"/>
                <w:szCs w:val="21"/>
              </w:rPr>
            </w:pPr>
            <w:r>
              <w:rPr>
                <w:rFonts w:hint="eastAsia" w:ascii="宋体" w:hAnsi="宋体" w:cs="宋体"/>
                <w:szCs w:val="21"/>
              </w:rPr>
              <w:t>（4）不提供内容的，不得分。</w:t>
            </w:r>
          </w:p>
          <w:p w14:paraId="05E58D05">
            <w:pPr>
              <w:adjustRightInd w:val="0"/>
              <w:snapToGrid w:val="0"/>
              <w:spacing w:line="360" w:lineRule="auto"/>
              <w:jc w:val="left"/>
              <w:rPr>
                <w:rFonts w:ascii="宋体" w:hAnsi="宋体" w:cs="宋体"/>
                <w:szCs w:val="21"/>
              </w:rPr>
            </w:pPr>
            <w:r>
              <w:rPr>
                <w:rFonts w:hint="eastAsia" w:ascii="宋体" w:hAnsi="宋体" w:cs="宋体"/>
                <w:szCs w:val="21"/>
              </w:rPr>
              <w:t>注：施工进度保证措施包括但不限于进度计划安排、人员机械投入、关键工作进度保证措施、施工部署等。</w:t>
            </w:r>
          </w:p>
        </w:tc>
      </w:tr>
      <w:tr w14:paraId="3CB8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04" w:type="pct"/>
            <w:vMerge w:val="continue"/>
            <w:vAlign w:val="center"/>
          </w:tcPr>
          <w:p w14:paraId="41C431EA">
            <w:pPr>
              <w:pStyle w:val="124"/>
              <w:spacing w:line="360" w:lineRule="auto"/>
              <w:rPr>
                <w:rFonts w:ascii="宋体" w:hAnsi="宋体" w:cs="宋体"/>
                <w:b w:val="0"/>
                <w:bCs/>
                <w:szCs w:val="21"/>
              </w:rPr>
            </w:pPr>
          </w:p>
        </w:tc>
        <w:tc>
          <w:tcPr>
            <w:tcW w:w="953" w:type="pct"/>
            <w:gridSpan w:val="2"/>
            <w:vMerge w:val="continue"/>
            <w:vAlign w:val="center"/>
          </w:tcPr>
          <w:p w14:paraId="7805E111">
            <w:pPr>
              <w:adjustRightInd w:val="0"/>
              <w:snapToGrid w:val="0"/>
              <w:spacing w:line="360" w:lineRule="auto"/>
              <w:jc w:val="left"/>
              <w:rPr>
                <w:rFonts w:ascii="宋体" w:hAnsi="宋体" w:cs="宋体"/>
                <w:szCs w:val="21"/>
              </w:rPr>
            </w:pPr>
          </w:p>
        </w:tc>
        <w:tc>
          <w:tcPr>
            <w:tcW w:w="3642" w:type="pct"/>
            <w:vAlign w:val="center"/>
          </w:tcPr>
          <w:p w14:paraId="0D8B572F">
            <w:pPr>
              <w:pStyle w:val="37"/>
              <w:widowControl/>
              <w:shd w:val="clear" w:color="auto" w:fill="FFFFFF"/>
              <w:spacing w:line="360" w:lineRule="auto"/>
              <w:rPr>
                <w:rFonts w:ascii="宋体" w:hAnsi="宋体" w:cs="宋体"/>
                <w:sz w:val="21"/>
                <w:szCs w:val="21"/>
              </w:rPr>
            </w:pPr>
            <w:r>
              <w:rPr>
                <w:rFonts w:hint="eastAsia" w:ascii="宋体" w:hAnsi="宋体" w:cs="宋体"/>
                <w:b/>
                <w:bCs/>
                <w:sz w:val="21"/>
                <w:szCs w:val="21"/>
              </w:rPr>
              <w:t>定标委员会对合格的中标候选人的总工期时长进行评审：</w:t>
            </w:r>
          </w:p>
          <w:p w14:paraId="4527FFE4">
            <w:pPr>
              <w:adjustRightInd w:val="0"/>
              <w:snapToGrid w:val="0"/>
              <w:spacing w:line="360" w:lineRule="auto"/>
              <w:rPr>
                <w:rFonts w:ascii="宋体" w:hAnsi="宋体" w:cs="宋体"/>
                <w:szCs w:val="21"/>
              </w:rPr>
            </w:pPr>
            <w:r>
              <w:rPr>
                <w:rFonts w:hint="eastAsia" w:ascii="宋体" w:hAnsi="宋体" w:cs="宋体"/>
                <w:szCs w:val="21"/>
              </w:rPr>
              <w:t>在满足招标文件规定工期的基础上，工期缩短10个日历天以上的得5分；工期缩短5-10个日历天（含）的得3分；工期缩短5个日历天以内的得1分。</w:t>
            </w:r>
          </w:p>
        </w:tc>
      </w:tr>
      <w:tr w14:paraId="19A9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404" w:type="pct"/>
            <w:vMerge w:val="continue"/>
            <w:vAlign w:val="center"/>
          </w:tcPr>
          <w:p w14:paraId="46A15983">
            <w:pPr>
              <w:pStyle w:val="124"/>
              <w:spacing w:line="360" w:lineRule="auto"/>
              <w:rPr>
                <w:rFonts w:ascii="宋体" w:hAnsi="宋体" w:cs="宋体"/>
                <w:b w:val="0"/>
                <w:bCs/>
                <w:szCs w:val="21"/>
              </w:rPr>
            </w:pPr>
          </w:p>
        </w:tc>
        <w:tc>
          <w:tcPr>
            <w:tcW w:w="953" w:type="pct"/>
            <w:gridSpan w:val="2"/>
            <w:vMerge w:val="continue"/>
            <w:vAlign w:val="center"/>
          </w:tcPr>
          <w:p w14:paraId="50DA3710">
            <w:pPr>
              <w:adjustRightInd w:val="0"/>
              <w:snapToGrid w:val="0"/>
              <w:spacing w:line="360" w:lineRule="auto"/>
              <w:jc w:val="left"/>
              <w:rPr>
                <w:rFonts w:ascii="宋体" w:hAnsi="宋体" w:cs="宋体"/>
                <w:szCs w:val="21"/>
              </w:rPr>
            </w:pPr>
          </w:p>
        </w:tc>
        <w:tc>
          <w:tcPr>
            <w:tcW w:w="3642" w:type="pct"/>
            <w:vAlign w:val="center"/>
          </w:tcPr>
          <w:p w14:paraId="41B332D9">
            <w:pPr>
              <w:adjustRightInd w:val="0"/>
              <w:snapToGrid w:val="0"/>
              <w:spacing w:line="360" w:lineRule="auto"/>
              <w:jc w:val="left"/>
              <w:rPr>
                <w:rFonts w:ascii="宋体" w:hAnsi="宋体" w:cs="宋体"/>
                <w:szCs w:val="21"/>
              </w:rPr>
            </w:pPr>
            <w:r>
              <w:rPr>
                <w:rFonts w:hint="eastAsia" w:ascii="宋体" w:hAnsi="宋体" w:cs="宋体"/>
                <w:b/>
                <w:bCs/>
                <w:szCs w:val="21"/>
              </w:rPr>
              <w:t>定标委员会对合格的中标候选人的安全文明施工措施进行综合评审，投标人需仔细研究招标文件和施工图纸，针对本项目在已投产园区内进行施工的特点进行编制：</w:t>
            </w:r>
          </w:p>
          <w:p w14:paraId="51A1F5F9">
            <w:pPr>
              <w:adjustRightInd w:val="0"/>
              <w:snapToGrid w:val="0"/>
              <w:spacing w:line="360" w:lineRule="auto"/>
              <w:jc w:val="left"/>
              <w:rPr>
                <w:rFonts w:ascii="宋体" w:hAnsi="宋体" w:cs="宋体"/>
                <w:szCs w:val="21"/>
              </w:rPr>
            </w:pPr>
            <w:r>
              <w:rPr>
                <w:rFonts w:hint="eastAsia" w:ascii="宋体" w:hAnsi="宋体" w:cs="宋体"/>
                <w:szCs w:val="21"/>
              </w:rPr>
              <w:t>（1）针对本项目在已投产园区内进行施工的特点：施工噪音控制、施工扬尘控制、材料堆放保管、施工现场安全围挡、安全运输、安全知识宣传等方面提出切实可行的安全文明施工保证措施，方案详尽得[12-9）分；</w:t>
            </w:r>
          </w:p>
          <w:p w14:paraId="0F14472E">
            <w:pPr>
              <w:adjustRightInd w:val="0"/>
              <w:snapToGrid w:val="0"/>
              <w:spacing w:line="360" w:lineRule="auto"/>
              <w:jc w:val="left"/>
              <w:rPr>
                <w:rFonts w:hint="eastAsia" w:ascii="宋体" w:hAnsi="宋体" w:cs="宋体"/>
                <w:szCs w:val="21"/>
              </w:rPr>
            </w:pPr>
            <w:r>
              <w:rPr>
                <w:rFonts w:hint="eastAsia" w:ascii="宋体" w:hAnsi="宋体" w:cs="宋体"/>
                <w:szCs w:val="21"/>
              </w:rPr>
              <w:t>（2）施工噪音控制、施工扬尘控制、材料堆放保管、施工现场安全围挡、安全运输、安全知识宣传等方面措施较完善、较</w:t>
            </w:r>
            <w:r>
              <w:rPr>
                <w:rFonts w:hint="eastAsia" w:ascii="宋体" w:hAnsi="宋体" w:cs="宋体"/>
                <w:szCs w:val="21"/>
                <w:lang w:val="en-US" w:eastAsia="zh-CN"/>
              </w:rPr>
              <w:t>为</w:t>
            </w:r>
            <w:r>
              <w:rPr>
                <w:rFonts w:hint="eastAsia" w:ascii="宋体" w:hAnsi="宋体" w:cs="宋体"/>
                <w:szCs w:val="21"/>
              </w:rPr>
              <w:t>可行</w:t>
            </w:r>
            <w:r>
              <w:rPr>
                <w:rFonts w:hint="eastAsia" w:ascii="宋体" w:hAnsi="宋体" w:cs="宋体"/>
                <w:szCs w:val="21"/>
                <w:lang w:val="en-US" w:eastAsia="zh-CN"/>
              </w:rPr>
              <w:t>的</w:t>
            </w:r>
            <w:r>
              <w:rPr>
                <w:rFonts w:hint="eastAsia" w:ascii="宋体" w:hAnsi="宋体" w:cs="宋体"/>
                <w:szCs w:val="21"/>
              </w:rPr>
              <w:t>得[9-6）分；</w:t>
            </w:r>
          </w:p>
          <w:p w14:paraId="0BC1965E">
            <w:pPr>
              <w:adjustRightInd w:val="0"/>
              <w:snapToGrid w:val="0"/>
              <w:spacing w:line="360" w:lineRule="auto"/>
              <w:jc w:val="lef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）施工噪音控制、施工扬尘控制、材料堆放保管、施工现场安全围挡、安全运输、安全知识宣传等方面措施基本完善、基本可行</w:t>
            </w:r>
            <w:r>
              <w:rPr>
                <w:rFonts w:hint="eastAsia" w:ascii="宋体" w:hAnsi="宋体" w:cs="宋体"/>
                <w:szCs w:val="21"/>
                <w:lang w:val="en-US" w:eastAsia="zh-CN"/>
              </w:rPr>
              <w:t>的</w:t>
            </w:r>
            <w:r>
              <w:rPr>
                <w:rFonts w:hint="eastAsia" w:ascii="宋体" w:hAnsi="宋体" w:cs="宋体"/>
                <w:szCs w:val="21"/>
              </w:rPr>
              <w:t>得[6-3）分；</w:t>
            </w:r>
          </w:p>
          <w:p w14:paraId="5D71D196">
            <w:pPr>
              <w:adjustRightInd w:val="0"/>
              <w:snapToGrid w:val="0"/>
              <w:spacing w:line="360" w:lineRule="auto"/>
              <w:jc w:val="lef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）施工噪音控制、施工扬尘控制、材料堆放保管、施工现场安全围挡、安全运输、安全知识宣传等方面措施缺乏完整性和可行性</w:t>
            </w:r>
            <w:r>
              <w:rPr>
                <w:rFonts w:hint="eastAsia" w:ascii="宋体" w:hAnsi="宋体" w:cs="宋体"/>
                <w:szCs w:val="21"/>
                <w:lang w:val="en-US" w:eastAsia="zh-CN"/>
              </w:rPr>
              <w:t>的</w:t>
            </w:r>
            <w:r>
              <w:rPr>
                <w:rFonts w:hint="eastAsia" w:ascii="宋体" w:hAnsi="宋体" w:cs="宋体"/>
                <w:szCs w:val="21"/>
              </w:rPr>
              <w:t>得[3-0）分；</w:t>
            </w:r>
          </w:p>
          <w:p w14:paraId="16FC9A9C">
            <w:pPr>
              <w:adjustRightInd w:val="0"/>
              <w:snapToGrid w:val="0"/>
              <w:spacing w:line="360" w:lineRule="auto"/>
              <w:jc w:val="lef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）不提供内容的，不得分。</w:t>
            </w:r>
          </w:p>
        </w:tc>
      </w:tr>
      <w:tr w14:paraId="031C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14:paraId="7B5DC033">
            <w:pPr>
              <w:pStyle w:val="124"/>
              <w:spacing w:line="360" w:lineRule="auto"/>
              <w:rPr>
                <w:rFonts w:ascii="宋体" w:hAnsi="宋体" w:cs="宋体"/>
                <w:b w:val="0"/>
                <w:bCs/>
                <w:szCs w:val="21"/>
              </w:rPr>
            </w:pPr>
            <w:r>
              <w:rPr>
                <w:rFonts w:hint="eastAsia" w:ascii="宋体" w:hAnsi="宋体" w:cs="宋体"/>
                <w:b w:val="0"/>
                <w:bCs/>
                <w:szCs w:val="21"/>
              </w:rPr>
              <w:t>4</w:t>
            </w:r>
          </w:p>
        </w:tc>
        <w:tc>
          <w:tcPr>
            <w:tcW w:w="953" w:type="pct"/>
            <w:gridSpan w:val="2"/>
            <w:vAlign w:val="center"/>
          </w:tcPr>
          <w:p w14:paraId="52FD3D8E">
            <w:pPr>
              <w:adjustRightInd w:val="0"/>
              <w:snapToGrid w:val="0"/>
              <w:spacing w:line="360" w:lineRule="auto"/>
              <w:jc w:val="left"/>
              <w:rPr>
                <w:rFonts w:ascii="宋体" w:hAnsi="宋体" w:cs="宋体"/>
                <w:szCs w:val="21"/>
              </w:rPr>
            </w:pPr>
            <w:r>
              <w:rPr>
                <w:rFonts w:hint="eastAsia" w:ascii="宋体" w:hAnsi="宋体" w:cs="宋体"/>
                <w:szCs w:val="21"/>
              </w:rPr>
              <w:t>价格因素（50分）</w:t>
            </w:r>
          </w:p>
        </w:tc>
        <w:tc>
          <w:tcPr>
            <w:tcW w:w="3642" w:type="pct"/>
            <w:vAlign w:val="center"/>
          </w:tcPr>
          <w:p w14:paraId="39FC56E0">
            <w:pPr>
              <w:pStyle w:val="16"/>
              <w:ind w:firstLine="0" w:firstLineChars="0"/>
              <w:rPr>
                <w:rFonts w:hAnsi="宋体" w:cs="宋体"/>
                <w:sz w:val="21"/>
                <w:szCs w:val="21"/>
                <w:lang w:val="en-US"/>
              </w:rPr>
            </w:pPr>
            <w:r>
              <w:rPr>
                <w:rFonts w:hint="eastAsia" w:hAnsi="宋体" w:cs="宋体"/>
                <w:sz w:val="21"/>
                <w:szCs w:val="21"/>
                <w:lang w:val="en-US"/>
              </w:rPr>
              <w:t>定标委员会对合格中标候选人投标报价进行评审：</w:t>
            </w:r>
          </w:p>
          <w:p w14:paraId="5D5179A3">
            <w:pPr>
              <w:pStyle w:val="16"/>
              <w:ind w:firstLine="0" w:firstLineChars="0"/>
              <w:rPr>
                <w:rFonts w:hAnsi="宋体" w:cs="宋体"/>
                <w:sz w:val="21"/>
                <w:szCs w:val="21"/>
                <w:lang w:val="en-US"/>
              </w:rPr>
            </w:pPr>
            <w:r>
              <w:rPr>
                <w:rFonts w:hint="eastAsia" w:hAnsi="宋体" w:cs="宋体"/>
                <w:sz w:val="21"/>
                <w:szCs w:val="21"/>
                <w:lang w:val="en-US"/>
              </w:rPr>
              <w:t>（1）取全部合格中标候选人的投标报价的最低报价作为评标基准价；</w:t>
            </w:r>
          </w:p>
          <w:p w14:paraId="1D05E0EB">
            <w:pPr>
              <w:pStyle w:val="16"/>
              <w:ind w:firstLine="0" w:firstLineChars="0"/>
              <w:rPr>
                <w:rFonts w:hAnsi="宋体" w:cs="宋体"/>
                <w:sz w:val="21"/>
                <w:szCs w:val="21"/>
                <w:lang w:val="en-US"/>
              </w:rPr>
            </w:pPr>
            <w:r>
              <w:rPr>
                <w:rFonts w:hint="eastAsia" w:hAnsi="宋体" w:cs="宋体"/>
                <w:sz w:val="21"/>
                <w:szCs w:val="21"/>
                <w:lang w:val="en-US"/>
              </w:rPr>
              <w:t>（2）投标报价得分=（评标基准价/投标报价）×50。</w:t>
            </w:r>
          </w:p>
        </w:tc>
      </w:tr>
    </w:tbl>
    <w:p w14:paraId="1D49CCE2">
      <w:pPr>
        <w:pStyle w:val="122"/>
        <w:rPr>
          <w:rFonts w:hint="eastAsia" w:ascii="宋体" w:hAnsi="宋体" w:cs="宋体"/>
          <w:bCs/>
          <w:lang w:val="en-US" w:eastAsia="zh-CN"/>
        </w:rPr>
      </w:pPr>
      <w:r>
        <w:rPr>
          <w:rFonts w:hint="eastAsia" w:ascii="宋体" w:hAnsi="宋体" w:cs="宋体"/>
          <w:bCs/>
        </w:rPr>
        <w:t>注：</w:t>
      </w:r>
      <w:r>
        <w:rPr>
          <w:rFonts w:hint="eastAsia" w:ascii="宋体" w:hAnsi="宋体" w:cs="宋体"/>
          <w:bCs/>
          <w:lang w:eastAsia="zh-CN"/>
        </w:rPr>
        <w:t>（</w:t>
      </w:r>
      <w:r>
        <w:rPr>
          <w:rFonts w:hint="eastAsia" w:ascii="宋体" w:hAnsi="宋体" w:cs="宋体"/>
          <w:bCs/>
          <w:lang w:val="en-US" w:eastAsia="zh-CN"/>
        </w:rPr>
        <w:t>1）项目管理机构人员需提供相对应职称证书等相关证明资料原件扫描件，以及投标人（含分公司）必须提供人员近一个月（2025年9月）购买的社保缴纳证明材料</w:t>
      </w:r>
      <w:r>
        <w:rPr>
          <w:rFonts w:hint="eastAsia" w:ascii="宋体" w:hAnsi="宋体" w:cs="宋体"/>
          <w:bCs/>
        </w:rPr>
        <w:t>（若当地政策允许两个月缴纳一次社保的，可提供2025年8月在投标单位购买社保缴纳证明材料，须同时提供允许隔月缴纳社保的相关证明文件；若当地政府部门允许企业缓缴社会保险费且投标人未缴纳的，投标人可提供当地政府部门允许缓缴社保的相关文件作为缴纳社保的证明）</w:t>
      </w:r>
      <w:r>
        <w:rPr>
          <w:rFonts w:hint="eastAsia" w:ascii="宋体" w:hAnsi="宋体" w:cs="宋体"/>
          <w:bCs/>
          <w:lang w:val="en-US" w:eastAsia="zh-CN"/>
        </w:rPr>
        <w:t>并加盖投标人印章（已退休人员提供退休证明及返聘证明）。若提供在子公司购买的社保缴纳证明材料则不得分；未按要求提供完整相关资料的人员，该人员不作为评分依据。中标后需提供投标文件中人员的社保补缴情况相关证明报招标人核实。</w:t>
      </w:r>
    </w:p>
    <w:p w14:paraId="56E18D23">
      <w:pPr>
        <w:pStyle w:val="122"/>
        <w:rPr>
          <w:rFonts w:hint="eastAsia" w:ascii="宋体" w:hAnsi="宋体" w:cs="宋体"/>
          <w:bCs/>
          <w:lang w:val="en-US" w:eastAsia="zh-CN"/>
        </w:rPr>
      </w:pPr>
      <w:r>
        <w:rPr>
          <w:rFonts w:hint="eastAsia" w:ascii="宋体" w:hAnsi="宋体" w:cs="宋体"/>
          <w:bCs/>
          <w:lang w:val="en-US" w:eastAsia="zh-CN"/>
        </w:rPr>
        <w:t>如相同岗位投入人员姓名与投标人提供的施工项目管理团队人员信息表不一致的，以施工项目管理团队人员信息表中姓名为准；投标人提供的团队人员职称或资格（含证书编号）情况与施工项目管理团队人员信息表不一致的，以投标人提供的相关证明材料为准。一人多证的，按最高级别仅计取一次得分。所有人员均不得兼任，否则兼任人员不计分。</w:t>
      </w:r>
    </w:p>
    <w:p w14:paraId="525BC23A">
      <w:pPr>
        <w:pStyle w:val="122"/>
        <w:rPr>
          <w:rFonts w:hint="default" w:ascii="宋体" w:hAnsi="宋体" w:cs="宋体"/>
          <w:bCs/>
          <w:lang w:val="en-US" w:eastAsia="zh-CN"/>
        </w:rPr>
      </w:pPr>
      <w:r>
        <w:rPr>
          <w:rFonts w:hint="eastAsia" w:ascii="宋体" w:hAnsi="宋体" w:cs="宋体"/>
          <w:bCs/>
          <w:lang w:val="en-US" w:eastAsia="zh-CN"/>
        </w:rPr>
        <w:t>（2）</w:t>
      </w:r>
      <w:r>
        <w:rPr>
          <w:rFonts w:hint="default" w:ascii="宋体" w:hAnsi="宋体" w:cs="宋体"/>
          <w:bCs/>
          <w:lang w:val="en-US" w:eastAsia="zh-CN"/>
        </w:rPr>
        <w:t>本表按百分制评分，所有评委总分汇总后的算术平均值为投标人的最终得分。分数出现小数点，保留小数点后二位小数，第三位小数四舍五入。投标人满足多个档次的，按最高档得分。</w:t>
      </w:r>
    </w:p>
    <w:p w14:paraId="055BBBAD">
      <w:pPr>
        <w:pStyle w:val="122"/>
        <w:widowControl/>
        <w:rPr>
          <w:rFonts w:hint="default" w:ascii="宋体" w:hAnsi="宋体" w:eastAsia="宋体" w:cs="宋体"/>
          <w:bCs/>
          <w:lang w:val="en-US" w:eastAsia="zh-CN"/>
        </w:rPr>
      </w:pPr>
      <w:r>
        <w:rPr>
          <w:rFonts w:hint="eastAsia" w:ascii="宋体" w:hAnsi="宋体" w:cs="宋体"/>
          <w:bCs/>
          <w:lang w:eastAsia="zh-CN"/>
        </w:rPr>
        <w:t>（</w:t>
      </w:r>
      <w:r>
        <w:rPr>
          <w:rFonts w:hint="eastAsia" w:ascii="宋体" w:hAnsi="宋体" w:cs="宋体"/>
          <w:bCs/>
          <w:lang w:val="en-US" w:eastAsia="zh-CN"/>
        </w:rPr>
        <w:t>3）上表分值中“[”“]”表示包含本数，“（”“）”表示不包含本数。</w:t>
      </w:r>
    </w:p>
    <w:p w14:paraId="78BA36F4">
      <w:pPr>
        <w:pStyle w:val="122"/>
        <w:widowControl/>
        <w:rPr>
          <w:rFonts w:ascii="宋体" w:hAnsi="宋体" w:cs="宋体"/>
          <w:bCs/>
        </w:rPr>
        <w:sectPr>
          <w:endnotePr>
            <w:numFmt w:val="decimal"/>
          </w:endnotePr>
          <w:pgSz w:w="11906" w:h="16838"/>
          <w:pgMar w:top="1440" w:right="1803" w:bottom="1440" w:left="1803" w:header="851" w:footer="907" w:gutter="0"/>
          <w:cols w:space="720" w:num="1"/>
          <w:titlePg/>
          <w:docGrid w:type="lines" w:linePitch="317" w:charSpace="0"/>
        </w:sectPr>
      </w:pPr>
      <w:r>
        <w:rPr>
          <w:rFonts w:hint="eastAsia" w:ascii="宋体" w:hAnsi="宋体" w:cs="宋体"/>
          <w:bCs/>
          <w:lang w:eastAsia="zh-CN"/>
        </w:rPr>
        <w:t>（</w:t>
      </w:r>
      <w:r>
        <w:rPr>
          <w:rFonts w:hint="eastAsia" w:ascii="宋体" w:hAnsi="宋体" w:cs="宋体"/>
          <w:bCs/>
          <w:lang w:val="en-US" w:eastAsia="zh-CN"/>
        </w:rPr>
        <w:t>4</w:t>
      </w:r>
      <w:r>
        <w:rPr>
          <w:rFonts w:hint="eastAsia" w:ascii="宋体" w:hAnsi="宋体" w:cs="宋体"/>
          <w:bCs/>
          <w:lang w:eastAsia="zh-CN"/>
        </w:rPr>
        <w:t>）</w:t>
      </w:r>
      <w:r>
        <w:rPr>
          <w:rFonts w:hint="eastAsia" w:ascii="宋体" w:hAnsi="宋体" w:cs="宋体"/>
          <w:bCs/>
        </w:rPr>
        <w:t>技术部分应突出重点，标准、规范中已有的内容无需赘述，一般篇幅不宜超过150页；超过部分不予评审。</w:t>
      </w:r>
    </w:p>
    <w:p w14:paraId="6215780E">
      <w:pPr>
        <w:pStyle w:val="3"/>
        <w:spacing w:before="0" w:after="0"/>
        <w:jc w:val="center"/>
        <w:rPr>
          <w:rFonts w:ascii="宋体" w:hAnsi="宋体" w:cs="宋体"/>
          <w:sz w:val="32"/>
          <w:szCs w:val="32"/>
        </w:rPr>
      </w:pPr>
      <w:r>
        <w:rPr>
          <w:rFonts w:hint="eastAsia" w:ascii="宋体" w:hAnsi="宋体" w:cs="宋体"/>
          <w:sz w:val="32"/>
          <w:szCs w:val="32"/>
        </w:rPr>
        <w:t>第三章  合同条款</w:t>
      </w:r>
      <w:bookmarkEnd w:id="32"/>
    </w:p>
    <w:p w14:paraId="4616AB6D">
      <w:pPr>
        <w:spacing w:line="360" w:lineRule="auto"/>
        <w:jc w:val="center"/>
        <w:rPr>
          <w:rFonts w:ascii="宋体" w:hAnsi="宋体" w:cs="宋体"/>
          <w:b/>
          <w:sz w:val="28"/>
          <w:szCs w:val="28"/>
        </w:rPr>
      </w:pPr>
      <w:r>
        <w:rPr>
          <w:rFonts w:hint="eastAsia" w:ascii="宋体" w:hAnsi="宋体" w:cs="宋体"/>
          <w:sz w:val="28"/>
          <w:szCs w:val="28"/>
        </w:rPr>
        <w:t>（另册）</w:t>
      </w:r>
    </w:p>
    <w:p w14:paraId="225CEB71">
      <w:pPr>
        <w:pStyle w:val="3"/>
        <w:numPr>
          <w:ilvl w:val="0"/>
          <w:numId w:val="2"/>
        </w:numPr>
        <w:spacing w:before="0" w:after="0"/>
        <w:jc w:val="center"/>
        <w:rPr>
          <w:rFonts w:ascii="宋体" w:hAnsi="宋体" w:cs="宋体"/>
          <w:sz w:val="32"/>
          <w:szCs w:val="32"/>
        </w:rPr>
      </w:pPr>
      <w:bookmarkStart w:id="34" w:name="_Toc3417"/>
      <w:r>
        <w:rPr>
          <w:rFonts w:hint="eastAsia" w:ascii="宋体" w:hAnsi="宋体" w:cs="宋体"/>
          <w:sz w:val="32"/>
          <w:szCs w:val="32"/>
        </w:rPr>
        <w:br w:type="page"/>
      </w:r>
      <w:r>
        <w:rPr>
          <w:rFonts w:hint="eastAsia" w:ascii="宋体" w:hAnsi="宋体" w:cs="宋体"/>
          <w:sz w:val="32"/>
          <w:szCs w:val="32"/>
        </w:rPr>
        <w:t>投标文件格式</w:t>
      </w:r>
      <w:bookmarkEnd w:id="34"/>
    </w:p>
    <w:p w14:paraId="677482C5">
      <w:pPr>
        <w:topLinePunct/>
        <w:adjustRightInd w:val="0"/>
        <w:snapToGrid w:val="0"/>
        <w:spacing w:line="360" w:lineRule="auto"/>
        <w:jc w:val="center"/>
        <w:outlineLvl w:val="1"/>
        <w:rPr>
          <w:rFonts w:ascii="宋体" w:hAnsi="宋体" w:cs="宋体"/>
          <w:b/>
          <w:snapToGrid w:val="0"/>
          <w:spacing w:val="4"/>
          <w:kern w:val="0"/>
          <w:sz w:val="30"/>
          <w:szCs w:val="30"/>
        </w:rPr>
      </w:pPr>
      <w:bookmarkStart w:id="35" w:name="_Toc8084"/>
      <w:bookmarkStart w:id="36" w:name="_Toc20786"/>
      <w:bookmarkStart w:id="37" w:name="_Toc62134853"/>
      <w:bookmarkStart w:id="38" w:name="_Toc14697646"/>
      <w:bookmarkStart w:id="39" w:name="_Toc7019446"/>
      <w:r>
        <w:rPr>
          <w:rFonts w:hint="eastAsia" w:ascii="宋体" w:hAnsi="宋体" w:cs="宋体"/>
          <w:b/>
          <w:snapToGrid w:val="0"/>
          <w:spacing w:val="4"/>
          <w:kern w:val="0"/>
          <w:sz w:val="30"/>
          <w:szCs w:val="30"/>
        </w:rPr>
        <w:t>一、技术标投标文件格式</w:t>
      </w:r>
      <w:bookmarkEnd w:id="35"/>
      <w:bookmarkEnd w:id="36"/>
      <w:bookmarkEnd w:id="37"/>
      <w:bookmarkEnd w:id="38"/>
      <w:bookmarkEnd w:id="39"/>
    </w:p>
    <w:p w14:paraId="3DB8B7DB">
      <w:pPr>
        <w:widowControl/>
        <w:spacing w:before="100" w:beforeAutospacing="1" w:after="100" w:afterAutospacing="1"/>
        <w:jc w:val="left"/>
        <w:outlineLvl w:val="2"/>
        <w:rPr>
          <w:rFonts w:ascii="宋体" w:hAnsi="宋体" w:cs="宋体"/>
          <w:b/>
          <w:kern w:val="0"/>
          <w:sz w:val="24"/>
          <w:szCs w:val="24"/>
        </w:rPr>
      </w:pPr>
      <w:bookmarkStart w:id="40" w:name="_Toc7478"/>
      <w:bookmarkStart w:id="41" w:name="_Toc4489937"/>
      <w:bookmarkStart w:id="42" w:name="_Toc504722505"/>
      <w:bookmarkStart w:id="43" w:name="_Toc14697649"/>
      <w:bookmarkStart w:id="44" w:name="_Toc22278"/>
      <w:bookmarkStart w:id="45" w:name="_Toc62134856"/>
      <w:r>
        <w:rPr>
          <w:rFonts w:hint="eastAsia" w:ascii="宋体" w:hAnsi="宋体" w:cs="宋体"/>
          <w:b/>
          <w:kern w:val="0"/>
          <w:sz w:val="24"/>
          <w:szCs w:val="24"/>
        </w:rPr>
        <w:t>格式一：技术标封面</w:t>
      </w:r>
      <w:bookmarkEnd w:id="40"/>
    </w:p>
    <w:p w14:paraId="45FE4730">
      <w:pPr>
        <w:topLinePunct/>
        <w:adjustRightInd w:val="0"/>
        <w:snapToGrid w:val="0"/>
        <w:spacing w:line="360" w:lineRule="auto"/>
        <w:ind w:firstLine="496" w:firstLineChars="200"/>
        <w:rPr>
          <w:rFonts w:ascii="宋体" w:hAnsi="宋体" w:cs="宋体"/>
          <w:snapToGrid w:val="0"/>
          <w:spacing w:val="4"/>
          <w:kern w:val="0"/>
          <w:sz w:val="24"/>
          <w:szCs w:val="24"/>
        </w:rPr>
      </w:pPr>
    </w:p>
    <w:p w14:paraId="0C23F20F">
      <w:pPr>
        <w:topLinePunct/>
        <w:adjustRightInd w:val="0"/>
        <w:snapToGrid w:val="0"/>
        <w:spacing w:line="360" w:lineRule="auto"/>
        <w:ind w:firstLine="496" w:firstLineChars="200"/>
        <w:rPr>
          <w:rFonts w:ascii="宋体" w:hAnsi="宋体" w:cs="宋体"/>
          <w:snapToGrid w:val="0"/>
          <w:spacing w:val="4"/>
          <w:kern w:val="0"/>
          <w:sz w:val="24"/>
          <w:szCs w:val="24"/>
        </w:rPr>
      </w:pPr>
    </w:p>
    <w:p w14:paraId="3696318F">
      <w:pPr>
        <w:topLinePunct/>
        <w:adjustRightInd w:val="0"/>
        <w:snapToGrid w:val="0"/>
        <w:spacing w:line="360" w:lineRule="auto"/>
        <w:ind w:firstLine="496" w:firstLineChars="200"/>
        <w:rPr>
          <w:rFonts w:ascii="宋体" w:hAnsi="宋体" w:cs="宋体"/>
          <w:snapToGrid w:val="0"/>
          <w:spacing w:val="4"/>
          <w:kern w:val="0"/>
          <w:sz w:val="24"/>
          <w:szCs w:val="24"/>
        </w:rPr>
      </w:pPr>
    </w:p>
    <w:p w14:paraId="2FBE55FD">
      <w:pPr>
        <w:topLinePunct/>
        <w:adjustRightInd w:val="0"/>
        <w:snapToGrid w:val="0"/>
        <w:spacing w:line="360" w:lineRule="auto"/>
        <w:jc w:val="center"/>
        <w:rPr>
          <w:rFonts w:ascii="宋体" w:hAnsi="宋体" w:cs="宋体"/>
          <w:snapToGrid w:val="0"/>
          <w:spacing w:val="4"/>
          <w:kern w:val="0"/>
          <w:sz w:val="36"/>
          <w:szCs w:val="36"/>
          <w:u w:val="single"/>
        </w:rPr>
      </w:pPr>
      <w:r>
        <w:rPr>
          <w:rFonts w:hint="eastAsia" w:ascii="宋体" w:hAnsi="宋体" w:cs="宋体"/>
          <w:snapToGrid w:val="0"/>
          <w:spacing w:val="4"/>
          <w:kern w:val="0"/>
          <w:sz w:val="36"/>
          <w:szCs w:val="36"/>
          <w:u w:val="single"/>
        </w:rPr>
        <w:t xml:space="preserve">[工程名称] </w:t>
      </w:r>
    </w:p>
    <w:p w14:paraId="021DC03E">
      <w:pPr>
        <w:topLinePunct/>
        <w:adjustRightInd w:val="0"/>
        <w:snapToGrid w:val="0"/>
        <w:spacing w:line="360" w:lineRule="auto"/>
        <w:ind w:firstLine="496" w:firstLineChars="200"/>
        <w:rPr>
          <w:rFonts w:ascii="宋体" w:hAnsi="宋体" w:cs="宋体"/>
          <w:snapToGrid w:val="0"/>
          <w:spacing w:val="4"/>
          <w:kern w:val="0"/>
          <w:sz w:val="24"/>
          <w:szCs w:val="24"/>
        </w:rPr>
      </w:pPr>
    </w:p>
    <w:p w14:paraId="57DA7580">
      <w:pPr>
        <w:topLinePunct/>
        <w:adjustRightInd w:val="0"/>
        <w:snapToGrid w:val="0"/>
        <w:spacing w:line="360" w:lineRule="auto"/>
        <w:ind w:firstLine="496" w:firstLineChars="200"/>
        <w:rPr>
          <w:rFonts w:ascii="宋体" w:hAnsi="宋体" w:cs="宋体"/>
          <w:snapToGrid w:val="0"/>
          <w:spacing w:val="4"/>
          <w:kern w:val="0"/>
          <w:sz w:val="24"/>
          <w:szCs w:val="24"/>
        </w:rPr>
      </w:pPr>
    </w:p>
    <w:p w14:paraId="7B8204B9">
      <w:pPr>
        <w:topLinePunct/>
        <w:adjustRightInd w:val="0"/>
        <w:snapToGrid w:val="0"/>
        <w:spacing w:line="360" w:lineRule="auto"/>
        <w:ind w:firstLine="496" w:firstLineChars="200"/>
        <w:rPr>
          <w:rFonts w:ascii="宋体" w:hAnsi="宋体" w:cs="宋体"/>
          <w:snapToGrid w:val="0"/>
          <w:spacing w:val="4"/>
          <w:kern w:val="0"/>
          <w:sz w:val="24"/>
          <w:szCs w:val="24"/>
        </w:rPr>
      </w:pPr>
    </w:p>
    <w:p w14:paraId="5A9B35F9">
      <w:pPr>
        <w:topLinePunct/>
        <w:adjustRightInd w:val="0"/>
        <w:snapToGrid w:val="0"/>
        <w:spacing w:line="360" w:lineRule="auto"/>
        <w:ind w:firstLine="496" w:firstLineChars="200"/>
        <w:rPr>
          <w:rFonts w:ascii="宋体" w:hAnsi="宋体" w:cs="宋体"/>
          <w:snapToGrid w:val="0"/>
          <w:spacing w:val="4"/>
          <w:kern w:val="0"/>
          <w:sz w:val="24"/>
          <w:szCs w:val="24"/>
        </w:rPr>
      </w:pPr>
    </w:p>
    <w:p w14:paraId="0C987A42">
      <w:pPr>
        <w:topLinePunct/>
        <w:adjustRightInd w:val="0"/>
        <w:snapToGrid w:val="0"/>
        <w:spacing w:line="360" w:lineRule="auto"/>
        <w:jc w:val="center"/>
        <w:rPr>
          <w:rFonts w:ascii="宋体" w:hAnsi="宋体" w:cs="宋体"/>
          <w:snapToGrid w:val="0"/>
          <w:spacing w:val="4"/>
          <w:kern w:val="0"/>
          <w:sz w:val="84"/>
          <w:szCs w:val="84"/>
        </w:rPr>
      </w:pPr>
      <w:r>
        <w:rPr>
          <w:rFonts w:hint="eastAsia" w:ascii="宋体" w:hAnsi="宋体" w:cs="宋体"/>
          <w:snapToGrid w:val="0"/>
          <w:spacing w:val="4"/>
          <w:kern w:val="0"/>
          <w:sz w:val="84"/>
          <w:szCs w:val="84"/>
        </w:rPr>
        <w:t>投标文件</w:t>
      </w:r>
    </w:p>
    <w:p w14:paraId="755035F5">
      <w:pPr>
        <w:topLinePunct/>
        <w:adjustRightInd w:val="0"/>
        <w:snapToGrid w:val="0"/>
        <w:spacing w:line="360" w:lineRule="auto"/>
        <w:jc w:val="center"/>
        <w:rPr>
          <w:rFonts w:ascii="宋体" w:hAnsi="宋体" w:cs="宋体"/>
          <w:snapToGrid w:val="0"/>
          <w:spacing w:val="4"/>
          <w:kern w:val="0"/>
          <w:sz w:val="36"/>
          <w:szCs w:val="36"/>
        </w:rPr>
      </w:pPr>
      <w:r>
        <w:rPr>
          <w:rFonts w:hint="eastAsia" w:ascii="宋体" w:hAnsi="宋体" w:cs="宋体"/>
          <w:snapToGrid w:val="0"/>
          <w:spacing w:val="4"/>
          <w:kern w:val="0"/>
          <w:sz w:val="36"/>
          <w:szCs w:val="36"/>
        </w:rPr>
        <w:t>第一册  【技术投标文件（含资格审查文件）】</w:t>
      </w:r>
    </w:p>
    <w:p w14:paraId="138C00B0">
      <w:pPr>
        <w:topLinePunct/>
        <w:adjustRightInd w:val="0"/>
        <w:snapToGrid w:val="0"/>
        <w:spacing w:line="360" w:lineRule="auto"/>
        <w:ind w:firstLine="496" w:firstLineChars="200"/>
        <w:rPr>
          <w:rFonts w:ascii="宋体" w:hAnsi="宋体" w:cs="宋体"/>
          <w:snapToGrid w:val="0"/>
          <w:spacing w:val="4"/>
          <w:kern w:val="0"/>
          <w:sz w:val="24"/>
          <w:szCs w:val="24"/>
        </w:rPr>
      </w:pPr>
    </w:p>
    <w:p w14:paraId="4BD76F82">
      <w:pPr>
        <w:topLinePunct/>
        <w:adjustRightInd w:val="0"/>
        <w:snapToGrid w:val="0"/>
        <w:spacing w:line="360" w:lineRule="auto"/>
        <w:ind w:firstLine="496" w:firstLineChars="200"/>
        <w:rPr>
          <w:rFonts w:ascii="宋体" w:hAnsi="宋体" w:cs="宋体"/>
          <w:snapToGrid w:val="0"/>
          <w:spacing w:val="4"/>
          <w:kern w:val="0"/>
          <w:sz w:val="24"/>
          <w:szCs w:val="24"/>
        </w:rPr>
      </w:pPr>
    </w:p>
    <w:p w14:paraId="508A87EA">
      <w:pPr>
        <w:topLinePunct/>
        <w:adjustRightInd w:val="0"/>
        <w:snapToGrid w:val="0"/>
        <w:spacing w:line="360" w:lineRule="auto"/>
        <w:ind w:firstLine="496" w:firstLineChars="200"/>
        <w:rPr>
          <w:rFonts w:ascii="宋体" w:hAnsi="宋体" w:cs="宋体"/>
          <w:snapToGrid w:val="0"/>
          <w:spacing w:val="4"/>
          <w:kern w:val="0"/>
          <w:sz w:val="24"/>
          <w:szCs w:val="24"/>
        </w:rPr>
      </w:pPr>
    </w:p>
    <w:p w14:paraId="17B2DB37">
      <w:pPr>
        <w:topLinePunct/>
        <w:adjustRightInd w:val="0"/>
        <w:snapToGrid w:val="0"/>
        <w:spacing w:line="360" w:lineRule="auto"/>
        <w:ind w:firstLine="496" w:firstLineChars="200"/>
        <w:rPr>
          <w:rFonts w:ascii="宋体" w:hAnsi="宋体" w:cs="宋体"/>
          <w:snapToGrid w:val="0"/>
          <w:spacing w:val="4"/>
          <w:kern w:val="0"/>
          <w:sz w:val="24"/>
          <w:szCs w:val="24"/>
        </w:rPr>
      </w:pPr>
    </w:p>
    <w:p w14:paraId="146CE0E0">
      <w:pPr>
        <w:topLinePunct/>
        <w:adjustRightInd w:val="0"/>
        <w:snapToGrid w:val="0"/>
        <w:spacing w:line="360" w:lineRule="auto"/>
        <w:ind w:firstLine="496" w:firstLineChars="200"/>
        <w:rPr>
          <w:rFonts w:ascii="宋体" w:hAnsi="宋体" w:cs="宋体"/>
          <w:snapToGrid w:val="0"/>
          <w:spacing w:val="4"/>
          <w:kern w:val="0"/>
          <w:sz w:val="24"/>
          <w:szCs w:val="24"/>
        </w:rPr>
      </w:pPr>
    </w:p>
    <w:p w14:paraId="2DF1C77B">
      <w:pPr>
        <w:topLinePunct/>
        <w:adjustRightInd w:val="0"/>
        <w:snapToGrid w:val="0"/>
        <w:spacing w:line="360" w:lineRule="auto"/>
        <w:ind w:firstLine="496" w:firstLineChars="200"/>
        <w:rPr>
          <w:rFonts w:ascii="宋体" w:hAnsi="宋体" w:cs="宋体"/>
          <w:snapToGrid w:val="0"/>
          <w:spacing w:val="4"/>
          <w:kern w:val="0"/>
          <w:sz w:val="24"/>
          <w:szCs w:val="24"/>
        </w:rPr>
      </w:pPr>
    </w:p>
    <w:p w14:paraId="0725F32E">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投标人：</w:t>
      </w:r>
      <w:r>
        <w:rPr>
          <w:rFonts w:hint="eastAsia" w:ascii="宋体" w:hAnsi="宋体" w:cs="宋体"/>
          <w:snapToGrid w:val="0"/>
          <w:spacing w:val="4"/>
          <w:kern w:val="0"/>
          <w:sz w:val="30"/>
          <w:szCs w:val="30"/>
          <w:u w:val="single"/>
        </w:rPr>
        <w:t xml:space="preserve">    （填写投标人单位名称）    </w:t>
      </w:r>
    </w:p>
    <w:p w14:paraId="45EA473D">
      <w:pPr>
        <w:topLinePunct/>
        <w:adjustRightInd w:val="0"/>
        <w:snapToGrid w:val="0"/>
        <w:spacing w:line="360" w:lineRule="auto"/>
        <w:ind w:firstLine="616" w:firstLineChars="200"/>
        <w:jc w:val="left"/>
        <w:rPr>
          <w:rFonts w:ascii="宋体" w:hAnsi="宋体" w:cs="宋体"/>
          <w:snapToGrid w:val="0"/>
          <w:spacing w:val="4"/>
          <w:kern w:val="0"/>
          <w:sz w:val="30"/>
          <w:szCs w:val="30"/>
        </w:rPr>
      </w:pPr>
    </w:p>
    <w:p w14:paraId="18F4F095">
      <w:pPr>
        <w:topLinePunct/>
        <w:adjustRightInd w:val="0"/>
        <w:snapToGrid w:val="0"/>
        <w:spacing w:line="360" w:lineRule="auto"/>
        <w:ind w:firstLine="616" w:firstLineChars="200"/>
        <w:jc w:val="left"/>
        <w:rPr>
          <w:rFonts w:ascii="宋体" w:hAnsi="宋体" w:cs="宋体"/>
          <w:snapToGrid w:val="0"/>
          <w:spacing w:val="4"/>
          <w:kern w:val="0"/>
          <w:sz w:val="24"/>
          <w:szCs w:val="24"/>
        </w:rPr>
      </w:pPr>
      <w:r>
        <w:rPr>
          <w:rFonts w:hint="eastAsia" w:ascii="宋体" w:hAnsi="宋体" w:cs="宋体"/>
          <w:snapToGrid w:val="0"/>
          <w:spacing w:val="4"/>
          <w:kern w:val="0"/>
          <w:sz w:val="30"/>
          <w:szCs w:val="30"/>
        </w:rPr>
        <w:t>日  期：</w:t>
      </w:r>
      <w:r>
        <w:rPr>
          <w:rFonts w:hint="eastAsia" w:ascii="宋体" w:hAnsi="宋体" w:cs="宋体"/>
          <w:snapToGrid w:val="0"/>
          <w:spacing w:val="4"/>
          <w:kern w:val="0"/>
          <w:sz w:val="30"/>
          <w:szCs w:val="30"/>
          <w:u w:val="single"/>
        </w:rPr>
        <w:t xml:space="preserve">                                            </w:t>
      </w:r>
    </w:p>
    <w:p w14:paraId="172111CD">
      <w:pPr>
        <w:rPr>
          <w:rFonts w:ascii="宋体" w:hAnsi="宋体" w:cs="宋体"/>
          <w:sz w:val="24"/>
          <w:szCs w:val="24"/>
        </w:rPr>
      </w:pPr>
    </w:p>
    <w:p w14:paraId="15FA02D8">
      <w:pPr>
        <w:rPr>
          <w:rFonts w:ascii="宋体" w:hAnsi="宋体" w:cs="宋体"/>
          <w:spacing w:val="4"/>
          <w:kern w:val="0"/>
          <w:sz w:val="24"/>
          <w:szCs w:val="24"/>
        </w:rPr>
      </w:pPr>
      <w:r>
        <w:rPr>
          <w:rFonts w:hint="eastAsia" w:ascii="宋体" w:hAnsi="宋体" w:cs="宋体"/>
          <w:sz w:val="24"/>
          <w:szCs w:val="24"/>
        </w:rPr>
        <w:br w:type="page"/>
      </w:r>
      <w:r>
        <w:rPr>
          <w:rFonts w:hint="eastAsia" w:ascii="宋体" w:hAnsi="宋体" w:cs="宋体"/>
          <w:spacing w:val="4"/>
          <w:kern w:val="0"/>
          <w:sz w:val="24"/>
          <w:szCs w:val="24"/>
        </w:rPr>
        <w:t>格式一-1：目录</w:t>
      </w:r>
    </w:p>
    <w:p w14:paraId="45DB0777">
      <w:pPr>
        <w:autoSpaceDE w:val="0"/>
        <w:autoSpaceDN w:val="0"/>
        <w:adjustRightInd w:val="0"/>
        <w:jc w:val="center"/>
        <w:rPr>
          <w:rFonts w:ascii="宋体" w:hAnsi="宋体" w:cs="宋体"/>
          <w:b/>
          <w:bCs/>
          <w:sz w:val="52"/>
          <w:szCs w:val="52"/>
        </w:rPr>
      </w:pPr>
      <w:r>
        <w:rPr>
          <w:rFonts w:hint="eastAsia" w:ascii="宋体" w:hAnsi="宋体" w:cs="宋体"/>
          <w:b/>
          <w:bCs/>
          <w:sz w:val="44"/>
          <w:szCs w:val="44"/>
          <w:lang w:val="zh-CN"/>
        </w:rPr>
        <w:t>目录</w:t>
      </w:r>
    </w:p>
    <w:p w14:paraId="506854DD">
      <w:pPr>
        <w:tabs>
          <w:tab w:val="left" w:pos="720"/>
        </w:tabs>
        <w:snapToGrid w:val="0"/>
        <w:spacing w:line="360" w:lineRule="auto"/>
        <w:jc w:val="center"/>
        <w:rPr>
          <w:rFonts w:ascii="宋体" w:hAnsi="宋体" w:cs="宋体"/>
          <w:sz w:val="24"/>
          <w:szCs w:val="24"/>
        </w:rPr>
      </w:pPr>
    </w:p>
    <w:p w14:paraId="525E389F">
      <w:pPr>
        <w:tabs>
          <w:tab w:val="left" w:pos="720"/>
        </w:tabs>
        <w:snapToGrid w:val="0"/>
        <w:spacing w:line="360" w:lineRule="auto"/>
        <w:jc w:val="center"/>
        <w:rPr>
          <w:rFonts w:ascii="宋体" w:hAnsi="宋体" w:cs="宋体"/>
          <w:sz w:val="24"/>
          <w:szCs w:val="24"/>
        </w:rPr>
      </w:pPr>
      <w:r>
        <w:rPr>
          <w:rFonts w:hint="eastAsia" w:ascii="宋体" w:hAnsi="宋体" w:cs="宋体"/>
          <w:sz w:val="24"/>
          <w:szCs w:val="24"/>
        </w:rPr>
        <w:t>（格式自拟，需标明页码）</w:t>
      </w:r>
    </w:p>
    <w:p w14:paraId="7E625665">
      <w:pPr>
        <w:pStyle w:val="38"/>
        <w:ind w:left="0" w:leftChars="0"/>
        <w:rPr>
          <w:rFonts w:ascii="宋体" w:hAnsi="宋体" w:cs="宋体"/>
          <w:szCs w:val="20"/>
        </w:rPr>
      </w:pPr>
    </w:p>
    <w:p w14:paraId="51997991">
      <w:pPr>
        <w:tabs>
          <w:tab w:val="left" w:pos="720"/>
        </w:tabs>
        <w:snapToGrid w:val="0"/>
        <w:spacing w:line="360" w:lineRule="auto"/>
        <w:jc w:val="left"/>
        <w:rPr>
          <w:rFonts w:ascii="宋体" w:hAnsi="宋体" w:cs="宋体"/>
          <w:sz w:val="24"/>
          <w:szCs w:val="24"/>
        </w:rPr>
      </w:pPr>
      <w:r>
        <w:rPr>
          <w:rFonts w:hint="eastAsia" w:ascii="宋体" w:hAnsi="宋体" w:cs="宋体"/>
          <w:sz w:val="24"/>
          <w:szCs w:val="24"/>
        </w:rPr>
        <w:t>注：本目录不作为技术标有效性审查的否决性审查内容。</w:t>
      </w:r>
    </w:p>
    <w:p w14:paraId="3E180A2F">
      <w:pPr>
        <w:rPr>
          <w:rFonts w:ascii="宋体" w:hAnsi="宋体" w:cs="宋体"/>
          <w:sz w:val="24"/>
          <w:szCs w:val="24"/>
        </w:rPr>
      </w:pPr>
    </w:p>
    <w:p w14:paraId="6DB09BC1">
      <w:pPr>
        <w:widowControl/>
        <w:spacing w:before="100" w:beforeAutospacing="1" w:after="100" w:afterAutospacing="1"/>
        <w:jc w:val="left"/>
        <w:outlineLvl w:val="2"/>
        <w:rPr>
          <w:rFonts w:ascii="宋体" w:hAnsi="宋体" w:cs="宋体"/>
          <w:b/>
          <w:kern w:val="0"/>
          <w:sz w:val="24"/>
          <w:szCs w:val="24"/>
        </w:rPr>
      </w:pPr>
      <w:r>
        <w:rPr>
          <w:rFonts w:hint="eastAsia" w:ascii="宋体" w:hAnsi="宋体" w:cs="宋体"/>
          <w:b/>
          <w:kern w:val="44"/>
          <w:sz w:val="24"/>
          <w:szCs w:val="24"/>
        </w:rPr>
        <w:br w:type="page"/>
      </w:r>
      <w:bookmarkStart w:id="46" w:name="_Toc26285"/>
      <w:r>
        <w:rPr>
          <w:rFonts w:hint="eastAsia" w:ascii="宋体" w:hAnsi="宋体" w:cs="宋体"/>
          <w:b/>
          <w:kern w:val="0"/>
          <w:sz w:val="24"/>
          <w:szCs w:val="24"/>
        </w:rPr>
        <w:t>格式二：广州建设工程施工招标投标书</w:t>
      </w:r>
      <w:bookmarkEnd w:id="46"/>
    </w:p>
    <w:p w14:paraId="357EC1B1">
      <w:pPr>
        <w:autoSpaceDE w:val="0"/>
        <w:autoSpaceDN w:val="0"/>
        <w:adjustRightInd w:val="0"/>
        <w:spacing w:line="360" w:lineRule="auto"/>
        <w:jc w:val="center"/>
        <w:rPr>
          <w:rFonts w:ascii="宋体" w:hAnsi="宋体" w:cs="宋体"/>
          <w:b/>
          <w:bCs/>
          <w:sz w:val="30"/>
          <w:szCs w:val="30"/>
        </w:rPr>
      </w:pPr>
      <w:r>
        <w:rPr>
          <w:rFonts w:hint="eastAsia" w:ascii="宋体" w:hAnsi="宋体" w:cs="宋体"/>
          <w:b/>
          <w:bCs/>
          <w:sz w:val="30"/>
          <w:szCs w:val="30"/>
          <w:lang w:val="zh-CN"/>
        </w:rPr>
        <w:t>广州建设工程施工招标投标书</w:t>
      </w:r>
    </w:p>
    <w:tbl>
      <w:tblPr>
        <w:tblStyle w:val="4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8"/>
        <w:gridCol w:w="3521"/>
      </w:tblGrid>
      <w:tr w14:paraId="3CD0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094" w:type="pct"/>
            <w:tcBorders>
              <w:top w:val="single" w:color="auto" w:sz="4" w:space="0"/>
              <w:left w:val="single" w:color="auto" w:sz="4" w:space="0"/>
              <w:bottom w:val="single" w:color="auto" w:sz="4" w:space="0"/>
              <w:right w:val="single" w:color="auto" w:sz="4" w:space="0"/>
            </w:tcBorders>
            <w:vAlign w:val="center"/>
          </w:tcPr>
          <w:p w14:paraId="624FEC69">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工 程 名 称</w:t>
            </w:r>
          </w:p>
        </w:tc>
        <w:tc>
          <w:tcPr>
            <w:tcW w:w="1905" w:type="pct"/>
            <w:tcBorders>
              <w:top w:val="single" w:color="auto" w:sz="4" w:space="0"/>
              <w:left w:val="single" w:color="auto" w:sz="4" w:space="0"/>
              <w:bottom w:val="single" w:color="auto" w:sz="4" w:space="0"/>
              <w:right w:val="single" w:color="auto" w:sz="4" w:space="0"/>
            </w:tcBorders>
          </w:tcPr>
          <w:p w14:paraId="2E0B2EE5">
            <w:pPr>
              <w:autoSpaceDE w:val="0"/>
              <w:autoSpaceDN w:val="0"/>
              <w:adjustRightInd w:val="0"/>
              <w:rPr>
                <w:rFonts w:ascii="宋体" w:hAnsi="宋体" w:cs="宋体"/>
                <w:b/>
                <w:bCs/>
                <w:sz w:val="24"/>
                <w:szCs w:val="24"/>
                <w:lang w:val="zh-CN"/>
              </w:rPr>
            </w:pPr>
          </w:p>
        </w:tc>
      </w:tr>
      <w:tr w14:paraId="64B5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094" w:type="pct"/>
            <w:tcBorders>
              <w:top w:val="single" w:color="auto" w:sz="4" w:space="0"/>
              <w:left w:val="single" w:color="auto" w:sz="4" w:space="0"/>
              <w:bottom w:val="single" w:color="auto" w:sz="4" w:space="0"/>
              <w:right w:val="single" w:color="auto" w:sz="4" w:space="0"/>
            </w:tcBorders>
            <w:vAlign w:val="center"/>
          </w:tcPr>
          <w:p w14:paraId="6E76013F">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投标总报价（元）</w:t>
            </w:r>
          </w:p>
        </w:tc>
        <w:tc>
          <w:tcPr>
            <w:tcW w:w="1905" w:type="pct"/>
            <w:tcBorders>
              <w:top w:val="single" w:color="auto" w:sz="4" w:space="0"/>
              <w:left w:val="single" w:color="auto" w:sz="4" w:space="0"/>
              <w:bottom w:val="single" w:color="auto" w:sz="4" w:space="0"/>
              <w:right w:val="single" w:color="auto" w:sz="4" w:space="0"/>
            </w:tcBorders>
            <w:vAlign w:val="center"/>
          </w:tcPr>
          <w:p w14:paraId="5DA012FD">
            <w:pPr>
              <w:autoSpaceDE w:val="0"/>
              <w:autoSpaceDN w:val="0"/>
              <w:adjustRightInd w:val="0"/>
              <w:rPr>
                <w:rFonts w:ascii="宋体" w:hAnsi="宋体" w:cs="宋体"/>
                <w:b/>
                <w:bCs/>
                <w:sz w:val="24"/>
                <w:szCs w:val="24"/>
                <w:lang w:val="zh-CN"/>
              </w:rPr>
            </w:pPr>
          </w:p>
        </w:tc>
      </w:tr>
      <w:tr w14:paraId="4BA8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094" w:type="pct"/>
            <w:tcBorders>
              <w:top w:val="single" w:color="auto" w:sz="4" w:space="0"/>
              <w:left w:val="single" w:color="auto" w:sz="4" w:space="0"/>
              <w:bottom w:val="single" w:color="auto" w:sz="4" w:space="0"/>
              <w:right w:val="single" w:color="auto" w:sz="4" w:space="0"/>
            </w:tcBorders>
            <w:vAlign w:val="center"/>
          </w:tcPr>
          <w:p w14:paraId="2C925AA9">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1905" w:type="pct"/>
            <w:tcBorders>
              <w:top w:val="single" w:color="auto" w:sz="4" w:space="0"/>
              <w:left w:val="single" w:color="auto" w:sz="4" w:space="0"/>
              <w:bottom w:val="single" w:color="auto" w:sz="4" w:space="0"/>
              <w:right w:val="single" w:color="auto" w:sz="4" w:space="0"/>
            </w:tcBorders>
            <w:vAlign w:val="center"/>
          </w:tcPr>
          <w:p w14:paraId="33F210F6">
            <w:pPr>
              <w:autoSpaceDE w:val="0"/>
              <w:autoSpaceDN w:val="0"/>
              <w:adjustRightInd w:val="0"/>
              <w:rPr>
                <w:rFonts w:ascii="宋体" w:hAnsi="宋体" w:cs="宋体"/>
                <w:b/>
                <w:bCs/>
                <w:sz w:val="24"/>
                <w:szCs w:val="24"/>
                <w:lang w:val="zh-CN"/>
              </w:rPr>
            </w:pPr>
          </w:p>
        </w:tc>
      </w:tr>
      <w:tr w14:paraId="5F91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094" w:type="pct"/>
            <w:tcBorders>
              <w:top w:val="single" w:color="auto" w:sz="4" w:space="0"/>
              <w:left w:val="single" w:color="auto" w:sz="4" w:space="0"/>
              <w:bottom w:val="single" w:color="auto" w:sz="4" w:space="0"/>
              <w:right w:val="single" w:color="auto" w:sz="4" w:space="0"/>
            </w:tcBorders>
            <w:vAlign w:val="center"/>
          </w:tcPr>
          <w:p w14:paraId="69B1C91D">
            <w:pPr>
              <w:widowControl/>
              <w:jc w:val="center"/>
              <w:rPr>
                <w:rFonts w:ascii="宋体" w:hAns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1905" w:type="pct"/>
            <w:tcBorders>
              <w:top w:val="single" w:color="auto" w:sz="4" w:space="0"/>
              <w:left w:val="single" w:color="auto" w:sz="4" w:space="0"/>
              <w:bottom w:val="single" w:color="auto" w:sz="4" w:space="0"/>
              <w:right w:val="single" w:color="auto" w:sz="4" w:space="0"/>
            </w:tcBorders>
            <w:vAlign w:val="center"/>
          </w:tcPr>
          <w:p w14:paraId="176FBB22">
            <w:pPr>
              <w:autoSpaceDE w:val="0"/>
              <w:autoSpaceDN w:val="0"/>
              <w:adjustRightInd w:val="0"/>
              <w:rPr>
                <w:rFonts w:ascii="宋体" w:hAnsi="宋体" w:cs="宋体"/>
                <w:b/>
                <w:bCs/>
                <w:sz w:val="24"/>
                <w:szCs w:val="24"/>
                <w:lang w:val="zh-CN"/>
              </w:rPr>
            </w:pPr>
          </w:p>
        </w:tc>
      </w:tr>
      <w:tr w14:paraId="1A4F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094" w:type="pct"/>
            <w:tcBorders>
              <w:top w:val="single" w:color="auto" w:sz="4" w:space="0"/>
              <w:left w:val="single" w:color="auto" w:sz="4" w:space="0"/>
              <w:bottom w:val="single" w:color="auto" w:sz="4" w:space="0"/>
              <w:right w:val="single" w:color="auto" w:sz="4" w:space="0"/>
            </w:tcBorders>
            <w:vAlign w:val="center"/>
          </w:tcPr>
          <w:p w14:paraId="495512DB">
            <w:pPr>
              <w:jc w:val="center"/>
              <w:rPr>
                <w:rFonts w:ascii="宋体" w:hAnsi="宋体" w:cs="宋体"/>
                <w:b/>
                <w:sz w:val="24"/>
                <w:szCs w:val="24"/>
                <w:lang w:val="zh-CN"/>
              </w:rPr>
            </w:pPr>
            <w:r>
              <w:rPr>
                <w:rFonts w:hint="eastAsia" w:ascii="宋体" w:hAnsi="宋体" w:cs="宋体"/>
                <w:b/>
                <w:sz w:val="24"/>
                <w:szCs w:val="24"/>
                <w:lang w:val="zh-CN"/>
              </w:rPr>
              <w:t>投标总工期</w:t>
            </w:r>
          </w:p>
        </w:tc>
        <w:tc>
          <w:tcPr>
            <w:tcW w:w="1905" w:type="pct"/>
            <w:tcBorders>
              <w:top w:val="single" w:color="auto" w:sz="4" w:space="0"/>
              <w:left w:val="single" w:color="auto" w:sz="4" w:space="0"/>
              <w:bottom w:val="single" w:color="auto" w:sz="4" w:space="0"/>
              <w:right w:val="single" w:color="auto" w:sz="4" w:space="0"/>
            </w:tcBorders>
          </w:tcPr>
          <w:p w14:paraId="1F9A65FB">
            <w:pPr>
              <w:autoSpaceDE w:val="0"/>
              <w:autoSpaceDN w:val="0"/>
              <w:adjustRightInd w:val="0"/>
              <w:rPr>
                <w:rFonts w:ascii="宋体" w:hAnsi="宋体" w:cs="宋体"/>
                <w:b/>
                <w:bCs/>
                <w:sz w:val="24"/>
                <w:szCs w:val="24"/>
                <w:lang w:val="zh-CN"/>
              </w:rPr>
            </w:pPr>
          </w:p>
        </w:tc>
      </w:tr>
      <w:tr w14:paraId="01D8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094" w:type="pct"/>
            <w:tcBorders>
              <w:top w:val="single" w:color="auto" w:sz="4" w:space="0"/>
              <w:left w:val="single" w:color="auto" w:sz="4" w:space="0"/>
              <w:bottom w:val="single" w:color="auto" w:sz="4" w:space="0"/>
              <w:right w:val="single" w:color="auto" w:sz="4" w:space="0"/>
            </w:tcBorders>
            <w:vAlign w:val="center"/>
          </w:tcPr>
          <w:p w14:paraId="4C3E39E3">
            <w:pPr>
              <w:jc w:val="center"/>
              <w:rPr>
                <w:rFonts w:ascii="宋体" w:hAnsi="宋体" w:cs="宋体"/>
                <w:b/>
                <w:sz w:val="24"/>
                <w:szCs w:val="24"/>
              </w:rPr>
            </w:pPr>
            <w:r>
              <w:rPr>
                <w:rFonts w:hint="eastAsia" w:ascii="宋体" w:hAnsi="宋体" w:cs="宋体"/>
                <w:b/>
                <w:sz w:val="24"/>
                <w:szCs w:val="24"/>
                <w:lang w:val="zh-CN"/>
              </w:rPr>
              <w:t>工程质量标准</w:t>
            </w:r>
          </w:p>
        </w:tc>
        <w:tc>
          <w:tcPr>
            <w:tcW w:w="1905" w:type="pct"/>
            <w:tcBorders>
              <w:top w:val="single" w:color="auto" w:sz="4" w:space="0"/>
              <w:left w:val="single" w:color="auto" w:sz="4" w:space="0"/>
              <w:bottom w:val="single" w:color="auto" w:sz="4" w:space="0"/>
              <w:right w:val="single" w:color="auto" w:sz="4" w:space="0"/>
            </w:tcBorders>
          </w:tcPr>
          <w:p w14:paraId="7E877255">
            <w:pPr>
              <w:autoSpaceDE w:val="0"/>
              <w:autoSpaceDN w:val="0"/>
              <w:adjustRightInd w:val="0"/>
              <w:rPr>
                <w:rFonts w:ascii="宋体" w:hAnsi="宋体" w:cs="宋体"/>
                <w:b/>
                <w:bCs/>
                <w:sz w:val="24"/>
                <w:szCs w:val="24"/>
                <w:lang w:val="zh-CN"/>
              </w:rPr>
            </w:pPr>
          </w:p>
        </w:tc>
      </w:tr>
      <w:tr w14:paraId="6022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094" w:type="pct"/>
            <w:tcBorders>
              <w:top w:val="single" w:color="auto" w:sz="4" w:space="0"/>
              <w:left w:val="single" w:color="auto" w:sz="4" w:space="0"/>
              <w:bottom w:val="single" w:color="auto" w:sz="4" w:space="0"/>
              <w:right w:val="single" w:color="auto" w:sz="4" w:space="0"/>
            </w:tcBorders>
            <w:vAlign w:val="center"/>
          </w:tcPr>
          <w:p w14:paraId="1C9D88BE">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保 修 期 限</w:t>
            </w:r>
          </w:p>
        </w:tc>
        <w:tc>
          <w:tcPr>
            <w:tcW w:w="1905" w:type="pct"/>
            <w:tcBorders>
              <w:top w:val="single" w:color="auto" w:sz="4" w:space="0"/>
              <w:left w:val="single" w:color="auto" w:sz="4" w:space="0"/>
              <w:bottom w:val="single" w:color="auto" w:sz="4" w:space="0"/>
              <w:right w:val="single" w:color="auto" w:sz="4" w:space="0"/>
            </w:tcBorders>
          </w:tcPr>
          <w:p w14:paraId="07BDA13E">
            <w:pPr>
              <w:autoSpaceDE w:val="0"/>
              <w:autoSpaceDN w:val="0"/>
              <w:adjustRightInd w:val="0"/>
              <w:rPr>
                <w:rFonts w:ascii="宋体" w:hAnsi="宋体" w:cs="宋体"/>
                <w:b/>
                <w:bCs/>
                <w:sz w:val="24"/>
                <w:szCs w:val="24"/>
                <w:lang w:val="zh-CN"/>
              </w:rPr>
            </w:pPr>
          </w:p>
        </w:tc>
      </w:tr>
    </w:tbl>
    <w:p w14:paraId="2C28150A">
      <w:pPr>
        <w:rPr>
          <w:rFonts w:ascii="宋体" w:hAnsi="宋体" w:cs="宋体"/>
          <w:b/>
          <w:bCs/>
          <w:sz w:val="24"/>
          <w:szCs w:val="24"/>
        </w:rPr>
      </w:pPr>
      <w:r>
        <w:rPr>
          <w:rFonts w:hint="eastAsia" w:ascii="宋体" w:hAnsi="宋体" w:cs="宋体"/>
          <w:b/>
          <w:bCs/>
          <w:sz w:val="24"/>
          <w:szCs w:val="24"/>
        </w:rPr>
        <w:t>注：</w:t>
      </w:r>
    </w:p>
    <w:p w14:paraId="48B8F743">
      <w:pPr>
        <w:rPr>
          <w:rFonts w:ascii="宋体" w:hAnsi="宋体" w:cs="宋体"/>
          <w:b/>
          <w:bCs/>
          <w:sz w:val="24"/>
          <w:szCs w:val="24"/>
        </w:rPr>
      </w:pPr>
      <w:r>
        <w:rPr>
          <w:rFonts w:hint="eastAsia" w:ascii="宋体" w:hAnsi="宋体" w:cs="宋体"/>
          <w:b/>
          <w:bCs/>
          <w:sz w:val="24"/>
          <w:szCs w:val="24"/>
        </w:rPr>
        <w:t>1、此表投标总工期需以投标人投标文件工期计划中承诺的工期填写。</w:t>
      </w:r>
    </w:p>
    <w:p w14:paraId="40EFE348">
      <w:pPr>
        <w:rPr>
          <w:rFonts w:ascii="宋体" w:hAnsi="宋体" w:cs="宋体"/>
          <w:b/>
          <w:bCs/>
          <w:sz w:val="24"/>
          <w:szCs w:val="24"/>
        </w:rPr>
      </w:pPr>
      <w:r>
        <w:rPr>
          <w:rFonts w:hint="eastAsia" w:ascii="宋体" w:hAnsi="宋体" w:cs="宋体"/>
          <w:b/>
          <w:bCs/>
          <w:sz w:val="24"/>
          <w:szCs w:val="24"/>
        </w:rPr>
        <w:t>2、因本项目工期紧张，投标人须根据总工期要求，结合自身的工程进度管理经验，采取足够措施，确保项目在承诺的工期内完成。</w:t>
      </w:r>
    </w:p>
    <w:p w14:paraId="5F54C31B">
      <w:pPr>
        <w:rPr>
          <w:rFonts w:ascii="宋体" w:hAnsi="宋体" w:cs="宋体"/>
          <w:b/>
          <w:kern w:val="0"/>
          <w:sz w:val="24"/>
          <w:szCs w:val="24"/>
        </w:rPr>
      </w:pPr>
      <w:r>
        <w:rPr>
          <w:rFonts w:hint="eastAsia" w:ascii="宋体" w:hAnsi="宋体" w:cs="宋体"/>
          <w:b/>
          <w:kern w:val="0"/>
          <w:sz w:val="24"/>
          <w:szCs w:val="24"/>
        </w:rPr>
        <w:br w:type="page"/>
      </w:r>
      <w:bookmarkStart w:id="47" w:name="_Toc25907"/>
      <w:r>
        <w:rPr>
          <w:rFonts w:hint="eastAsia" w:ascii="宋体" w:hAnsi="宋体" w:cs="宋体"/>
          <w:b/>
          <w:kern w:val="0"/>
          <w:sz w:val="24"/>
          <w:szCs w:val="24"/>
        </w:rPr>
        <w:t>格式三：法定代表人证明书、授权委托书</w:t>
      </w:r>
      <w:bookmarkEnd w:id="47"/>
    </w:p>
    <w:p w14:paraId="7A48927B">
      <w:pPr>
        <w:rPr>
          <w:rFonts w:ascii="宋体" w:hAnsi="宋体" w:cs="宋体"/>
          <w:b/>
          <w:sz w:val="24"/>
          <w:szCs w:val="24"/>
        </w:rPr>
      </w:pPr>
    </w:p>
    <w:p w14:paraId="1EE5206F">
      <w:pPr>
        <w:jc w:val="center"/>
        <w:rPr>
          <w:rFonts w:ascii="宋体" w:hAnsi="宋体" w:cs="宋体"/>
          <w:b/>
          <w:kern w:val="0"/>
          <w:sz w:val="32"/>
          <w:szCs w:val="32"/>
        </w:rPr>
      </w:pPr>
      <w:r>
        <w:rPr>
          <w:rFonts w:hint="eastAsia" w:ascii="宋体" w:hAnsi="宋体" w:cs="宋体"/>
          <w:b/>
          <w:kern w:val="0"/>
          <w:sz w:val="32"/>
          <w:szCs w:val="32"/>
        </w:rPr>
        <w:t>法定代表人证明书、授权委托书</w:t>
      </w:r>
    </w:p>
    <w:p w14:paraId="076BC6BB">
      <w:pPr>
        <w:rPr>
          <w:rFonts w:ascii="宋体" w:hAnsi="宋体" w:cs="宋体"/>
          <w:sz w:val="24"/>
          <w:szCs w:val="24"/>
        </w:rPr>
      </w:pPr>
      <w:r>
        <w:rPr>
          <w:rFonts w:hint="eastAsia" w:ascii="宋体" w:hAnsi="宋体" w:cs="宋体"/>
          <w:sz w:val="24"/>
          <w:szCs w:val="24"/>
        </w:rPr>
        <w:t>（1）法定代表人证明书</w:t>
      </w:r>
    </w:p>
    <w:p w14:paraId="0AD49726">
      <w:pPr>
        <w:topLinePunct/>
        <w:adjustRightInd w:val="0"/>
        <w:snapToGrid w:val="0"/>
        <w:spacing w:line="360" w:lineRule="auto"/>
        <w:jc w:val="right"/>
        <w:rPr>
          <w:rFonts w:ascii="宋体" w:hAnsi="宋体" w:cs="宋体"/>
          <w:spacing w:val="4"/>
          <w:kern w:val="0"/>
          <w:sz w:val="24"/>
          <w:szCs w:val="24"/>
        </w:rPr>
      </w:pPr>
      <w:r>
        <w:rPr>
          <w:rFonts w:hint="eastAsia" w:ascii="宋体" w:hAnsi="宋体" w:cs="宋体"/>
          <w:spacing w:val="4"/>
          <w:kern w:val="0"/>
          <w:sz w:val="24"/>
          <w:szCs w:val="24"/>
        </w:rPr>
        <w:t>（　 ）第　号</w:t>
      </w:r>
    </w:p>
    <w:p w14:paraId="5319A2A9">
      <w:pPr>
        <w:topLinePunct/>
        <w:adjustRightInd w:val="0"/>
        <w:snapToGrid w:val="0"/>
        <w:spacing w:line="360" w:lineRule="auto"/>
        <w:ind w:firstLine="420" w:firstLineChars="200"/>
        <w:rPr>
          <w:rFonts w:ascii="宋体" w:hAnsi="宋体" w:cs="宋体"/>
          <w:spacing w:val="4"/>
          <w:kern w:val="0"/>
          <w:sz w:val="24"/>
          <w:szCs w:val="24"/>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41275</wp:posOffset>
                </wp:positionV>
                <wp:extent cx="5716905" cy="2773680"/>
                <wp:effectExtent l="4445" t="5080" r="12700" b="2159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16905" cy="2773680"/>
                        </a:xfrm>
                        <a:prstGeom prst="rect">
                          <a:avLst/>
                        </a:prstGeom>
                        <a:solidFill>
                          <a:srgbClr val="FFFFFF"/>
                        </a:solidFill>
                        <a:ln w="9525">
                          <a:solidFill>
                            <a:srgbClr val="000000"/>
                          </a:solidFill>
                          <a:miter lim="800000"/>
                        </a:ln>
                        <a:effectLst/>
                      </wps:spPr>
                      <wps:txbx>
                        <w:txbxContent>
                          <w:p w14:paraId="6608D96B">
                            <w:pPr>
                              <w:pStyle w:val="56"/>
                              <w:spacing w:line="240" w:lineRule="auto"/>
                              <w:ind w:firstLine="0" w:firstLineChars="0"/>
                              <w:rPr>
                                <w:rFonts w:ascii="宋体" w:hAnsi="宋体" w:cs="宋体"/>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zCs w:val="28"/>
                              </w:rPr>
                              <w:t>现任我单位</w:t>
                            </w:r>
                            <w:r>
                              <w:rPr>
                                <w:rFonts w:hint="eastAsia" w:ascii="宋体" w:hAnsi="宋体" w:cs="宋体"/>
                                <w:szCs w:val="28"/>
                                <w:u w:val="single"/>
                              </w:rPr>
                              <w:t>　　　　　</w:t>
                            </w:r>
                            <w:r>
                              <w:rPr>
                                <w:rFonts w:hint="eastAsia" w:ascii="宋体" w:hAnsi="宋体" w:cs="宋体"/>
                                <w:szCs w:val="28"/>
                              </w:rPr>
                              <w:t>职务，为法定代表人（负责人），</w:t>
                            </w:r>
                          </w:p>
                          <w:p w14:paraId="27C63F35">
                            <w:pPr>
                              <w:pStyle w:val="56"/>
                              <w:spacing w:line="240" w:lineRule="auto"/>
                              <w:ind w:firstLine="0" w:firstLineChars="0"/>
                              <w:rPr>
                                <w:rFonts w:ascii="宋体" w:hAnsi="宋体" w:cs="宋体"/>
                                <w:szCs w:val="28"/>
                              </w:rPr>
                            </w:pPr>
                            <w:r>
                              <w:rPr>
                                <w:rFonts w:hint="eastAsia" w:ascii="宋体" w:hAnsi="宋体" w:cs="宋体"/>
                                <w:szCs w:val="28"/>
                              </w:rPr>
                              <w:t>特此证明。</w:t>
                            </w:r>
                          </w:p>
                          <w:p w14:paraId="77FEEDE6">
                            <w:pPr>
                              <w:pStyle w:val="56"/>
                              <w:spacing w:line="240" w:lineRule="auto"/>
                              <w:ind w:firstLine="0" w:firstLineChars="0"/>
                              <w:rPr>
                                <w:rFonts w:ascii="宋体" w:hAnsi="宋体" w:cs="宋体"/>
                                <w:szCs w:val="28"/>
                              </w:rPr>
                            </w:pPr>
                            <w:r>
                              <w:rPr>
                                <w:rFonts w:hint="eastAsia" w:ascii="宋体" w:hAnsi="宋体" w:cs="宋体"/>
                                <w:szCs w:val="28"/>
                              </w:rPr>
                              <w:t>有效期限：</w:t>
                            </w:r>
                            <w:r>
                              <w:rPr>
                                <w:rFonts w:hint="eastAsia" w:ascii="宋体" w:hAnsi="宋体" w:cs="宋体"/>
                                <w:szCs w:val="28"/>
                                <w:u w:val="single"/>
                              </w:rPr>
                              <w:t xml:space="preserve">                                  </w:t>
                            </w:r>
                          </w:p>
                          <w:p w14:paraId="65A9CBD1">
                            <w:pPr>
                              <w:pStyle w:val="56"/>
                              <w:spacing w:line="240" w:lineRule="auto"/>
                              <w:ind w:firstLine="0" w:firstLineChars="0"/>
                              <w:rPr>
                                <w:rFonts w:ascii="宋体" w:hAnsi="宋体" w:cs="宋体"/>
                                <w:szCs w:val="28"/>
                              </w:rPr>
                            </w:pPr>
                            <w:r>
                              <w:rPr>
                                <w:rFonts w:hint="eastAsia" w:ascii="宋体" w:hAnsi="宋体" w:cs="宋体"/>
                                <w:szCs w:val="28"/>
                              </w:rPr>
                              <w:t>附：法定代表人（负责人）性别：</w:t>
                            </w:r>
                            <w:r>
                              <w:rPr>
                                <w:rFonts w:hint="eastAsia" w:ascii="宋体" w:hAnsi="宋体" w:cs="宋体"/>
                                <w:szCs w:val="28"/>
                                <w:u w:val="single"/>
                              </w:rPr>
                              <w:t>　　</w:t>
                            </w:r>
                            <w:r>
                              <w:rPr>
                                <w:rFonts w:hint="eastAsia" w:ascii="宋体" w:hAnsi="宋体" w:cs="宋体"/>
                                <w:szCs w:val="28"/>
                              </w:rPr>
                              <w:t>年龄：</w:t>
                            </w:r>
                            <w:r>
                              <w:rPr>
                                <w:rFonts w:hint="eastAsia" w:ascii="宋体" w:hAnsi="宋体" w:cs="宋体"/>
                                <w:szCs w:val="28"/>
                                <w:u w:val="single"/>
                              </w:rPr>
                              <w:t>　　</w:t>
                            </w:r>
                            <w:r>
                              <w:rPr>
                                <w:rFonts w:hint="eastAsia" w:ascii="宋体" w:hAnsi="宋体" w:cs="宋体"/>
                                <w:szCs w:val="28"/>
                              </w:rPr>
                              <w:t>身份证号码：</w:t>
                            </w:r>
                            <w:r>
                              <w:rPr>
                                <w:rFonts w:hint="eastAsia" w:ascii="宋体" w:hAnsi="宋体" w:cs="宋体"/>
                                <w:szCs w:val="28"/>
                                <w:u w:val="single"/>
                              </w:rPr>
                              <w:t xml:space="preserve">             </w:t>
                            </w:r>
                          </w:p>
                          <w:p w14:paraId="53D1A2AD">
                            <w:pPr>
                              <w:pStyle w:val="56"/>
                              <w:spacing w:line="240" w:lineRule="auto"/>
                              <w:ind w:firstLine="0" w:firstLineChars="0"/>
                              <w:rPr>
                                <w:rFonts w:ascii="宋体" w:hAnsi="宋体" w:cs="宋体"/>
                                <w:szCs w:val="28"/>
                              </w:rPr>
                            </w:pPr>
                            <w:r>
                              <w:rPr>
                                <w:rFonts w:hint="eastAsia" w:ascii="宋体" w:hAnsi="宋体" w:cs="宋体"/>
                                <w:kern w:val="1"/>
                              </w:rPr>
                              <w:t>统一社会信用代码</w:t>
                            </w:r>
                            <w:r>
                              <w:rPr>
                                <w:rFonts w:hint="eastAsia" w:ascii="宋体" w:hAnsi="宋体" w:cs="宋体"/>
                                <w:szCs w:val="28"/>
                              </w:rPr>
                              <w:t>：</w:t>
                            </w:r>
                            <w:r>
                              <w:rPr>
                                <w:rFonts w:hint="eastAsia" w:ascii="宋体" w:hAnsi="宋体" w:cs="宋体"/>
                                <w:szCs w:val="28"/>
                                <w:u w:val="single"/>
                              </w:rPr>
                              <w:t>　　　　　　　　　　</w:t>
                            </w:r>
                            <w:r>
                              <w:rPr>
                                <w:rFonts w:hint="eastAsia" w:ascii="宋体" w:hAnsi="宋体" w:cs="宋体"/>
                                <w:szCs w:val="28"/>
                              </w:rPr>
                              <w:t>企业类型：</w:t>
                            </w:r>
                            <w:r>
                              <w:rPr>
                                <w:rFonts w:hint="eastAsia" w:ascii="宋体" w:hAnsi="宋体" w:cs="宋体"/>
                                <w:szCs w:val="28"/>
                                <w:u w:val="single"/>
                              </w:rPr>
                              <w:t xml:space="preserve">                          </w:t>
                            </w:r>
                          </w:p>
                          <w:p w14:paraId="3EDCF770">
                            <w:pPr>
                              <w:pStyle w:val="56"/>
                              <w:spacing w:line="240" w:lineRule="auto"/>
                              <w:ind w:firstLine="0" w:firstLineChars="0"/>
                              <w:rPr>
                                <w:rFonts w:ascii="宋体" w:hAnsi="宋体" w:cs="宋体"/>
                                <w:szCs w:val="28"/>
                              </w:rPr>
                            </w:pPr>
                            <w:r>
                              <w:rPr>
                                <w:rFonts w:hint="eastAsia" w:ascii="宋体" w:hAnsi="宋体" w:cs="宋体"/>
                                <w:szCs w:val="28"/>
                              </w:rPr>
                              <w:t>经营范围：</w:t>
                            </w:r>
                            <w:r>
                              <w:rPr>
                                <w:rFonts w:hint="eastAsia" w:ascii="宋体" w:hAnsi="宋体" w:cs="宋体"/>
                                <w:szCs w:val="28"/>
                                <w:u w:val="single"/>
                              </w:rPr>
                              <w:t xml:space="preserve">                                       </w:t>
                            </w:r>
                          </w:p>
                          <w:p w14:paraId="394E3852">
                            <w:pPr>
                              <w:pStyle w:val="56"/>
                              <w:ind w:firstLine="0" w:firstLineChars="0"/>
                              <w:rPr>
                                <w:rFonts w:ascii="宋体" w:hAnsi="宋体" w:cs="宋体"/>
                                <w:szCs w:val="28"/>
                              </w:rPr>
                            </w:pPr>
                            <w:r>
                              <w:rPr>
                                <w:rFonts w:hint="eastAsia" w:ascii="宋体" w:hAnsi="宋体" w:cs="宋体"/>
                                <w:szCs w:val="28"/>
                              </w:rPr>
                              <w:t>　　　　　　　　　　           单位：　　　　　　　　　</w:t>
                            </w:r>
                          </w:p>
                          <w:p w14:paraId="6FDC1AA2">
                            <w:pPr>
                              <w:pStyle w:val="56"/>
                              <w:ind w:firstLine="0" w:firstLineChars="0"/>
                              <w:rPr>
                                <w:rFonts w:ascii="宋体" w:hAnsi="宋体" w:cs="宋体"/>
                                <w:szCs w:val="28"/>
                              </w:rPr>
                            </w:pPr>
                            <w:r>
                              <w:rPr>
                                <w:rFonts w:hint="eastAsia" w:ascii="宋体" w:hAnsi="宋体" w:cs="宋体"/>
                                <w:szCs w:val="28"/>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pt;margin-top:3.25pt;height:218.4pt;width:450.15pt;z-index:251660288;mso-width-relative:page;mso-height-relative:page;" fillcolor="#FFFFFF" filled="t" stroked="t" coordsize="21600,21600" o:gfxdata="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rITCfNcAAAAIAQAADwAAAAAAAAAB&#10;ACAAAAAiAAAAZHJzL2Rvd25yZXYueG1sUEsBAhQAFAAAAAgAh07iQFrlzP1KAgAAlgQAAA4AAAAA&#10;AAAAAQAgAAAAJgEAAGRycy9lMm9Eb2MueG1sUEsFBgAAAAAGAAYAWQEAAOIFAAAAAA==&#10;">
                <v:fill on="t" focussize="0,0"/>
                <v:stroke color="#000000" miterlimit="8" joinstyle="miter"/>
                <v:imagedata o:title=""/>
                <o:lock v:ext="edit" aspectratio="f"/>
                <v:textbox>
                  <w:txbxContent>
                    <w:p w14:paraId="6608D96B">
                      <w:pPr>
                        <w:pStyle w:val="56"/>
                        <w:spacing w:line="240" w:lineRule="auto"/>
                        <w:ind w:firstLine="0" w:firstLineChars="0"/>
                        <w:rPr>
                          <w:rFonts w:ascii="宋体" w:hAnsi="宋体" w:cs="宋体"/>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zCs w:val="28"/>
                        </w:rPr>
                        <w:t>现任我单位</w:t>
                      </w:r>
                      <w:r>
                        <w:rPr>
                          <w:rFonts w:hint="eastAsia" w:ascii="宋体" w:hAnsi="宋体" w:cs="宋体"/>
                          <w:szCs w:val="28"/>
                          <w:u w:val="single"/>
                        </w:rPr>
                        <w:t>　　　　　</w:t>
                      </w:r>
                      <w:r>
                        <w:rPr>
                          <w:rFonts w:hint="eastAsia" w:ascii="宋体" w:hAnsi="宋体" w:cs="宋体"/>
                          <w:szCs w:val="28"/>
                        </w:rPr>
                        <w:t>职务，为法定代表人（负责人），</w:t>
                      </w:r>
                    </w:p>
                    <w:p w14:paraId="27C63F35">
                      <w:pPr>
                        <w:pStyle w:val="56"/>
                        <w:spacing w:line="240" w:lineRule="auto"/>
                        <w:ind w:firstLine="0" w:firstLineChars="0"/>
                        <w:rPr>
                          <w:rFonts w:ascii="宋体" w:hAnsi="宋体" w:cs="宋体"/>
                          <w:szCs w:val="28"/>
                        </w:rPr>
                      </w:pPr>
                      <w:r>
                        <w:rPr>
                          <w:rFonts w:hint="eastAsia" w:ascii="宋体" w:hAnsi="宋体" w:cs="宋体"/>
                          <w:szCs w:val="28"/>
                        </w:rPr>
                        <w:t>特此证明。</w:t>
                      </w:r>
                    </w:p>
                    <w:p w14:paraId="77FEEDE6">
                      <w:pPr>
                        <w:pStyle w:val="56"/>
                        <w:spacing w:line="240" w:lineRule="auto"/>
                        <w:ind w:firstLine="0" w:firstLineChars="0"/>
                        <w:rPr>
                          <w:rFonts w:ascii="宋体" w:hAnsi="宋体" w:cs="宋体"/>
                          <w:szCs w:val="28"/>
                        </w:rPr>
                      </w:pPr>
                      <w:r>
                        <w:rPr>
                          <w:rFonts w:hint="eastAsia" w:ascii="宋体" w:hAnsi="宋体" w:cs="宋体"/>
                          <w:szCs w:val="28"/>
                        </w:rPr>
                        <w:t>有效期限：</w:t>
                      </w:r>
                      <w:r>
                        <w:rPr>
                          <w:rFonts w:hint="eastAsia" w:ascii="宋体" w:hAnsi="宋体" w:cs="宋体"/>
                          <w:szCs w:val="28"/>
                          <w:u w:val="single"/>
                        </w:rPr>
                        <w:t xml:space="preserve">                                  </w:t>
                      </w:r>
                    </w:p>
                    <w:p w14:paraId="65A9CBD1">
                      <w:pPr>
                        <w:pStyle w:val="56"/>
                        <w:spacing w:line="240" w:lineRule="auto"/>
                        <w:ind w:firstLine="0" w:firstLineChars="0"/>
                        <w:rPr>
                          <w:rFonts w:ascii="宋体" w:hAnsi="宋体" w:cs="宋体"/>
                          <w:szCs w:val="28"/>
                        </w:rPr>
                      </w:pPr>
                      <w:r>
                        <w:rPr>
                          <w:rFonts w:hint="eastAsia" w:ascii="宋体" w:hAnsi="宋体" w:cs="宋体"/>
                          <w:szCs w:val="28"/>
                        </w:rPr>
                        <w:t>附：法定代表人（负责人）性别：</w:t>
                      </w:r>
                      <w:r>
                        <w:rPr>
                          <w:rFonts w:hint="eastAsia" w:ascii="宋体" w:hAnsi="宋体" w:cs="宋体"/>
                          <w:szCs w:val="28"/>
                          <w:u w:val="single"/>
                        </w:rPr>
                        <w:t>　　</w:t>
                      </w:r>
                      <w:r>
                        <w:rPr>
                          <w:rFonts w:hint="eastAsia" w:ascii="宋体" w:hAnsi="宋体" w:cs="宋体"/>
                          <w:szCs w:val="28"/>
                        </w:rPr>
                        <w:t>年龄：</w:t>
                      </w:r>
                      <w:r>
                        <w:rPr>
                          <w:rFonts w:hint="eastAsia" w:ascii="宋体" w:hAnsi="宋体" w:cs="宋体"/>
                          <w:szCs w:val="28"/>
                          <w:u w:val="single"/>
                        </w:rPr>
                        <w:t>　　</w:t>
                      </w:r>
                      <w:r>
                        <w:rPr>
                          <w:rFonts w:hint="eastAsia" w:ascii="宋体" w:hAnsi="宋体" w:cs="宋体"/>
                          <w:szCs w:val="28"/>
                        </w:rPr>
                        <w:t>身份证号码：</w:t>
                      </w:r>
                      <w:r>
                        <w:rPr>
                          <w:rFonts w:hint="eastAsia" w:ascii="宋体" w:hAnsi="宋体" w:cs="宋体"/>
                          <w:szCs w:val="28"/>
                          <w:u w:val="single"/>
                        </w:rPr>
                        <w:t xml:space="preserve">             </w:t>
                      </w:r>
                    </w:p>
                    <w:p w14:paraId="53D1A2AD">
                      <w:pPr>
                        <w:pStyle w:val="56"/>
                        <w:spacing w:line="240" w:lineRule="auto"/>
                        <w:ind w:firstLine="0" w:firstLineChars="0"/>
                        <w:rPr>
                          <w:rFonts w:ascii="宋体" w:hAnsi="宋体" w:cs="宋体"/>
                          <w:szCs w:val="28"/>
                        </w:rPr>
                      </w:pPr>
                      <w:r>
                        <w:rPr>
                          <w:rFonts w:hint="eastAsia" w:ascii="宋体" w:hAnsi="宋体" w:cs="宋体"/>
                          <w:kern w:val="1"/>
                        </w:rPr>
                        <w:t>统一社会信用代码</w:t>
                      </w:r>
                      <w:r>
                        <w:rPr>
                          <w:rFonts w:hint="eastAsia" w:ascii="宋体" w:hAnsi="宋体" w:cs="宋体"/>
                          <w:szCs w:val="28"/>
                        </w:rPr>
                        <w:t>：</w:t>
                      </w:r>
                      <w:r>
                        <w:rPr>
                          <w:rFonts w:hint="eastAsia" w:ascii="宋体" w:hAnsi="宋体" w:cs="宋体"/>
                          <w:szCs w:val="28"/>
                          <w:u w:val="single"/>
                        </w:rPr>
                        <w:t>　　　　　　　　　　</w:t>
                      </w:r>
                      <w:r>
                        <w:rPr>
                          <w:rFonts w:hint="eastAsia" w:ascii="宋体" w:hAnsi="宋体" w:cs="宋体"/>
                          <w:szCs w:val="28"/>
                        </w:rPr>
                        <w:t>企业类型：</w:t>
                      </w:r>
                      <w:r>
                        <w:rPr>
                          <w:rFonts w:hint="eastAsia" w:ascii="宋体" w:hAnsi="宋体" w:cs="宋体"/>
                          <w:szCs w:val="28"/>
                          <w:u w:val="single"/>
                        </w:rPr>
                        <w:t xml:space="preserve">                          </w:t>
                      </w:r>
                    </w:p>
                    <w:p w14:paraId="3EDCF770">
                      <w:pPr>
                        <w:pStyle w:val="56"/>
                        <w:spacing w:line="240" w:lineRule="auto"/>
                        <w:ind w:firstLine="0" w:firstLineChars="0"/>
                        <w:rPr>
                          <w:rFonts w:ascii="宋体" w:hAnsi="宋体" w:cs="宋体"/>
                          <w:szCs w:val="28"/>
                        </w:rPr>
                      </w:pPr>
                      <w:r>
                        <w:rPr>
                          <w:rFonts w:hint="eastAsia" w:ascii="宋体" w:hAnsi="宋体" w:cs="宋体"/>
                          <w:szCs w:val="28"/>
                        </w:rPr>
                        <w:t>经营范围：</w:t>
                      </w:r>
                      <w:r>
                        <w:rPr>
                          <w:rFonts w:hint="eastAsia" w:ascii="宋体" w:hAnsi="宋体" w:cs="宋体"/>
                          <w:szCs w:val="28"/>
                          <w:u w:val="single"/>
                        </w:rPr>
                        <w:t xml:space="preserve">                                       </w:t>
                      </w:r>
                    </w:p>
                    <w:p w14:paraId="394E3852">
                      <w:pPr>
                        <w:pStyle w:val="56"/>
                        <w:ind w:firstLine="0" w:firstLineChars="0"/>
                        <w:rPr>
                          <w:rFonts w:ascii="宋体" w:hAnsi="宋体" w:cs="宋体"/>
                          <w:szCs w:val="28"/>
                        </w:rPr>
                      </w:pPr>
                      <w:r>
                        <w:rPr>
                          <w:rFonts w:hint="eastAsia" w:ascii="宋体" w:hAnsi="宋体" w:cs="宋体"/>
                          <w:szCs w:val="28"/>
                        </w:rPr>
                        <w:t>　　　　　　　　　　           单位：　　　　　　　　　</w:t>
                      </w:r>
                    </w:p>
                    <w:p w14:paraId="6FDC1AA2">
                      <w:pPr>
                        <w:pStyle w:val="56"/>
                        <w:ind w:firstLine="0" w:firstLineChars="0"/>
                        <w:rPr>
                          <w:rFonts w:ascii="宋体" w:hAnsi="宋体" w:cs="宋体"/>
                          <w:szCs w:val="28"/>
                        </w:rPr>
                      </w:pPr>
                      <w:r>
                        <w:rPr>
                          <w:rFonts w:hint="eastAsia" w:ascii="宋体" w:hAnsi="宋体" w:cs="宋体"/>
                          <w:szCs w:val="28"/>
                        </w:rPr>
                        <w:t>　　　　　　                                           年  月  日</w:t>
                      </w:r>
                    </w:p>
                  </w:txbxContent>
                </v:textbox>
              </v:shape>
            </w:pict>
          </mc:Fallback>
        </mc:AlternateContent>
      </w:r>
    </w:p>
    <w:p w14:paraId="4AB0926D">
      <w:pPr>
        <w:topLinePunct/>
        <w:adjustRightInd w:val="0"/>
        <w:snapToGrid w:val="0"/>
        <w:spacing w:line="360" w:lineRule="auto"/>
        <w:ind w:firstLine="496" w:firstLineChars="200"/>
        <w:rPr>
          <w:rFonts w:ascii="宋体" w:hAnsi="宋体" w:cs="宋体"/>
          <w:spacing w:val="4"/>
          <w:kern w:val="0"/>
          <w:sz w:val="24"/>
          <w:szCs w:val="24"/>
        </w:rPr>
      </w:pPr>
      <w:r>
        <w:rPr>
          <w:rFonts w:hint="eastAsia" w:ascii="宋体" w:hAnsi="宋体" w:cs="宋体"/>
          <w:spacing w:val="4"/>
          <w:kern w:val="0"/>
          <w:sz w:val="24"/>
          <w:szCs w:val="24"/>
        </w:rPr>
        <w:t>授权委</w:t>
      </w:r>
    </w:p>
    <w:p w14:paraId="74955545">
      <w:pPr>
        <w:topLinePunct/>
        <w:adjustRightInd w:val="0"/>
        <w:snapToGrid w:val="0"/>
        <w:spacing w:line="360" w:lineRule="auto"/>
        <w:ind w:firstLine="496" w:firstLineChars="200"/>
        <w:rPr>
          <w:rFonts w:ascii="宋体" w:hAnsi="宋体" w:cs="宋体"/>
          <w:spacing w:val="4"/>
          <w:kern w:val="0"/>
          <w:sz w:val="24"/>
          <w:szCs w:val="24"/>
        </w:rPr>
      </w:pPr>
    </w:p>
    <w:p w14:paraId="0C476CF4">
      <w:pPr>
        <w:topLinePunct/>
        <w:adjustRightInd w:val="0"/>
        <w:snapToGrid w:val="0"/>
        <w:spacing w:line="360" w:lineRule="auto"/>
        <w:ind w:firstLine="496" w:firstLineChars="200"/>
        <w:rPr>
          <w:rFonts w:ascii="宋体" w:hAnsi="宋体" w:cs="宋体"/>
          <w:spacing w:val="4"/>
          <w:kern w:val="0"/>
          <w:sz w:val="24"/>
          <w:szCs w:val="24"/>
        </w:rPr>
      </w:pPr>
      <w:r>
        <w:rPr>
          <w:rFonts w:hint="eastAsia" w:ascii="宋体" w:hAnsi="宋体" w:cs="宋体"/>
          <w:spacing w:val="4"/>
          <w:kern w:val="0"/>
          <w:sz w:val="24"/>
          <w:szCs w:val="24"/>
        </w:rPr>
        <w:t>托证明书</w:t>
      </w:r>
    </w:p>
    <w:p w14:paraId="010DF918">
      <w:pPr>
        <w:topLinePunct/>
        <w:adjustRightInd w:val="0"/>
        <w:snapToGrid w:val="0"/>
        <w:spacing w:line="360" w:lineRule="auto"/>
        <w:ind w:firstLine="496" w:firstLineChars="200"/>
        <w:rPr>
          <w:rFonts w:ascii="宋体" w:hAnsi="宋体" w:cs="宋体"/>
          <w:spacing w:val="4"/>
          <w:kern w:val="0"/>
          <w:sz w:val="24"/>
          <w:szCs w:val="24"/>
        </w:rPr>
      </w:pPr>
      <w:r>
        <w:rPr>
          <w:rFonts w:hint="eastAsia" w:ascii="宋体" w:hAnsi="宋体" w:cs="宋体"/>
          <w:spacing w:val="4"/>
          <w:kern w:val="0"/>
          <w:sz w:val="24"/>
          <w:szCs w:val="24"/>
        </w:rPr>
        <w:t>（　 ）第　号</w:t>
      </w:r>
    </w:p>
    <w:p w14:paraId="66872611">
      <w:pPr>
        <w:topLinePunct/>
        <w:adjustRightInd w:val="0"/>
        <w:snapToGrid w:val="0"/>
        <w:spacing w:line="360" w:lineRule="auto"/>
        <w:ind w:firstLine="496" w:firstLineChars="200"/>
        <w:rPr>
          <w:rFonts w:ascii="宋体" w:hAnsi="宋体" w:cs="宋体"/>
          <w:spacing w:val="4"/>
          <w:kern w:val="0"/>
          <w:sz w:val="24"/>
          <w:szCs w:val="24"/>
        </w:rPr>
      </w:pPr>
      <w:r>
        <w:rPr>
          <w:rFonts w:hint="eastAsia" w:ascii="宋体" w:hAnsi="宋体" w:cs="宋体"/>
          <w:spacing w:val="4"/>
          <w:kern w:val="0"/>
          <w:sz w:val="24"/>
          <w:szCs w:val="24"/>
        </w:rPr>
        <w:t>注：按提供的该表格格式填写，或使用从工商管理部门购买的表格填写。</w:t>
      </w:r>
    </w:p>
    <w:p w14:paraId="0F9B654E">
      <w:pPr>
        <w:topLinePunct/>
        <w:adjustRightInd w:val="0"/>
        <w:snapToGrid w:val="0"/>
        <w:spacing w:line="360" w:lineRule="auto"/>
        <w:ind w:firstLine="496" w:firstLineChars="200"/>
        <w:rPr>
          <w:rFonts w:ascii="宋体" w:hAnsi="宋体" w:cs="宋体"/>
          <w:spacing w:val="4"/>
          <w:kern w:val="0"/>
          <w:sz w:val="24"/>
          <w:szCs w:val="24"/>
        </w:rPr>
      </w:pPr>
    </w:p>
    <w:p w14:paraId="3CA38B94">
      <w:pPr>
        <w:topLinePunct/>
        <w:adjustRightInd w:val="0"/>
        <w:snapToGrid w:val="0"/>
        <w:spacing w:line="360" w:lineRule="auto"/>
        <w:ind w:firstLine="496" w:firstLineChars="200"/>
        <w:rPr>
          <w:rFonts w:ascii="宋体" w:hAnsi="宋体" w:cs="宋体"/>
          <w:spacing w:val="4"/>
          <w:kern w:val="0"/>
          <w:sz w:val="24"/>
          <w:szCs w:val="24"/>
        </w:rPr>
      </w:pPr>
    </w:p>
    <w:p w14:paraId="09C037A4">
      <w:pPr>
        <w:topLinePunct/>
        <w:adjustRightInd w:val="0"/>
        <w:snapToGrid w:val="0"/>
        <w:spacing w:line="360" w:lineRule="auto"/>
        <w:ind w:firstLine="496" w:firstLineChars="200"/>
        <w:rPr>
          <w:rFonts w:ascii="宋体" w:hAnsi="宋体" w:cs="宋体"/>
          <w:spacing w:val="4"/>
          <w:kern w:val="0"/>
          <w:sz w:val="24"/>
          <w:szCs w:val="24"/>
        </w:rPr>
      </w:pPr>
      <w:r>
        <w:rPr>
          <w:rFonts w:hint="eastAsia" w:ascii="宋体" w:hAnsi="宋体" w:cs="宋体"/>
          <w:spacing w:val="4"/>
          <w:kern w:val="0"/>
          <w:sz w:val="24"/>
          <w:szCs w:val="24"/>
        </w:rPr>
        <w:t>（2）法定代表人授权委托书</w:t>
      </w:r>
    </w:p>
    <w:p w14:paraId="4141866C">
      <w:pPr>
        <w:topLinePunct/>
        <w:adjustRightInd w:val="0"/>
        <w:snapToGrid w:val="0"/>
        <w:spacing w:line="360" w:lineRule="auto"/>
        <w:ind w:firstLine="496" w:firstLineChars="200"/>
        <w:rPr>
          <w:rFonts w:ascii="宋体" w:hAnsi="宋体" w:cs="宋体"/>
          <w:spacing w:val="4"/>
          <w:kern w:val="0"/>
          <w:sz w:val="24"/>
          <w:szCs w:val="24"/>
        </w:rPr>
      </w:pPr>
      <w:r>
        <w:rPr>
          <w:rFonts w:hint="eastAsia" w:ascii="宋体" w:hAnsi="宋体" w:cs="宋体"/>
          <w:spacing w:val="4"/>
          <w:kern w:val="0"/>
          <w:sz w:val="24"/>
          <w:szCs w:val="24"/>
        </w:rPr>
        <w:t xml:space="preserve">                                                     </w:t>
      </w:r>
    </w:p>
    <w:p w14:paraId="0252C4F5">
      <w:pPr>
        <w:topLinePunct/>
        <w:adjustRightInd w:val="0"/>
        <w:snapToGrid w:val="0"/>
        <w:spacing w:line="360" w:lineRule="auto"/>
        <w:ind w:firstLine="496" w:firstLineChars="200"/>
        <w:jc w:val="left"/>
        <w:rPr>
          <w:rFonts w:ascii="宋体" w:hAnsi="宋体" w:cs="宋体"/>
          <w:spacing w:val="4"/>
          <w:kern w:val="0"/>
          <w:sz w:val="24"/>
          <w:szCs w:val="24"/>
        </w:rPr>
      </w:pPr>
      <w:r>
        <w:rPr>
          <w:rFonts w:hint="eastAsia" w:ascii="宋体" w:hAnsi="宋体" w:cs="宋体"/>
          <w:spacing w:val="4"/>
          <w:kern w:val="0"/>
          <w:sz w:val="24"/>
          <w:szCs w:val="24"/>
        </w:rPr>
        <w:t>（2）法定代表人授权委托书</w:t>
      </w:r>
    </w:p>
    <w:p w14:paraId="1B4DACB9">
      <w:pPr>
        <w:topLinePunct/>
        <w:adjustRightInd w:val="0"/>
        <w:snapToGrid w:val="0"/>
        <w:spacing w:line="360" w:lineRule="auto"/>
        <w:ind w:firstLine="496" w:firstLineChars="200"/>
        <w:jc w:val="right"/>
        <w:rPr>
          <w:rFonts w:ascii="宋体" w:hAnsi="宋体" w:cs="宋体"/>
          <w:spacing w:val="4"/>
          <w:kern w:val="0"/>
          <w:sz w:val="24"/>
          <w:szCs w:val="24"/>
        </w:rPr>
      </w:pPr>
      <w:r>
        <w:rPr>
          <w:rFonts w:hint="eastAsia" w:ascii="宋体" w:hAnsi="宋体" w:cs="宋体"/>
          <w:spacing w:val="4"/>
          <w:kern w:val="0"/>
          <w:sz w:val="24"/>
          <w:szCs w:val="24"/>
        </w:rPr>
        <w:t>（   ）第  号</w:t>
      </w:r>
    </w:p>
    <w:p w14:paraId="3766FF24">
      <w:pPr>
        <w:topLinePunct/>
        <w:adjustRightInd w:val="0"/>
        <w:snapToGrid w:val="0"/>
        <w:spacing w:line="360" w:lineRule="auto"/>
        <w:ind w:firstLine="420" w:firstLineChars="200"/>
        <w:rPr>
          <w:rFonts w:ascii="宋体" w:hAnsi="宋体" w:cs="宋体"/>
          <w:spacing w:val="4"/>
          <w:kern w:val="0"/>
          <w:sz w:val="24"/>
          <w:szCs w:val="24"/>
        </w:rPr>
      </w:pPr>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117475</wp:posOffset>
                </wp:positionH>
                <wp:positionV relativeFrom="paragraph">
                  <wp:posOffset>36195</wp:posOffset>
                </wp:positionV>
                <wp:extent cx="5692140" cy="2621915"/>
                <wp:effectExtent l="4445" t="4445" r="18415"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692140" cy="2621915"/>
                        </a:xfrm>
                        <a:prstGeom prst="rect">
                          <a:avLst/>
                        </a:prstGeom>
                        <a:solidFill>
                          <a:srgbClr val="FFFFFF"/>
                        </a:solidFill>
                        <a:ln w="9525">
                          <a:solidFill>
                            <a:srgbClr val="000000"/>
                          </a:solidFill>
                          <a:miter lim="800000"/>
                        </a:ln>
                        <a:effectLst/>
                      </wps:spPr>
                      <wps:txbx>
                        <w:txbxContent>
                          <w:p w14:paraId="10D5D9D5">
                            <w:pPr>
                              <w:pStyle w:val="56"/>
                              <w:spacing w:line="240" w:lineRule="auto"/>
                              <w:ind w:firstLine="0" w:firstLineChars="0"/>
                              <w:rPr>
                                <w:rFonts w:ascii="宋体" w:hAnsi="宋体" w:cs="宋体"/>
                                <w:szCs w:val="28"/>
                              </w:rPr>
                            </w:pPr>
                            <w:r>
                              <w:rPr>
                                <w:rFonts w:ascii="宋体" w:hAnsi="宋体" w:cs="宋体"/>
                                <w:szCs w:val="28"/>
                              </w:rPr>
                              <w:t xml:space="preserve">    </w:t>
                            </w:r>
                          </w:p>
                          <w:p w14:paraId="08C8C665">
                            <w:pPr>
                              <w:pStyle w:val="56"/>
                              <w:spacing w:line="240" w:lineRule="auto"/>
                              <w:ind w:firstLine="0" w:firstLineChars="0"/>
                              <w:rPr>
                                <w:rFonts w:ascii="宋体" w:hAnsi="宋体" w:cs="宋体"/>
                              </w:rPr>
                            </w:pPr>
                            <w:r>
                              <w:rPr>
                                <w:rFonts w:hint="eastAsia" w:ascii="宋体" w:hAnsi="宋体" w:cs="宋体"/>
                                <w:szCs w:val="28"/>
                              </w:rPr>
                              <w:t xml:space="preserve">    </w:t>
                            </w:r>
                            <w:r>
                              <w:rPr>
                                <w:rFonts w:hint="eastAsia" w:ascii="宋体" w:hAnsi="宋体" w:cs="宋体"/>
                              </w:rPr>
                              <w:t>兹授权</w:t>
                            </w:r>
                            <w:r>
                              <w:rPr>
                                <w:rFonts w:hint="eastAsia" w:ascii="宋体" w:hAnsi="宋体" w:cs="宋体"/>
                                <w:u w:val="single"/>
                              </w:rPr>
                              <w:t xml:space="preserve">                </w:t>
                            </w:r>
                            <w:r>
                              <w:rPr>
                                <w:rFonts w:hint="eastAsia" w:ascii="宋体" w:hAnsi="宋体" w:cs="宋体"/>
                              </w:rPr>
                              <w:t xml:space="preserve">为我方委托代理人，其权限是：                </w:t>
                            </w:r>
                          </w:p>
                          <w:p w14:paraId="50B2D6A2">
                            <w:pPr>
                              <w:pStyle w:val="56"/>
                              <w:spacing w:line="240" w:lineRule="auto"/>
                              <w:ind w:firstLine="0" w:firstLineChars="0"/>
                              <w:rPr>
                                <w:rFonts w:ascii="宋体" w:hAnsi="宋体" w:cs="宋体"/>
                              </w:rPr>
                            </w:pPr>
                            <w:r>
                              <w:rPr>
                                <w:rFonts w:hint="eastAsia" w:ascii="宋体" w:hAnsi="宋体" w:cs="宋体"/>
                              </w:rPr>
                              <w:t xml:space="preserve">                                                                 </w:t>
                            </w:r>
                          </w:p>
                          <w:p w14:paraId="6E0C8924">
                            <w:pPr>
                              <w:pStyle w:val="56"/>
                              <w:spacing w:line="240" w:lineRule="auto"/>
                              <w:ind w:firstLine="0" w:firstLineChars="0"/>
                              <w:rPr>
                                <w:rFonts w:ascii="宋体" w:hAnsi="宋体" w:cs="宋体"/>
                              </w:rPr>
                            </w:pPr>
                            <w:r>
                              <w:rPr>
                                <w:rFonts w:hint="eastAsia" w:ascii="宋体" w:hAnsi="宋体" w:cs="宋体"/>
                              </w:rPr>
                              <w:t>有效期限：</w:t>
                            </w:r>
                            <w:r>
                              <w:rPr>
                                <w:rFonts w:hint="eastAsia" w:ascii="宋体" w:hAnsi="宋体" w:cs="宋体"/>
                                <w:u w:val="single"/>
                              </w:rPr>
                              <w:t xml:space="preserve">                                                        </w:t>
                            </w:r>
                          </w:p>
                          <w:p w14:paraId="311E72AB">
                            <w:pPr>
                              <w:pStyle w:val="56"/>
                              <w:spacing w:line="240" w:lineRule="auto"/>
                              <w:ind w:firstLine="0" w:firstLineChars="0"/>
                              <w:rPr>
                                <w:rFonts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4A5AD6E3">
                            <w:pPr>
                              <w:pStyle w:val="56"/>
                              <w:spacing w:line="240" w:lineRule="auto"/>
                              <w:ind w:firstLine="0" w:firstLineChars="0"/>
                              <w:rPr>
                                <w:rFonts w:ascii="宋体" w:hAnsi="宋体" w:cs="宋体"/>
                              </w:rPr>
                            </w:pPr>
                            <w:r>
                              <w:rPr>
                                <w:rFonts w:hint="eastAsia" w:ascii="宋体" w:hAnsi="宋体" w:cs="宋体"/>
                                <w:kern w:val="1"/>
                              </w:rPr>
                              <w:t>统一社会信用代码：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14:paraId="18C74FC5">
                            <w:pPr>
                              <w:pStyle w:val="56"/>
                              <w:spacing w:line="240" w:lineRule="auto"/>
                              <w:ind w:firstLine="0" w:firstLineChars="0"/>
                              <w:rPr>
                                <w:rFonts w:ascii="宋体" w:hAnsi="宋体" w:cs="宋体"/>
                              </w:rPr>
                            </w:pPr>
                            <w:r>
                              <w:rPr>
                                <w:rFonts w:hint="eastAsia" w:ascii="宋体" w:hAnsi="宋体" w:cs="宋体"/>
                              </w:rPr>
                              <w:t>经营范围：</w:t>
                            </w:r>
                            <w:r>
                              <w:rPr>
                                <w:rFonts w:hint="eastAsia" w:ascii="宋体" w:hAnsi="宋体" w:cs="宋体"/>
                                <w:u w:val="single"/>
                              </w:rPr>
                              <w:t xml:space="preserve">                                                        </w:t>
                            </w:r>
                          </w:p>
                          <w:p w14:paraId="0026BB5A">
                            <w:pPr>
                              <w:snapToGrid w:val="0"/>
                              <w:spacing w:line="360" w:lineRule="auto"/>
                              <w:rPr>
                                <w:rFonts w:ascii="宋体" w:hAnsi="宋体" w:cs="宋体"/>
                                <w:sz w:val="24"/>
                              </w:rPr>
                            </w:pPr>
                            <w:r>
                              <w:rPr>
                                <w:rFonts w:hint="eastAsia" w:ascii="宋体" w:hAnsi="宋体" w:cs="宋体"/>
                                <w:snapToGrid w:val="0"/>
                                <w:spacing w:val="4"/>
                                <w:sz w:val="24"/>
                                <w:szCs w:val="24"/>
                              </w:rPr>
                              <w:t>法定代表人（负</w:t>
                            </w:r>
                            <w:r>
                              <w:rPr>
                                <w:rFonts w:hint="eastAsia" w:ascii="宋体" w:hAnsi="宋体" w:cs="宋体"/>
                                <w:sz w:val="24"/>
                              </w:rPr>
                              <w:t>责人）：</w:t>
                            </w:r>
                            <w:r>
                              <w:rPr>
                                <w:rFonts w:hint="eastAsia" w:ascii="宋体" w:hAnsi="宋体" w:cs="宋体"/>
                                <w:sz w:val="24"/>
                                <w:u w:val="single"/>
                              </w:rPr>
                              <w:t xml:space="preserve">　　　          </w:t>
                            </w:r>
                          </w:p>
                          <w:p w14:paraId="06400F03">
                            <w:pPr>
                              <w:spacing w:line="360" w:lineRule="auto"/>
                              <w:rPr>
                                <w:rFonts w:ascii="宋体" w:hAnsi="宋体" w:cs="宋体"/>
                                <w:u w:val="single"/>
                              </w:rPr>
                            </w:pPr>
                            <w:r>
                              <w:rPr>
                                <w:rFonts w:hint="eastAsia" w:ascii="宋体" w:hAnsi="宋体" w:cs="宋体"/>
                                <w:snapToGrid w:val="0"/>
                                <w:spacing w:val="4"/>
                                <w:sz w:val="24"/>
                                <w:szCs w:val="24"/>
                              </w:rPr>
                              <w:t>授权单位：</w:t>
                            </w:r>
                            <w:r>
                              <w:rPr>
                                <w:rFonts w:hint="eastAsia" w:ascii="宋体" w:hAnsi="宋体" w:cs="宋体"/>
                                <w:u w:val="single"/>
                              </w:rPr>
                              <w:t xml:space="preserve">       </w:t>
                            </w:r>
                          </w:p>
                          <w:p w14:paraId="1BD99756">
                            <w:pPr>
                              <w:spacing w:line="360" w:lineRule="auto"/>
                              <w:rPr>
                                <w:rFonts w:ascii="宋体" w:hAnsi="宋体" w:cs="宋体"/>
                                <w:u w:val="single"/>
                              </w:rPr>
                            </w:pPr>
                            <w:r>
                              <w:rPr>
                                <w:rFonts w:hint="eastAsia" w:ascii="宋体" w:hAnsi="宋体" w:cs="宋体"/>
                                <w:szCs w:val="28"/>
                              </w:rPr>
                              <w:t xml:space="preserve">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25pt;margin-top:2.85pt;height:206.45pt;width:448.2pt;z-index:251661312;mso-width-relative:page;mso-height-relative:page;" fillcolor="#FFFFFF" filled="t" stroked="t" coordsize="21600,21600" o:gfxdata="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wh9vfXAAAACAEAAA8AAAAAAAAAAQAg&#10;AAAAIgAAAGRycy9kb3ducmV2LnhtbFBLAQIUABQAAAAIAIdO4kCrR9R2SAIAAJYEAAAOAAAAAAAA&#10;AAEAIAAAACYBAABkcnMvZTJvRG9jLnhtbFBLBQYAAAAABgAGAFkBAADgBQAAAAA=&#10;">
                <v:fill on="t" focussize="0,0"/>
                <v:stroke color="#000000" miterlimit="8" joinstyle="miter"/>
                <v:imagedata o:title=""/>
                <o:lock v:ext="edit" aspectratio="f"/>
                <v:textbox>
                  <w:txbxContent>
                    <w:p w14:paraId="10D5D9D5">
                      <w:pPr>
                        <w:pStyle w:val="56"/>
                        <w:spacing w:line="240" w:lineRule="auto"/>
                        <w:ind w:firstLine="0" w:firstLineChars="0"/>
                        <w:rPr>
                          <w:rFonts w:ascii="宋体" w:hAnsi="宋体" w:cs="宋体"/>
                          <w:szCs w:val="28"/>
                        </w:rPr>
                      </w:pPr>
                      <w:r>
                        <w:rPr>
                          <w:rFonts w:ascii="宋体" w:hAnsi="宋体" w:cs="宋体"/>
                          <w:szCs w:val="28"/>
                        </w:rPr>
                        <w:t xml:space="preserve">    </w:t>
                      </w:r>
                    </w:p>
                    <w:p w14:paraId="08C8C665">
                      <w:pPr>
                        <w:pStyle w:val="56"/>
                        <w:spacing w:line="240" w:lineRule="auto"/>
                        <w:ind w:firstLine="0" w:firstLineChars="0"/>
                        <w:rPr>
                          <w:rFonts w:ascii="宋体" w:hAnsi="宋体" w:cs="宋体"/>
                        </w:rPr>
                      </w:pPr>
                      <w:r>
                        <w:rPr>
                          <w:rFonts w:hint="eastAsia" w:ascii="宋体" w:hAnsi="宋体" w:cs="宋体"/>
                          <w:szCs w:val="28"/>
                        </w:rPr>
                        <w:t xml:space="preserve">    </w:t>
                      </w:r>
                      <w:r>
                        <w:rPr>
                          <w:rFonts w:hint="eastAsia" w:ascii="宋体" w:hAnsi="宋体" w:cs="宋体"/>
                        </w:rPr>
                        <w:t>兹授权</w:t>
                      </w:r>
                      <w:r>
                        <w:rPr>
                          <w:rFonts w:hint="eastAsia" w:ascii="宋体" w:hAnsi="宋体" w:cs="宋体"/>
                          <w:u w:val="single"/>
                        </w:rPr>
                        <w:t xml:space="preserve">                </w:t>
                      </w:r>
                      <w:r>
                        <w:rPr>
                          <w:rFonts w:hint="eastAsia" w:ascii="宋体" w:hAnsi="宋体" w:cs="宋体"/>
                        </w:rPr>
                        <w:t xml:space="preserve">为我方委托代理人，其权限是：                </w:t>
                      </w:r>
                    </w:p>
                    <w:p w14:paraId="50B2D6A2">
                      <w:pPr>
                        <w:pStyle w:val="56"/>
                        <w:spacing w:line="240" w:lineRule="auto"/>
                        <w:ind w:firstLine="0" w:firstLineChars="0"/>
                        <w:rPr>
                          <w:rFonts w:ascii="宋体" w:hAnsi="宋体" w:cs="宋体"/>
                        </w:rPr>
                      </w:pPr>
                      <w:r>
                        <w:rPr>
                          <w:rFonts w:hint="eastAsia" w:ascii="宋体" w:hAnsi="宋体" w:cs="宋体"/>
                        </w:rPr>
                        <w:t xml:space="preserve">                                                                 </w:t>
                      </w:r>
                    </w:p>
                    <w:p w14:paraId="6E0C8924">
                      <w:pPr>
                        <w:pStyle w:val="56"/>
                        <w:spacing w:line="240" w:lineRule="auto"/>
                        <w:ind w:firstLine="0" w:firstLineChars="0"/>
                        <w:rPr>
                          <w:rFonts w:ascii="宋体" w:hAnsi="宋体" w:cs="宋体"/>
                        </w:rPr>
                      </w:pPr>
                      <w:r>
                        <w:rPr>
                          <w:rFonts w:hint="eastAsia" w:ascii="宋体" w:hAnsi="宋体" w:cs="宋体"/>
                        </w:rPr>
                        <w:t>有效期限：</w:t>
                      </w:r>
                      <w:r>
                        <w:rPr>
                          <w:rFonts w:hint="eastAsia" w:ascii="宋体" w:hAnsi="宋体" w:cs="宋体"/>
                          <w:u w:val="single"/>
                        </w:rPr>
                        <w:t xml:space="preserve">                                                        </w:t>
                      </w:r>
                    </w:p>
                    <w:p w14:paraId="311E72AB">
                      <w:pPr>
                        <w:pStyle w:val="56"/>
                        <w:spacing w:line="240" w:lineRule="auto"/>
                        <w:ind w:firstLine="0" w:firstLineChars="0"/>
                        <w:rPr>
                          <w:rFonts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4A5AD6E3">
                      <w:pPr>
                        <w:pStyle w:val="56"/>
                        <w:spacing w:line="240" w:lineRule="auto"/>
                        <w:ind w:firstLine="0" w:firstLineChars="0"/>
                        <w:rPr>
                          <w:rFonts w:ascii="宋体" w:hAnsi="宋体" w:cs="宋体"/>
                        </w:rPr>
                      </w:pPr>
                      <w:r>
                        <w:rPr>
                          <w:rFonts w:hint="eastAsia" w:ascii="宋体" w:hAnsi="宋体" w:cs="宋体"/>
                          <w:kern w:val="1"/>
                        </w:rPr>
                        <w:t>统一社会信用代码：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14:paraId="18C74FC5">
                      <w:pPr>
                        <w:pStyle w:val="56"/>
                        <w:spacing w:line="240" w:lineRule="auto"/>
                        <w:ind w:firstLine="0" w:firstLineChars="0"/>
                        <w:rPr>
                          <w:rFonts w:ascii="宋体" w:hAnsi="宋体" w:cs="宋体"/>
                        </w:rPr>
                      </w:pPr>
                      <w:r>
                        <w:rPr>
                          <w:rFonts w:hint="eastAsia" w:ascii="宋体" w:hAnsi="宋体" w:cs="宋体"/>
                        </w:rPr>
                        <w:t>经营范围：</w:t>
                      </w:r>
                      <w:r>
                        <w:rPr>
                          <w:rFonts w:hint="eastAsia" w:ascii="宋体" w:hAnsi="宋体" w:cs="宋体"/>
                          <w:u w:val="single"/>
                        </w:rPr>
                        <w:t xml:space="preserve">                                                        </w:t>
                      </w:r>
                    </w:p>
                    <w:p w14:paraId="0026BB5A">
                      <w:pPr>
                        <w:snapToGrid w:val="0"/>
                        <w:spacing w:line="360" w:lineRule="auto"/>
                        <w:rPr>
                          <w:rFonts w:ascii="宋体" w:hAnsi="宋体" w:cs="宋体"/>
                          <w:sz w:val="24"/>
                        </w:rPr>
                      </w:pPr>
                      <w:r>
                        <w:rPr>
                          <w:rFonts w:hint="eastAsia" w:ascii="宋体" w:hAnsi="宋体" w:cs="宋体"/>
                          <w:snapToGrid w:val="0"/>
                          <w:spacing w:val="4"/>
                          <w:sz w:val="24"/>
                          <w:szCs w:val="24"/>
                        </w:rPr>
                        <w:t>法定代表人（负</w:t>
                      </w:r>
                      <w:r>
                        <w:rPr>
                          <w:rFonts w:hint="eastAsia" w:ascii="宋体" w:hAnsi="宋体" w:cs="宋体"/>
                          <w:sz w:val="24"/>
                        </w:rPr>
                        <w:t>责人）：</w:t>
                      </w:r>
                      <w:r>
                        <w:rPr>
                          <w:rFonts w:hint="eastAsia" w:ascii="宋体" w:hAnsi="宋体" w:cs="宋体"/>
                          <w:sz w:val="24"/>
                          <w:u w:val="single"/>
                        </w:rPr>
                        <w:t xml:space="preserve">　　　          </w:t>
                      </w:r>
                    </w:p>
                    <w:p w14:paraId="06400F03">
                      <w:pPr>
                        <w:spacing w:line="360" w:lineRule="auto"/>
                        <w:rPr>
                          <w:rFonts w:ascii="宋体" w:hAnsi="宋体" w:cs="宋体"/>
                          <w:u w:val="single"/>
                        </w:rPr>
                      </w:pPr>
                      <w:r>
                        <w:rPr>
                          <w:rFonts w:hint="eastAsia" w:ascii="宋体" w:hAnsi="宋体" w:cs="宋体"/>
                          <w:snapToGrid w:val="0"/>
                          <w:spacing w:val="4"/>
                          <w:sz w:val="24"/>
                          <w:szCs w:val="24"/>
                        </w:rPr>
                        <w:t>授权单位：</w:t>
                      </w:r>
                      <w:r>
                        <w:rPr>
                          <w:rFonts w:hint="eastAsia" w:ascii="宋体" w:hAnsi="宋体" w:cs="宋体"/>
                          <w:u w:val="single"/>
                        </w:rPr>
                        <w:t xml:space="preserve">       </w:t>
                      </w:r>
                    </w:p>
                    <w:p w14:paraId="1BD99756">
                      <w:pPr>
                        <w:spacing w:line="360" w:lineRule="auto"/>
                        <w:rPr>
                          <w:rFonts w:ascii="宋体" w:hAnsi="宋体" w:cs="宋体"/>
                          <w:u w:val="single"/>
                        </w:rPr>
                      </w:pPr>
                      <w:r>
                        <w:rPr>
                          <w:rFonts w:hint="eastAsia" w:ascii="宋体" w:hAnsi="宋体" w:cs="宋体"/>
                          <w:szCs w:val="28"/>
                        </w:rPr>
                        <w:t xml:space="preserve"> 年  月  日</w:t>
                      </w:r>
                    </w:p>
                  </w:txbxContent>
                </v:textbox>
              </v:shape>
            </w:pict>
          </mc:Fallback>
        </mc:AlternateContent>
      </w:r>
    </w:p>
    <w:p w14:paraId="127C0E93">
      <w:pPr>
        <w:topLinePunct/>
        <w:adjustRightInd w:val="0"/>
        <w:snapToGrid w:val="0"/>
        <w:spacing w:line="360" w:lineRule="auto"/>
        <w:ind w:firstLine="496" w:firstLineChars="200"/>
        <w:rPr>
          <w:rFonts w:ascii="宋体" w:hAnsi="宋体" w:cs="宋体"/>
          <w:spacing w:val="4"/>
          <w:kern w:val="0"/>
          <w:sz w:val="24"/>
          <w:szCs w:val="24"/>
        </w:rPr>
      </w:pPr>
    </w:p>
    <w:p w14:paraId="77D8064D">
      <w:pPr>
        <w:topLinePunct/>
        <w:adjustRightInd w:val="0"/>
        <w:snapToGrid w:val="0"/>
        <w:spacing w:line="360" w:lineRule="auto"/>
        <w:ind w:firstLine="496" w:firstLineChars="200"/>
        <w:rPr>
          <w:rFonts w:ascii="宋体" w:hAnsi="宋体" w:cs="宋体"/>
          <w:spacing w:val="4"/>
          <w:kern w:val="0"/>
          <w:sz w:val="24"/>
          <w:szCs w:val="24"/>
        </w:rPr>
      </w:pPr>
    </w:p>
    <w:p w14:paraId="530FDD6A">
      <w:pPr>
        <w:topLinePunct/>
        <w:adjustRightInd w:val="0"/>
        <w:snapToGrid w:val="0"/>
        <w:spacing w:line="360" w:lineRule="auto"/>
        <w:ind w:firstLine="496" w:firstLineChars="200"/>
        <w:rPr>
          <w:rFonts w:ascii="宋体" w:hAnsi="宋体" w:cs="宋体"/>
          <w:spacing w:val="4"/>
          <w:kern w:val="0"/>
          <w:sz w:val="24"/>
          <w:szCs w:val="24"/>
        </w:rPr>
      </w:pPr>
    </w:p>
    <w:p w14:paraId="3C5B8E9B">
      <w:pPr>
        <w:topLinePunct/>
        <w:adjustRightInd w:val="0"/>
        <w:snapToGrid w:val="0"/>
        <w:spacing w:line="360" w:lineRule="auto"/>
        <w:ind w:firstLine="496" w:firstLineChars="200"/>
        <w:rPr>
          <w:rFonts w:ascii="宋体" w:hAnsi="宋体" w:cs="宋体"/>
          <w:spacing w:val="4"/>
          <w:kern w:val="0"/>
          <w:sz w:val="24"/>
          <w:szCs w:val="24"/>
        </w:rPr>
      </w:pPr>
    </w:p>
    <w:p w14:paraId="3A2253D3">
      <w:pPr>
        <w:topLinePunct/>
        <w:adjustRightInd w:val="0"/>
        <w:snapToGrid w:val="0"/>
        <w:spacing w:line="360" w:lineRule="auto"/>
        <w:ind w:firstLine="496" w:firstLineChars="200"/>
        <w:rPr>
          <w:rFonts w:ascii="宋体" w:hAnsi="宋体" w:cs="宋体"/>
          <w:spacing w:val="4"/>
          <w:kern w:val="0"/>
          <w:sz w:val="24"/>
          <w:szCs w:val="24"/>
        </w:rPr>
      </w:pPr>
    </w:p>
    <w:p w14:paraId="5B4B3EE5">
      <w:pPr>
        <w:topLinePunct/>
        <w:adjustRightInd w:val="0"/>
        <w:snapToGrid w:val="0"/>
        <w:spacing w:line="360" w:lineRule="auto"/>
        <w:ind w:firstLine="496" w:firstLineChars="200"/>
        <w:rPr>
          <w:rFonts w:ascii="宋体" w:hAnsi="宋体" w:cs="宋体"/>
          <w:spacing w:val="4"/>
          <w:kern w:val="0"/>
          <w:sz w:val="24"/>
          <w:szCs w:val="24"/>
        </w:rPr>
      </w:pPr>
    </w:p>
    <w:p w14:paraId="3CF6D15E">
      <w:pPr>
        <w:topLinePunct/>
        <w:adjustRightInd w:val="0"/>
        <w:snapToGrid w:val="0"/>
        <w:spacing w:line="360" w:lineRule="auto"/>
        <w:ind w:firstLine="496" w:firstLineChars="200"/>
        <w:rPr>
          <w:rFonts w:ascii="宋体" w:hAnsi="宋体" w:cs="宋体"/>
          <w:spacing w:val="4"/>
          <w:kern w:val="0"/>
          <w:sz w:val="24"/>
          <w:szCs w:val="24"/>
        </w:rPr>
      </w:pPr>
    </w:p>
    <w:p w14:paraId="7DF130DE">
      <w:pPr>
        <w:topLinePunct/>
        <w:adjustRightInd w:val="0"/>
        <w:snapToGrid w:val="0"/>
        <w:spacing w:line="360" w:lineRule="auto"/>
        <w:ind w:firstLine="496" w:firstLineChars="200"/>
        <w:rPr>
          <w:rFonts w:ascii="宋体" w:hAnsi="宋体" w:cs="宋体"/>
          <w:spacing w:val="4"/>
          <w:kern w:val="0"/>
          <w:sz w:val="24"/>
          <w:szCs w:val="24"/>
        </w:rPr>
      </w:pPr>
    </w:p>
    <w:p w14:paraId="7DB919D5">
      <w:pPr>
        <w:topLinePunct/>
        <w:adjustRightInd w:val="0"/>
        <w:snapToGrid w:val="0"/>
        <w:spacing w:line="360" w:lineRule="auto"/>
        <w:ind w:firstLine="496" w:firstLineChars="200"/>
        <w:rPr>
          <w:rFonts w:ascii="宋体" w:hAnsi="宋体" w:cs="宋体"/>
          <w:spacing w:val="4"/>
          <w:kern w:val="0"/>
          <w:sz w:val="24"/>
          <w:szCs w:val="24"/>
        </w:rPr>
      </w:pPr>
    </w:p>
    <w:p w14:paraId="53E6636D">
      <w:pPr>
        <w:topLinePunct/>
        <w:adjustRightInd w:val="0"/>
        <w:snapToGrid w:val="0"/>
        <w:ind w:firstLine="438" w:firstLineChars="200"/>
        <w:jc w:val="left"/>
        <w:rPr>
          <w:rFonts w:ascii="宋体" w:hAnsi="宋体" w:cs="宋体"/>
          <w:b/>
          <w:spacing w:val="4"/>
          <w:kern w:val="0"/>
          <w:szCs w:val="21"/>
        </w:rPr>
      </w:pPr>
      <w:r>
        <w:rPr>
          <w:rFonts w:hint="eastAsia" w:ascii="宋体" w:hAnsi="宋体" w:cs="宋体"/>
          <w:b/>
          <w:spacing w:val="4"/>
          <w:kern w:val="0"/>
          <w:szCs w:val="21"/>
        </w:rPr>
        <w:t>后附法定代表人和委托代理人身份证。</w:t>
      </w:r>
    </w:p>
    <w:p w14:paraId="7B4C3350">
      <w:pPr>
        <w:pStyle w:val="56"/>
        <w:spacing w:line="240" w:lineRule="auto"/>
        <w:ind w:firstLine="436"/>
        <w:jc w:val="left"/>
        <w:rPr>
          <w:rFonts w:ascii="宋体" w:hAnsi="宋体" w:cs="宋体"/>
          <w:sz w:val="21"/>
          <w:szCs w:val="21"/>
        </w:rPr>
      </w:pPr>
      <w:r>
        <w:rPr>
          <w:rFonts w:hint="eastAsia" w:ascii="宋体" w:hAnsi="宋体" w:cs="宋体"/>
          <w:sz w:val="21"/>
          <w:szCs w:val="21"/>
        </w:rPr>
        <w:t>注：该格式仅供参考。</w:t>
      </w:r>
    </w:p>
    <w:p w14:paraId="7C421A2A">
      <w:pPr>
        <w:pStyle w:val="56"/>
        <w:ind w:firstLine="0" w:firstLineChars="0"/>
        <w:outlineLvl w:val="2"/>
        <w:rPr>
          <w:rFonts w:ascii="宋体" w:hAnsi="宋体" w:cs="宋体"/>
          <w:b/>
          <w:spacing w:val="0"/>
        </w:rPr>
      </w:pPr>
      <w:r>
        <w:rPr>
          <w:rFonts w:hint="eastAsia" w:ascii="宋体" w:hAnsi="宋体" w:cs="宋体"/>
          <w:b/>
          <w:spacing w:val="0"/>
        </w:rPr>
        <w:br w:type="page"/>
      </w:r>
      <w:bookmarkStart w:id="48" w:name="_Toc28307"/>
      <w:r>
        <w:rPr>
          <w:rFonts w:hint="eastAsia" w:ascii="宋体" w:hAnsi="宋体" w:cs="宋体"/>
          <w:b/>
          <w:spacing w:val="0"/>
        </w:rPr>
        <w:t>格式四：投标函</w:t>
      </w:r>
      <w:bookmarkEnd w:id="48"/>
    </w:p>
    <w:p w14:paraId="17932131">
      <w:pPr>
        <w:rPr>
          <w:rFonts w:ascii="宋体" w:hAnsi="宋体" w:cs="宋体"/>
          <w:b/>
          <w:bCs/>
          <w:sz w:val="24"/>
          <w:szCs w:val="24"/>
        </w:rPr>
      </w:pPr>
    </w:p>
    <w:p w14:paraId="5D7CB348">
      <w:pPr>
        <w:pStyle w:val="103"/>
        <w:rPr>
          <w:rFonts w:ascii="宋体" w:hAnsi="宋体" w:eastAsia="宋体" w:cs="宋体"/>
        </w:rPr>
      </w:pPr>
      <w:r>
        <w:rPr>
          <w:rFonts w:hint="eastAsia" w:ascii="宋体" w:hAnsi="宋体" w:eastAsia="宋体" w:cs="宋体"/>
        </w:rPr>
        <w:t>投 标 函</w:t>
      </w:r>
    </w:p>
    <w:p w14:paraId="3C56D5D8">
      <w:pPr>
        <w:pStyle w:val="56"/>
        <w:ind w:firstLine="496"/>
        <w:rPr>
          <w:rFonts w:ascii="宋体" w:hAnsi="宋体" w:cs="宋体"/>
        </w:rPr>
      </w:pPr>
      <w:r>
        <w:rPr>
          <w:rFonts w:hint="eastAsia" w:ascii="宋体" w:hAnsi="宋体" w:cs="宋体"/>
        </w:rPr>
        <w:t>致：</w:t>
      </w:r>
      <w:r>
        <w:rPr>
          <w:rFonts w:hint="eastAsia" w:ascii="宋体" w:hAnsi="宋体" w:cs="宋体"/>
          <w:u w:val="single"/>
        </w:rPr>
        <w:t xml:space="preserve"> （招标人名称） </w:t>
      </w:r>
    </w:p>
    <w:p w14:paraId="1836CC3E">
      <w:pPr>
        <w:pStyle w:val="56"/>
        <w:ind w:firstLine="496"/>
        <w:rPr>
          <w:rFonts w:ascii="宋体" w:hAnsi="宋体" w:cs="宋体"/>
        </w:rPr>
      </w:pPr>
      <w:r>
        <w:rPr>
          <w:rFonts w:hint="eastAsia" w:ascii="宋体" w:hAnsi="宋体" w:cs="宋体"/>
        </w:rPr>
        <w:t>1.根据招标人</w:t>
      </w:r>
      <w:r>
        <w:rPr>
          <w:rFonts w:hint="eastAsia" w:ascii="宋体" w:hAnsi="宋体" w:cs="宋体"/>
          <w:u w:val="single"/>
        </w:rPr>
        <w:t xml:space="preserve"> （工程项目名称） </w:t>
      </w:r>
      <w:r>
        <w:rPr>
          <w:rFonts w:hint="eastAsia" w:ascii="宋体" w:hAnsi="宋体" w:cs="宋体"/>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32F52C70">
      <w:pPr>
        <w:pStyle w:val="56"/>
        <w:ind w:firstLine="496"/>
        <w:rPr>
          <w:rFonts w:ascii="宋体" w:hAnsi="宋体" w:cs="宋体"/>
        </w:rPr>
      </w:pPr>
      <w:r>
        <w:rPr>
          <w:rFonts w:hint="eastAsia" w:ascii="宋体" w:hAnsi="宋体" w:cs="宋体"/>
        </w:rPr>
        <w:t>2.我方已详细审核全部招标文件，包括修改文件（如有时）及有关附件。</w:t>
      </w:r>
    </w:p>
    <w:p w14:paraId="7D5E7BE1">
      <w:pPr>
        <w:pStyle w:val="56"/>
        <w:ind w:firstLine="496"/>
        <w:rPr>
          <w:rFonts w:ascii="宋体" w:hAnsi="宋体" w:cs="宋体"/>
        </w:rPr>
      </w:pPr>
      <w:r>
        <w:rPr>
          <w:rFonts w:hint="eastAsia" w:ascii="宋体" w:hAnsi="宋体" w:cs="宋体"/>
        </w:rPr>
        <w:t>3.如果我方中标，我方保证按照合同文件中规定的开工日期开始施工，并按规定的预计竣工日期完成和交付全部工程。</w:t>
      </w:r>
    </w:p>
    <w:p w14:paraId="2D6B24DD">
      <w:pPr>
        <w:pStyle w:val="56"/>
        <w:ind w:firstLine="496"/>
        <w:rPr>
          <w:rFonts w:ascii="宋体" w:hAnsi="宋体" w:cs="宋体"/>
        </w:rPr>
      </w:pPr>
      <w:r>
        <w:rPr>
          <w:rFonts w:hint="eastAsia" w:ascii="宋体" w:hAnsi="宋体" w:cs="宋体"/>
        </w:rPr>
        <w:t>4.如果我方中标，我方承诺在充分考虑场地环境变化及政策性调整等风险因素的前提下，继续补充完善施工组织设计，直至招标人满意为止并加以实施，由此产生的费用已包含在投标报价中。</w:t>
      </w:r>
    </w:p>
    <w:p w14:paraId="2CEFB43F">
      <w:pPr>
        <w:pStyle w:val="56"/>
        <w:ind w:firstLine="496"/>
        <w:rPr>
          <w:rFonts w:ascii="宋体" w:hAnsi="宋体" w:cs="宋体"/>
        </w:rPr>
      </w:pPr>
      <w:r>
        <w:rPr>
          <w:rFonts w:hint="eastAsia" w:ascii="宋体" w:hAnsi="宋体" w:cs="宋体"/>
        </w:rPr>
        <w:t>5.如果我方中标，我方承诺按《建设工程质量管理条例》（中华人民共和国国务院令第714号）、《建设工程安全生产管理条例》（中华人民共和国国务院令第393号）的规定对承包工程的全部建设工程质量和施工现场的安全生产负责。</w:t>
      </w:r>
    </w:p>
    <w:p w14:paraId="711FCAC2">
      <w:pPr>
        <w:pStyle w:val="56"/>
        <w:ind w:firstLine="496"/>
        <w:rPr>
          <w:rFonts w:ascii="宋体" w:hAnsi="宋体" w:cs="宋体"/>
        </w:rPr>
      </w:pPr>
      <w:r>
        <w:rPr>
          <w:rFonts w:hint="eastAsia" w:ascii="宋体" w:hAnsi="宋体" w:cs="宋体"/>
        </w:rPr>
        <w:t>6.如果我方中标，我方将按照招标文件的规定，按时提交履约担保，以保障本项目优质、优价、按期、顺利完成。</w:t>
      </w:r>
    </w:p>
    <w:p w14:paraId="13159BA7">
      <w:pPr>
        <w:pStyle w:val="56"/>
        <w:ind w:firstLine="496"/>
        <w:rPr>
          <w:rFonts w:ascii="宋体" w:hAnsi="宋体" w:cs="宋体"/>
        </w:rPr>
      </w:pPr>
      <w:r>
        <w:rPr>
          <w:rFonts w:hint="eastAsia" w:ascii="宋体" w:hAnsi="宋体" w:cs="宋体"/>
        </w:rPr>
        <w:t>7.我方同意所提交的投标文件在招标文件投标须知中第15条规定的投标有效期内有效，在此期限届满之前，本投标书始终将对我方具有约束力，并随时接受中标。</w:t>
      </w:r>
    </w:p>
    <w:p w14:paraId="3D3CEECC">
      <w:pPr>
        <w:pStyle w:val="56"/>
        <w:ind w:firstLine="496"/>
        <w:rPr>
          <w:rFonts w:ascii="宋体" w:hAnsi="宋体" w:cs="宋体"/>
        </w:rPr>
      </w:pPr>
      <w:r>
        <w:rPr>
          <w:rFonts w:hint="eastAsia" w:ascii="宋体" w:hAnsi="宋体" w:cs="宋体"/>
        </w:rPr>
        <w:t>8.在合同协议书正式签署生效之前，本投标书连同你单位的中标通知书将构成我们双方之间共同遵守的文件，对双方具有约束力。</w:t>
      </w:r>
    </w:p>
    <w:p w14:paraId="497501A1">
      <w:pPr>
        <w:pStyle w:val="56"/>
        <w:ind w:firstLine="496"/>
        <w:rPr>
          <w:rFonts w:ascii="宋体" w:hAnsi="宋体" w:cs="宋体"/>
        </w:rPr>
      </w:pPr>
      <w:r>
        <w:rPr>
          <w:rFonts w:hint="eastAsia" w:ascii="宋体" w:hAnsi="宋体" w:cs="宋体"/>
        </w:rPr>
        <w:t>9.如果我方在投标文件有效期内撤回投标文件；或在接到中标通知书后28天内未能或拒绝签订合同协议书；或未能按招标文件要求提交履约担保，你单位有权另选中标单位。</w:t>
      </w:r>
    </w:p>
    <w:p w14:paraId="59E6EDDB">
      <w:pPr>
        <w:pStyle w:val="56"/>
        <w:ind w:firstLine="496"/>
        <w:rPr>
          <w:rFonts w:ascii="宋体" w:hAnsi="宋体" w:cs="宋体"/>
        </w:rPr>
      </w:pPr>
      <w:r>
        <w:rPr>
          <w:rFonts w:hint="eastAsia" w:ascii="宋体" w:hAnsi="宋体" w:cs="宋体"/>
        </w:rPr>
        <w:t>10.我方理解，你单位不一定接受最低标价的投标或你单位接到的其它任何投标。同时也理解，你单位不负担我方的任何投标费用。</w:t>
      </w:r>
    </w:p>
    <w:p w14:paraId="288B71B7">
      <w:pPr>
        <w:pStyle w:val="56"/>
        <w:ind w:firstLine="496"/>
        <w:rPr>
          <w:rFonts w:ascii="宋体" w:hAnsi="宋体" w:cs="宋体"/>
        </w:rPr>
      </w:pPr>
      <w:r>
        <w:rPr>
          <w:rFonts w:hint="eastAsia" w:ascii="宋体" w:hAnsi="宋体" w:cs="宋体"/>
        </w:rPr>
        <w:t>11.我方已详细审核招标文件中第二部分投标须知修改表第13.4条款，我方承诺按照招标文件的规定执行。当投标单价不超过招标控制价综合单价时，该清单项目的中标单价为该项目的结算单价，在工程结算时将不得变更。</w:t>
      </w:r>
    </w:p>
    <w:p w14:paraId="4E612CE1">
      <w:pPr>
        <w:pStyle w:val="56"/>
        <w:ind w:firstLine="5039" w:firstLineChars="2032"/>
        <w:rPr>
          <w:rFonts w:ascii="宋体" w:hAnsi="宋体" w:cs="宋体"/>
        </w:rPr>
      </w:pPr>
      <w:r>
        <w:rPr>
          <w:rFonts w:hint="eastAsia" w:ascii="宋体" w:hAnsi="宋体" w:cs="宋体"/>
        </w:rPr>
        <w:t xml:space="preserve">投标人名称：  </w:t>
      </w:r>
    </w:p>
    <w:p w14:paraId="635EE522">
      <w:pPr>
        <w:pStyle w:val="56"/>
        <w:ind w:firstLine="5155" w:firstLineChars="2079"/>
        <w:rPr>
          <w:rFonts w:ascii="宋体" w:hAnsi="宋体" w:cs="宋体"/>
        </w:rPr>
      </w:pPr>
      <w:r>
        <w:rPr>
          <w:rFonts w:hint="eastAsia" w:ascii="宋体" w:hAnsi="宋体" w:cs="宋体"/>
        </w:rPr>
        <w:t>日    期：    年    月    日</w:t>
      </w:r>
    </w:p>
    <w:p w14:paraId="06E186C4">
      <w:pPr>
        <w:rPr>
          <w:rFonts w:ascii="宋体" w:hAnsi="宋体" w:cs="宋体"/>
        </w:rPr>
      </w:pPr>
    </w:p>
    <w:p w14:paraId="7E0E7671">
      <w:pPr>
        <w:outlineLvl w:val="2"/>
        <w:rPr>
          <w:rFonts w:ascii="宋体" w:hAnsi="宋体" w:cs="宋体"/>
          <w:b/>
          <w:kern w:val="0"/>
          <w:sz w:val="24"/>
          <w:szCs w:val="24"/>
        </w:rPr>
      </w:pPr>
      <w:r>
        <w:rPr>
          <w:rFonts w:hint="eastAsia" w:ascii="宋体" w:hAnsi="宋体" w:cs="宋体"/>
          <w:b/>
          <w:kern w:val="0"/>
          <w:sz w:val="24"/>
          <w:szCs w:val="24"/>
        </w:rPr>
        <w:br w:type="page"/>
      </w:r>
      <w:bookmarkStart w:id="49" w:name="_Toc17034"/>
      <w:r>
        <w:rPr>
          <w:rFonts w:hint="eastAsia" w:ascii="宋体" w:hAnsi="宋体" w:cs="宋体"/>
          <w:b/>
          <w:kern w:val="0"/>
          <w:sz w:val="24"/>
          <w:szCs w:val="24"/>
        </w:rPr>
        <w:t>格式五：投入人员汇总表</w:t>
      </w:r>
      <w:bookmarkEnd w:id="49"/>
    </w:p>
    <w:p w14:paraId="07BDC7AA">
      <w:pPr>
        <w:topLinePunct/>
        <w:adjustRightInd w:val="0"/>
        <w:snapToGrid w:val="0"/>
        <w:spacing w:line="360" w:lineRule="auto"/>
        <w:ind w:firstLine="616"/>
        <w:jc w:val="center"/>
        <w:rPr>
          <w:rFonts w:ascii="宋体" w:hAnsi="宋体" w:cs="宋体"/>
          <w:snapToGrid w:val="0"/>
          <w:spacing w:val="4"/>
          <w:sz w:val="36"/>
          <w:szCs w:val="36"/>
        </w:rPr>
      </w:pPr>
      <w:r>
        <w:rPr>
          <w:rFonts w:hint="eastAsia" w:ascii="宋体" w:hAnsi="宋体" w:cs="宋体"/>
          <w:snapToGrid w:val="0"/>
          <w:spacing w:val="4"/>
          <w:sz w:val="36"/>
          <w:szCs w:val="36"/>
        </w:rPr>
        <w:t>投入人员汇总表</w:t>
      </w:r>
    </w:p>
    <w:tbl>
      <w:tblPr>
        <w:tblStyle w:val="4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134"/>
        <w:gridCol w:w="2211"/>
        <w:gridCol w:w="1701"/>
        <w:gridCol w:w="960"/>
        <w:gridCol w:w="2750"/>
      </w:tblGrid>
      <w:tr w14:paraId="5651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17569D9B">
            <w:pPr>
              <w:widowControl/>
              <w:jc w:val="center"/>
              <w:rPr>
                <w:rFonts w:ascii="宋体" w:hAnsi="宋体" w:cs="宋体"/>
                <w:b/>
                <w:bCs/>
                <w:kern w:val="0"/>
                <w:sz w:val="22"/>
              </w:rPr>
            </w:pPr>
            <w:r>
              <w:rPr>
                <w:rFonts w:hint="eastAsia" w:ascii="宋体" w:hAnsi="宋体" w:cs="宋体"/>
                <w:b/>
                <w:bCs/>
                <w:kern w:val="0"/>
                <w:sz w:val="22"/>
              </w:rPr>
              <w:t>序号</w:t>
            </w:r>
          </w:p>
        </w:tc>
        <w:tc>
          <w:tcPr>
            <w:tcW w:w="1134" w:type="dxa"/>
            <w:vAlign w:val="center"/>
          </w:tcPr>
          <w:p w14:paraId="67CBF8DD">
            <w:pPr>
              <w:widowControl/>
              <w:jc w:val="center"/>
              <w:rPr>
                <w:rFonts w:ascii="宋体" w:hAnsi="宋体" w:cs="宋体"/>
                <w:b/>
                <w:bCs/>
                <w:kern w:val="0"/>
                <w:sz w:val="22"/>
              </w:rPr>
            </w:pPr>
            <w:r>
              <w:rPr>
                <w:rFonts w:hint="eastAsia" w:ascii="宋体" w:hAnsi="宋体" w:cs="宋体"/>
                <w:b/>
                <w:bCs/>
                <w:kern w:val="0"/>
                <w:sz w:val="22"/>
              </w:rPr>
              <w:t>姓名</w:t>
            </w:r>
          </w:p>
        </w:tc>
        <w:tc>
          <w:tcPr>
            <w:tcW w:w="2211" w:type="dxa"/>
            <w:vAlign w:val="center"/>
          </w:tcPr>
          <w:p w14:paraId="111C9AD1">
            <w:pPr>
              <w:widowControl/>
              <w:jc w:val="center"/>
              <w:rPr>
                <w:rFonts w:ascii="宋体" w:hAnsi="宋体" w:cs="宋体"/>
                <w:b/>
                <w:bCs/>
                <w:kern w:val="0"/>
                <w:sz w:val="22"/>
              </w:rPr>
            </w:pPr>
            <w:r>
              <w:rPr>
                <w:rFonts w:hint="eastAsia" w:ascii="宋体" w:hAnsi="宋体" w:cs="宋体"/>
                <w:b/>
                <w:bCs/>
                <w:kern w:val="0"/>
                <w:sz w:val="22"/>
              </w:rPr>
              <w:t>职称/资格证书</w:t>
            </w:r>
          </w:p>
        </w:tc>
        <w:tc>
          <w:tcPr>
            <w:tcW w:w="1701" w:type="dxa"/>
            <w:vAlign w:val="center"/>
          </w:tcPr>
          <w:p w14:paraId="0D7803A2">
            <w:pPr>
              <w:widowControl/>
              <w:jc w:val="center"/>
              <w:rPr>
                <w:rFonts w:ascii="宋体" w:hAnsi="宋体" w:cs="宋体"/>
                <w:b/>
                <w:bCs/>
                <w:kern w:val="0"/>
                <w:sz w:val="22"/>
              </w:rPr>
            </w:pPr>
            <w:r>
              <w:rPr>
                <w:rFonts w:hint="eastAsia" w:ascii="宋体" w:hAnsi="宋体" w:cs="宋体"/>
                <w:b/>
                <w:bCs/>
                <w:kern w:val="0"/>
                <w:sz w:val="22"/>
              </w:rPr>
              <w:t>在本项目任职</w:t>
            </w:r>
          </w:p>
        </w:tc>
        <w:tc>
          <w:tcPr>
            <w:tcW w:w="960" w:type="dxa"/>
            <w:vAlign w:val="center"/>
          </w:tcPr>
          <w:p w14:paraId="3EE2006D">
            <w:pPr>
              <w:widowControl/>
              <w:jc w:val="center"/>
              <w:rPr>
                <w:rFonts w:ascii="宋体" w:hAnsi="宋体" w:cs="宋体"/>
                <w:b/>
                <w:bCs/>
                <w:kern w:val="0"/>
                <w:sz w:val="22"/>
              </w:rPr>
            </w:pPr>
            <w:r>
              <w:rPr>
                <w:rFonts w:hint="eastAsia" w:ascii="宋体" w:hAnsi="宋体" w:cs="宋体"/>
                <w:b/>
                <w:bCs/>
                <w:kern w:val="0"/>
                <w:sz w:val="22"/>
              </w:rPr>
              <w:t>数量</w:t>
            </w:r>
          </w:p>
        </w:tc>
        <w:tc>
          <w:tcPr>
            <w:tcW w:w="2750" w:type="dxa"/>
            <w:vAlign w:val="center"/>
          </w:tcPr>
          <w:p w14:paraId="24A52CB5">
            <w:pPr>
              <w:widowControl/>
              <w:jc w:val="center"/>
              <w:rPr>
                <w:rFonts w:ascii="宋体" w:hAnsi="宋体" w:cs="宋体"/>
                <w:b/>
                <w:bCs/>
                <w:kern w:val="0"/>
                <w:sz w:val="22"/>
              </w:rPr>
            </w:pPr>
            <w:r>
              <w:rPr>
                <w:rFonts w:hint="eastAsia" w:ascii="宋体" w:hAnsi="宋体" w:cs="宋体"/>
                <w:b/>
                <w:bCs/>
                <w:kern w:val="0"/>
                <w:sz w:val="22"/>
              </w:rPr>
              <w:t>基本要求</w:t>
            </w:r>
          </w:p>
        </w:tc>
      </w:tr>
      <w:tr w14:paraId="2CF5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6AD2408F">
            <w:pPr>
              <w:widowControl/>
              <w:jc w:val="center"/>
              <w:rPr>
                <w:rFonts w:ascii="宋体" w:hAnsi="宋体" w:cs="宋体"/>
                <w:kern w:val="0"/>
                <w:szCs w:val="21"/>
              </w:rPr>
            </w:pPr>
          </w:p>
        </w:tc>
        <w:tc>
          <w:tcPr>
            <w:tcW w:w="1134" w:type="dxa"/>
            <w:vAlign w:val="center"/>
          </w:tcPr>
          <w:p w14:paraId="1256A2DB">
            <w:pPr>
              <w:widowControl/>
              <w:jc w:val="center"/>
              <w:rPr>
                <w:rFonts w:ascii="宋体" w:hAnsi="宋体" w:cs="宋体"/>
                <w:kern w:val="0"/>
                <w:szCs w:val="21"/>
              </w:rPr>
            </w:pPr>
          </w:p>
        </w:tc>
        <w:tc>
          <w:tcPr>
            <w:tcW w:w="2211" w:type="dxa"/>
            <w:vAlign w:val="center"/>
          </w:tcPr>
          <w:p w14:paraId="65D4FDE0">
            <w:pPr>
              <w:widowControl/>
              <w:jc w:val="center"/>
              <w:rPr>
                <w:rFonts w:ascii="宋体" w:hAnsi="宋体" w:cs="宋体"/>
                <w:kern w:val="0"/>
                <w:szCs w:val="21"/>
              </w:rPr>
            </w:pPr>
          </w:p>
        </w:tc>
        <w:tc>
          <w:tcPr>
            <w:tcW w:w="1701" w:type="dxa"/>
            <w:vAlign w:val="center"/>
          </w:tcPr>
          <w:p w14:paraId="2FD1BA74">
            <w:pPr>
              <w:widowControl/>
              <w:jc w:val="center"/>
              <w:textAlignment w:val="center"/>
              <w:rPr>
                <w:rFonts w:ascii="宋体" w:hAnsi="宋体" w:cs="宋体"/>
                <w:kern w:val="0"/>
                <w:szCs w:val="21"/>
              </w:rPr>
            </w:pPr>
            <w:r>
              <w:rPr>
                <w:rFonts w:hint="eastAsia" w:ascii="宋体" w:hAnsi="宋体" w:cs="宋体"/>
                <w:kern w:val="0"/>
                <w:szCs w:val="21"/>
                <w:lang w:bidi="ar"/>
              </w:rPr>
              <w:t>项目负责人</w:t>
            </w:r>
          </w:p>
        </w:tc>
        <w:tc>
          <w:tcPr>
            <w:tcW w:w="960" w:type="dxa"/>
            <w:vAlign w:val="center"/>
          </w:tcPr>
          <w:p w14:paraId="1149682C">
            <w:pPr>
              <w:widowControl/>
              <w:jc w:val="center"/>
              <w:rPr>
                <w:rFonts w:ascii="宋体" w:hAnsi="宋体" w:cs="宋体"/>
                <w:kern w:val="0"/>
                <w:szCs w:val="21"/>
              </w:rPr>
            </w:pPr>
            <w:r>
              <w:rPr>
                <w:rFonts w:hint="eastAsia" w:ascii="宋体" w:hAnsi="宋体" w:cs="宋体"/>
                <w:kern w:val="0"/>
                <w:szCs w:val="21"/>
              </w:rPr>
              <w:t>1</w:t>
            </w:r>
          </w:p>
        </w:tc>
        <w:tc>
          <w:tcPr>
            <w:tcW w:w="2750" w:type="dxa"/>
            <w:vAlign w:val="center"/>
          </w:tcPr>
          <w:p w14:paraId="3B08E82E">
            <w:pPr>
              <w:widowControl/>
              <w:jc w:val="center"/>
              <w:textAlignment w:val="center"/>
              <w:rPr>
                <w:rFonts w:ascii="宋体" w:hAnsi="宋体" w:cs="宋体"/>
                <w:kern w:val="0"/>
                <w:szCs w:val="21"/>
                <w:lang w:bidi="ar"/>
              </w:rPr>
            </w:pPr>
            <w:r>
              <w:rPr>
                <w:rFonts w:hint="eastAsia" w:ascii="宋体" w:hAnsi="宋体" w:cs="宋体"/>
                <w:kern w:val="0"/>
                <w:szCs w:val="21"/>
                <w:lang w:bidi="ar"/>
              </w:rPr>
              <w:t>满足招标公告第九条要求。</w:t>
            </w:r>
          </w:p>
        </w:tc>
      </w:tr>
      <w:tr w14:paraId="4539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66DC77F0">
            <w:pPr>
              <w:widowControl/>
              <w:jc w:val="center"/>
              <w:rPr>
                <w:rFonts w:ascii="宋体" w:hAnsi="宋体" w:cs="宋体"/>
                <w:kern w:val="0"/>
                <w:szCs w:val="21"/>
              </w:rPr>
            </w:pPr>
          </w:p>
        </w:tc>
        <w:tc>
          <w:tcPr>
            <w:tcW w:w="1134" w:type="dxa"/>
            <w:vAlign w:val="center"/>
          </w:tcPr>
          <w:p w14:paraId="04D17690">
            <w:pPr>
              <w:widowControl/>
              <w:jc w:val="center"/>
              <w:rPr>
                <w:rFonts w:ascii="宋体" w:hAnsi="宋体" w:cs="宋体"/>
                <w:kern w:val="0"/>
                <w:szCs w:val="21"/>
              </w:rPr>
            </w:pPr>
          </w:p>
        </w:tc>
        <w:tc>
          <w:tcPr>
            <w:tcW w:w="2211" w:type="dxa"/>
            <w:vAlign w:val="center"/>
          </w:tcPr>
          <w:p w14:paraId="3BA014A9">
            <w:pPr>
              <w:widowControl/>
              <w:jc w:val="center"/>
              <w:rPr>
                <w:rFonts w:ascii="宋体" w:hAnsi="宋体" w:cs="宋体"/>
                <w:kern w:val="0"/>
                <w:szCs w:val="21"/>
              </w:rPr>
            </w:pPr>
          </w:p>
        </w:tc>
        <w:tc>
          <w:tcPr>
            <w:tcW w:w="1701" w:type="dxa"/>
            <w:vAlign w:val="center"/>
          </w:tcPr>
          <w:p w14:paraId="3BEBEA17">
            <w:pPr>
              <w:widowControl/>
              <w:jc w:val="center"/>
              <w:textAlignment w:val="center"/>
              <w:rPr>
                <w:rFonts w:ascii="宋体" w:hAnsi="宋体" w:cs="宋体"/>
                <w:kern w:val="0"/>
                <w:szCs w:val="21"/>
              </w:rPr>
            </w:pPr>
            <w:r>
              <w:rPr>
                <w:rFonts w:hint="eastAsia" w:ascii="宋体" w:hAnsi="宋体" w:cs="宋体"/>
                <w:kern w:val="0"/>
                <w:szCs w:val="21"/>
                <w:lang w:bidi="ar"/>
              </w:rPr>
              <w:t>技术负责人</w:t>
            </w:r>
          </w:p>
        </w:tc>
        <w:tc>
          <w:tcPr>
            <w:tcW w:w="960" w:type="dxa"/>
            <w:vAlign w:val="center"/>
          </w:tcPr>
          <w:p w14:paraId="658B0A42">
            <w:pPr>
              <w:widowControl/>
              <w:jc w:val="center"/>
              <w:rPr>
                <w:rFonts w:ascii="宋体" w:hAnsi="宋体" w:cs="宋体"/>
                <w:kern w:val="0"/>
                <w:szCs w:val="21"/>
              </w:rPr>
            </w:pPr>
            <w:r>
              <w:rPr>
                <w:rFonts w:hint="eastAsia" w:ascii="宋体" w:hAnsi="宋体" w:cs="宋体"/>
                <w:kern w:val="0"/>
                <w:szCs w:val="21"/>
              </w:rPr>
              <w:t>1</w:t>
            </w:r>
          </w:p>
        </w:tc>
        <w:tc>
          <w:tcPr>
            <w:tcW w:w="2750" w:type="dxa"/>
            <w:vAlign w:val="center"/>
          </w:tcPr>
          <w:p w14:paraId="5135A7C2">
            <w:pPr>
              <w:widowControl/>
              <w:jc w:val="center"/>
              <w:textAlignment w:val="center"/>
              <w:rPr>
                <w:rFonts w:ascii="宋体" w:hAnsi="宋体" w:cs="宋体"/>
                <w:kern w:val="0"/>
                <w:szCs w:val="21"/>
              </w:rPr>
            </w:pPr>
            <w:r>
              <w:rPr>
                <w:rFonts w:hint="eastAsia" w:ascii="宋体" w:hAnsi="宋体" w:cs="宋体"/>
                <w:kern w:val="0"/>
                <w:szCs w:val="21"/>
                <w:lang w:bidi="ar"/>
              </w:rPr>
              <w:t>满足招标公告第九条要求。</w:t>
            </w:r>
          </w:p>
        </w:tc>
      </w:tr>
      <w:tr w14:paraId="3776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4A38DEE8">
            <w:pPr>
              <w:widowControl/>
              <w:jc w:val="center"/>
              <w:rPr>
                <w:rFonts w:ascii="宋体" w:hAnsi="宋体" w:cs="宋体"/>
                <w:kern w:val="0"/>
                <w:szCs w:val="21"/>
              </w:rPr>
            </w:pPr>
          </w:p>
        </w:tc>
        <w:tc>
          <w:tcPr>
            <w:tcW w:w="1134" w:type="dxa"/>
            <w:vAlign w:val="center"/>
          </w:tcPr>
          <w:p w14:paraId="26CD1FC4">
            <w:pPr>
              <w:widowControl/>
              <w:jc w:val="center"/>
              <w:rPr>
                <w:rFonts w:ascii="宋体" w:hAnsi="宋体" w:cs="宋体"/>
                <w:kern w:val="0"/>
                <w:szCs w:val="21"/>
              </w:rPr>
            </w:pPr>
          </w:p>
        </w:tc>
        <w:tc>
          <w:tcPr>
            <w:tcW w:w="2211" w:type="dxa"/>
            <w:vAlign w:val="center"/>
          </w:tcPr>
          <w:p w14:paraId="69B65214">
            <w:pPr>
              <w:widowControl/>
              <w:jc w:val="center"/>
              <w:rPr>
                <w:rFonts w:ascii="宋体" w:hAnsi="宋体" w:cs="宋体"/>
                <w:kern w:val="0"/>
                <w:szCs w:val="21"/>
              </w:rPr>
            </w:pPr>
          </w:p>
        </w:tc>
        <w:tc>
          <w:tcPr>
            <w:tcW w:w="1701" w:type="dxa"/>
            <w:vAlign w:val="center"/>
          </w:tcPr>
          <w:p w14:paraId="6AC3589D">
            <w:pPr>
              <w:widowControl/>
              <w:jc w:val="center"/>
              <w:textAlignment w:val="center"/>
              <w:rPr>
                <w:rFonts w:ascii="宋体" w:hAnsi="宋体" w:cs="宋体"/>
                <w:kern w:val="0"/>
                <w:szCs w:val="21"/>
              </w:rPr>
            </w:pPr>
            <w:r>
              <w:rPr>
                <w:rFonts w:hint="eastAsia" w:ascii="宋体" w:hAnsi="宋体" w:cs="宋体"/>
                <w:kern w:val="0"/>
                <w:szCs w:val="21"/>
              </w:rPr>
              <w:t>专职安全员</w:t>
            </w:r>
          </w:p>
        </w:tc>
        <w:tc>
          <w:tcPr>
            <w:tcW w:w="960" w:type="dxa"/>
            <w:vAlign w:val="center"/>
          </w:tcPr>
          <w:p w14:paraId="358EA5F0">
            <w:pPr>
              <w:widowControl/>
              <w:jc w:val="center"/>
              <w:rPr>
                <w:rFonts w:ascii="宋体" w:hAnsi="宋体" w:cs="宋体"/>
                <w:kern w:val="0"/>
                <w:szCs w:val="21"/>
              </w:rPr>
            </w:pPr>
            <w:r>
              <w:rPr>
                <w:rFonts w:hint="eastAsia" w:ascii="宋体" w:hAnsi="宋体" w:cs="宋体"/>
                <w:kern w:val="0"/>
                <w:szCs w:val="21"/>
              </w:rPr>
              <w:t>1</w:t>
            </w:r>
          </w:p>
        </w:tc>
        <w:tc>
          <w:tcPr>
            <w:tcW w:w="2750" w:type="dxa"/>
            <w:vAlign w:val="center"/>
          </w:tcPr>
          <w:p w14:paraId="53AC0AD1">
            <w:pPr>
              <w:widowControl/>
              <w:jc w:val="center"/>
              <w:textAlignment w:val="center"/>
              <w:rPr>
                <w:rFonts w:ascii="宋体" w:hAnsi="宋体" w:cs="宋体"/>
                <w:kern w:val="0"/>
                <w:szCs w:val="21"/>
              </w:rPr>
            </w:pPr>
            <w:r>
              <w:rPr>
                <w:rFonts w:hint="eastAsia" w:ascii="宋体" w:hAnsi="宋体" w:cs="宋体"/>
                <w:kern w:val="0"/>
                <w:szCs w:val="21"/>
                <w:lang w:bidi="ar"/>
              </w:rPr>
              <w:t>满足招标公告第九条要求。</w:t>
            </w:r>
          </w:p>
        </w:tc>
      </w:tr>
      <w:tr w14:paraId="1E83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22E62969">
            <w:pPr>
              <w:widowControl/>
              <w:jc w:val="center"/>
              <w:rPr>
                <w:rFonts w:ascii="宋体" w:hAnsi="宋体" w:cs="宋体"/>
                <w:kern w:val="0"/>
                <w:szCs w:val="21"/>
              </w:rPr>
            </w:pPr>
          </w:p>
        </w:tc>
        <w:tc>
          <w:tcPr>
            <w:tcW w:w="1134" w:type="dxa"/>
            <w:vAlign w:val="center"/>
          </w:tcPr>
          <w:p w14:paraId="0D25C94F">
            <w:pPr>
              <w:widowControl/>
              <w:jc w:val="center"/>
              <w:rPr>
                <w:rFonts w:ascii="宋体" w:hAnsi="宋体" w:cs="宋体"/>
                <w:kern w:val="0"/>
                <w:szCs w:val="21"/>
              </w:rPr>
            </w:pPr>
          </w:p>
        </w:tc>
        <w:tc>
          <w:tcPr>
            <w:tcW w:w="2211" w:type="dxa"/>
            <w:vAlign w:val="center"/>
          </w:tcPr>
          <w:p w14:paraId="75336471">
            <w:pPr>
              <w:widowControl/>
              <w:jc w:val="center"/>
              <w:rPr>
                <w:rFonts w:ascii="宋体" w:hAnsi="宋体" w:cs="宋体"/>
                <w:kern w:val="0"/>
                <w:szCs w:val="21"/>
              </w:rPr>
            </w:pPr>
          </w:p>
        </w:tc>
        <w:tc>
          <w:tcPr>
            <w:tcW w:w="1701" w:type="dxa"/>
            <w:vAlign w:val="center"/>
          </w:tcPr>
          <w:p w14:paraId="77C7A09A">
            <w:pPr>
              <w:widowControl/>
              <w:jc w:val="center"/>
              <w:textAlignment w:val="center"/>
              <w:rPr>
                <w:rFonts w:ascii="宋体" w:hAnsi="宋体" w:cs="宋体"/>
                <w:kern w:val="0"/>
                <w:szCs w:val="21"/>
              </w:rPr>
            </w:pPr>
            <w:r>
              <w:rPr>
                <w:rFonts w:hint="eastAsia" w:ascii="宋体" w:hAnsi="宋体" w:cs="宋体"/>
                <w:kern w:val="0"/>
                <w:sz w:val="18"/>
                <w:szCs w:val="18"/>
              </w:rPr>
              <w:t>……</w:t>
            </w:r>
          </w:p>
        </w:tc>
        <w:tc>
          <w:tcPr>
            <w:tcW w:w="960" w:type="dxa"/>
            <w:vAlign w:val="center"/>
          </w:tcPr>
          <w:p w14:paraId="7EB41A91">
            <w:pPr>
              <w:widowControl/>
              <w:jc w:val="center"/>
              <w:rPr>
                <w:rFonts w:ascii="宋体" w:hAnsi="宋体" w:cs="宋体"/>
                <w:kern w:val="0"/>
                <w:szCs w:val="21"/>
              </w:rPr>
            </w:pPr>
          </w:p>
        </w:tc>
        <w:tc>
          <w:tcPr>
            <w:tcW w:w="2750" w:type="dxa"/>
            <w:vAlign w:val="center"/>
          </w:tcPr>
          <w:p w14:paraId="12FB0BA2">
            <w:pPr>
              <w:widowControl/>
              <w:jc w:val="center"/>
              <w:textAlignment w:val="center"/>
              <w:rPr>
                <w:rFonts w:ascii="宋体" w:hAnsi="宋体" w:cs="宋体"/>
                <w:kern w:val="0"/>
                <w:szCs w:val="21"/>
              </w:rPr>
            </w:pPr>
          </w:p>
        </w:tc>
      </w:tr>
      <w:tr w14:paraId="1A61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215D012B">
            <w:pPr>
              <w:widowControl/>
              <w:jc w:val="center"/>
              <w:rPr>
                <w:rFonts w:ascii="宋体" w:hAnsi="宋体" w:cs="宋体"/>
                <w:kern w:val="0"/>
                <w:szCs w:val="21"/>
              </w:rPr>
            </w:pPr>
          </w:p>
        </w:tc>
        <w:tc>
          <w:tcPr>
            <w:tcW w:w="1134" w:type="dxa"/>
            <w:vAlign w:val="center"/>
          </w:tcPr>
          <w:p w14:paraId="243E2BD0">
            <w:pPr>
              <w:widowControl/>
              <w:jc w:val="center"/>
              <w:rPr>
                <w:rFonts w:ascii="宋体" w:hAnsi="宋体" w:cs="宋体"/>
                <w:kern w:val="0"/>
                <w:szCs w:val="21"/>
              </w:rPr>
            </w:pPr>
          </w:p>
        </w:tc>
        <w:tc>
          <w:tcPr>
            <w:tcW w:w="2211" w:type="dxa"/>
            <w:vAlign w:val="center"/>
          </w:tcPr>
          <w:p w14:paraId="124B057A">
            <w:pPr>
              <w:widowControl/>
              <w:jc w:val="center"/>
              <w:rPr>
                <w:rFonts w:ascii="宋体" w:hAnsi="宋体" w:cs="宋体"/>
                <w:kern w:val="0"/>
                <w:szCs w:val="21"/>
              </w:rPr>
            </w:pPr>
          </w:p>
        </w:tc>
        <w:tc>
          <w:tcPr>
            <w:tcW w:w="1701" w:type="dxa"/>
            <w:vAlign w:val="center"/>
          </w:tcPr>
          <w:p w14:paraId="56600523">
            <w:pPr>
              <w:widowControl/>
              <w:jc w:val="center"/>
              <w:textAlignment w:val="center"/>
              <w:rPr>
                <w:rFonts w:ascii="宋体" w:hAnsi="宋体" w:cs="宋体"/>
                <w:kern w:val="0"/>
                <w:szCs w:val="21"/>
              </w:rPr>
            </w:pPr>
          </w:p>
        </w:tc>
        <w:tc>
          <w:tcPr>
            <w:tcW w:w="960" w:type="dxa"/>
            <w:vAlign w:val="center"/>
          </w:tcPr>
          <w:p w14:paraId="54563630">
            <w:pPr>
              <w:widowControl/>
              <w:jc w:val="center"/>
              <w:rPr>
                <w:rFonts w:ascii="宋体" w:hAnsi="宋体" w:cs="宋体"/>
                <w:kern w:val="0"/>
                <w:szCs w:val="21"/>
              </w:rPr>
            </w:pPr>
          </w:p>
        </w:tc>
        <w:tc>
          <w:tcPr>
            <w:tcW w:w="2750" w:type="dxa"/>
            <w:vAlign w:val="center"/>
          </w:tcPr>
          <w:p w14:paraId="44C87EC1">
            <w:pPr>
              <w:widowControl/>
              <w:jc w:val="center"/>
              <w:textAlignment w:val="center"/>
              <w:rPr>
                <w:rFonts w:ascii="宋体" w:hAnsi="宋体" w:cs="宋体"/>
                <w:kern w:val="0"/>
                <w:szCs w:val="21"/>
              </w:rPr>
            </w:pPr>
          </w:p>
        </w:tc>
      </w:tr>
      <w:tr w14:paraId="3536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16C28938">
            <w:pPr>
              <w:widowControl/>
              <w:jc w:val="center"/>
              <w:rPr>
                <w:rFonts w:ascii="宋体" w:hAnsi="宋体" w:cs="宋体"/>
                <w:kern w:val="0"/>
                <w:szCs w:val="21"/>
              </w:rPr>
            </w:pPr>
          </w:p>
        </w:tc>
        <w:tc>
          <w:tcPr>
            <w:tcW w:w="1134" w:type="dxa"/>
            <w:vAlign w:val="center"/>
          </w:tcPr>
          <w:p w14:paraId="009D7580">
            <w:pPr>
              <w:widowControl/>
              <w:jc w:val="center"/>
              <w:rPr>
                <w:rFonts w:ascii="宋体" w:hAnsi="宋体" w:cs="宋体"/>
                <w:kern w:val="0"/>
                <w:szCs w:val="21"/>
              </w:rPr>
            </w:pPr>
          </w:p>
        </w:tc>
        <w:tc>
          <w:tcPr>
            <w:tcW w:w="2211" w:type="dxa"/>
            <w:vAlign w:val="center"/>
          </w:tcPr>
          <w:p w14:paraId="3E978999">
            <w:pPr>
              <w:widowControl/>
              <w:jc w:val="center"/>
              <w:rPr>
                <w:rFonts w:ascii="宋体" w:hAnsi="宋体" w:cs="宋体"/>
                <w:kern w:val="0"/>
                <w:szCs w:val="21"/>
              </w:rPr>
            </w:pPr>
          </w:p>
        </w:tc>
        <w:tc>
          <w:tcPr>
            <w:tcW w:w="1701" w:type="dxa"/>
            <w:vAlign w:val="center"/>
          </w:tcPr>
          <w:p w14:paraId="0F67D41A">
            <w:pPr>
              <w:widowControl/>
              <w:jc w:val="center"/>
              <w:textAlignment w:val="center"/>
              <w:rPr>
                <w:rFonts w:ascii="宋体" w:hAnsi="宋体" w:cs="宋体"/>
                <w:kern w:val="0"/>
                <w:szCs w:val="21"/>
              </w:rPr>
            </w:pPr>
          </w:p>
        </w:tc>
        <w:tc>
          <w:tcPr>
            <w:tcW w:w="960" w:type="dxa"/>
            <w:vAlign w:val="center"/>
          </w:tcPr>
          <w:p w14:paraId="3B36FB27">
            <w:pPr>
              <w:widowControl/>
              <w:jc w:val="center"/>
              <w:rPr>
                <w:rFonts w:ascii="宋体" w:hAnsi="宋体" w:cs="宋体"/>
                <w:kern w:val="0"/>
                <w:szCs w:val="21"/>
              </w:rPr>
            </w:pPr>
          </w:p>
        </w:tc>
        <w:tc>
          <w:tcPr>
            <w:tcW w:w="2750" w:type="dxa"/>
            <w:vAlign w:val="center"/>
          </w:tcPr>
          <w:p w14:paraId="223633A1">
            <w:pPr>
              <w:widowControl/>
              <w:jc w:val="center"/>
              <w:textAlignment w:val="center"/>
              <w:rPr>
                <w:rFonts w:ascii="宋体" w:hAnsi="宋体" w:cs="宋体"/>
                <w:kern w:val="0"/>
                <w:szCs w:val="21"/>
              </w:rPr>
            </w:pPr>
          </w:p>
        </w:tc>
      </w:tr>
      <w:tr w14:paraId="7E42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569746FF">
            <w:pPr>
              <w:widowControl/>
              <w:jc w:val="center"/>
              <w:rPr>
                <w:rFonts w:ascii="宋体" w:hAnsi="宋体" w:cs="宋体"/>
                <w:kern w:val="0"/>
                <w:szCs w:val="21"/>
              </w:rPr>
            </w:pPr>
          </w:p>
        </w:tc>
        <w:tc>
          <w:tcPr>
            <w:tcW w:w="1134" w:type="dxa"/>
            <w:vAlign w:val="center"/>
          </w:tcPr>
          <w:p w14:paraId="27419948">
            <w:pPr>
              <w:widowControl/>
              <w:jc w:val="center"/>
              <w:rPr>
                <w:rFonts w:ascii="宋体" w:hAnsi="宋体" w:cs="宋体"/>
                <w:kern w:val="0"/>
                <w:szCs w:val="21"/>
              </w:rPr>
            </w:pPr>
          </w:p>
        </w:tc>
        <w:tc>
          <w:tcPr>
            <w:tcW w:w="2211" w:type="dxa"/>
            <w:shd w:val="clear" w:color="auto" w:fill="auto"/>
            <w:vAlign w:val="center"/>
          </w:tcPr>
          <w:p w14:paraId="5CF18B34">
            <w:pPr>
              <w:widowControl/>
              <w:jc w:val="center"/>
              <w:textAlignment w:val="center"/>
              <w:rPr>
                <w:rFonts w:ascii="宋体" w:hAnsi="宋体" w:cs="宋体"/>
                <w:kern w:val="0"/>
                <w:szCs w:val="21"/>
                <w:lang w:bidi="ar"/>
              </w:rPr>
            </w:pPr>
          </w:p>
        </w:tc>
        <w:tc>
          <w:tcPr>
            <w:tcW w:w="1701" w:type="dxa"/>
            <w:shd w:val="clear" w:color="auto" w:fill="auto"/>
            <w:vAlign w:val="center"/>
          </w:tcPr>
          <w:p w14:paraId="774ADB2E">
            <w:pPr>
              <w:widowControl/>
              <w:jc w:val="center"/>
              <w:textAlignment w:val="center"/>
              <w:rPr>
                <w:rFonts w:ascii="宋体" w:hAnsi="宋体" w:cs="宋体"/>
                <w:kern w:val="0"/>
                <w:szCs w:val="21"/>
                <w:lang w:bidi="ar"/>
              </w:rPr>
            </w:pPr>
          </w:p>
        </w:tc>
        <w:tc>
          <w:tcPr>
            <w:tcW w:w="960" w:type="dxa"/>
            <w:shd w:val="clear" w:color="auto" w:fill="auto"/>
            <w:vAlign w:val="center"/>
          </w:tcPr>
          <w:p w14:paraId="44742E30">
            <w:pPr>
              <w:widowControl/>
              <w:jc w:val="center"/>
              <w:textAlignment w:val="center"/>
              <w:rPr>
                <w:rFonts w:ascii="宋体" w:hAnsi="宋体" w:cs="宋体"/>
                <w:kern w:val="0"/>
                <w:szCs w:val="21"/>
                <w:lang w:bidi="ar"/>
              </w:rPr>
            </w:pPr>
          </w:p>
        </w:tc>
        <w:tc>
          <w:tcPr>
            <w:tcW w:w="2750" w:type="dxa"/>
            <w:shd w:val="clear" w:color="auto" w:fill="auto"/>
            <w:vAlign w:val="center"/>
          </w:tcPr>
          <w:p w14:paraId="42DCC863">
            <w:pPr>
              <w:widowControl/>
              <w:jc w:val="center"/>
              <w:textAlignment w:val="center"/>
              <w:rPr>
                <w:rFonts w:ascii="宋体" w:hAnsi="宋体" w:cs="宋体"/>
                <w:kern w:val="0"/>
                <w:szCs w:val="21"/>
                <w:lang w:bidi="ar"/>
              </w:rPr>
            </w:pPr>
          </w:p>
        </w:tc>
      </w:tr>
      <w:tr w14:paraId="6597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45D9368B">
            <w:pPr>
              <w:widowControl/>
              <w:jc w:val="center"/>
              <w:rPr>
                <w:rFonts w:ascii="宋体" w:hAnsi="宋体" w:cs="宋体"/>
                <w:kern w:val="0"/>
                <w:szCs w:val="21"/>
              </w:rPr>
            </w:pPr>
          </w:p>
        </w:tc>
        <w:tc>
          <w:tcPr>
            <w:tcW w:w="1134" w:type="dxa"/>
            <w:vAlign w:val="center"/>
          </w:tcPr>
          <w:p w14:paraId="12818CF8">
            <w:pPr>
              <w:widowControl/>
              <w:jc w:val="center"/>
              <w:rPr>
                <w:rFonts w:ascii="宋体" w:hAnsi="宋体" w:cs="宋体"/>
                <w:kern w:val="0"/>
                <w:szCs w:val="21"/>
              </w:rPr>
            </w:pPr>
          </w:p>
        </w:tc>
        <w:tc>
          <w:tcPr>
            <w:tcW w:w="2211" w:type="dxa"/>
            <w:shd w:val="clear" w:color="auto" w:fill="auto"/>
            <w:vAlign w:val="center"/>
          </w:tcPr>
          <w:p w14:paraId="76E2A213">
            <w:pPr>
              <w:widowControl/>
              <w:jc w:val="center"/>
              <w:textAlignment w:val="center"/>
              <w:rPr>
                <w:rFonts w:ascii="宋体" w:hAnsi="宋体" w:cs="宋体"/>
                <w:szCs w:val="21"/>
              </w:rPr>
            </w:pPr>
          </w:p>
        </w:tc>
        <w:tc>
          <w:tcPr>
            <w:tcW w:w="1701" w:type="dxa"/>
            <w:shd w:val="clear" w:color="auto" w:fill="auto"/>
            <w:vAlign w:val="center"/>
          </w:tcPr>
          <w:p w14:paraId="1C18D286">
            <w:pPr>
              <w:widowControl/>
              <w:jc w:val="center"/>
              <w:textAlignment w:val="center"/>
              <w:rPr>
                <w:rFonts w:ascii="宋体" w:hAnsi="宋体" w:cs="宋体"/>
                <w:szCs w:val="21"/>
              </w:rPr>
            </w:pPr>
          </w:p>
        </w:tc>
        <w:tc>
          <w:tcPr>
            <w:tcW w:w="960" w:type="dxa"/>
            <w:shd w:val="clear" w:color="auto" w:fill="auto"/>
            <w:vAlign w:val="center"/>
          </w:tcPr>
          <w:p w14:paraId="3E61ADF8">
            <w:pPr>
              <w:widowControl/>
              <w:jc w:val="center"/>
              <w:textAlignment w:val="center"/>
              <w:rPr>
                <w:rFonts w:ascii="宋体" w:hAnsi="宋体" w:cs="宋体"/>
                <w:szCs w:val="21"/>
              </w:rPr>
            </w:pPr>
          </w:p>
        </w:tc>
        <w:tc>
          <w:tcPr>
            <w:tcW w:w="2750" w:type="dxa"/>
            <w:shd w:val="clear" w:color="auto" w:fill="auto"/>
            <w:vAlign w:val="center"/>
          </w:tcPr>
          <w:p w14:paraId="1ED848B3">
            <w:pPr>
              <w:widowControl/>
              <w:jc w:val="center"/>
              <w:rPr>
                <w:rFonts w:ascii="宋体" w:hAnsi="宋体" w:cs="宋体"/>
                <w:szCs w:val="21"/>
              </w:rPr>
            </w:pPr>
          </w:p>
        </w:tc>
      </w:tr>
      <w:tr w14:paraId="5FC6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363AC094">
            <w:pPr>
              <w:widowControl/>
              <w:jc w:val="center"/>
              <w:rPr>
                <w:rFonts w:ascii="宋体" w:hAnsi="宋体" w:cs="宋体"/>
                <w:kern w:val="0"/>
                <w:szCs w:val="21"/>
              </w:rPr>
            </w:pPr>
          </w:p>
        </w:tc>
        <w:tc>
          <w:tcPr>
            <w:tcW w:w="1134" w:type="dxa"/>
            <w:vAlign w:val="center"/>
          </w:tcPr>
          <w:p w14:paraId="088D52C3">
            <w:pPr>
              <w:widowControl/>
              <w:jc w:val="center"/>
              <w:rPr>
                <w:rFonts w:ascii="宋体" w:hAnsi="宋体" w:cs="宋体"/>
                <w:kern w:val="0"/>
                <w:szCs w:val="21"/>
              </w:rPr>
            </w:pPr>
          </w:p>
        </w:tc>
        <w:tc>
          <w:tcPr>
            <w:tcW w:w="2211" w:type="dxa"/>
            <w:shd w:val="clear" w:color="auto" w:fill="auto"/>
            <w:vAlign w:val="center"/>
          </w:tcPr>
          <w:p w14:paraId="2810D135">
            <w:pPr>
              <w:widowControl/>
              <w:jc w:val="center"/>
              <w:textAlignment w:val="center"/>
              <w:rPr>
                <w:rFonts w:ascii="宋体" w:hAnsi="宋体" w:cs="宋体"/>
                <w:kern w:val="0"/>
                <w:szCs w:val="21"/>
                <w:lang w:bidi="ar"/>
              </w:rPr>
            </w:pPr>
          </w:p>
        </w:tc>
        <w:tc>
          <w:tcPr>
            <w:tcW w:w="1701" w:type="dxa"/>
            <w:shd w:val="clear" w:color="auto" w:fill="auto"/>
            <w:vAlign w:val="center"/>
          </w:tcPr>
          <w:p w14:paraId="4ED1B80B">
            <w:pPr>
              <w:widowControl/>
              <w:jc w:val="center"/>
              <w:textAlignment w:val="center"/>
              <w:rPr>
                <w:rFonts w:ascii="宋体" w:hAnsi="宋体" w:cs="宋体"/>
                <w:kern w:val="0"/>
                <w:szCs w:val="21"/>
                <w:lang w:bidi="ar"/>
              </w:rPr>
            </w:pPr>
          </w:p>
        </w:tc>
        <w:tc>
          <w:tcPr>
            <w:tcW w:w="960" w:type="dxa"/>
            <w:shd w:val="clear" w:color="auto" w:fill="auto"/>
            <w:vAlign w:val="center"/>
          </w:tcPr>
          <w:p w14:paraId="1CC2E5E8">
            <w:pPr>
              <w:widowControl/>
              <w:jc w:val="center"/>
              <w:textAlignment w:val="center"/>
              <w:rPr>
                <w:rFonts w:ascii="宋体" w:hAnsi="宋体" w:cs="宋体"/>
                <w:kern w:val="0"/>
                <w:szCs w:val="21"/>
                <w:lang w:bidi="ar"/>
              </w:rPr>
            </w:pPr>
          </w:p>
        </w:tc>
        <w:tc>
          <w:tcPr>
            <w:tcW w:w="2750" w:type="dxa"/>
            <w:shd w:val="clear" w:color="auto" w:fill="auto"/>
            <w:vAlign w:val="center"/>
          </w:tcPr>
          <w:p w14:paraId="22AC2C02">
            <w:pPr>
              <w:widowControl/>
              <w:jc w:val="center"/>
              <w:rPr>
                <w:rFonts w:ascii="宋体" w:hAnsi="宋体" w:cs="宋体"/>
                <w:kern w:val="0"/>
                <w:szCs w:val="21"/>
              </w:rPr>
            </w:pPr>
          </w:p>
        </w:tc>
      </w:tr>
      <w:tr w14:paraId="4118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129CA38B">
            <w:pPr>
              <w:widowControl/>
              <w:jc w:val="center"/>
              <w:rPr>
                <w:rFonts w:ascii="宋体" w:hAnsi="宋体" w:cs="宋体"/>
                <w:kern w:val="0"/>
                <w:szCs w:val="21"/>
              </w:rPr>
            </w:pPr>
          </w:p>
        </w:tc>
        <w:tc>
          <w:tcPr>
            <w:tcW w:w="1134" w:type="dxa"/>
            <w:vAlign w:val="center"/>
          </w:tcPr>
          <w:p w14:paraId="5D8D3207">
            <w:pPr>
              <w:widowControl/>
              <w:jc w:val="center"/>
              <w:rPr>
                <w:rFonts w:ascii="宋体" w:hAnsi="宋体" w:cs="宋体"/>
                <w:kern w:val="0"/>
                <w:szCs w:val="21"/>
              </w:rPr>
            </w:pPr>
          </w:p>
        </w:tc>
        <w:tc>
          <w:tcPr>
            <w:tcW w:w="2211" w:type="dxa"/>
            <w:shd w:val="clear" w:color="auto" w:fill="auto"/>
            <w:vAlign w:val="center"/>
          </w:tcPr>
          <w:p w14:paraId="4A91283F">
            <w:pPr>
              <w:widowControl/>
              <w:jc w:val="center"/>
              <w:textAlignment w:val="center"/>
              <w:rPr>
                <w:rFonts w:ascii="宋体" w:hAnsi="宋体" w:cs="宋体"/>
                <w:szCs w:val="21"/>
              </w:rPr>
            </w:pPr>
          </w:p>
        </w:tc>
        <w:tc>
          <w:tcPr>
            <w:tcW w:w="1701" w:type="dxa"/>
            <w:shd w:val="clear" w:color="auto" w:fill="auto"/>
            <w:vAlign w:val="center"/>
          </w:tcPr>
          <w:p w14:paraId="1D32991F">
            <w:pPr>
              <w:widowControl/>
              <w:jc w:val="center"/>
              <w:textAlignment w:val="center"/>
              <w:rPr>
                <w:rFonts w:ascii="宋体" w:hAnsi="宋体" w:cs="宋体"/>
                <w:szCs w:val="21"/>
              </w:rPr>
            </w:pPr>
          </w:p>
        </w:tc>
        <w:tc>
          <w:tcPr>
            <w:tcW w:w="960" w:type="dxa"/>
            <w:shd w:val="clear" w:color="auto" w:fill="auto"/>
            <w:vAlign w:val="center"/>
          </w:tcPr>
          <w:p w14:paraId="166A4A80">
            <w:pPr>
              <w:widowControl/>
              <w:jc w:val="center"/>
              <w:textAlignment w:val="center"/>
              <w:rPr>
                <w:rFonts w:ascii="宋体" w:hAnsi="宋体" w:cs="宋体"/>
                <w:szCs w:val="21"/>
              </w:rPr>
            </w:pPr>
          </w:p>
        </w:tc>
        <w:tc>
          <w:tcPr>
            <w:tcW w:w="2750" w:type="dxa"/>
            <w:shd w:val="clear" w:color="auto" w:fill="auto"/>
            <w:vAlign w:val="center"/>
          </w:tcPr>
          <w:p w14:paraId="1C37C9D2">
            <w:pPr>
              <w:widowControl/>
              <w:jc w:val="center"/>
              <w:textAlignment w:val="center"/>
              <w:rPr>
                <w:rFonts w:ascii="宋体" w:hAnsi="宋体" w:cs="宋体"/>
                <w:szCs w:val="21"/>
              </w:rPr>
            </w:pPr>
          </w:p>
        </w:tc>
      </w:tr>
      <w:tr w14:paraId="6654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5E807002">
            <w:pPr>
              <w:widowControl/>
              <w:jc w:val="center"/>
              <w:rPr>
                <w:rFonts w:ascii="宋体" w:hAnsi="宋体" w:cs="宋体"/>
                <w:kern w:val="0"/>
                <w:szCs w:val="21"/>
              </w:rPr>
            </w:pPr>
          </w:p>
        </w:tc>
        <w:tc>
          <w:tcPr>
            <w:tcW w:w="1134" w:type="dxa"/>
            <w:vAlign w:val="center"/>
          </w:tcPr>
          <w:p w14:paraId="0CA80470">
            <w:pPr>
              <w:widowControl/>
              <w:jc w:val="center"/>
              <w:rPr>
                <w:rFonts w:ascii="宋体" w:hAnsi="宋体" w:cs="宋体"/>
                <w:kern w:val="0"/>
                <w:szCs w:val="21"/>
              </w:rPr>
            </w:pPr>
          </w:p>
        </w:tc>
        <w:tc>
          <w:tcPr>
            <w:tcW w:w="2211" w:type="dxa"/>
            <w:shd w:val="clear" w:color="auto" w:fill="auto"/>
            <w:vAlign w:val="center"/>
          </w:tcPr>
          <w:p w14:paraId="0B7FE34E">
            <w:pPr>
              <w:widowControl/>
              <w:jc w:val="center"/>
              <w:textAlignment w:val="center"/>
              <w:rPr>
                <w:rFonts w:ascii="宋体" w:hAnsi="宋体" w:cs="宋体"/>
                <w:szCs w:val="21"/>
              </w:rPr>
            </w:pPr>
          </w:p>
        </w:tc>
        <w:tc>
          <w:tcPr>
            <w:tcW w:w="1701" w:type="dxa"/>
            <w:shd w:val="clear" w:color="auto" w:fill="auto"/>
            <w:vAlign w:val="center"/>
          </w:tcPr>
          <w:p w14:paraId="0D60512C">
            <w:pPr>
              <w:widowControl/>
              <w:jc w:val="center"/>
              <w:textAlignment w:val="center"/>
              <w:rPr>
                <w:rFonts w:ascii="宋体" w:hAnsi="宋体" w:cs="宋体"/>
                <w:szCs w:val="21"/>
              </w:rPr>
            </w:pPr>
          </w:p>
        </w:tc>
        <w:tc>
          <w:tcPr>
            <w:tcW w:w="960" w:type="dxa"/>
            <w:shd w:val="clear" w:color="auto" w:fill="auto"/>
            <w:vAlign w:val="center"/>
          </w:tcPr>
          <w:p w14:paraId="2A5311EB">
            <w:pPr>
              <w:widowControl/>
              <w:jc w:val="center"/>
              <w:textAlignment w:val="center"/>
              <w:rPr>
                <w:rFonts w:ascii="宋体" w:hAnsi="宋体" w:cs="宋体"/>
                <w:szCs w:val="21"/>
              </w:rPr>
            </w:pPr>
          </w:p>
        </w:tc>
        <w:tc>
          <w:tcPr>
            <w:tcW w:w="2750" w:type="dxa"/>
            <w:shd w:val="clear" w:color="auto" w:fill="auto"/>
            <w:vAlign w:val="center"/>
          </w:tcPr>
          <w:p w14:paraId="0A3774EE">
            <w:pPr>
              <w:widowControl/>
              <w:jc w:val="center"/>
              <w:textAlignment w:val="center"/>
              <w:rPr>
                <w:rFonts w:ascii="宋体" w:hAnsi="宋体" w:cs="宋体"/>
                <w:szCs w:val="21"/>
              </w:rPr>
            </w:pPr>
          </w:p>
        </w:tc>
      </w:tr>
      <w:tr w14:paraId="2C76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59B9C60A">
            <w:pPr>
              <w:widowControl/>
              <w:jc w:val="center"/>
              <w:rPr>
                <w:rFonts w:ascii="宋体" w:hAnsi="宋体" w:cs="宋体"/>
                <w:kern w:val="0"/>
                <w:szCs w:val="21"/>
              </w:rPr>
            </w:pPr>
          </w:p>
        </w:tc>
        <w:tc>
          <w:tcPr>
            <w:tcW w:w="1134" w:type="dxa"/>
            <w:vAlign w:val="center"/>
          </w:tcPr>
          <w:p w14:paraId="3D95DC1C">
            <w:pPr>
              <w:widowControl/>
              <w:jc w:val="center"/>
              <w:rPr>
                <w:rFonts w:ascii="宋体" w:hAnsi="宋体" w:cs="宋体"/>
                <w:kern w:val="0"/>
                <w:szCs w:val="21"/>
              </w:rPr>
            </w:pPr>
          </w:p>
        </w:tc>
        <w:tc>
          <w:tcPr>
            <w:tcW w:w="2211" w:type="dxa"/>
            <w:shd w:val="clear" w:color="auto" w:fill="auto"/>
            <w:vAlign w:val="center"/>
          </w:tcPr>
          <w:p w14:paraId="3BF7FDC1">
            <w:pPr>
              <w:widowControl/>
              <w:jc w:val="center"/>
              <w:textAlignment w:val="center"/>
              <w:rPr>
                <w:rFonts w:ascii="宋体" w:hAnsi="宋体" w:cs="宋体"/>
                <w:szCs w:val="21"/>
              </w:rPr>
            </w:pPr>
          </w:p>
        </w:tc>
        <w:tc>
          <w:tcPr>
            <w:tcW w:w="1701" w:type="dxa"/>
            <w:shd w:val="clear" w:color="auto" w:fill="auto"/>
            <w:vAlign w:val="center"/>
          </w:tcPr>
          <w:p w14:paraId="64F9E6D6">
            <w:pPr>
              <w:widowControl/>
              <w:jc w:val="center"/>
              <w:textAlignment w:val="center"/>
              <w:rPr>
                <w:rFonts w:ascii="宋体" w:hAnsi="宋体" w:cs="宋体"/>
                <w:szCs w:val="21"/>
              </w:rPr>
            </w:pPr>
          </w:p>
        </w:tc>
        <w:tc>
          <w:tcPr>
            <w:tcW w:w="960" w:type="dxa"/>
            <w:shd w:val="clear" w:color="auto" w:fill="auto"/>
            <w:vAlign w:val="center"/>
          </w:tcPr>
          <w:p w14:paraId="118F7AF4">
            <w:pPr>
              <w:widowControl/>
              <w:jc w:val="center"/>
              <w:textAlignment w:val="center"/>
              <w:rPr>
                <w:rFonts w:ascii="宋体" w:hAnsi="宋体" w:cs="宋体"/>
                <w:szCs w:val="21"/>
              </w:rPr>
            </w:pPr>
          </w:p>
        </w:tc>
        <w:tc>
          <w:tcPr>
            <w:tcW w:w="2750" w:type="dxa"/>
            <w:shd w:val="clear" w:color="auto" w:fill="auto"/>
            <w:vAlign w:val="center"/>
          </w:tcPr>
          <w:p w14:paraId="5EC9692A">
            <w:pPr>
              <w:widowControl/>
              <w:jc w:val="center"/>
              <w:textAlignment w:val="center"/>
              <w:rPr>
                <w:rFonts w:ascii="宋体" w:hAnsi="宋体" w:cs="宋体"/>
                <w:szCs w:val="21"/>
              </w:rPr>
            </w:pPr>
          </w:p>
        </w:tc>
      </w:tr>
      <w:tr w14:paraId="4A58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3C8088FC">
            <w:pPr>
              <w:widowControl/>
              <w:jc w:val="center"/>
              <w:rPr>
                <w:rFonts w:ascii="宋体" w:hAnsi="宋体" w:cs="宋体"/>
                <w:kern w:val="0"/>
                <w:szCs w:val="21"/>
              </w:rPr>
            </w:pPr>
          </w:p>
        </w:tc>
        <w:tc>
          <w:tcPr>
            <w:tcW w:w="1134" w:type="dxa"/>
            <w:vAlign w:val="center"/>
          </w:tcPr>
          <w:p w14:paraId="57C7EE06">
            <w:pPr>
              <w:widowControl/>
              <w:jc w:val="center"/>
              <w:rPr>
                <w:rFonts w:ascii="宋体" w:hAnsi="宋体" w:cs="宋体"/>
                <w:kern w:val="0"/>
                <w:szCs w:val="21"/>
              </w:rPr>
            </w:pPr>
          </w:p>
        </w:tc>
        <w:tc>
          <w:tcPr>
            <w:tcW w:w="2211" w:type="dxa"/>
            <w:shd w:val="clear" w:color="auto" w:fill="auto"/>
            <w:vAlign w:val="center"/>
          </w:tcPr>
          <w:p w14:paraId="3A8B90D3">
            <w:pPr>
              <w:widowControl/>
              <w:jc w:val="center"/>
              <w:textAlignment w:val="center"/>
              <w:rPr>
                <w:rFonts w:ascii="宋体" w:hAnsi="宋体" w:cs="宋体"/>
                <w:szCs w:val="21"/>
              </w:rPr>
            </w:pPr>
          </w:p>
        </w:tc>
        <w:tc>
          <w:tcPr>
            <w:tcW w:w="1701" w:type="dxa"/>
            <w:shd w:val="clear" w:color="auto" w:fill="auto"/>
            <w:vAlign w:val="center"/>
          </w:tcPr>
          <w:p w14:paraId="1E9C1B9F">
            <w:pPr>
              <w:widowControl/>
              <w:jc w:val="center"/>
              <w:textAlignment w:val="center"/>
              <w:rPr>
                <w:rFonts w:ascii="宋体" w:hAnsi="宋体" w:cs="宋体"/>
                <w:szCs w:val="21"/>
              </w:rPr>
            </w:pPr>
          </w:p>
        </w:tc>
        <w:tc>
          <w:tcPr>
            <w:tcW w:w="960" w:type="dxa"/>
            <w:shd w:val="clear" w:color="auto" w:fill="auto"/>
            <w:vAlign w:val="center"/>
          </w:tcPr>
          <w:p w14:paraId="47A4F0F5">
            <w:pPr>
              <w:widowControl/>
              <w:jc w:val="center"/>
              <w:textAlignment w:val="center"/>
              <w:rPr>
                <w:rFonts w:ascii="宋体" w:hAnsi="宋体" w:cs="宋体"/>
                <w:szCs w:val="21"/>
              </w:rPr>
            </w:pPr>
          </w:p>
        </w:tc>
        <w:tc>
          <w:tcPr>
            <w:tcW w:w="2750" w:type="dxa"/>
            <w:shd w:val="clear" w:color="auto" w:fill="auto"/>
            <w:vAlign w:val="center"/>
          </w:tcPr>
          <w:p w14:paraId="329BDCB3">
            <w:pPr>
              <w:widowControl/>
              <w:jc w:val="center"/>
              <w:textAlignment w:val="center"/>
              <w:rPr>
                <w:rFonts w:ascii="宋体" w:hAnsi="宋体" w:cs="宋体"/>
                <w:szCs w:val="21"/>
              </w:rPr>
            </w:pPr>
          </w:p>
        </w:tc>
      </w:tr>
      <w:tr w14:paraId="6422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1D9F3534">
            <w:pPr>
              <w:widowControl/>
              <w:jc w:val="center"/>
              <w:rPr>
                <w:rFonts w:ascii="宋体" w:hAnsi="宋体" w:cs="宋体"/>
                <w:kern w:val="0"/>
                <w:sz w:val="18"/>
                <w:szCs w:val="18"/>
              </w:rPr>
            </w:pPr>
          </w:p>
        </w:tc>
        <w:tc>
          <w:tcPr>
            <w:tcW w:w="1134" w:type="dxa"/>
            <w:vAlign w:val="center"/>
          </w:tcPr>
          <w:p w14:paraId="65067CE4">
            <w:pPr>
              <w:widowControl/>
              <w:jc w:val="center"/>
              <w:rPr>
                <w:rFonts w:ascii="宋体" w:hAnsi="宋体" w:cs="宋体"/>
                <w:kern w:val="0"/>
                <w:sz w:val="18"/>
                <w:szCs w:val="18"/>
              </w:rPr>
            </w:pPr>
          </w:p>
        </w:tc>
        <w:tc>
          <w:tcPr>
            <w:tcW w:w="2211" w:type="dxa"/>
            <w:vAlign w:val="center"/>
          </w:tcPr>
          <w:p w14:paraId="0D445D51">
            <w:pPr>
              <w:widowControl/>
              <w:jc w:val="center"/>
              <w:rPr>
                <w:rFonts w:ascii="宋体" w:hAnsi="宋体" w:cs="宋体"/>
                <w:kern w:val="0"/>
                <w:sz w:val="18"/>
                <w:szCs w:val="18"/>
              </w:rPr>
            </w:pPr>
          </w:p>
        </w:tc>
        <w:tc>
          <w:tcPr>
            <w:tcW w:w="1701" w:type="dxa"/>
            <w:vAlign w:val="center"/>
          </w:tcPr>
          <w:p w14:paraId="06A7698B">
            <w:pPr>
              <w:widowControl/>
              <w:jc w:val="center"/>
              <w:rPr>
                <w:rFonts w:ascii="宋体" w:hAnsi="宋体" w:cs="宋体"/>
                <w:kern w:val="0"/>
                <w:sz w:val="18"/>
                <w:szCs w:val="18"/>
              </w:rPr>
            </w:pPr>
          </w:p>
        </w:tc>
        <w:tc>
          <w:tcPr>
            <w:tcW w:w="960" w:type="dxa"/>
            <w:vAlign w:val="center"/>
          </w:tcPr>
          <w:p w14:paraId="45229A50">
            <w:pPr>
              <w:widowControl/>
              <w:jc w:val="center"/>
              <w:rPr>
                <w:rFonts w:ascii="宋体" w:hAnsi="宋体" w:cs="宋体"/>
                <w:kern w:val="0"/>
                <w:sz w:val="18"/>
                <w:szCs w:val="18"/>
              </w:rPr>
            </w:pPr>
          </w:p>
        </w:tc>
        <w:tc>
          <w:tcPr>
            <w:tcW w:w="2750" w:type="dxa"/>
            <w:vAlign w:val="center"/>
          </w:tcPr>
          <w:p w14:paraId="610DDEE3">
            <w:pPr>
              <w:widowControl/>
              <w:rPr>
                <w:rFonts w:ascii="宋体" w:hAnsi="宋体" w:cs="宋体"/>
                <w:kern w:val="0"/>
                <w:sz w:val="18"/>
                <w:szCs w:val="18"/>
              </w:rPr>
            </w:pPr>
          </w:p>
        </w:tc>
      </w:tr>
    </w:tbl>
    <w:p w14:paraId="0AB4A7B3">
      <w:pPr>
        <w:widowControl/>
        <w:shd w:val="clear" w:color="auto" w:fill="FFFFFF"/>
        <w:adjustRightInd w:val="0"/>
        <w:ind w:firstLine="402" w:firstLineChars="200"/>
        <w:jc w:val="left"/>
        <w:rPr>
          <w:rFonts w:ascii="宋体" w:hAnsi="宋体" w:cs="宋体"/>
          <w:sz w:val="20"/>
          <w:szCs w:val="20"/>
        </w:rPr>
      </w:pPr>
      <w:r>
        <w:rPr>
          <w:rFonts w:hint="eastAsia" w:ascii="宋体" w:hAnsi="宋体" w:cs="宋体"/>
          <w:b/>
          <w:bCs/>
          <w:kern w:val="0"/>
          <w:sz w:val="20"/>
          <w:szCs w:val="20"/>
        </w:rPr>
        <w:t>注</w:t>
      </w:r>
      <w:r>
        <w:rPr>
          <w:rFonts w:hint="eastAsia" w:ascii="宋体" w:hAnsi="宋体" w:cs="宋体"/>
          <w:kern w:val="0"/>
          <w:sz w:val="20"/>
          <w:szCs w:val="20"/>
        </w:rPr>
        <w:t>：1、本表为项目主要人员的基本要求，投标单位可根据自身情况增加专业技术管理人员，</w:t>
      </w:r>
      <w:r>
        <w:rPr>
          <w:rFonts w:hint="eastAsia" w:ascii="宋体" w:hAnsi="宋体" w:cs="宋体"/>
          <w:sz w:val="20"/>
          <w:szCs w:val="20"/>
        </w:rPr>
        <w:t>各岗位人员不得相互兼职。</w:t>
      </w:r>
    </w:p>
    <w:p w14:paraId="25031CAF">
      <w:pPr>
        <w:widowControl/>
        <w:shd w:val="clear" w:color="auto" w:fill="FFFFFF"/>
        <w:adjustRightInd w:val="0"/>
        <w:ind w:firstLine="400" w:firstLineChars="200"/>
        <w:jc w:val="left"/>
        <w:rPr>
          <w:rFonts w:ascii="宋体" w:hAnsi="宋体" w:cs="宋体"/>
          <w:kern w:val="0"/>
          <w:sz w:val="20"/>
          <w:szCs w:val="20"/>
        </w:rPr>
      </w:pPr>
      <w:r>
        <w:rPr>
          <w:rFonts w:hint="eastAsia" w:ascii="宋体" w:hAnsi="宋体" w:cs="宋体"/>
          <w:kern w:val="0"/>
          <w:sz w:val="20"/>
          <w:szCs w:val="20"/>
        </w:rPr>
        <w:t>2、本表主要人员需提供</w:t>
      </w:r>
      <w:r>
        <w:rPr>
          <w:rFonts w:hint="eastAsia" w:ascii="宋体" w:hAnsi="宋体" w:cs="宋体"/>
          <w:kern w:val="0"/>
          <w:sz w:val="20"/>
          <w:szCs w:val="20"/>
          <w:u w:val="single"/>
        </w:rPr>
        <w:t>投标截止时间前近1个月（2025年</w:t>
      </w:r>
      <w:r>
        <w:rPr>
          <w:rFonts w:hint="eastAsia" w:ascii="宋体" w:hAnsi="宋体" w:cs="宋体"/>
          <w:kern w:val="0"/>
          <w:sz w:val="20"/>
          <w:szCs w:val="20"/>
          <w:u w:val="single"/>
          <w:lang w:val="en-US" w:eastAsia="zh-CN"/>
        </w:rPr>
        <w:t>9</w:t>
      </w:r>
      <w:r>
        <w:rPr>
          <w:rFonts w:hint="eastAsia" w:ascii="宋体" w:hAnsi="宋体" w:cs="宋体"/>
          <w:kern w:val="0"/>
          <w:sz w:val="20"/>
          <w:szCs w:val="20"/>
          <w:u w:val="single"/>
        </w:rPr>
        <w:t>月）</w:t>
      </w:r>
      <w:r>
        <w:rPr>
          <w:rFonts w:hint="eastAsia" w:ascii="宋体" w:hAnsi="宋体" w:cs="宋体"/>
          <w:szCs w:val="21"/>
          <w:shd w:val="clear" w:color="auto" w:fill="FFFFFF"/>
        </w:rPr>
        <w:t>在投标单位购买社保缴纳证明材料（若当地政策允许两个月缴纳一次社保的，可提供2025年8月在投标单位购买社保缴纳证明材料，须同时提供允许隔月缴纳社保的相关证明文件；若当地政府部门允许企业缓缴社会保险费且投标人未缴纳的，投标人可提供当地政府部门允许缓缴社保的相关文件作为缴纳社保的证明）</w:t>
      </w:r>
      <w:r>
        <w:rPr>
          <w:rFonts w:hint="eastAsia" w:ascii="宋体" w:hAnsi="宋体" w:cs="宋体"/>
          <w:kern w:val="0"/>
          <w:sz w:val="20"/>
          <w:szCs w:val="20"/>
        </w:rPr>
        <w:t>，项目主要人员需提供的其他证明文件复印件详见上表备注要求和《定标因素表》要求。</w:t>
      </w:r>
    </w:p>
    <w:p w14:paraId="46733568">
      <w:pPr>
        <w:widowControl/>
        <w:shd w:val="clear" w:color="auto" w:fill="FFFFFF"/>
        <w:adjustRightInd w:val="0"/>
        <w:ind w:firstLine="400" w:firstLineChars="200"/>
        <w:jc w:val="left"/>
        <w:rPr>
          <w:rFonts w:ascii="宋体" w:hAnsi="宋体" w:cs="宋体"/>
          <w:kern w:val="0"/>
          <w:sz w:val="20"/>
          <w:szCs w:val="20"/>
        </w:rPr>
      </w:pPr>
      <w:r>
        <w:rPr>
          <w:rFonts w:hint="eastAsia" w:ascii="宋体" w:hAnsi="宋体" w:cs="宋体"/>
          <w:kern w:val="0"/>
          <w:sz w:val="20"/>
          <w:szCs w:val="20"/>
        </w:rPr>
        <w:t>3、拟投入的人员未经招标人同意，中标后不得更换，否则按合同约定承担违约责任。</w:t>
      </w:r>
    </w:p>
    <w:p w14:paraId="35CD2BBC">
      <w:pPr>
        <w:pStyle w:val="22"/>
        <w:rPr>
          <w:rFonts w:hAnsi="宋体" w:cs="宋体"/>
        </w:rPr>
      </w:pPr>
    </w:p>
    <w:p w14:paraId="1D5CD5CD">
      <w:pPr>
        <w:pStyle w:val="56"/>
        <w:ind w:firstLine="3596" w:firstLineChars="1450"/>
        <w:rPr>
          <w:rFonts w:ascii="宋体" w:hAnsi="宋体" w:cs="宋体"/>
        </w:rPr>
      </w:pPr>
    </w:p>
    <w:p w14:paraId="4A4DA5EB">
      <w:pPr>
        <w:pStyle w:val="56"/>
        <w:ind w:firstLine="3306" w:firstLineChars="1450"/>
        <w:rPr>
          <w:rFonts w:ascii="宋体" w:hAnsi="宋体" w:cs="宋体"/>
          <w:sz w:val="22"/>
          <w:szCs w:val="22"/>
        </w:rPr>
      </w:pPr>
      <w:r>
        <w:rPr>
          <w:rFonts w:hint="eastAsia" w:ascii="宋体" w:hAnsi="宋体" w:cs="宋体"/>
          <w:sz w:val="22"/>
          <w:szCs w:val="22"/>
        </w:rPr>
        <w:t>投标人名称：</w:t>
      </w:r>
    </w:p>
    <w:p w14:paraId="374E8ADF">
      <w:pPr>
        <w:ind w:firstLine="3300" w:firstLineChars="1500"/>
        <w:rPr>
          <w:rFonts w:ascii="宋体" w:hAnsi="宋体" w:cs="宋体"/>
          <w:sz w:val="22"/>
        </w:rPr>
      </w:pPr>
      <w:r>
        <w:rPr>
          <w:rFonts w:hint="eastAsia" w:ascii="宋体" w:hAnsi="宋体" w:cs="宋体"/>
          <w:sz w:val="22"/>
        </w:rPr>
        <w:t>日期：   年   月   日</w:t>
      </w:r>
    </w:p>
    <w:p w14:paraId="33166BB1">
      <w:pPr>
        <w:widowControl/>
        <w:spacing w:line="360" w:lineRule="auto"/>
        <w:jc w:val="left"/>
        <w:outlineLvl w:val="2"/>
        <w:rPr>
          <w:rFonts w:ascii="宋体" w:hAnsi="宋体" w:cs="宋体"/>
          <w:b/>
          <w:sz w:val="24"/>
          <w:szCs w:val="24"/>
        </w:rPr>
      </w:pPr>
      <w:r>
        <w:rPr>
          <w:rFonts w:hint="eastAsia" w:ascii="宋体" w:hAnsi="宋体" w:cs="宋体"/>
          <w:b/>
          <w:bCs/>
        </w:rPr>
        <w:br w:type="page"/>
      </w:r>
      <w:bookmarkStart w:id="50" w:name="_Toc29227"/>
      <w:r>
        <w:rPr>
          <w:rFonts w:hint="eastAsia" w:ascii="宋体" w:hAnsi="宋体" w:cs="宋体"/>
          <w:b/>
          <w:sz w:val="24"/>
          <w:szCs w:val="24"/>
        </w:rPr>
        <w:t>格式</w:t>
      </w:r>
      <w:r>
        <w:rPr>
          <w:rFonts w:hint="eastAsia" w:ascii="宋体" w:hAnsi="宋体" w:cs="宋体"/>
          <w:b/>
          <w:sz w:val="24"/>
          <w:szCs w:val="24"/>
          <w:lang w:val="en-US" w:eastAsia="zh-CN"/>
        </w:rPr>
        <w:t>六</w:t>
      </w:r>
      <w:r>
        <w:rPr>
          <w:rFonts w:hint="eastAsia" w:ascii="宋体" w:hAnsi="宋体" w:cs="宋体"/>
          <w:b/>
          <w:sz w:val="24"/>
          <w:szCs w:val="24"/>
        </w:rPr>
        <w:t>：施工项目管理团队人员信息表</w:t>
      </w:r>
      <w:bookmarkEnd w:id="50"/>
    </w:p>
    <w:tbl>
      <w:tblPr>
        <w:tblStyle w:val="42"/>
        <w:tblW w:w="5000" w:type="pct"/>
        <w:jc w:val="center"/>
        <w:tblLayout w:type="autofit"/>
        <w:tblCellMar>
          <w:top w:w="0" w:type="dxa"/>
          <w:left w:w="108" w:type="dxa"/>
          <w:bottom w:w="0" w:type="dxa"/>
          <w:right w:w="108" w:type="dxa"/>
        </w:tblCellMar>
      </w:tblPr>
      <w:tblGrid>
        <w:gridCol w:w="828"/>
        <w:gridCol w:w="1467"/>
        <w:gridCol w:w="2207"/>
        <w:gridCol w:w="1835"/>
        <w:gridCol w:w="2904"/>
      </w:tblGrid>
      <w:tr w14:paraId="2DF31415">
        <w:tblPrEx>
          <w:tblCellMar>
            <w:top w:w="0" w:type="dxa"/>
            <w:left w:w="108" w:type="dxa"/>
            <w:bottom w:w="0" w:type="dxa"/>
            <w:right w:w="108" w:type="dxa"/>
          </w:tblCellMar>
        </w:tblPrEx>
        <w:trPr>
          <w:trHeight w:val="482" w:hRule="atLeast"/>
          <w:jc w:val="center"/>
        </w:trPr>
        <w:tc>
          <w:tcPr>
            <w:tcW w:w="5000" w:type="pct"/>
            <w:gridSpan w:val="5"/>
            <w:tcBorders>
              <w:top w:val="nil"/>
              <w:left w:val="nil"/>
              <w:bottom w:val="single" w:color="auto" w:sz="4" w:space="0"/>
              <w:right w:val="nil"/>
            </w:tcBorders>
            <w:vAlign w:val="center"/>
          </w:tcPr>
          <w:p w14:paraId="6D8504B9">
            <w:pPr>
              <w:widowControl/>
              <w:jc w:val="center"/>
              <w:rPr>
                <w:rFonts w:ascii="宋体" w:hAnsi="宋体" w:cs="宋体"/>
                <w:b/>
                <w:bCs/>
                <w:kern w:val="0"/>
                <w:szCs w:val="21"/>
              </w:rPr>
            </w:pPr>
            <w:r>
              <w:rPr>
                <w:rFonts w:hint="eastAsia" w:ascii="宋体" w:hAnsi="宋体" w:cs="宋体"/>
                <w:b/>
                <w:bCs/>
                <w:kern w:val="0"/>
                <w:sz w:val="28"/>
                <w:szCs w:val="28"/>
              </w:rPr>
              <w:t>施工项目管理团队人员信息表</w:t>
            </w:r>
          </w:p>
        </w:tc>
      </w:tr>
      <w:tr w14:paraId="5E147D51">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110DE9F9">
            <w:pPr>
              <w:widowControl/>
              <w:jc w:val="center"/>
              <w:rPr>
                <w:rFonts w:ascii="宋体" w:hAnsi="宋体" w:cs="宋体"/>
                <w:b/>
                <w:bCs/>
                <w:kern w:val="0"/>
                <w:szCs w:val="21"/>
              </w:rPr>
            </w:pPr>
            <w:r>
              <w:rPr>
                <w:rFonts w:hint="eastAsia" w:ascii="宋体" w:hAnsi="宋体" w:cs="宋体"/>
                <w:b/>
                <w:bCs/>
                <w:kern w:val="0"/>
                <w:szCs w:val="21"/>
              </w:rPr>
              <w:t>序号</w:t>
            </w:r>
          </w:p>
        </w:tc>
        <w:tc>
          <w:tcPr>
            <w:tcW w:w="794" w:type="pct"/>
            <w:tcBorders>
              <w:top w:val="single" w:color="auto" w:sz="4" w:space="0"/>
              <w:left w:val="single" w:color="auto" w:sz="4" w:space="0"/>
              <w:bottom w:val="single" w:color="auto" w:sz="4" w:space="0"/>
              <w:right w:val="single" w:color="auto" w:sz="4" w:space="0"/>
            </w:tcBorders>
            <w:vAlign w:val="center"/>
          </w:tcPr>
          <w:p w14:paraId="5196E15D">
            <w:pPr>
              <w:widowControl/>
              <w:jc w:val="center"/>
              <w:rPr>
                <w:rFonts w:ascii="宋体" w:hAnsi="宋体" w:cs="宋体"/>
                <w:b/>
                <w:bCs/>
                <w:kern w:val="0"/>
                <w:szCs w:val="21"/>
              </w:rPr>
            </w:pPr>
            <w:r>
              <w:rPr>
                <w:rFonts w:hint="eastAsia" w:ascii="宋体" w:hAnsi="宋体" w:cs="宋体"/>
                <w:b/>
                <w:bCs/>
                <w:kern w:val="0"/>
                <w:szCs w:val="21"/>
              </w:rPr>
              <w:t>姓名</w:t>
            </w:r>
          </w:p>
        </w:tc>
        <w:tc>
          <w:tcPr>
            <w:tcW w:w="1194" w:type="pct"/>
            <w:tcBorders>
              <w:top w:val="single" w:color="auto" w:sz="4" w:space="0"/>
              <w:left w:val="single" w:color="auto" w:sz="4" w:space="0"/>
              <w:bottom w:val="single" w:color="auto" w:sz="4" w:space="0"/>
              <w:right w:val="single" w:color="auto" w:sz="4" w:space="0"/>
            </w:tcBorders>
            <w:vAlign w:val="center"/>
          </w:tcPr>
          <w:p w14:paraId="6ADB01C7">
            <w:pPr>
              <w:widowControl/>
              <w:jc w:val="center"/>
              <w:rPr>
                <w:rFonts w:ascii="宋体" w:hAnsi="宋体" w:cs="宋体"/>
                <w:b/>
                <w:bCs/>
                <w:kern w:val="0"/>
                <w:szCs w:val="21"/>
              </w:rPr>
            </w:pPr>
            <w:r>
              <w:rPr>
                <w:rFonts w:hint="eastAsia" w:ascii="宋体" w:hAnsi="宋体" w:cs="宋体"/>
                <w:b/>
                <w:bCs/>
                <w:kern w:val="0"/>
                <w:szCs w:val="21"/>
              </w:rPr>
              <w:t>岗位</w:t>
            </w:r>
          </w:p>
        </w:tc>
        <w:tc>
          <w:tcPr>
            <w:tcW w:w="993" w:type="pct"/>
            <w:tcBorders>
              <w:top w:val="single" w:color="auto" w:sz="4" w:space="0"/>
              <w:left w:val="single" w:color="auto" w:sz="4" w:space="0"/>
              <w:bottom w:val="single" w:color="auto" w:sz="4" w:space="0"/>
              <w:right w:val="single" w:color="auto" w:sz="4" w:space="0"/>
            </w:tcBorders>
            <w:vAlign w:val="center"/>
          </w:tcPr>
          <w:p w14:paraId="2041CB59">
            <w:pPr>
              <w:widowControl/>
              <w:jc w:val="center"/>
              <w:rPr>
                <w:rFonts w:ascii="宋体" w:hAnsi="宋体" w:cs="宋体"/>
                <w:b/>
                <w:bCs/>
                <w:kern w:val="0"/>
                <w:szCs w:val="21"/>
              </w:rPr>
            </w:pPr>
            <w:r>
              <w:rPr>
                <w:rFonts w:hint="eastAsia" w:ascii="宋体" w:hAnsi="宋体" w:cs="宋体"/>
                <w:b/>
                <w:bCs/>
                <w:kern w:val="0"/>
                <w:szCs w:val="21"/>
              </w:rPr>
              <w:t>职称</w:t>
            </w:r>
          </w:p>
        </w:tc>
        <w:tc>
          <w:tcPr>
            <w:tcW w:w="1569" w:type="pct"/>
            <w:tcBorders>
              <w:top w:val="single" w:color="auto" w:sz="4" w:space="0"/>
              <w:left w:val="single" w:color="auto" w:sz="4" w:space="0"/>
              <w:bottom w:val="single" w:color="auto" w:sz="4" w:space="0"/>
              <w:right w:val="single" w:color="auto" w:sz="4" w:space="0"/>
            </w:tcBorders>
            <w:vAlign w:val="center"/>
          </w:tcPr>
          <w:p w14:paraId="4F979335">
            <w:pPr>
              <w:widowControl/>
              <w:jc w:val="center"/>
              <w:rPr>
                <w:rFonts w:ascii="宋体" w:hAnsi="宋体" w:cs="宋体"/>
                <w:b/>
                <w:bCs/>
                <w:kern w:val="0"/>
                <w:szCs w:val="21"/>
              </w:rPr>
            </w:pPr>
            <w:r>
              <w:rPr>
                <w:rFonts w:hint="eastAsia" w:ascii="宋体" w:hAnsi="宋体" w:cs="宋体"/>
                <w:b/>
                <w:bCs/>
                <w:kern w:val="0"/>
                <w:szCs w:val="21"/>
              </w:rPr>
              <w:t>职称证书或资格证书编号</w:t>
            </w:r>
          </w:p>
        </w:tc>
      </w:tr>
      <w:tr w14:paraId="5DDF4581">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5FBB2892">
            <w:pPr>
              <w:widowControl/>
              <w:numPr>
                <w:ilvl w:val="0"/>
                <w:numId w:val="3"/>
              </w:numPr>
              <w:jc w:val="center"/>
              <w:rPr>
                <w:rFonts w:ascii="宋体" w:hAnsi="宋体" w:cs="宋体"/>
                <w:kern w:val="0"/>
                <w:szCs w:val="21"/>
              </w:rPr>
            </w:pPr>
          </w:p>
        </w:tc>
        <w:tc>
          <w:tcPr>
            <w:tcW w:w="794" w:type="pct"/>
            <w:tcBorders>
              <w:top w:val="single" w:color="auto" w:sz="4" w:space="0"/>
              <w:left w:val="single" w:color="auto" w:sz="4" w:space="0"/>
              <w:bottom w:val="single" w:color="auto" w:sz="4" w:space="0"/>
              <w:right w:val="single" w:color="auto" w:sz="4" w:space="0"/>
            </w:tcBorders>
            <w:vAlign w:val="center"/>
          </w:tcPr>
          <w:p w14:paraId="7DCF7CFC">
            <w:pPr>
              <w:widowControl/>
              <w:jc w:val="center"/>
              <w:rPr>
                <w:rFonts w:ascii="宋体" w:hAnsi="宋体" w:cs="宋体"/>
                <w:kern w:val="0"/>
                <w:szCs w:val="21"/>
              </w:rPr>
            </w:pPr>
          </w:p>
        </w:tc>
        <w:tc>
          <w:tcPr>
            <w:tcW w:w="1194" w:type="pct"/>
            <w:tcBorders>
              <w:top w:val="single" w:color="auto" w:sz="4" w:space="0"/>
              <w:left w:val="single" w:color="auto" w:sz="4" w:space="0"/>
              <w:bottom w:val="single" w:color="auto" w:sz="4" w:space="0"/>
              <w:right w:val="single" w:color="auto" w:sz="4" w:space="0"/>
            </w:tcBorders>
            <w:vAlign w:val="center"/>
          </w:tcPr>
          <w:p w14:paraId="6574E343">
            <w:pPr>
              <w:widowControl/>
              <w:jc w:val="center"/>
              <w:textAlignment w:val="center"/>
              <w:rPr>
                <w:rFonts w:ascii="宋体" w:hAnsi="宋体" w:cs="宋体"/>
                <w:szCs w:val="21"/>
              </w:rPr>
            </w:pPr>
            <w:r>
              <w:rPr>
                <w:rFonts w:hint="eastAsia" w:ascii="宋体" w:hAnsi="宋体" w:cs="宋体"/>
                <w:kern w:val="0"/>
                <w:szCs w:val="21"/>
                <w:lang w:bidi="ar"/>
              </w:rPr>
              <w:t>技术负责人</w:t>
            </w:r>
          </w:p>
        </w:tc>
        <w:tc>
          <w:tcPr>
            <w:tcW w:w="993" w:type="pct"/>
            <w:tcBorders>
              <w:top w:val="single" w:color="auto" w:sz="4" w:space="0"/>
              <w:left w:val="single" w:color="auto" w:sz="4" w:space="0"/>
              <w:bottom w:val="single" w:color="auto" w:sz="4" w:space="0"/>
              <w:right w:val="single" w:color="auto" w:sz="4" w:space="0"/>
            </w:tcBorders>
            <w:vAlign w:val="center"/>
          </w:tcPr>
          <w:p w14:paraId="15007F20">
            <w:pPr>
              <w:widowControl/>
              <w:jc w:val="center"/>
              <w:rPr>
                <w:rFonts w:ascii="宋体" w:hAnsi="宋体" w:cs="宋体"/>
                <w:kern w:val="0"/>
                <w:szCs w:val="21"/>
              </w:rPr>
            </w:pPr>
          </w:p>
        </w:tc>
        <w:tc>
          <w:tcPr>
            <w:tcW w:w="1569" w:type="pct"/>
            <w:tcBorders>
              <w:top w:val="single" w:color="auto" w:sz="4" w:space="0"/>
              <w:left w:val="single" w:color="auto" w:sz="4" w:space="0"/>
              <w:bottom w:val="single" w:color="auto" w:sz="4" w:space="0"/>
              <w:right w:val="single" w:color="auto" w:sz="4" w:space="0"/>
            </w:tcBorders>
            <w:vAlign w:val="center"/>
          </w:tcPr>
          <w:p w14:paraId="6030F158">
            <w:pPr>
              <w:widowControl/>
              <w:jc w:val="center"/>
              <w:rPr>
                <w:rFonts w:ascii="宋体" w:hAnsi="宋体" w:cs="宋体"/>
                <w:kern w:val="0"/>
                <w:szCs w:val="21"/>
              </w:rPr>
            </w:pPr>
          </w:p>
        </w:tc>
      </w:tr>
      <w:tr w14:paraId="6A8EB8EB">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72EEA5D5">
            <w:pPr>
              <w:widowControl/>
              <w:numPr>
                <w:ilvl w:val="0"/>
                <w:numId w:val="3"/>
              </w:numPr>
              <w:jc w:val="center"/>
              <w:rPr>
                <w:rFonts w:ascii="宋体" w:hAnsi="宋体" w:cs="宋体"/>
                <w:kern w:val="0"/>
                <w:szCs w:val="21"/>
              </w:rPr>
            </w:pPr>
          </w:p>
        </w:tc>
        <w:tc>
          <w:tcPr>
            <w:tcW w:w="794" w:type="pct"/>
            <w:tcBorders>
              <w:top w:val="single" w:color="auto" w:sz="4" w:space="0"/>
              <w:left w:val="single" w:color="auto" w:sz="4" w:space="0"/>
              <w:bottom w:val="single" w:color="auto" w:sz="4" w:space="0"/>
              <w:right w:val="single" w:color="auto" w:sz="4" w:space="0"/>
            </w:tcBorders>
            <w:vAlign w:val="center"/>
          </w:tcPr>
          <w:p w14:paraId="074051F2">
            <w:pPr>
              <w:widowControl/>
              <w:jc w:val="center"/>
              <w:rPr>
                <w:rFonts w:ascii="宋体" w:hAnsi="宋体" w:cs="宋体"/>
                <w:kern w:val="0"/>
                <w:szCs w:val="21"/>
              </w:rPr>
            </w:pPr>
          </w:p>
        </w:tc>
        <w:tc>
          <w:tcPr>
            <w:tcW w:w="1194" w:type="pct"/>
            <w:tcBorders>
              <w:top w:val="single" w:color="auto" w:sz="4" w:space="0"/>
              <w:left w:val="single" w:color="auto" w:sz="4" w:space="0"/>
              <w:bottom w:val="single" w:color="auto" w:sz="4" w:space="0"/>
              <w:right w:val="single" w:color="auto" w:sz="4" w:space="0"/>
            </w:tcBorders>
            <w:vAlign w:val="center"/>
          </w:tcPr>
          <w:p w14:paraId="0AF24183">
            <w:pPr>
              <w:widowControl/>
              <w:jc w:val="center"/>
              <w:textAlignment w:val="center"/>
              <w:rPr>
                <w:rFonts w:ascii="宋体" w:hAnsi="宋体" w:cs="宋体"/>
                <w:szCs w:val="21"/>
              </w:rPr>
            </w:pPr>
            <w:r>
              <w:rPr>
                <w:rFonts w:hint="eastAsia" w:ascii="宋体" w:hAnsi="宋体" w:cs="宋体"/>
                <w:szCs w:val="21"/>
              </w:rPr>
              <w:t>质量负责人</w:t>
            </w:r>
          </w:p>
        </w:tc>
        <w:tc>
          <w:tcPr>
            <w:tcW w:w="993" w:type="pct"/>
            <w:tcBorders>
              <w:top w:val="single" w:color="auto" w:sz="4" w:space="0"/>
              <w:left w:val="single" w:color="auto" w:sz="4" w:space="0"/>
              <w:bottom w:val="single" w:color="auto" w:sz="4" w:space="0"/>
              <w:right w:val="single" w:color="auto" w:sz="4" w:space="0"/>
            </w:tcBorders>
            <w:vAlign w:val="center"/>
          </w:tcPr>
          <w:p w14:paraId="57EB4716">
            <w:pPr>
              <w:widowControl/>
              <w:jc w:val="center"/>
              <w:rPr>
                <w:rFonts w:ascii="宋体" w:hAnsi="宋体" w:cs="宋体"/>
                <w:kern w:val="0"/>
                <w:szCs w:val="21"/>
              </w:rPr>
            </w:pPr>
          </w:p>
        </w:tc>
        <w:tc>
          <w:tcPr>
            <w:tcW w:w="1569" w:type="pct"/>
            <w:tcBorders>
              <w:top w:val="single" w:color="auto" w:sz="4" w:space="0"/>
              <w:left w:val="single" w:color="auto" w:sz="4" w:space="0"/>
              <w:bottom w:val="single" w:color="auto" w:sz="4" w:space="0"/>
              <w:right w:val="single" w:color="auto" w:sz="4" w:space="0"/>
            </w:tcBorders>
            <w:vAlign w:val="center"/>
          </w:tcPr>
          <w:p w14:paraId="1F84D0FF">
            <w:pPr>
              <w:widowControl/>
              <w:jc w:val="center"/>
              <w:rPr>
                <w:rFonts w:ascii="宋体" w:hAnsi="宋体" w:cs="宋体"/>
                <w:kern w:val="0"/>
                <w:szCs w:val="21"/>
              </w:rPr>
            </w:pPr>
          </w:p>
        </w:tc>
      </w:tr>
      <w:tr w14:paraId="5FF24E90">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2525CA91">
            <w:pPr>
              <w:widowControl/>
              <w:numPr>
                <w:ilvl w:val="0"/>
                <w:numId w:val="3"/>
              </w:numPr>
              <w:jc w:val="center"/>
              <w:rPr>
                <w:rFonts w:ascii="宋体" w:hAnsi="宋体" w:cs="宋体"/>
                <w:kern w:val="0"/>
                <w:szCs w:val="21"/>
              </w:rPr>
            </w:pPr>
          </w:p>
        </w:tc>
        <w:tc>
          <w:tcPr>
            <w:tcW w:w="794" w:type="pct"/>
            <w:tcBorders>
              <w:top w:val="single" w:color="auto" w:sz="4" w:space="0"/>
              <w:left w:val="single" w:color="auto" w:sz="4" w:space="0"/>
              <w:bottom w:val="single" w:color="auto" w:sz="4" w:space="0"/>
              <w:right w:val="single" w:color="auto" w:sz="4" w:space="0"/>
            </w:tcBorders>
            <w:vAlign w:val="center"/>
          </w:tcPr>
          <w:p w14:paraId="2BAA81D1">
            <w:pPr>
              <w:widowControl/>
              <w:jc w:val="center"/>
              <w:rPr>
                <w:rFonts w:ascii="宋体" w:hAnsi="宋体" w:cs="宋体"/>
                <w:kern w:val="0"/>
                <w:szCs w:val="21"/>
              </w:rPr>
            </w:pPr>
          </w:p>
        </w:tc>
        <w:tc>
          <w:tcPr>
            <w:tcW w:w="1194" w:type="pct"/>
            <w:tcBorders>
              <w:top w:val="single" w:color="auto" w:sz="4" w:space="0"/>
              <w:left w:val="single" w:color="auto" w:sz="4" w:space="0"/>
              <w:bottom w:val="single" w:color="auto" w:sz="4" w:space="0"/>
              <w:right w:val="single" w:color="auto" w:sz="4" w:space="0"/>
            </w:tcBorders>
            <w:vAlign w:val="center"/>
          </w:tcPr>
          <w:p w14:paraId="656DC362">
            <w:pPr>
              <w:widowControl/>
              <w:jc w:val="center"/>
              <w:textAlignment w:val="center"/>
              <w:rPr>
                <w:rFonts w:ascii="宋体" w:hAnsi="宋体" w:cs="宋体"/>
                <w:szCs w:val="21"/>
              </w:rPr>
            </w:pPr>
            <w:r>
              <w:rPr>
                <w:rFonts w:hint="eastAsia" w:ascii="宋体" w:hAnsi="宋体" w:cs="宋体"/>
                <w:szCs w:val="21"/>
              </w:rPr>
              <w:t>安全负责人</w:t>
            </w:r>
          </w:p>
        </w:tc>
        <w:tc>
          <w:tcPr>
            <w:tcW w:w="993" w:type="pct"/>
            <w:tcBorders>
              <w:top w:val="single" w:color="auto" w:sz="4" w:space="0"/>
              <w:left w:val="single" w:color="auto" w:sz="4" w:space="0"/>
              <w:bottom w:val="single" w:color="auto" w:sz="4" w:space="0"/>
              <w:right w:val="single" w:color="auto" w:sz="4" w:space="0"/>
            </w:tcBorders>
            <w:vAlign w:val="center"/>
          </w:tcPr>
          <w:p w14:paraId="2D4E6742">
            <w:pPr>
              <w:widowControl/>
              <w:jc w:val="center"/>
              <w:rPr>
                <w:rFonts w:ascii="宋体" w:hAnsi="宋体" w:cs="宋体"/>
                <w:kern w:val="0"/>
                <w:szCs w:val="21"/>
              </w:rPr>
            </w:pPr>
          </w:p>
        </w:tc>
        <w:tc>
          <w:tcPr>
            <w:tcW w:w="1569" w:type="pct"/>
            <w:tcBorders>
              <w:top w:val="single" w:color="auto" w:sz="4" w:space="0"/>
              <w:left w:val="single" w:color="auto" w:sz="4" w:space="0"/>
              <w:bottom w:val="single" w:color="auto" w:sz="4" w:space="0"/>
              <w:right w:val="single" w:color="auto" w:sz="4" w:space="0"/>
            </w:tcBorders>
            <w:vAlign w:val="center"/>
          </w:tcPr>
          <w:p w14:paraId="0940B1EB">
            <w:pPr>
              <w:widowControl/>
              <w:jc w:val="center"/>
              <w:rPr>
                <w:rFonts w:ascii="宋体" w:hAnsi="宋体" w:cs="宋体"/>
                <w:kern w:val="0"/>
                <w:szCs w:val="21"/>
              </w:rPr>
            </w:pPr>
          </w:p>
        </w:tc>
      </w:tr>
      <w:tr w14:paraId="37221EF0">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39CC4AE2">
            <w:pPr>
              <w:widowControl/>
              <w:numPr>
                <w:ilvl w:val="0"/>
                <w:numId w:val="3"/>
              </w:numPr>
              <w:jc w:val="center"/>
              <w:rPr>
                <w:rFonts w:ascii="宋体" w:hAnsi="宋体" w:cs="宋体"/>
                <w:kern w:val="0"/>
                <w:szCs w:val="21"/>
              </w:rPr>
            </w:pPr>
          </w:p>
        </w:tc>
        <w:tc>
          <w:tcPr>
            <w:tcW w:w="794" w:type="pct"/>
            <w:tcBorders>
              <w:top w:val="single" w:color="auto" w:sz="4" w:space="0"/>
              <w:left w:val="single" w:color="auto" w:sz="4" w:space="0"/>
              <w:bottom w:val="single" w:color="auto" w:sz="4" w:space="0"/>
              <w:right w:val="single" w:color="auto" w:sz="4" w:space="0"/>
            </w:tcBorders>
            <w:vAlign w:val="center"/>
          </w:tcPr>
          <w:p w14:paraId="6A63A123">
            <w:pPr>
              <w:widowControl/>
              <w:jc w:val="center"/>
              <w:rPr>
                <w:rFonts w:ascii="宋体" w:hAnsi="宋体" w:cs="宋体"/>
                <w:kern w:val="0"/>
                <w:szCs w:val="21"/>
              </w:rPr>
            </w:pPr>
          </w:p>
        </w:tc>
        <w:tc>
          <w:tcPr>
            <w:tcW w:w="1194" w:type="pct"/>
            <w:tcBorders>
              <w:top w:val="single" w:color="auto" w:sz="4" w:space="0"/>
              <w:left w:val="single" w:color="auto" w:sz="4" w:space="0"/>
              <w:bottom w:val="single" w:color="auto" w:sz="4" w:space="0"/>
              <w:right w:val="single" w:color="auto" w:sz="4" w:space="0"/>
            </w:tcBorders>
            <w:vAlign w:val="center"/>
          </w:tcPr>
          <w:p w14:paraId="3C85DF4A">
            <w:pPr>
              <w:widowControl/>
              <w:jc w:val="center"/>
              <w:textAlignment w:val="center"/>
              <w:rPr>
                <w:rFonts w:ascii="宋体" w:hAnsi="宋体" w:cs="宋体"/>
                <w:szCs w:val="21"/>
              </w:rPr>
            </w:pPr>
            <w:r>
              <w:rPr>
                <w:rFonts w:hint="eastAsia" w:ascii="宋体" w:hAnsi="宋体" w:cs="宋体"/>
                <w:szCs w:val="21"/>
              </w:rPr>
              <w:t>装修负责人</w:t>
            </w:r>
          </w:p>
        </w:tc>
        <w:tc>
          <w:tcPr>
            <w:tcW w:w="993" w:type="pct"/>
            <w:tcBorders>
              <w:top w:val="single" w:color="auto" w:sz="4" w:space="0"/>
              <w:left w:val="single" w:color="auto" w:sz="4" w:space="0"/>
              <w:bottom w:val="single" w:color="auto" w:sz="4" w:space="0"/>
              <w:right w:val="single" w:color="auto" w:sz="4" w:space="0"/>
            </w:tcBorders>
            <w:vAlign w:val="center"/>
          </w:tcPr>
          <w:p w14:paraId="5CA55890">
            <w:pPr>
              <w:widowControl/>
              <w:jc w:val="center"/>
              <w:rPr>
                <w:rFonts w:ascii="宋体" w:hAnsi="宋体" w:cs="宋体"/>
                <w:kern w:val="0"/>
                <w:szCs w:val="21"/>
              </w:rPr>
            </w:pPr>
          </w:p>
        </w:tc>
        <w:tc>
          <w:tcPr>
            <w:tcW w:w="1569" w:type="pct"/>
            <w:tcBorders>
              <w:top w:val="single" w:color="auto" w:sz="4" w:space="0"/>
              <w:left w:val="single" w:color="auto" w:sz="4" w:space="0"/>
              <w:bottom w:val="single" w:color="auto" w:sz="4" w:space="0"/>
              <w:right w:val="single" w:color="auto" w:sz="4" w:space="0"/>
            </w:tcBorders>
            <w:vAlign w:val="center"/>
          </w:tcPr>
          <w:p w14:paraId="037985C4">
            <w:pPr>
              <w:widowControl/>
              <w:jc w:val="center"/>
              <w:rPr>
                <w:rFonts w:ascii="宋体" w:hAnsi="宋体" w:cs="宋体"/>
                <w:kern w:val="0"/>
                <w:szCs w:val="21"/>
              </w:rPr>
            </w:pPr>
          </w:p>
        </w:tc>
      </w:tr>
      <w:tr w14:paraId="3492B4AF">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500A9848">
            <w:pPr>
              <w:widowControl/>
              <w:numPr>
                <w:ilvl w:val="0"/>
                <w:numId w:val="3"/>
              </w:numPr>
              <w:jc w:val="center"/>
              <w:rPr>
                <w:rFonts w:ascii="宋体" w:hAnsi="宋体" w:cs="宋体"/>
                <w:kern w:val="0"/>
                <w:szCs w:val="21"/>
              </w:rPr>
            </w:pPr>
          </w:p>
        </w:tc>
        <w:tc>
          <w:tcPr>
            <w:tcW w:w="794" w:type="pct"/>
            <w:tcBorders>
              <w:top w:val="single" w:color="auto" w:sz="4" w:space="0"/>
              <w:left w:val="single" w:color="auto" w:sz="4" w:space="0"/>
              <w:bottom w:val="single" w:color="auto" w:sz="4" w:space="0"/>
              <w:right w:val="single" w:color="auto" w:sz="4" w:space="0"/>
            </w:tcBorders>
            <w:shd w:val="clear" w:color="auto" w:fill="auto"/>
            <w:vAlign w:val="center"/>
          </w:tcPr>
          <w:p w14:paraId="3B53FC41">
            <w:pPr>
              <w:widowControl/>
              <w:jc w:val="center"/>
              <w:textAlignment w:val="center"/>
              <w:rPr>
                <w:rFonts w:ascii="宋体" w:hAnsi="宋体" w:cs="宋体"/>
                <w:kern w:val="0"/>
                <w:szCs w:val="21"/>
                <w:lang w:bidi="ar"/>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79F4516B">
            <w:pPr>
              <w:widowControl/>
              <w:jc w:val="center"/>
              <w:textAlignment w:val="center"/>
              <w:rPr>
                <w:rFonts w:ascii="宋体" w:hAnsi="宋体" w:cs="宋体"/>
                <w:kern w:val="0"/>
                <w:szCs w:val="21"/>
                <w:lang w:bidi="ar"/>
              </w:rPr>
            </w:pPr>
            <w:r>
              <w:rPr>
                <w:rFonts w:hint="eastAsia" w:ascii="宋体" w:hAnsi="宋体" w:cs="宋体"/>
                <w:kern w:val="0"/>
                <w:szCs w:val="21"/>
                <w:lang w:bidi="ar"/>
              </w:rPr>
              <w:t>机电负责人</w:t>
            </w:r>
          </w:p>
        </w:tc>
        <w:tc>
          <w:tcPr>
            <w:tcW w:w="993" w:type="pct"/>
            <w:tcBorders>
              <w:top w:val="single" w:color="auto" w:sz="4" w:space="0"/>
              <w:left w:val="single" w:color="auto" w:sz="4" w:space="0"/>
              <w:bottom w:val="single" w:color="auto" w:sz="4" w:space="0"/>
              <w:right w:val="single" w:color="auto" w:sz="4" w:space="0"/>
            </w:tcBorders>
            <w:shd w:val="clear" w:color="auto" w:fill="auto"/>
            <w:vAlign w:val="center"/>
          </w:tcPr>
          <w:p w14:paraId="4E1BD935">
            <w:pPr>
              <w:widowControl/>
              <w:jc w:val="center"/>
              <w:textAlignment w:val="center"/>
              <w:rPr>
                <w:rFonts w:ascii="宋体" w:hAnsi="宋体" w:cs="宋体"/>
                <w:kern w:val="0"/>
                <w:szCs w:val="21"/>
                <w:lang w:bidi="ar"/>
              </w:rPr>
            </w:pPr>
          </w:p>
        </w:tc>
        <w:tc>
          <w:tcPr>
            <w:tcW w:w="1569" w:type="pct"/>
            <w:tcBorders>
              <w:top w:val="single" w:color="auto" w:sz="4" w:space="0"/>
              <w:left w:val="single" w:color="auto" w:sz="4" w:space="0"/>
              <w:bottom w:val="single" w:color="auto" w:sz="4" w:space="0"/>
              <w:right w:val="single" w:color="auto" w:sz="4" w:space="0"/>
            </w:tcBorders>
            <w:shd w:val="clear" w:color="auto" w:fill="auto"/>
            <w:vAlign w:val="center"/>
          </w:tcPr>
          <w:p w14:paraId="0CA80793">
            <w:pPr>
              <w:widowControl/>
              <w:jc w:val="center"/>
              <w:textAlignment w:val="center"/>
              <w:rPr>
                <w:rFonts w:ascii="宋体" w:hAnsi="宋体" w:cs="宋体"/>
                <w:kern w:val="0"/>
                <w:szCs w:val="21"/>
                <w:lang w:bidi="ar"/>
              </w:rPr>
            </w:pPr>
          </w:p>
        </w:tc>
      </w:tr>
      <w:tr w14:paraId="2DE6E6C6">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09AE1625">
            <w:pPr>
              <w:widowControl/>
              <w:numPr>
                <w:ilvl w:val="0"/>
                <w:numId w:val="3"/>
              </w:numPr>
              <w:jc w:val="center"/>
              <w:rPr>
                <w:rFonts w:ascii="宋体" w:hAnsi="宋体" w:cs="宋体"/>
                <w:kern w:val="0"/>
                <w:szCs w:val="21"/>
              </w:rPr>
            </w:pPr>
          </w:p>
        </w:tc>
        <w:tc>
          <w:tcPr>
            <w:tcW w:w="794" w:type="pct"/>
            <w:tcBorders>
              <w:top w:val="single" w:color="auto" w:sz="4" w:space="0"/>
              <w:left w:val="single" w:color="auto" w:sz="4" w:space="0"/>
              <w:bottom w:val="single" w:color="auto" w:sz="4" w:space="0"/>
              <w:right w:val="single" w:color="auto" w:sz="4" w:space="0"/>
            </w:tcBorders>
            <w:shd w:val="clear" w:color="auto" w:fill="auto"/>
            <w:vAlign w:val="center"/>
          </w:tcPr>
          <w:p w14:paraId="658EFE80">
            <w:pPr>
              <w:widowControl/>
              <w:jc w:val="center"/>
              <w:textAlignment w:val="center"/>
              <w:rPr>
                <w:rFonts w:ascii="宋体" w:hAnsi="宋体" w:cs="宋体"/>
                <w:szCs w:val="21"/>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4D0B2935">
            <w:pPr>
              <w:widowControl/>
              <w:jc w:val="center"/>
              <w:textAlignment w:val="center"/>
              <w:rPr>
                <w:rFonts w:ascii="宋体" w:hAnsi="宋体" w:cs="宋体"/>
                <w:szCs w:val="21"/>
              </w:rPr>
            </w:pPr>
            <w:r>
              <w:rPr>
                <w:rFonts w:hint="eastAsia" w:ascii="宋体" w:hAnsi="宋体" w:cs="宋体"/>
                <w:szCs w:val="21"/>
              </w:rPr>
              <w:t>结构负责人</w:t>
            </w:r>
          </w:p>
        </w:tc>
        <w:tc>
          <w:tcPr>
            <w:tcW w:w="993" w:type="pct"/>
            <w:tcBorders>
              <w:top w:val="single" w:color="auto" w:sz="4" w:space="0"/>
              <w:left w:val="single" w:color="auto" w:sz="4" w:space="0"/>
              <w:bottom w:val="single" w:color="auto" w:sz="4" w:space="0"/>
              <w:right w:val="single" w:color="auto" w:sz="4" w:space="0"/>
            </w:tcBorders>
            <w:shd w:val="clear" w:color="auto" w:fill="auto"/>
            <w:vAlign w:val="center"/>
          </w:tcPr>
          <w:p w14:paraId="1DA44E31">
            <w:pPr>
              <w:widowControl/>
              <w:jc w:val="center"/>
              <w:textAlignment w:val="center"/>
              <w:rPr>
                <w:rFonts w:ascii="宋体" w:hAnsi="宋体" w:cs="宋体"/>
                <w:szCs w:val="21"/>
              </w:rPr>
            </w:pPr>
          </w:p>
        </w:tc>
        <w:tc>
          <w:tcPr>
            <w:tcW w:w="1569" w:type="pct"/>
            <w:tcBorders>
              <w:top w:val="single" w:color="auto" w:sz="4" w:space="0"/>
              <w:left w:val="single" w:color="auto" w:sz="4" w:space="0"/>
              <w:bottom w:val="single" w:color="auto" w:sz="4" w:space="0"/>
              <w:right w:val="single" w:color="auto" w:sz="4" w:space="0"/>
            </w:tcBorders>
            <w:shd w:val="clear" w:color="auto" w:fill="auto"/>
            <w:vAlign w:val="center"/>
          </w:tcPr>
          <w:p w14:paraId="61584D17">
            <w:pPr>
              <w:widowControl/>
              <w:jc w:val="center"/>
              <w:rPr>
                <w:rFonts w:ascii="宋体" w:hAnsi="宋体" w:cs="宋体"/>
                <w:szCs w:val="21"/>
              </w:rPr>
            </w:pPr>
          </w:p>
        </w:tc>
      </w:tr>
      <w:tr w14:paraId="0FA96DB8">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185A4EC6">
            <w:pPr>
              <w:widowControl/>
              <w:numPr>
                <w:ilvl w:val="0"/>
                <w:numId w:val="3"/>
              </w:numPr>
              <w:jc w:val="center"/>
              <w:rPr>
                <w:rFonts w:ascii="宋体" w:hAnsi="宋体" w:cs="宋体"/>
                <w:kern w:val="0"/>
                <w:szCs w:val="21"/>
              </w:rPr>
            </w:pPr>
          </w:p>
        </w:tc>
        <w:tc>
          <w:tcPr>
            <w:tcW w:w="794" w:type="pct"/>
            <w:tcBorders>
              <w:top w:val="single" w:color="auto" w:sz="4" w:space="0"/>
              <w:left w:val="single" w:color="auto" w:sz="4" w:space="0"/>
              <w:bottom w:val="single" w:color="auto" w:sz="4" w:space="0"/>
              <w:right w:val="single" w:color="auto" w:sz="4" w:space="0"/>
            </w:tcBorders>
            <w:shd w:val="clear" w:color="auto" w:fill="auto"/>
            <w:vAlign w:val="center"/>
          </w:tcPr>
          <w:p w14:paraId="7C525316">
            <w:pPr>
              <w:widowControl/>
              <w:jc w:val="center"/>
              <w:textAlignment w:val="center"/>
              <w:rPr>
                <w:rFonts w:ascii="宋体" w:hAnsi="宋体" w:cs="宋体"/>
                <w:kern w:val="0"/>
                <w:szCs w:val="21"/>
                <w:lang w:bidi="ar"/>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2E8F91AA">
            <w:pPr>
              <w:widowControl/>
              <w:jc w:val="center"/>
              <w:textAlignment w:val="center"/>
              <w:rPr>
                <w:rFonts w:ascii="宋体" w:hAnsi="宋体" w:cs="宋体"/>
                <w:kern w:val="0"/>
                <w:szCs w:val="21"/>
                <w:lang w:bidi="ar"/>
              </w:rPr>
            </w:pPr>
            <w:r>
              <w:rPr>
                <w:rFonts w:hint="eastAsia" w:ascii="宋体" w:hAnsi="宋体" w:cs="宋体"/>
                <w:kern w:val="0"/>
                <w:szCs w:val="21"/>
                <w:lang w:bidi="ar"/>
              </w:rPr>
              <w:t>档案负责人</w:t>
            </w:r>
          </w:p>
        </w:tc>
        <w:tc>
          <w:tcPr>
            <w:tcW w:w="993" w:type="pct"/>
            <w:tcBorders>
              <w:top w:val="single" w:color="auto" w:sz="4" w:space="0"/>
              <w:left w:val="single" w:color="auto" w:sz="4" w:space="0"/>
              <w:bottom w:val="single" w:color="auto" w:sz="4" w:space="0"/>
              <w:right w:val="single" w:color="auto" w:sz="4" w:space="0"/>
            </w:tcBorders>
            <w:shd w:val="clear" w:color="auto" w:fill="auto"/>
            <w:vAlign w:val="center"/>
          </w:tcPr>
          <w:p w14:paraId="700B1ABF">
            <w:pPr>
              <w:widowControl/>
              <w:jc w:val="center"/>
              <w:textAlignment w:val="center"/>
              <w:rPr>
                <w:rFonts w:ascii="宋体" w:hAnsi="宋体" w:cs="宋体"/>
                <w:kern w:val="0"/>
                <w:szCs w:val="21"/>
                <w:lang w:bidi="ar"/>
              </w:rPr>
            </w:pPr>
          </w:p>
        </w:tc>
        <w:tc>
          <w:tcPr>
            <w:tcW w:w="1569" w:type="pct"/>
            <w:tcBorders>
              <w:top w:val="single" w:color="auto" w:sz="4" w:space="0"/>
              <w:left w:val="single" w:color="auto" w:sz="4" w:space="0"/>
              <w:bottom w:val="single" w:color="auto" w:sz="4" w:space="0"/>
              <w:right w:val="single" w:color="auto" w:sz="4" w:space="0"/>
            </w:tcBorders>
            <w:shd w:val="clear" w:color="auto" w:fill="auto"/>
            <w:vAlign w:val="center"/>
          </w:tcPr>
          <w:p w14:paraId="747CE9A5">
            <w:pPr>
              <w:widowControl/>
              <w:jc w:val="center"/>
              <w:rPr>
                <w:rFonts w:ascii="宋体" w:hAnsi="宋体" w:cs="宋体"/>
                <w:kern w:val="0"/>
                <w:szCs w:val="21"/>
              </w:rPr>
            </w:pPr>
          </w:p>
        </w:tc>
      </w:tr>
      <w:tr w14:paraId="6B067F48">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394484E3">
            <w:pPr>
              <w:widowControl/>
              <w:numPr>
                <w:ilvl w:val="0"/>
                <w:numId w:val="3"/>
              </w:numPr>
              <w:jc w:val="center"/>
              <w:rPr>
                <w:rFonts w:ascii="宋体" w:hAnsi="宋体" w:cs="宋体"/>
                <w:kern w:val="0"/>
                <w:szCs w:val="21"/>
              </w:rPr>
            </w:pPr>
          </w:p>
        </w:tc>
        <w:tc>
          <w:tcPr>
            <w:tcW w:w="794" w:type="pct"/>
            <w:tcBorders>
              <w:top w:val="single" w:color="auto" w:sz="4" w:space="0"/>
              <w:left w:val="single" w:color="auto" w:sz="4" w:space="0"/>
              <w:bottom w:val="single" w:color="auto" w:sz="4" w:space="0"/>
              <w:right w:val="single" w:color="auto" w:sz="4" w:space="0"/>
            </w:tcBorders>
            <w:shd w:val="clear" w:color="auto" w:fill="auto"/>
            <w:vAlign w:val="center"/>
          </w:tcPr>
          <w:p w14:paraId="6A5F415F">
            <w:pPr>
              <w:widowControl/>
              <w:jc w:val="center"/>
              <w:textAlignment w:val="center"/>
              <w:rPr>
                <w:rFonts w:ascii="宋体" w:hAnsi="宋体" w:cs="宋体"/>
                <w:szCs w:val="21"/>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01B931E9">
            <w:pPr>
              <w:widowControl/>
              <w:jc w:val="center"/>
              <w:textAlignment w:val="center"/>
              <w:rPr>
                <w:rFonts w:ascii="宋体" w:hAnsi="宋体" w:cs="宋体"/>
                <w:szCs w:val="21"/>
              </w:rPr>
            </w:pPr>
          </w:p>
        </w:tc>
        <w:tc>
          <w:tcPr>
            <w:tcW w:w="993" w:type="pct"/>
            <w:tcBorders>
              <w:top w:val="single" w:color="auto" w:sz="4" w:space="0"/>
              <w:left w:val="single" w:color="auto" w:sz="4" w:space="0"/>
              <w:bottom w:val="single" w:color="auto" w:sz="4" w:space="0"/>
              <w:right w:val="single" w:color="auto" w:sz="4" w:space="0"/>
            </w:tcBorders>
            <w:shd w:val="clear" w:color="auto" w:fill="auto"/>
            <w:vAlign w:val="center"/>
          </w:tcPr>
          <w:p w14:paraId="04437313">
            <w:pPr>
              <w:widowControl/>
              <w:jc w:val="center"/>
              <w:textAlignment w:val="center"/>
              <w:rPr>
                <w:rFonts w:ascii="宋体" w:hAnsi="宋体" w:cs="宋体"/>
                <w:szCs w:val="21"/>
              </w:rPr>
            </w:pPr>
          </w:p>
        </w:tc>
        <w:tc>
          <w:tcPr>
            <w:tcW w:w="1569" w:type="pct"/>
            <w:tcBorders>
              <w:top w:val="single" w:color="auto" w:sz="4" w:space="0"/>
              <w:left w:val="single" w:color="auto" w:sz="4" w:space="0"/>
              <w:bottom w:val="single" w:color="auto" w:sz="4" w:space="0"/>
              <w:right w:val="single" w:color="auto" w:sz="4" w:space="0"/>
            </w:tcBorders>
            <w:shd w:val="clear" w:color="auto" w:fill="auto"/>
            <w:vAlign w:val="center"/>
          </w:tcPr>
          <w:p w14:paraId="71ADE99B">
            <w:pPr>
              <w:widowControl/>
              <w:jc w:val="center"/>
              <w:textAlignment w:val="center"/>
              <w:rPr>
                <w:rFonts w:ascii="宋体" w:hAnsi="宋体" w:cs="宋体"/>
                <w:szCs w:val="21"/>
              </w:rPr>
            </w:pPr>
          </w:p>
        </w:tc>
      </w:tr>
      <w:tr w14:paraId="4BB13513">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454BFB53">
            <w:pPr>
              <w:widowControl/>
              <w:numPr>
                <w:ilvl w:val="0"/>
                <w:numId w:val="3"/>
              </w:numPr>
              <w:jc w:val="center"/>
              <w:rPr>
                <w:rFonts w:ascii="宋体" w:hAnsi="宋体" w:cs="宋体"/>
                <w:kern w:val="0"/>
                <w:szCs w:val="21"/>
              </w:rPr>
            </w:pPr>
          </w:p>
        </w:tc>
        <w:tc>
          <w:tcPr>
            <w:tcW w:w="794" w:type="pct"/>
            <w:tcBorders>
              <w:top w:val="single" w:color="auto" w:sz="4" w:space="0"/>
              <w:left w:val="single" w:color="auto" w:sz="4" w:space="0"/>
              <w:bottom w:val="single" w:color="auto" w:sz="4" w:space="0"/>
              <w:right w:val="single" w:color="auto" w:sz="4" w:space="0"/>
            </w:tcBorders>
            <w:shd w:val="clear" w:color="auto" w:fill="auto"/>
            <w:vAlign w:val="center"/>
          </w:tcPr>
          <w:p w14:paraId="50DA2731">
            <w:pPr>
              <w:widowControl/>
              <w:jc w:val="center"/>
              <w:textAlignment w:val="center"/>
              <w:rPr>
                <w:rFonts w:ascii="宋体" w:hAnsi="宋体" w:cs="宋体"/>
                <w:szCs w:val="21"/>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6B79B162">
            <w:pPr>
              <w:widowControl/>
              <w:jc w:val="center"/>
              <w:textAlignment w:val="center"/>
              <w:rPr>
                <w:rFonts w:ascii="宋体" w:hAnsi="宋体" w:cs="宋体"/>
                <w:szCs w:val="21"/>
              </w:rPr>
            </w:pPr>
          </w:p>
        </w:tc>
        <w:tc>
          <w:tcPr>
            <w:tcW w:w="993" w:type="pct"/>
            <w:tcBorders>
              <w:top w:val="single" w:color="auto" w:sz="4" w:space="0"/>
              <w:left w:val="single" w:color="auto" w:sz="4" w:space="0"/>
              <w:bottom w:val="single" w:color="auto" w:sz="4" w:space="0"/>
              <w:right w:val="single" w:color="auto" w:sz="4" w:space="0"/>
            </w:tcBorders>
            <w:shd w:val="clear" w:color="auto" w:fill="auto"/>
            <w:vAlign w:val="center"/>
          </w:tcPr>
          <w:p w14:paraId="4283919F">
            <w:pPr>
              <w:widowControl/>
              <w:jc w:val="center"/>
              <w:textAlignment w:val="center"/>
              <w:rPr>
                <w:rFonts w:ascii="宋体" w:hAnsi="宋体" w:cs="宋体"/>
                <w:szCs w:val="21"/>
              </w:rPr>
            </w:pPr>
          </w:p>
        </w:tc>
        <w:tc>
          <w:tcPr>
            <w:tcW w:w="1569" w:type="pct"/>
            <w:tcBorders>
              <w:top w:val="single" w:color="auto" w:sz="4" w:space="0"/>
              <w:left w:val="single" w:color="auto" w:sz="4" w:space="0"/>
              <w:bottom w:val="single" w:color="auto" w:sz="4" w:space="0"/>
              <w:right w:val="single" w:color="auto" w:sz="4" w:space="0"/>
            </w:tcBorders>
            <w:shd w:val="clear" w:color="auto" w:fill="auto"/>
            <w:vAlign w:val="center"/>
          </w:tcPr>
          <w:p w14:paraId="32249440">
            <w:pPr>
              <w:widowControl/>
              <w:jc w:val="center"/>
              <w:textAlignment w:val="center"/>
              <w:rPr>
                <w:rFonts w:ascii="宋体" w:hAnsi="宋体" w:cs="宋体"/>
                <w:szCs w:val="21"/>
              </w:rPr>
            </w:pPr>
          </w:p>
        </w:tc>
      </w:tr>
      <w:tr w14:paraId="6F297301">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6CC5AF14">
            <w:pPr>
              <w:widowControl/>
              <w:jc w:val="center"/>
              <w:rPr>
                <w:rFonts w:ascii="宋体" w:hAnsi="宋体" w:cs="宋体"/>
                <w:kern w:val="0"/>
                <w:szCs w:val="21"/>
              </w:rPr>
            </w:pPr>
            <w:r>
              <w:rPr>
                <w:rFonts w:hint="eastAsia" w:ascii="宋体" w:hAnsi="宋体" w:cs="宋体"/>
                <w:kern w:val="0"/>
                <w:szCs w:val="21"/>
              </w:rPr>
              <w:t>……</w:t>
            </w:r>
          </w:p>
        </w:tc>
        <w:tc>
          <w:tcPr>
            <w:tcW w:w="794" w:type="pct"/>
            <w:tcBorders>
              <w:top w:val="single" w:color="auto" w:sz="4" w:space="0"/>
              <w:left w:val="single" w:color="auto" w:sz="4" w:space="0"/>
              <w:bottom w:val="single" w:color="auto" w:sz="4" w:space="0"/>
              <w:right w:val="single" w:color="auto" w:sz="4" w:space="0"/>
            </w:tcBorders>
            <w:vAlign w:val="center"/>
          </w:tcPr>
          <w:p w14:paraId="50099FDF">
            <w:pPr>
              <w:widowControl/>
              <w:jc w:val="center"/>
              <w:rPr>
                <w:rFonts w:ascii="宋体" w:hAnsi="宋体" w:cs="宋体"/>
                <w:kern w:val="0"/>
                <w:szCs w:val="21"/>
              </w:rPr>
            </w:pPr>
            <w:r>
              <w:rPr>
                <w:rFonts w:hint="eastAsia" w:ascii="宋体" w:hAnsi="宋体" w:cs="宋体"/>
                <w:kern w:val="0"/>
                <w:szCs w:val="21"/>
              </w:rPr>
              <w:t>　</w:t>
            </w:r>
          </w:p>
        </w:tc>
        <w:tc>
          <w:tcPr>
            <w:tcW w:w="1194" w:type="pct"/>
            <w:tcBorders>
              <w:top w:val="single" w:color="auto" w:sz="4" w:space="0"/>
              <w:left w:val="single" w:color="auto" w:sz="4" w:space="0"/>
              <w:bottom w:val="single" w:color="auto" w:sz="4" w:space="0"/>
              <w:right w:val="single" w:color="auto" w:sz="4" w:space="0"/>
            </w:tcBorders>
            <w:vAlign w:val="center"/>
          </w:tcPr>
          <w:p w14:paraId="5C7404DD">
            <w:pPr>
              <w:widowControl/>
              <w:jc w:val="center"/>
              <w:rPr>
                <w:rFonts w:ascii="宋体" w:hAnsi="宋体" w:cs="宋体"/>
                <w:kern w:val="0"/>
                <w:szCs w:val="21"/>
              </w:rPr>
            </w:pPr>
            <w:r>
              <w:rPr>
                <w:rFonts w:hint="eastAsia" w:ascii="宋体" w:hAnsi="宋体" w:cs="宋体"/>
                <w:kern w:val="0"/>
                <w:szCs w:val="21"/>
              </w:rPr>
              <w:t>　</w:t>
            </w:r>
          </w:p>
        </w:tc>
        <w:tc>
          <w:tcPr>
            <w:tcW w:w="993" w:type="pct"/>
            <w:tcBorders>
              <w:top w:val="single" w:color="auto" w:sz="4" w:space="0"/>
              <w:left w:val="single" w:color="auto" w:sz="4" w:space="0"/>
              <w:bottom w:val="single" w:color="auto" w:sz="4" w:space="0"/>
              <w:right w:val="single" w:color="auto" w:sz="4" w:space="0"/>
            </w:tcBorders>
            <w:vAlign w:val="center"/>
          </w:tcPr>
          <w:p w14:paraId="50D8ADE6">
            <w:pPr>
              <w:widowControl/>
              <w:jc w:val="center"/>
              <w:rPr>
                <w:rFonts w:ascii="宋体" w:hAnsi="宋体" w:cs="宋体"/>
                <w:kern w:val="0"/>
                <w:szCs w:val="21"/>
              </w:rPr>
            </w:pPr>
            <w:r>
              <w:rPr>
                <w:rFonts w:hint="eastAsia" w:ascii="宋体" w:hAnsi="宋体" w:cs="宋体"/>
                <w:kern w:val="0"/>
                <w:szCs w:val="21"/>
              </w:rPr>
              <w:t>　</w:t>
            </w:r>
          </w:p>
        </w:tc>
        <w:tc>
          <w:tcPr>
            <w:tcW w:w="1569" w:type="pct"/>
            <w:tcBorders>
              <w:top w:val="single" w:color="auto" w:sz="4" w:space="0"/>
              <w:left w:val="single" w:color="auto" w:sz="4" w:space="0"/>
              <w:bottom w:val="single" w:color="auto" w:sz="4" w:space="0"/>
              <w:right w:val="single" w:color="auto" w:sz="4" w:space="0"/>
            </w:tcBorders>
            <w:vAlign w:val="center"/>
          </w:tcPr>
          <w:p w14:paraId="4F89157E">
            <w:pPr>
              <w:widowControl/>
              <w:jc w:val="center"/>
              <w:rPr>
                <w:rFonts w:ascii="宋体" w:hAnsi="宋体" w:cs="宋体"/>
                <w:kern w:val="0"/>
                <w:szCs w:val="21"/>
              </w:rPr>
            </w:pPr>
            <w:r>
              <w:rPr>
                <w:rFonts w:hint="eastAsia" w:ascii="宋体" w:hAnsi="宋体" w:cs="宋体"/>
                <w:kern w:val="0"/>
                <w:szCs w:val="21"/>
              </w:rPr>
              <w:t>　</w:t>
            </w:r>
          </w:p>
        </w:tc>
      </w:tr>
      <w:tr w14:paraId="23F1E289">
        <w:tblPrEx>
          <w:tblCellMar>
            <w:top w:w="0" w:type="dxa"/>
            <w:left w:w="108" w:type="dxa"/>
            <w:bottom w:w="0" w:type="dxa"/>
            <w:right w:w="108" w:type="dxa"/>
          </w:tblCellMar>
        </w:tblPrEx>
        <w:trPr>
          <w:trHeight w:val="482"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3FF4EBD3">
            <w:pPr>
              <w:widowControl/>
              <w:jc w:val="left"/>
              <w:rPr>
                <w:rFonts w:ascii="宋体" w:hAnsi="宋体" w:cs="宋体"/>
                <w:sz w:val="20"/>
                <w:szCs w:val="20"/>
              </w:rPr>
            </w:pPr>
            <w:r>
              <w:rPr>
                <w:rFonts w:hint="eastAsia" w:ascii="宋体" w:hAnsi="宋体" w:cs="宋体"/>
                <w:sz w:val="20"/>
                <w:szCs w:val="20"/>
              </w:rPr>
              <w:t>备注：</w:t>
            </w:r>
          </w:p>
          <w:p w14:paraId="50C7B3E0">
            <w:pPr>
              <w:widowControl/>
              <w:jc w:val="left"/>
              <w:rPr>
                <w:rFonts w:ascii="宋体" w:hAnsi="宋体" w:cs="宋体"/>
                <w:sz w:val="20"/>
                <w:szCs w:val="20"/>
              </w:rPr>
            </w:pPr>
            <w:r>
              <w:rPr>
                <w:rFonts w:hint="eastAsia" w:ascii="宋体" w:hAnsi="宋体" w:cs="宋体"/>
                <w:sz w:val="20"/>
                <w:szCs w:val="20"/>
              </w:rPr>
              <w:t>1、“岗位”要求（除项目负责人和专职安全员外）由招标人根据项目管理需要在本表备注中明确提出。以上项目管理团队人员信息将由交易系统提取后供各相关单位在履约时比对、查核。</w:t>
            </w:r>
          </w:p>
          <w:p w14:paraId="27F0904E">
            <w:pPr>
              <w:widowControl/>
              <w:jc w:val="left"/>
              <w:rPr>
                <w:rFonts w:ascii="宋体" w:hAnsi="宋体" w:cs="宋体"/>
                <w:sz w:val="20"/>
                <w:szCs w:val="20"/>
              </w:rPr>
            </w:pPr>
            <w:r>
              <w:rPr>
                <w:rFonts w:hint="eastAsia" w:ascii="宋体" w:hAnsi="宋体" w:cs="宋体"/>
                <w:sz w:val="20"/>
                <w:szCs w:val="20"/>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75D3BBE1">
            <w:pPr>
              <w:widowControl/>
              <w:jc w:val="left"/>
              <w:rPr>
                <w:rFonts w:ascii="宋体" w:hAnsi="宋体" w:cs="宋体"/>
                <w:sz w:val="20"/>
                <w:szCs w:val="20"/>
              </w:rPr>
            </w:pPr>
            <w:r>
              <w:rPr>
                <w:rFonts w:hint="eastAsia" w:ascii="宋体" w:hAnsi="宋体" w:cs="宋体"/>
                <w:sz w:val="20"/>
                <w:szCs w:val="20"/>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32D2C6E8">
            <w:pPr>
              <w:pStyle w:val="6"/>
              <w:spacing w:before="0" w:after="0" w:line="240" w:lineRule="auto"/>
              <w:ind w:left="0"/>
              <w:jc w:val="both"/>
              <w:rPr>
                <w:rFonts w:ascii="宋体" w:hAnsi="宋体" w:cs="宋体"/>
                <w:color w:val="auto"/>
                <w:sz w:val="21"/>
                <w:szCs w:val="21"/>
              </w:rPr>
            </w:pPr>
            <w:bookmarkStart w:id="51" w:name="_Toc19453"/>
            <w:r>
              <w:rPr>
                <w:rFonts w:hint="eastAsia" w:ascii="宋体" w:hAnsi="宋体" w:cs="宋体"/>
                <w:b w:val="0"/>
                <w:bCs/>
                <w:color w:val="auto"/>
                <w:sz w:val="20"/>
                <w:szCs w:val="20"/>
              </w:rPr>
              <w:t>4</w:t>
            </w:r>
            <w:r>
              <w:rPr>
                <w:rFonts w:hint="eastAsia" w:ascii="宋体" w:hAnsi="宋体" w:cs="宋体"/>
                <w:b w:val="0"/>
                <w:bCs/>
                <w:color w:val="auto"/>
                <w:kern w:val="2"/>
                <w:sz w:val="20"/>
                <w:szCs w:val="20"/>
              </w:rPr>
              <w:t>、本表中投标人提供的“技术负责人”需满足招标公告要求，其余人员不全或未满足招标文件要求的，中标后须按招标文件的要求补充完善并报发包人审批同意；涉及违约的，还需按合同约定承担相应的违约责任。</w:t>
            </w:r>
            <w:bookmarkEnd w:id="51"/>
          </w:p>
        </w:tc>
      </w:tr>
    </w:tbl>
    <w:p w14:paraId="4ADCF6E7">
      <w:pPr>
        <w:pStyle w:val="56"/>
        <w:ind w:right="496" w:firstLine="3610" w:firstLineChars="1450"/>
        <w:rPr>
          <w:rFonts w:ascii="宋体" w:hAnsi="宋体" w:cs="宋体"/>
          <w:b/>
          <w:bCs/>
        </w:rPr>
      </w:pPr>
    </w:p>
    <w:p w14:paraId="00143F30">
      <w:pPr>
        <w:pStyle w:val="56"/>
        <w:ind w:right="496" w:firstLine="3610" w:firstLineChars="1450"/>
        <w:rPr>
          <w:rFonts w:ascii="宋体" w:hAnsi="宋体" w:cs="宋体"/>
          <w:b/>
          <w:bCs/>
        </w:rPr>
      </w:pPr>
    </w:p>
    <w:p w14:paraId="2E3B4B68">
      <w:pPr>
        <w:pStyle w:val="56"/>
        <w:ind w:right="496" w:firstLine="3610" w:firstLineChars="1450"/>
        <w:rPr>
          <w:rFonts w:ascii="宋体" w:hAnsi="宋体" w:cs="宋体"/>
          <w:b/>
          <w:bCs/>
        </w:rPr>
      </w:pPr>
    </w:p>
    <w:p w14:paraId="14F22FDA">
      <w:pPr>
        <w:pStyle w:val="56"/>
        <w:ind w:right="496" w:firstLine="0" w:firstLineChars="0"/>
        <w:outlineLvl w:val="2"/>
        <w:rPr>
          <w:rFonts w:ascii="宋体" w:hAnsi="宋体" w:cs="宋体"/>
          <w:b/>
          <w:spacing w:val="0"/>
          <w:kern w:val="2"/>
        </w:rPr>
      </w:pPr>
      <w:r>
        <w:rPr>
          <w:rFonts w:hint="eastAsia" w:ascii="宋体" w:hAnsi="宋体" w:eastAsia="宋体" w:cs="宋体"/>
          <w:bCs/>
        </w:rPr>
        <w:br w:type="page"/>
      </w:r>
      <w:bookmarkStart w:id="52" w:name="_Toc3554"/>
      <w:r>
        <w:rPr>
          <w:rFonts w:hint="eastAsia" w:ascii="宋体" w:hAnsi="宋体" w:cs="宋体"/>
          <w:b/>
          <w:spacing w:val="0"/>
          <w:kern w:val="2"/>
        </w:rPr>
        <w:t>格式</w:t>
      </w:r>
      <w:r>
        <w:rPr>
          <w:rFonts w:hint="eastAsia" w:ascii="宋体" w:hAnsi="宋体" w:cs="宋体"/>
          <w:b/>
          <w:spacing w:val="0"/>
          <w:kern w:val="2"/>
          <w:lang w:val="en-US" w:eastAsia="zh-CN"/>
        </w:rPr>
        <w:t>七</w:t>
      </w:r>
      <w:r>
        <w:rPr>
          <w:rFonts w:hint="eastAsia" w:ascii="宋体" w:hAnsi="宋体" w:cs="宋体"/>
          <w:b/>
          <w:spacing w:val="0"/>
          <w:kern w:val="2"/>
        </w:rPr>
        <w:t>：</w:t>
      </w:r>
      <w:bookmarkEnd w:id="41"/>
      <w:bookmarkEnd w:id="42"/>
      <w:bookmarkEnd w:id="43"/>
      <w:bookmarkEnd w:id="44"/>
      <w:bookmarkEnd w:id="45"/>
      <w:r>
        <w:rPr>
          <w:rFonts w:hint="eastAsia" w:ascii="宋体" w:hAnsi="宋体" w:cs="宋体"/>
          <w:b/>
          <w:spacing w:val="0"/>
          <w:kern w:val="2"/>
        </w:rPr>
        <w:t>危险性较大的分部分项工程清单及超过一定规模的危险性较大的分部分项工程清单</w:t>
      </w:r>
      <w:bookmarkEnd w:id="52"/>
    </w:p>
    <w:p w14:paraId="4B320274">
      <w:pPr>
        <w:autoSpaceDE w:val="0"/>
        <w:autoSpaceDN w:val="0"/>
        <w:adjustRightInd w:val="0"/>
        <w:jc w:val="center"/>
        <w:rPr>
          <w:rFonts w:ascii="宋体" w:hAnsi="宋体" w:cs="宋体"/>
          <w:b/>
          <w:bCs/>
          <w:sz w:val="36"/>
          <w:szCs w:val="36"/>
          <w:lang w:val="zh-CN"/>
        </w:rPr>
      </w:pPr>
      <w:bookmarkStart w:id="53" w:name="_Toc14697650"/>
      <w:bookmarkStart w:id="54" w:name="_Toc62134857"/>
      <w:bookmarkStart w:id="55" w:name="_Toc504722506"/>
      <w:bookmarkStart w:id="56" w:name="_Toc20655"/>
      <w:bookmarkStart w:id="57" w:name="_Toc4489938"/>
      <w:bookmarkStart w:id="58" w:name="_Toc337720092"/>
      <w:bookmarkStart w:id="59" w:name="_Toc248650371"/>
      <w:bookmarkStart w:id="60" w:name="_Toc369536771"/>
      <w:bookmarkStart w:id="61" w:name="_Toc352623422"/>
      <w:bookmarkStart w:id="62" w:name="_Toc291101119"/>
      <w:bookmarkStart w:id="63" w:name="_Toc352240524"/>
      <w:bookmarkStart w:id="64" w:name="_Toc464131225"/>
      <w:bookmarkStart w:id="65" w:name="_Toc395261100"/>
      <w:bookmarkStart w:id="66" w:name="_Toc358370579"/>
      <w:bookmarkStart w:id="67" w:name="_Toc449308421"/>
      <w:bookmarkStart w:id="68" w:name="_Toc226209004"/>
      <w:bookmarkStart w:id="69" w:name="_Toc254961556"/>
      <w:r>
        <w:rPr>
          <w:rFonts w:hint="eastAsia" w:ascii="宋体" w:hAnsi="宋体" w:cs="宋体"/>
          <w:b/>
          <w:bCs/>
          <w:sz w:val="36"/>
          <w:szCs w:val="36"/>
          <w:lang w:val="zh-CN"/>
        </w:rPr>
        <w:t>危险性较大的分部分项工程清单及超过一定规模的危险性较大的分部分项工程清单</w:t>
      </w:r>
    </w:p>
    <w:p w14:paraId="1D566186">
      <w:pPr>
        <w:pStyle w:val="111"/>
        <w:autoSpaceDE w:val="0"/>
        <w:autoSpaceDN w:val="0"/>
        <w:spacing w:line="360" w:lineRule="auto"/>
        <w:ind w:firstLine="480"/>
        <w:rPr>
          <w:rFonts w:ascii="宋体" w:hAnsi="宋体" w:cs="宋体"/>
          <w:sz w:val="24"/>
          <w:szCs w:val="28"/>
        </w:rPr>
      </w:pPr>
      <w:r>
        <w:rPr>
          <w:rFonts w:hint="eastAsia" w:ascii="宋体" w:hAnsi="宋体" w:cs="宋体"/>
          <w:sz w:val="24"/>
          <w:szCs w:val="28"/>
        </w:rPr>
        <w:t>1、根据中华人民共和国住房和城乡建设部令第47号《危险性较大的分部分项工程安全管理规定》（以下简称“47号文”），投标人在投标时须补充完善危大工程清单并明确相应的安全管理措施。</w:t>
      </w:r>
    </w:p>
    <w:p w14:paraId="6BC83EA7">
      <w:pPr>
        <w:pStyle w:val="111"/>
        <w:autoSpaceDE w:val="0"/>
        <w:autoSpaceDN w:val="0"/>
        <w:spacing w:line="360" w:lineRule="auto"/>
        <w:ind w:firstLine="480"/>
        <w:rPr>
          <w:rFonts w:ascii="宋体" w:hAnsi="宋体" w:cs="宋体"/>
          <w:sz w:val="24"/>
          <w:szCs w:val="28"/>
        </w:rPr>
      </w:pPr>
      <w:r>
        <w:rPr>
          <w:rFonts w:hint="eastAsia" w:ascii="宋体" w:hAnsi="宋体" w:cs="宋体"/>
          <w:sz w:val="24"/>
          <w:szCs w:val="28"/>
        </w:rPr>
        <w:t>2、招标人根据设计文件的要求及47号文的规定列出“危险性较大的分部分项工程清单及超过一定规模的危险性较大的分部分项工程清单”中与本招标项目相关的清单项，具体详见第5点“打√”标识。</w:t>
      </w:r>
    </w:p>
    <w:p w14:paraId="246282CA">
      <w:pPr>
        <w:pStyle w:val="111"/>
        <w:autoSpaceDE w:val="0"/>
        <w:autoSpaceDN w:val="0"/>
        <w:spacing w:line="360" w:lineRule="auto"/>
        <w:ind w:firstLine="480"/>
        <w:rPr>
          <w:rFonts w:ascii="宋体" w:hAnsi="宋体" w:cs="宋体"/>
          <w:sz w:val="24"/>
          <w:szCs w:val="28"/>
        </w:rPr>
      </w:pPr>
      <w:r>
        <w:rPr>
          <w:rFonts w:hint="eastAsia" w:ascii="宋体" w:hAnsi="宋体" w:cs="宋体"/>
          <w:sz w:val="24"/>
          <w:szCs w:val="28"/>
        </w:rPr>
        <w:t>（1）投标单位同意建设单位在清单中标识的该项请在对应项打“√”标识，并于投标文件中提供相应的安全管理措施。</w:t>
      </w:r>
    </w:p>
    <w:p w14:paraId="40D69026">
      <w:pPr>
        <w:pStyle w:val="111"/>
        <w:autoSpaceDE w:val="0"/>
        <w:autoSpaceDN w:val="0"/>
        <w:spacing w:line="360" w:lineRule="auto"/>
        <w:ind w:firstLine="480"/>
        <w:rPr>
          <w:rFonts w:ascii="宋体" w:hAnsi="宋体" w:cs="宋体"/>
          <w:sz w:val="24"/>
          <w:szCs w:val="28"/>
        </w:rPr>
      </w:pPr>
      <w:r>
        <w:rPr>
          <w:rFonts w:hint="eastAsia" w:ascii="宋体" w:hAnsi="宋体" w:cs="宋体"/>
          <w:sz w:val="24"/>
          <w:szCs w:val="28"/>
        </w:rPr>
        <w:t>（2）投标单位对清单中认为需要补充的该项请在对应项打“√”标识，并于投标文件中提供相应的安全管理措施。</w:t>
      </w:r>
    </w:p>
    <w:p w14:paraId="51C9B6B2">
      <w:pPr>
        <w:pStyle w:val="111"/>
        <w:autoSpaceDE w:val="0"/>
        <w:autoSpaceDN w:val="0"/>
        <w:spacing w:line="360" w:lineRule="auto"/>
        <w:ind w:firstLine="480"/>
        <w:rPr>
          <w:rFonts w:ascii="宋体" w:hAnsi="宋体" w:cs="宋体"/>
          <w:sz w:val="24"/>
          <w:szCs w:val="28"/>
        </w:rPr>
      </w:pPr>
      <w:r>
        <w:rPr>
          <w:rFonts w:hint="eastAsia" w:ascii="宋体" w:hAnsi="宋体" w:cs="宋体"/>
          <w:sz w:val="24"/>
          <w:szCs w:val="28"/>
        </w:rPr>
        <w:t>（3）投标单位不同意建设单位在清单中标识的该项请在对应项打“×”标识，并在备注栏填上相关说明。</w:t>
      </w:r>
    </w:p>
    <w:p w14:paraId="306D3FA9">
      <w:pPr>
        <w:pStyle w:val="111"/>
        <w:autoSpaceDE w:val="0"/>
        <w:autoSpaceDN w:val="0"/>
        <w:spacing w:line="360" w:lineRule="auto"/>
        <w:ind w:firstLine="480"/>
        <w:rPr>
          <w:rFonts w:ascii="宋体" w:hAnsi="宋体" w:cs="宋体"/>
          <w:sz w:val="24"/>
          <w:szCs w:val="28"/>
        </w:rPr>
      </w:pPr>
      <w:r>
        <w:rPr>
          <w:rFonts w:hint="eastAsia" w:ascii="宋体" w:hAnsi="宋体" w:cs="宋体"/>
          <w:sz w:val="24"/>
          <w:szCs w:val="28"/>
        </w:rPr>
        <w:t>3、投标单位应当在投标时根据招标人提供的下述第5点清单，在中标后提供的施工组织中编制专项施工方案。</w:t>
      </w:r>
    </w:p>
    <w:p w14:paraId="1216D6E6">
      <w:pPr>
        <w:pStyle w:val="111"/>
        <w:autoSpaceDE w:val="0"/>
        <w:autoSpaceDN w:val="0"/>
        <w:spacing w:line="360" w:lineRule="auto"/>
        <w:ind w:firstLine="480"/>
        <w:rPr>
          <w:rFonts w:ascii="宋体" w:hAnsi="宋体" w:cs="宋体"/>
          <w:sz w:val="24"/>
          <w:szCs w:val="28"/>
        </w:rPr>
      </w:pPr>
      <w:r>
        <w:rPr>
          <w:rFonts w:hint="eastAsia" w:ascii="宋体" w:hAnsi="宋体" w:cs="宋体"/>
          <w:sz w:val="24"/>
          <w:szCs w:val="28"/>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153DC252">
      <w:pPr>
        <w:pStyle w:val="111"/>
        <w:autoSpaceDE w:val="0"/>
        <w:autoSpaceDN w:val="0"/>
        <w:spacing w:line="360" w:lineRule="auto"/>
        <w:ind w:firstLine="480"/>
        <w:rPr>
          <w:rFonts w:ascii="宋体" w:hAnsi="宋体" w:cs="宋体"/>
          <w:sz w:val="24"/>
          <w:szCs w:val="28"/>
        </w:rPr>
      </w:pPr>
      <w:r>
        <w:rPr>
          <w:rFonts w:hint="eastAsia" w:ascii="宋体" w:hAnsi="宋体" w:cs="宋体"/>
          <w:sz w:val="24"/>
          <w:szCs w:val="28"/>
        </w:rPr>
        <w:t>5、危险性较大的分部分项工程清单及超过一定规模的危险性较大的分部分项工程清单：</w:t>
      </w:r>
    </w:p>
    <w:tbl>
      <w:tblPr>
        <w:tblStyle w:val="42"/>
        <w:tblW w:w="48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5"/>
        <w:gridCol w:w="1215"/>
        <w:gridCol w:w="1356"/>
        <w:gridCol w:w="783"/>
        <w:gridCol w:w="27"/>
      </w:tblGrid>
      <w:tr w14:paraId="3A6B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420" w:hRule="atLeast"/>
          <w:jc w:val="center"/>
        </w:trPr>
        <w:tc>
          <w:tcPr>
            <w:tcW w:w="3125" w:type="pct"/>
            <w:tcBorders>
              <w:top w:val="single" w:color="auto" w:sz="4" w:space="0"/>
              <w:left w:val="single" w:color="auto" w:sz="4" w:space="0"/>
              <w:bottom w:val="single" w:color="auto" w:sz="4" w:space="0"/>
              <w:right w:val="single" w:color="auto" w:sz="4" w:space="0"/>
            </w:tcBorders>
            <w:shd w:val="clear" w:color="auto" w:fill="D9D9D9"/>
            <w:vAlign w:val="center"/>
          </w:tcPr>
          <w:p w14:paraId="1D400A85">
            <w:pPr>
              <w:jc w:val="center"/>
              <w:rPr>
                <w:rFonts w:ascii="宋体" w:hAnsi="宋体" w:cs="宋体"/>
                <w:b/>
                <w:szCs w:val="21"/>
              </w:rPr>
            </w:pPr>
            <w:r>
              <w:rPr>
                <w:rFonts w:hint="eastAsia" w:ascii="宋体" w:hAnsi="宋体" w:cs="宋体"/>
                <w:b/>
                <w:szCs w:val="21"/>
              </w:rPr>
              <w:t>危险性较大的分部分项工程清单</w:t>
            </w:r>
          </w:p>
        </w:tc>
        <w:tc>
          <w:tcPr>
            <w:tcW w:w="674" w:type="pct"/>
            <w:tcBorders>
              <w:top w:val="single" w:color="auto" w:sz="4" w:space="0"/>
              <w:left w:val="nil"/>
              <w:bottom w:val="single" w:color="auto" w:sz="4" w:space="0"/>
              <w:right w:val="single" w:color="auto" w:sz="4" w:space="0"/>
            </w:tcBorders>
            <w:shd w:val="clear" w:color="auto" w:fill="D9D9D9"/>
            <w:vAlign w:val="center"/>
          </w:tcPr>
          <w:p w14:paraId="03DDDDD6">
            <w:pPr>
              <w:jc w:val="center"/>
              <w:rPr>
                <w:rFonts w:ascii="宋体" w:hAnsi="宋体" w:cs="宋体"/>
                <w:b/>
                <w:szCs w:val="21"/>
              </w:rPr>
            </w:pPr>
            <w:r>
              <w:rPr>
                <w:rFonts w:hint="eastAsia" w:ascii="宋体" w:hAnsi="宋体" w:cs="宋体"/>
                <w:b/>
                <w:szCs w:val="21"/>
              </w:rPr>
              <w:t>招标人</w:t>
            </w:r>
          </w:p>
        </w:tc>
        <w:tc>
          <w:tcPr>
            <w:tcW w:w="752" w:type="pct"/>
            <w:tcBorders>
              <w:top w:val="single" w:color="auto" w:sz="4" w:space="0"/>
              <w:left w:val="nil"/>
              <w:bottom w:val="single" w:color="auto" w:sz="4" w:space="0"/>
              <w:right w:val="single" w:color="auto" w:sz="4" w:space="0"/>
            </w:tcBorders>
            <w:shd w:val="clear" w:color="auto" w:fill="D9D9D9"/>
            <w:vAlign w:val="center"/>
          </w:tcPr>
          <w:p w14:paraId="2A95090D">
            <w:pPr>
              <w:jc w:val="center"/>
              <w:rPr>
                <w:rFonts w:ascii="宋体" w:hAnsi="宋体" w:cs="宋体"/>
                <w:b/>
                <w:szCs w:val="21"/>
              </w:rPr>
            </w:pPr>
            <w:r>
              <w:rPr>
                <w:rFonts w:hint="eastAsia" w:ascii="宋体" w:hAnsi="宋体" w:cs="宋体"/>
                <w:b/>
                <w:szCs w:val="21"/>
              </w:rPr>
              <w:t>投标单位</w:t>
            </w:r>
          </w:p>
        </w:tc>
        <w:tc>
          <w:tcPr>
            <w:tcW w:w="434" w:type="pct"/>
            <w:tcBorders>
              <w:top w:val="single" w:color="auto" w:sz="4" w:space="0"/>
              <w:left w:val="nil"/>
              <w:bottom w:val="single" w:color="auto" w:sz="4" w:space="0"/>
              <w:right w:val="single" w:color="auto" w:sz="4" w:space="0"/>
            </w:tcBorders>
            <w:shd w:val="clear" w:color="auto" w:fill="D9D9D9"/>
            <w:vAlign w:val="center"/>
          </w:tcPr>
          <w:p w14:paraId="5219B349">
            <w:pPr>
              <w:jc w:val="center"/>
              <w:rPr>
                <w:rFonts w:ascii="宋体" w:hAnsi="宋体" w:cs="宋体"/>
                <w:b/>
                <w:szCs w:val="21"/>
              </w:rPr>
            </w:pPr>
            <w:r>
              <w:rPr>
                <w:rFonts w:hint="eastAsia" w:ascii="宋体" w:hAnsi="宋体" w:cs="宋体"/>
                <w:b/>
                <w:szCs w:val="21"/>
              </w:rPr>
              <w:t>备注</w:t>
            </w:r>
          </w:p>
        </w:tc>
      </w:tr>
      <w:tr w14:paraId="0AAF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197BAC8B">
            <w:pPr>
              <w:rPr>
                <w:rFonts w:ascii="宋体" w:hAnsi="宋体" w:cs="宋体"/>
                <w:b/>
                <w:szCs w:val="21"/>
              </w:rPr>
            </w:pPr>
            <w:r>
              <w:rPr>
                <w:rFonts w:hint="eastAsia" w:ascii="宋体" w:hAnsi="宋体" w:cs="宋体"/>
                <w:b/>
                <w:szCs w:val="21"/>
              </w:rPr>
              <w:t>一、基坑支护</w:t>
            </w:r>
          </w:p>
        </w:tc>
      </w:tr>
      <w:tr w14:paraId="569E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6FC09A55">
            <w:pPr>
              <w:rPr>
                <w:rFonts w:ascii="宋体" w:hAnsi="宋体" w:cs="宋体"/>
                <w:szCs w:val="21"/>
              </w:rPr>
            </w:pPr>
            <w:r>
              <w:rPr>
                <w:rFonts w:hint="eastAsia" w:ascii="宋体" w:hAnsi="宋体" w:cs="宋体"/>
                <w:szCs w:val="21"/>
              </w:rPr>
              <w:t>（一）开挖深度超过3m（含3m）的基坑（槽）的土方开挖、支护、降水工程。</w:t>
            </w:r>
          </w:p>
        </w:tc>
        <w:tc>
          <w:tcPr>
            <w:tcW w:w="674" w:type="pct"/>
            <w:tcBorders>
              <w:top w:val="single" w:color="auto" w:sz="4" w:space="0"/>
              <w:left w:val="nil"/>
              <w:bottom w:val="single" w:color="auto" w:sz="4" w:space="0"/>
              <w:right w:val="single" w:color="auto" w:sz="4" w:space="0"/>
            </w:tcBorders>
            <w:vAlign w:val="center"/>
          </w:tcPr>
          <w:p w14:paraId="1EF38704">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38BF0D14">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4ABED007">
            <w:pPr>
              <w:jc w:val="center"/>
              <w:rPr>
                <w:rFonts w:ascii="宋体" w:hAnsi="宋体" w:cs="宋体"/>
                <w:szCs w:val="21"/>
              </w:rPr>
            </w:pPr>
          </w:p>
        </w:tc>
      </w:tr>
      <w:tr w14:paraId="4D54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02629314">
            <w:pPr>
              <w:rPr>
                <w:rFonts w:ascii="宋体" w:hAnsi="宋体" w:cs="宋体"/>
                <w:szCs w:val="21"/>
              </w:rPr>
            </w:pPr>
            <w:r>
              <w:rPr>
                <w:rFonts w:hint="eastAsia" w:ascii="宋体" w:hAnsi="宋体" w:cs="宋体"/>
                <w:szCs w:val="21"/>
              </w:rPr>
              <w:t>（二）开挖深度虽未超过3m，但地质条件、周围环境和地下管线复杂，或影响毗邻建、构筑物安全的基坑（槽）的土方开挖、支护、降水工程。</w:t>
            </w:r>
          </w:p>
        </w:tc>
        <w:tc>
          <w:tcPr>
            <w:tcW w:w="674" w:type="pct"/>
            <w:tcBorders>
              <w:top w:val="single" w:color="auto" w:sz="4" w:space="0"/>
              <w:left w:val="nil"/>
              <w:bottom w:val="single" w:color="auto" w:sz="4" w:space="0"/>
              <w:right w:val="single" w:color="auto" w:sz="4" w:space="0"/>
            </w:tcBorders>
            <w:vAlign w:val="center"/>
          </w:tcPr>
          <w:p w14:paraId="274B89EC">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6125CCAF">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0BB4E4AA">
            <w:pPr>
              <w:jc w:val="center"/>
              <w:rPr>
                <w:rFonts w:ascii="宋体" w:hAnsi="宋体" w:cs="宋体"/>
                <w:szCs w:val="21"/>
              </w:rPr>
            </w:pPr>
          </w:p>
        </w:tc>
      </w:tr>
      <w:tr w14:paraId="156D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5FF69EE4">
            <w:pPr>
              <w:rPr>
                <w:rFonts w:ascii="宋体" w:hAnsi="宋体" w:cs="宋体"/>
                <w:szCs w:val="21"/>
              </w:rPr>
            </w:pPr>
            <w:r>
              <w:rPr>
                <w:rFonts w:hint="eastAsia" w:ascii="宋体" w:hAnsi="宋体" w:cs="宋体"/>
                <w:b/>
                <w:szCs w:val="21"/>
              </w:rPr>
              <w:t>二、模板工程及支撑体系</w:t>
            </w:r>
          </w:p>
        </w:tc>
      </w:tr>
      <w:tr w14:paraId="3586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5959F609">
            <w:pPr>
              <w:rPr>
                <w:rFonts w:ascii="宋体" w:hAnsi="宋体" w:cs="宋体"/>
                <w:szCs w:val="21"/>
              </w:rPr>
            </w:pPr>
            <w:r>
              <w:rPr>
                <w:rFonts w:hint="eastAsia" w:ascii="宋体" w:hAnsi="宋体" w:cs="宋体"/>
                <w:szCs w:val="21"/>
              </w:rPr>
              <w:t>（一）各类工具式模板工程：包括滑模、爬模、飞模、隧道模等工程。</w:t>
            </w:r>
          </w:p>
        </w:tc>
        <w:tc>
          <w:tcPr>
            <w:tcW w:w="674" w:type="pct"/>
            <w:tcBorders>
              <w:top w:val="single" w:color="auto" w:sz="4" w:space="0"/>
              <w:left w:val="nil"/>
              <w:bottom w:val="single" w:color="auto" w:sz="4" w:space="0"/>
              <w:right w:val="single" w:color="auto" w:sz="4" w:space="0"/>
            </w:tcBorders>
            <w:vAlign w:val="center"/>
          </w:tcPr>
          <w:p w14:paraId="45A05526">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50DD2662">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7B7650BB">
            <w:pPr>
              <w:jc w:val="center"/>
              <w:rPr>
                <w:rFonts w:ascii="宋体" w:hAnsi="宋体" w:cs="宋体"/>
                <w:szCs w:val="21"/>
              </w:rPr>
            </w:pPr>
          </w:p>
        </w:tc>
      </w:tr>
      <w:tr w14:paraId="7EDB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4FD8354D">
            <w:pPr>
              <w:rPr>
                <w:rFonts w:ascii="宋体" w:hAnsi="宋体" w:cs="宋体"/>
                <w:szCs w:val="21"/>
              </w:rPr>
            </w:pPr>
            <w:r>
              <w:rPr>
                <w:rFonts w:hint="eastAsia" w:ascii="宋体" w:hAnsi="宋体" w:cs="宋体"/>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674" w:type="pct"/>
            <w:tcBorders>
              <w:top w:val="single" w:color="auto" w:sz="4" w:space="0"/>
              <w:left w:val="nil"/>
              <w:bottom w:val="single" w:color="auto" w:sz="4" w:space="0"/>
              <w:right w:val="single" w:color="auto" w:sz="4" w:space="0"/>
            </w:tcBorders>
            <w:vAlign w:val="center"/>
          </w:tcPr>
          <w:p w14:paraId="1A640055">
            <w:pPr>
              <w:widowControl/>
              <w:jc w:val="center"/>
              <w:rPr>
                <w:rFonts w:ascii="宋体" w:hAnsi="宋体" w:cs="宋体"/>
                <w:kern w:val="0"/>
                <w:szCs w:val="21"/>
              </w:rPr>
            </w:pPr>
            <w:r>
              <w:rPr>
                <w:rFonts w:hint="eastAsia" w:ascii="宋体" w:hAnsi="宋体" w:cs="宋体"/>
                <w:kern w:val="0"/>
                <w:szCs w:val="21"/>
              </w:rPr>
              <w:t xml:space="preserve">( </w:t>
            </w:r>
            <w:r>
              <w:rPr>
                <w:rFonts w:hint="eastAsia" w:ascii="宋体" w:hAnsi="宋体" w:cs="宋体"/>
                <w:b/>
                <w:kern w:val="0"/>
                <w:szCs w:val="21"/>
              </w:rPr>
              <w:t xml:space="preserve">  </w:t>
            </w:r>
            <w:r>
              <w:rPr>
                <w:rFonts w:hint="eastAsia" w:ascii="宋体" w:hAnsi="宋体" w:cs="宋体"/>
                <w:kern w:val="0"/>
                <w:szCs w:val="21"/>
              </w:rPr>
              <w:t xml:space="preserve"> )</w:t>
            </w:r>
          </w:p>
        </w:tc>
        <w:tc>
          <w:tcPr>
            <w:tcW w:w="752" w:type="pct"/>
            <w:tcBorders>
              <w:top w:val="single" w:color="auto" w:sz="4" w:space="0"/>
              <w:left w:val="nil"/>
              <w:bottom w:val="single" w:color="auto" w:sz="4" w:space="0"/>
              <w:right w:val="single" w:color="auto" w:sz="4" w:space="0"/>
            </w:tcBorders>
            <w:vAlign w:val="center"/>
          </w:tcPr>
          <w:p w14:paraId="2CA587F7">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31605EF6">
            <w:pPr>
              <w:jc w:val="center"/>
              <w:rPr>
                <w:rFonts w:ascii="宋体" w:hAnsi="宋体" w:cs="宋体"/>
                <w:szCs w:val="21"/>
              </w:rPr>
            </w:pPr>
          </w:p>
        </w:tc>
      </w:tr>
      <w:tr w14:paraId="035E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075C58AB">
            <w:pPr>
              <w:widowControl/>
              <w:rPr>
                <w:rFonts w:ascii="宋体" w:hAnsi="宋体" w:cs="宋体"/>
                <w:szCs w:val="21"/>
              </w:rPr>
            </w:pPr>
            <w:r>
              <w:rPr>
                <w:rFonts w:hint="eastAsia" w:ascii="宋体" w:hAnsi="宋体" w:cs="宋体"/>
                <w:szCs w:val="21"/>
              </w:rPr>
              <w:t>（三）承重支撑体系：用于钢结构安装等满堂支撑体系。</w:t>
            </w:r>
          </w:p>
        </w:tc>
        <w:tc>
          <w:tcPr>
            <w:tcW w:w="674" w:type="pct"/>
            <w:tcBorders>
              <w:top w:val="single" w:color="auto" w:sz="4" w:space="0"/>
              <w:left w:val="nil"/>
              <w:bottom w:val="single" w:color="auto" w:sz="4" w:space="0"/>
              <w:right w:val="single" w:color="auto" w:sz="4" w:space="0"/>
            </w:tcBorders>
            <w:vAlign w:val="center"/>
          </w:tcPr>
          <w:p w14:paraId="00C64B92">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27714328">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22966DEA">
            <w:pPr>
              <w:jc w:val="center"/>
              <w:rPr>
                <w:rFonts w:ascii="宋体" w:hAnsi="宋体" w:cs="宋体"/>
                <w:szCs w:val="21"/>
              </w:rPr>
            </w:pPr>
          </w:p>
        </w:tc>
      </w:tr>
      <w:tr w14:paraId="5057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664FD734">
            <w:pPr>
              <w:rPr>
                <w:rFonts w:ascii="宋体" w:hAnsi="宋体" w:cs="宋体"/>
                <w:szCs w:val="21"/>
              </w:rPr>
            </w:pPr>
            <w:r>
              <w:rPr>
                <w:rFonts w:hint="eastAsia" w:ascii="宋体" w:hAnsi="宋体" w:cs="宋体"/>
                <w:b/>
                <w:szCs w:val="21"/>
              </w:rPr>
              <w:t>三、起重吊装及起重机械安装拆卸工程</w:t>
            </w:r>
          </w:p>
        </w:tc>
      </w:tr>
      <w:tr w14:paraId="5904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6BEFD7E2">
            <w:pPr>
              <w:widowControl/>
              <w:rPr>
                <w:rFonts w:ascii="宋体" w:hAnsi="宋体" w:cs="宋体"/>
                <w:szCs w:val="21"/>
              </w:rPr>
            </w:pPr>
            <w:r>
              <w:rPr>
                <w:rFonts w:hint="eastAsia" w:ascii="宋体" w:hAnsi="宋体" w:cs="宋体"/>
                <w:szCs w:val="21"/>
              </w:rPr>
              <w:t>（一）采用非常规起重设备、方法，且单件起吊重量在10kN及以上的起重吊装工程。</w:t>
            </w:r>
          </w:p>
        </w:tc>
        <w:tc>
          <w:tcPr>
            <w:tcW w:w="674" w:type="pct"/>
            <w:tcBorders>
              <w:top w:val="single" w:color="auto" w:sz="4" w:space="0"/>
              <w:left w:val="nil"/>
              <w:bottom w:val="single" w:color="auto" w:sz="4" w:space="0"/>
              <w:right w:val="single" w:color="auto" w:sz="4" w:space="0"/>
            </w:tcBorders>
            <w:vAlign w:val="center"/>
          </w:tcPr>
          <w:p w14:paraId="57B89CD0">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5EE1E609">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03BDAB97">
            <w:pPr>
              <w:jc w:val="center"/>
              <w:rPr>
                <w:rFonts w:ascii="宋体" w:hAnsi="宋体" w:cs="宋体"/>
                <w:szCs w:val="21"/>
              </w:rPr>
            </w:pPr>
          </w:p>
        </w:tc>
      </w:tr>
      <w:tr w14:paraId="58D2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6018E777">
            <w:pPr>
              <w:rPr>
                <w:rFonts w:ascii="宋体" w:hAnsi="宋体" w:cs="宋体"/>
                <w:szCs w:val="21"/>
              </w:rPr>
            </w:pPr>
            <w:r>
              <w:rPr>
                <w:rFonts w:hint="eastAsia" w:ascii="宋体" w:hAnsi="宋体" w:cs="宋体"/>
                <w:szCs w:val="21"/>
              </w:rPr>
              <w:t>（二）采用起重机械进行安装的工程。</w:t>
            </w:r>
          </w:p>
        </w:tc>
        <w:tc>
          <w:tcPr>
            <w:tcW w:w="674" w:type="pct"/>
            <w:tcBorders>
              <w:top w:val="single" w:color="auto" w:sz="4" w:space="0"/>
              <w:left w:val="nil"/>
              <w:bottom w:val="single" w:color="auto" w:sz="4" w:space="0"/>
              <w:right w:val="single" w:color="auto" w:sz="4" w:space="0"/>
            </w:tcBorders>
            <w:vAlign w:val="center"/>
          </w:tcPr>
          <w:p w14:paraId="754BCF7D">
            <w:pPr>
              <w:widowControl/>
              <w:jc w:val="center"/>
              <w:rPr>
                <w:rFonts w:ascii="宋体" w:hAnsi="宋体" w:cs="宋体"/>
                <w:kern w:val="0"/>
                <w:szCs w:val="21"/>
              </w:rPr>
            </w:pPr>
            <w:r>
              <w:rPr>
                <w:rFonts w:hint="eastAsia" w:ascii="宋体" w:hAnsi="宋体" w:cs="宋体"/>
                <w:kern w:val="0"/>
                <w:szCs w:val="21"/>
              </w:rPr>
              <w:t xml:space="preserve">(   </w:t>
            </w:r>
            <w:r>
              <w:rPr>
                <w:rFonts w:hint="eastAsia" w:ascii="宋体" w:hAnsi="宋体" w:cs="宋体"/>
                <w:b/>
                <w:kern w:val="0"/>
                <w:szCs w:val="21"/>
              </w:rPr>
              <w:t xml:space="preserve"> </w:t>
            </w:r>
            <w:r>
              <w:rPr>
                <w:rFonts w:hint="eastAsia" w:ascii="宋体" w:hAnsi="宋体" w:cs="宋体"/>
                <w:kern w:val="0"/>
                <w:szCs w:val="21"/>
              </w:rPr>
              <w:t>)</w:t>
            </w:r>
          </w:p>
        </w:tc>
        <w:tc>
          <w:tcPr>
            <w:tcW w:w="752" w:type="pct"/>
            <w:tcBorders>
              <w:top w:val="single" w:color="auto" w:sz="4" w:space="0"/>
              <w:left w:val="nil"/>
              <w:bottom w:val="single" w:color="auto" w:sz="4" w:space="0"/>
              <w:right w:val="single" w:color="auto" w:sz="4" w:space="0"/>
            </w:tcBorders>
            <w:vAlign w:val="center"/>
          </w:tcPr>
          <w:p w14:paraId="7AD1BBF9">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5652F73E">
            <w:pPr>
              <w:jc w:val="center"/>
              <w:rPr>
                <w:rFonts w:ascii="宋体" w:hAnsi="宋体" w:cs="宋体"/>
                <w:szCs w:val="21"/>
              </w:rPr>
            </w:pPr>
          </w:p>
        </w:tc>
      </w:tr>
      <w:tr w14:paraId="1C54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2B4A4A4D">
            <w:pPr>
              <w:rPr>
                <w:rFonts w:ascii="宋体" w:hAnsi="宋体" w:cs="宋体"/>
                <w:szCs w:val="21"/>
              </w:rPr>
            </w:pPr>
            <w:r>
              <w:rPr>
                <w:rFonts w:hint="eastAsia" w:ascii="宋体" w:hAnsi="宋体" w:cs="宋体"/>
                <w:szCs w:val="21"/>
              </w:rPr>
              <w:t>（三）起重机械安装和拆卸工程。</w:t>
            </w:r>
          </w:p>
        </w:tc>
        <w:tc>
          <w:tcPr>
            <w:tcW w:w="674" w:type="pct"/>
            <w:tcBorders>
              <w:top w:val="single" w:color="auto" w:sz="4" w:space="0"/>
              <w:left w:val="nil"/>
              <w:bottom w:val="single" w:color="auto" w:sz="4" w:space="0"/>
              <w:right w:val="single" w:color="auto" w:sz="4" w:space="0"/>
            </w:tcBorders>
            <w:vAlign w:val="center"/>
          </w:tcPr>
          <w:p w14:paraId="7A2A90EC">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32D784D6">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2638098E">
            <w:pPr>
              <w:jc w:val="center"/>
              <w:rPr>
                <w:rFonts w:ascii="宋体" w:hAnsi="宋体" w:cs="宋体"/>
                <w:szCs w:val="21"/>
              </w:rPr>
            </w:pPr>
          </w:p>
        </w:tc>
      </w:tr>
      <w:tr w14:paraId="440D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1007188F">
            <w:pPr>
              <w:rPr>
                <w:rFonts w:ascii="宋体" w:hAnsi="宋体" w:cs="宋体"/>
                <w:szCs w:val="21"/>
              </w:rPr>
            </w:pPr>
            <w:r>
              <w:rPr>
                <w:rFonts w:hint="eastAsia" w:ascii="宋体" w:hAnsi="宋体" w:cs="宋体"/>
                <w:b/>
                <w:szCs w:val="21"/>
              </w:rPr>
              <w:t>四、脚手架工程</w:t>
            </w:r>
          </w:p>
        </w:tc>
      </w:tr>
      <w:tr w14:paraId="1507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5807EEA1">
            <w:pPr>
              <w:rPr>
                <w:rFonts w:ascii="宋体" w:hAnsi="宋体" w:cs="宋体"/>
                <w:szCs w:val="21"/>
              </w:rPr>
            </w:pPr>
            <w:r>
              <w:rPr>
                <w:rFonts w:hint="eastAsia" w:ascii="宋体" w:hAnsi="宋体" w:cs="宋体"/>
                <w:szCs w:val="21"/>
              </w:rPr>
              <w:t>（一）搭设高度24m及以上的落地式钢管脚手架工程（包括采光井、电梯井脚手架）。</w:t>
            </w:r>
          </w:p>
        </w:tc>
        <w:tc>
          <w:tcPr>
            <w:tcW w:w="674" w:type="pct"/>
            <w:tcBorders>
              <w:top w:val="single" w:color="auto" w:sz="4" w:space="0"/>
              <w:left w:val="nil"/>
              <w:bottom w:val="single" w:color="auto" w:sz="4" w:space="0"/>
              <w:right w:val="single" w:color="auto" w:sz="4" w:space="0"/>
            </w:tcBorders>
            <w:vAlign w:val="center"/>
          </w:tcPr>
          <w:p w14:paraId="42040E25">
            <w:pPr>
              <w:widowControl/>
              <w:jc w:val="center"/>
              <w:rPr>
                <w:rFonts w:ascii="宋体" w:hAnsi="宋体" w:cs="宋体"/>
                <w:kern w:val="0"/>
                <w:szCs w:val="21"/>
              </w:rPr>
            </w:pPr>
            <w:r>
              <w:rPr>
                <w:rFonts w:hint="eastAsia" w:ascii="宋体" w:hAnsi="宋体" w:cs="宋体"/>
                <w:kern w:val="0"/>
                <w:szCs w:val="21"/>
              </w:rPr>
              <w:t>( √ )</w:t>
            </w:r>
          </w:p>
        </w:tc>
        <w:tc>
          <w:tcPr>
            <w:tcW w:w="752" w:type="pct"/>
            <w:tcBorders>
              <w:top w:val="single" w:color="auto" w:sz="4" w:space="0"/>
              <w:left w:val="nil"/>
              <w:bottom w:val="single" w:color="auto" w:sz="4" w:space="0"/>
              <w:right w:val="single" w:color="auto" w:sz="4" w:space="0"/>
            </w:tcBorders>
            <w:vAlign w:val="center"/>
          </w:tcPr>
          <w:p w14:paraId="79DCB800">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6BB4B8DA">
            <w:pPr>
              <w:jc w:val="center"/>
              <w:rPr>
                <w:rFonts w:ascii="宋体" w:hAnsi="宋体" w:cs="宋体"/>
                <w:szCs w:val="21"/>
              </w:rPr>
            </w:pPr>
          </w:p>
        </w:tc>
      </w:tr>
      <w:tr w14:paraId="0DAA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370988AA">
            <w:pPr>
              <w:rPr>
                <w:rFonts w:ascii="宋体" w:hAnsi="宋体" w:cs="宋体"/>
                <w:szCs w:val="21"/>
              </w:rPr>
            </w:pPr>
            <w:r>
              <w:rPr>
                <w:rFonts w:hint="eastAsia" w:ascii="宋体" w:hAnsi="宋体" w:cs="宋体"/>
                <w:szCs w:val="21"/>
              </w:rPr>
              <w:t>（二）附着式升降脚手架工程。</w:t>
            </w:r>
          </w:p>
        </w:tc>
        <w:tc>
          <w:tcPr>
            <w:tcW w:w="674" w:type="pct"/>
            <w:tcBorders>
              <w:top w:val="single" w:color="auto" w:sz="4" w:space="0"/>
              <w:left w:val="nil"/>
              <w:bottom w:val="single" w:color="auto" w:sz="4" w:space="0"/>
              <w:right w:val="single" w:color="auto" w:sz="4" w:space="0"/>
            </w:tcBorders>
            <w:vAlign w:val="center"/>
          </w:tcPr>
          <w:p w14:paraId="2FB66377">
            <w:pPr>
              <w:widowControl/>
              <w:jc w:val="center"/>
              <w:rPr>
                <w:rFonts w:ascii="宋体" w:hAnsi="宋体" w:cs="宋体"/>
                <w:kern w:val="0"/>
                <w:szCs w:val="21"/>
              </w:rPr>
            </w:pPr>
            <w:r>
              <w:rPr>
                <w:rFonts w:hint="eastAsia" w:ascii="宋体" w:hAnsi="宋体" w:cs="宋体"/>
                <w:kern w:val="0"/>
                <w:szCs w:val="21"/>
              </w:rPr>
              <w:t xml:space="preserve">( </w:t>
            </w:r>
            <w:r>
              <w:rPr>
                <w:rFonts w:hint="eastAsia" w:ascii="宋体" w:hAnsi="宋体" w:cs="宋体"/>
                <w:b/>
                <w:kern w:val="0"/>
                <w:szCs w:val="21"/>
              </w:rPr>
              <w:t xml:space="preserve">  </w:t>
            </w:r>
            <w:r>
              <w:rPr>
                <w:rFonts w:hint="eastAsia" w:ascii="宋体" w:hAnsi="宋体" w:cs="宋体"/>
                <w:kern w:val="0"/>
                <w:szCs w:val="21"/>
              </w:rPr>
              <w:t xml:space="preserve"> )</w:t>
            </w:r>
          </w:p>
        </w:tc>
        <w:tc>
          <w:tcPr>
            <w:tcW w:w="752" w:type="pct"/>
            <w:tcBorders>
              <w:top w:val="single" w:color="auto" w:sz="4" w:space="0"/>
              <w:left w:val="nil"/>
              <w:bottom w:val="single" w:color="auto" w:sz="4" w:space="0"/>
              <w:right w:val="single" w:color="auto" w:sz="4" w:space="0"/>
            </w:tcBorders>
            <w:vAlign w:val="center"/>
          </w:tcPr>
          <w:p w14:paraId="66D1632D">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60E57A76">
            <w:pPr>
              <w:jc w:val="center"/>
              <w:rPr>
                <w:rFonts w:ascii="宋体" w:hAnsi="宋体" w:cs="宋体"/>
                <w:szCs w:val="21"/>
              </w:rPr>
            </w:pPr>
          </w:p>
        </w:tc>
      </w:tr>
      <w:tr w14:paraId="5F0C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79934AFF">
            <w:pPr>
              <w:rPr>
                <w:rFonts w:ascii="宋体" w:hAnsi="宋体" w:cs="宋体"/>
                <w:szCs w:val="21"/>
              </w:rPr>
            </w:pPr>
            <w:r>
              <w:rPr>
                <w:rFonts w:hint="eastAsia" w:ascii="宋体" w:hAnsi="宋体" w:cs="宋体"/>
                <w:szCs w:val="21"/>
              </w:rPr>
              <w:t>（三）悬挑式脚手架工程。</w:t>
            </w:r>
          </w:p>
        </w:tc>
        <w:tc>
          <w:tcPr>
            <w:tcW w:w="674" w:type="pct"/>
            <w:tcBorders>
              <w:top w:val="single" w:color="auto" w:sz="4" w:space="0"/>
              <w:left w:val="nil"/>
              <w:bottom w:val="single" w:color="auto" w:sz="4" w:space="0"/>
              <w:right w:val="single" w:color="auto" w:sz="4" w:space="0"/>
            </w:tcBorders>
            <w:vAlign w:val="center"/>
          </w:tcPr>
          <w:p w14:paraId="520AA35E">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7A953D0E">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1B0E4DA4">
            <w:pPr>
              <w:jc w:val="center"/>
              <w:rPr>
                <w:rFonts w:ascii="宋体" w:hAnsi="宋体" w:cs="宋体"/>
                <w:szCs w:val="21"/>
              </w:rPr>
            </w:pPr>
          </w:p>
        </w:tc>
      </w:tr>
      <w:tr w14:paraId="6891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18ADEAE5">
            <w:pPr>
              <w:rPr>
                <w:rFonts w:ascii="宋体" w:hAnsi="宋体" w:cs="宋体"/>
                <w:szCs w:val="21"/>
              </w:rPr>
            </w:pPr>
            <w:r>
              <w:rPr>
                <w:rFonts w:hint="eastAsia" w:ascii="宋体" w:hAnsi="宋体" w:cs="宋体"/>
                <w:szCs w:val="21"/>
              </w:rPr>
              <w:t>（四）高处作业吊篮。</w:t>
            </w:r>
          </w:p>
        </w:tc>
        <w:tc>
          <w:tcPr>
            <w:tcW w:w="674" w:type="pct"/>
            <w:tcBorders>
              <w:top w:val="single" w:color="auto" w:sz="4" w:space="0"/>
              <w:left w:val="nil"/>
              <w:bottom w:val="single" w:color="auto" w:sz="4" w:space="0"/>
              <w:right w:val="single" w:color="auto" w:sz="4" w:space="0"/>
            </w:tcBorders>
          </w:tcPr>
          <w:p w14:paraId="4EBEF5B8">
            <w:pPr>
              <w:widowControl/>
              <w:jc w:val="center"/>
              <w:rPr>
                <w:rFonts w:ascii="宋体" w:hAnsi="宋体" w:cs="宋体"/>
                <w:kern w:val="0"/>
                <w:szCs w:val="21"/>
              </w:rPr>
            </w:pPr>
            <w:r>
              <w:rPr>
                <w:rFonts w:hint="eastAsia" w:ascii="宋体" w:hAnsi="宋体" w:cs="宋体"/>
                <w:szCs w:val="21"/>
              </w:rPr>
              <w:t>(    )</w:t>
            </w:r>
          </w:p>
        </w:tc>
        <w:tc>
          <w:tcPr>
            <w:tcW w:w="752" w:type="pct"/>
            <w:tcBorders>
              <w:top w:val="single" w:color="auto" w:sz="4" w:space="0"/>
              <w:left w:val="nil"/>
              <w:bottom w:val="single" w:color="auto" w:sz="4" w:space="0"/>
              <w:right w:val="single" w:color="auto" w:sz="4" w:space="0"/>
            </w:tcBorders>
            <w:vAlign w:val="center"/>
          </w:tcPr>
          <w:p w14:paraId="2B5006B3">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1106CB6F">
            <w:pPr>
              <w:jc w:val="center"/>
              <w:rPr>
                <w:rFonts w:ascii="宋体" w:hAnsi="宋体" w:cs="宋体"/>
                <w:szCs w:val="21"/>
              </w:rPr>
            </w:pPr>
          </w:p>
        </w:tc>
      </w:tr>
      <w:tr w14:paraId="6506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7CC09206">
            <w:pPr>
              <w:rPr>
                <w:rFonts w:ascii="宋体" w:hAnsi="宋体" w:cs="宋体"/>
                <w:szCs w:val="21"/>
              </w:rPr>
            </w:pPr>
            <w:r>
              <w:rPr>
                <w:rFonts w:hint="eastAsia" w:ascii="宋体" w:hAnsi="宋体" w:cs="宋体"/>
                <w:szCs w:val="21"/>
              </w:rPr>
              <w:t>（五）卸料平台、操作平台工程。</w:t>
            </w:r>
          </w:p>
        </w:tc>
        <w:tc>
          <w:tcPr>
            <w:tcW w:w="674" w:type="pct"/>
            <w:tcBorders>
              <w:top w:val="single" w:color="auto" w:sz="4" w:space="0"/>
              <w:left w:val="nil"/>
              <w:bottom w:val="single" w:color="auto" w:sz="4" w:space="0"/>
              <w:right w:val="single" w:color="auto" w:sz="4" w:space="0"/>
            </w:tcBorders>
          </w:tcPr>
          <w:p w14:paraId="2F3A9FAB">
            <w:pPr>
              <w:widowControl/>
              <w:jc w:val="center"/>
              <w:rPr>
                <w:rFonts w:ascii="宋体" w:hAnsi="宋体" w:cs="宋体"/>
                <w:kern w:val="0"/>
                <w:szCs w:val="21"/>
              </w:rPr>
            </w:pPr>
            <w:r>
              <w:rPr>
                <w:rFonts w:hint="eastAsia" w:ascii="宋体" w:hAnsi="宋体" w:cs="宋体"/>
                <w:kern w:val="0"/>
                <w:szCs w:val="21"/>
              </w:rPr>
              <w:t xml:space="preserve">( </w:t>
            </w:r>
            <w:r>
              <w:rPr>
                <w:rFonts w:hint="eastAsia" w:ascii="宋体" w:hAnsi="宋体" w:cs="宋体"/>
                <w:b/>
                <w:kern w:val="0"/>
                <w:szCs w:val="21"/>
              </w:rPr>
              <w:t xml:space="preserve">  </w:t>
            </w:r>
            <w:r>
              <w:rPr>
                <w:rFonts w:hint="eastAsia" w:ascii="宋体" w:hAnsi="宋体" w:cs="宋体"/>
                <w:kern w:val="0"/>
                <w:szCs w:val="21"/>
              </w:rPr>
              <w:t xml:space="preserve"> )</w:t>
            </w:r>
          </w:p>
        </w:tc>
        <w:tc>
          <w:tcPr>
            <w:tcW w:w="752" w:type="pct"/>
            <w:tcBorders>
              <w:top w:val="single" w:color="auto" w:sz="4" w:space="0"/>
              <w:left w:val="nil"/>
              <w:bottom w:val="single" w:color="auto" w:sz="4" w:space="0"/>
              <w:right w:val="single" w:color="auto" w:sz="4" w:space="0"/>
            </w:tcBorders>
            <w:vAlign w:val="center"/>
          </w:tcPr>
          <w:p w14:paraId="3AA74A54">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2C54BCB7">
            <w:pPr>
              <w:jc w:val="center"/>
              <w:rPr>
                <w:rFonts w:ascii="宋体" w:hAnsi="宋体" w:cs="宋体"/>
                <w:szCs w:val="21"/>
              </w:rPr>
            </w:pPr>
          </w:p>
        </w:tc>
      </w:tr>
      <w:tr w14:paraId="6015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100C8F5F">
            <w:pPr>
              <w:rPr>
                <w:rFonts w:ascii="宋体" w:hAnsi="宋体" w:cs="宋体"/>
                <w:szCs w:val="21"/>
              </w:rPr>
            </w:pPr>
            <w:r>
              <w:rPr>
                <w:rFonts w:hint="eastAsia" w:ascii="宋体" w:hAnsi="宋体" w:cs="宋体"/>
                <w:szCs w:val="21"/>
              </w:rPr>
              <w:t>（六）异型脚手架工程。</w:t>
            </w:r>
          </w:p>
        </w:tc>
        <w:tc>
          <w:tcPr>
            <w:tcW w:w="674" w:type="pct"/>
            <w:tcBorders>
              <w:top w:val="single" w:color="auto" w:sz="4" w:space="0"/>
              <w:left w:val="nil"/>
              <w:bottom w:val="single" w:color="auto" w:sz="4" w:space="0"/>
              <w:right w:val="single" w:color="auto" w:sz="4" w:space="0"/>
            </w:tcBorders>
          </w:tcPr>
          <w:p w14:paraId="17AE4D6F">
            <w:pPr>
              <w:widowControl/>
              <w:jc w:val="center"/>
              <w:rPr>
                <w:rFonts w:ascii="宋体" w:hAnsi="宋体" w:cs="宋体"/>
                <w:kern w:val="0"/>
                <w:szCs w:val="21"/>
              </w:rPr>
            </w:pPr>
            <w:r>
              <w:rPr>
                <w:rFonts w:hint="eastAsia" w:ascii="宋体" w:hAnsi="宋体" w:cs="宋体"/>
                <w:szCs w:val="21"/>
              </w:rPr>
              <w:t>(    )</w:t>
            </w:r>
          </w:p>
        </w:tc>
        <w:tc>
          <w:tcPr>
            <w:tcW w:w="752" w:type="pct"/>
            <w:tcBorders>
              <w:top w:val="single" w:color="auto" w:sz="4" w:space="0"/>
              <w:left w:val="nil"/>
              <w:bottom w:val="single" w:color="auto" w:sz="4" w:space="0"/>
              <w:right w:val="single" w:color="auto" w:sz="4" w:space="0"/>
            </w:tcBorders>
            <w:vAlign w:val="center"/>
          </w:tcPr>
          <w:p w14:paraId="0B2564A1">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6598AFE6">
            <w:pPr>
              <w:jc w:val="center"/>
              <w:rPr>
                <w:rFonts w:ascii="宋体" w:hAnsi="宋体" w:cs="宋体"/>
                <w:szCs w:val="21"/>
              </w:rPr>
            </w:pPr>
          </w:p>
        </w:tc>
      </w:tr>
      <w:tr w14:paraId="599E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4FA3F164">
            <w:pPr>
              <w:rPr>
                <w:rFonts w:ascii="宋体" w:hAnsi="宋体" w:cs="宋体"/>
                <w:szCs w:val="21"/>
              </w:rPr>
            </w:pPr>
            <w:r>
              <w:rPr>
                <w:rFonts w:hint="eastAsia" w:ascii="宋体" w:hAnsi="宋体" w:cs="宋体"/>
                <w:b/>
                <w:szCs w:val="21"/>
              </w:rPr>
              <w:t>五、拆除工程</w:t>
            </w:r>
          </w:p>
        </w:tc>
      </w:tr>
      <w:tr w14:paraId="2596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34CF51C5">
            <w:pPr>
              <w:rPr>
                <w:rFonts w:ascii="宋体" w:hAnsi="宋体" w:cs="宋体"/>
                <w:szCs w:val="21"/>
              </w:rPr>
            </w:pPr>
            <w:r>
              <w:rPr>
                <w:rFonts w:hint="eastAsia" w:ascii="宋体" w:hAnsi="宋体" w:cs="宋体"/>
                <w:szCs w:val="21"/>
              </w:rPr>
              <w:t>可能影响行人、交通、电力设施、通讯设施或其它建、构筑物安全的拆除工程。</w:t>
            </w:r>
          </w:p>
        </w:tc>
        <w:tc>
          <w:tcPr>
            <w:tcW w:w="674" w:type="pct"/>
            <w:tcBorders>
              <w:top w:val="single" w:color="auto" w:sz="4" w:space="0"/>
              <w:left w:val="nil"/>
              <w:bottom w:val="single" w:color="auto" w:sz="4" w:space="0"/>
              <w:right w:val="single" w:color="auto" w:sz="4" w:space="0"/>
            </w:tcBorders>
            <w:vAlign w:val="center"/>
          </w:tcPr>
          <w:p w14:paraId="4DB9ECA7">
            <w:pPr>
              <w:widowControl/>
              <w:jc w:val="center"/>
              <w:rPr>
                <w:rFonts w:ascii="宋体" w:hAnsi="宋体" w:cs="宋体"/>
                <w:kern w:val="0"/>
                <w:szCs w:val="21"/>
              </w:rPr>
            </w:pPr>
            <w:r>
              <w:rPr>
                <w:rFonts w:hint="eastAsia" w:ascii="宋体" w:hAnsi="宋体" w:cs="宋体"/>
                <w:kern w:val="0"/>
                <w:szCs w:val="21"/>
              </w:rPr>
              <w:t xml:space="preserve">( </w:t>
            </w:r>
            <w:r>
              <w:rPr>
                <w:rFonts w:hint="eastAsia" w:ascii="宋体" w:hAnsi="宋体" w:cs="宋体"/>
                <w:b/>
                <w:kern w:val="0"/>
                <w:szCs w:val="21"/>
              </w:rPr>
              <w:t xml:space="preserve">  </w:t>
            </w:r>
            <w:r>
              <w:rPr>
                <w:rFonts w:hint="eastAsia" w:ascii="宋体" w:hAnsi="宋体" w:cs="宋体"/>
                <w:kern w:val="0"/>
                <w:szCs w:val="21"/>
              </w:rPr>
              <w:t xml:space="preserve"> )</w:t>
            </w:r>
          </w:p>
        </w:tc>
        <w:tc>
          <w:tcPr>
            <w:tcW w:w="752" w:type="pct"/>
            <w:tcBorders>
              <w:top w:val="single" w:color="auto" w:sz="4" w:space="0"/>
              <w:left w:val="nil"/>
              <w:bottom w:val="single" w:color="auto" w:sz="4" w:space="0"/>
              <w:right w:val="single" w:color="auto" w:sz="4" w:space="0"/>
            </w:tcBorders>
            <w:vAlign w:val="center"/>
          </w:tcPr>
          <w:p w14:paraId="490FEB01">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4465FC22">
            <w:pPr>
              <w:jc w:val="center"/>
              <w:rPr>
                <w:rFonts w:ascii="宋体" w:hAnsi="宋体" w:cs="宋体"/>
                <w:szCs w:val="21"/>
              </w:rPr>
            </w:pPr>
          </w:p>
        </w:tc>
      </w:tr>
      <w:tr w14:paraId="255C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5DFDAC4C">
            <w:pPr>
              <w:rPr>
                <w:rFonts w:ascii="宋体" w:hAnsi="宋体" w:cs="宋体"/>
                <w:szCs w:val="21"/>
              </w:rPr>
            </w:pPr>
            <w:r>
              <w:rPr>
                <w:rFonts w:hint="eastAsia" w:ascii="宋体" w:hAnsi="宋体" w:cs="宋体"/>
                <w:b/>
                <w:szCs w:val="21"/>
              </w:rPr>
              <w:t>六、暗挖工程</w:t>
            </w:r>
          </w:p>
        </w:tc>
      </w:tr>
      <w:tr w14:paraId="093D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69373567">
            <w:pPr>
              <w:rPr>
                <w:rFonts w:ascii="宋体" w:hAnsi="宋体" w:cs="宋体"/>
                <w:szCs w:val="21"/>
              </w:rPr>
            </w:pPr>
            <w:r>
              <w:rPr>
                <w:rFonts w:hint="eastAsia" w:ascii="宋体" w:hAnsi="宋体" w:cs="宋体"/>
                <w:szCs w:val="21"/>
              </w:rPr>
              <w:t>采用矿山法、盾构法、顶管法施工的隧道、洞室工程。</w:t>
            </w:r>
          </w:p>
        </w:tc>
        <w:tc>
          <w:tcPr>
            <w:tcW w:w="674" w:type="pct"/>
            <w:tcBorders>
              <w:top w:val="single" w:color="auto" w:sz="4" w:space="0"/>
              <w:left w:val="nil"/>
              <w:bottom w:val="single" w:color="auto" w:sz="4" w:space="0"/>
              <w:right w:val="single" w:color="auto" w:sz="4" w:space="0"/>
            </w:tcBorders>
            <w:vAlign w:val="center"/>
          </w:tcPr>
          <w:p w14:paraId="73A459A1">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68E17F14">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7DEFA654">
            <w:pPr>
              <w:jc w:val="center"/>
              <w:rPr>
                <w:rFonts w:ascii="宋体" w:hAnsi="宋体" w:cs="宋体"/>
                <w:szCs w:val="21"/>
              </w:rPr>
            </w:pPr>
          </w:p>
        </w:tc>
      </w:tr>
      <w:tr w14:paraId="2ACA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1084FAEA">
            <w:pPr>
              <w:rPr>
                <w:rFonts w:ascii="宋体" w:hAnsi="宋体" w:cs="宋体"/>
                <w:szCs w:val="21"/>
              </w:rPr>
            </w:pPr>
            <w:r>
              <w:rPr>
                <w:rFonts w:hint="eastAsia" w:ascii="宋体" w:hAnsi="宋体" w:cs="宋体"/>
                <w:b/>
                <w:szCs w:val="21"/>
              </w:rPr>
              <w:t>七、其它</w:t>
            </w:r>
          </w:p>
        </w:tc>
      </w:tr>
      <w:tr w14:paraId="3EE9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5F2FC661">
            <w:pPr>
              <w:rPr>
                <w:rFonts w:ascii="宋体" w:hAnsi="宋体" w:cs="宋体"/>
                <w:szCs w:val="21"/>
              </w:rPr>
            </w:pPr>
            <w:r>
              <w:rPr>
                <w:rFonts w:hint="eastAsia" w:ascii="宋体" w:hAnsi="宋体" w:cs="宋体"/>
                <w:szCs w:val="21"/>
              </w:rPr>
              <w:t>（一）建筑幕墙安装工程。</w:t>
            </w:r>
          </w:p>
        </w:tc>
        <w:tc>
          <w:tcPr>
            <w:tcW w:w="674" w:type="pct"/>
            <w:tcBorders>
              <w:top w:val="single" w:color="auto" w:sz="4" w:space="0"/>
              <w:left w:val="nil"/>
              <w:bottom w:val="single" w:color="auto" w:sz="4" w:space="0"/>
              <w:right w:val="single" w:color="auto" w:sz="4" w:space="0"/>
            </w:tcBorders>
          </w:tcPr>
          <w:p w14:paraId="59F9B22A">
            <w:pPr>
              <w:widowControl/>
              <w:jc w:val="center"/>
              <w:rPr>
                <w:rFonts w:ascii="宋体" w:hAnsi="宋体" w:cs="宋体"/>
                <w:kern w:val="0"/>
                <w:szCs w:val="21"/>
              </w:rPr>
            </w:pPr>
            <w:r>
              <w:rPr>
                <w:rFonts w:hint="eastAsia" w:ascii="宋体" w:hAnsi="宋体" w:cs="宋体"/>
                <w:szCs w:val="21"/>
              </w:rPr>
              <w:t>(    )</w:t>
            </w:r>
          </w:p>
        </w:tc>
        <w:tc>
          <w:tcPr>
            <w:tcW w:w="752" w:type="pct"/>
            <w:tcBorders>
              <w:top w:val="single" w:color="auto" w:sz="4" w:space="0"/>
              <w:left w:val="nil"/>
              <w:bottom w:val="single" w:color="auto" w:sz="4" w:space="0"/>
              <w:right w:val="single" w:color="auto" w:sz="4" w:space="0"/>
            </w:tcBorders>
            <w:vAlign w:val="center"/>
          </w:tcPr>
          <w:p w14:paraId="7538520D">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05C09A68">
            <w:pPr>
              <w:jc w:val="center"/>
              <w:rPr>
                <w:rFonts w:ascii="宋体" w:hAnsi="宋体" w:cs="宋体"/>
                <w:szCs w:val="21"/>
              </w:rPr>
            </w:pPr>
          </w:p>
        </w:tc>
      </w:tr>
      <w:tr w14:paraId="60AB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3BA7B9B8">
            <w:pPr>
              <w:rPr>
                <w:rFonts w:ascii="宋体" w:hAnsi="宋体" w:cs="宋体"/>
                <w:szCs w:val="21"/>
              </w:rPr>
            </w:pPr>
            <w:r>
              <w:rPr>
                <w:rFonts w:hint="eastAsia" w:ascii="宋体" w:hAnsi="宋体" w:cs="宋体"/>
                <w:szCs w:val="21"/>
              </w:rPr>
              <w:t>（二）钢结构、网架和索膜结构安装工程。</w:t>
            </w:r>
          </w:p>
        </w:tc>
        <w:tc>
          <w:tcPr>
            <w:tcW w:w="674" w:type="pct"/>
            <w:tcBorders>
              <w:top w:val="single" w:color="auto" w:sz="4" w:space="0"/>
              <w:left w:val="nil"/>
              <w:bottom w:val="single" w:color="auto" w:sz="4" w:space="0"/>
              <w:right w:val="single" w:color="auto" w:sz="4" w:space="0"/>
            </w:tcBorders>
          </w:tcPr>
          <w:p w14:paraId="315E0A19">
            <w:pPr>
              <w:widowControl/>
              <w:jc w:val="center"/>
              <w:rPr>
                <w:rFonts w:ascii="宋体" w:hAnsi="宋体" w:cs="宋体"/>
                <w:kern w:val="0"/>
                <w:szCs w:val="21"/>
              </w:rPr>
            </w:pPr>
            <w:r>
              <w:rPr>
                <w:rFonts w:hint="eastAsia" w:ascii="宋体" w:hAnsi="宋体" w:cs="宋体"/>
                <w:szCs w:val="21"/>
              </w:rPr>
              <w:t>(    )</w:t>
            </w:r>
          </w:p>
        </w:tc>
        <w:tc>
          <w:tcPr>
            <w:tcW w:w="752" w:type="pct"/>
            <w:tcBorders>
              <w:top w:val="single" w:color="auto" w:sz="4" w:space="0"/>
              <w:left w:val="nil"/>
              <w:bottom w:val="single" w:color="auto" w:sz="4" w:space="0"/>
              <w:right w:val="single" w:color="auto" w:sz="4" w:space="0"/>
            </w:tcBorders>
            <w:vAlign w:val="center"/>
          </w:tcPr>
          <w:p w14:paraId="65F8F761">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465D29E8">
            <w:pPr>
              <w:jc w:val="center"/>
              <w:rPr>
                <w:rFonts w:ascii="宋体" w:hAnsi="宋体" w:cs="宋体"/>
                <w:szCs w:val="21"/>
              </w:rPr>
            </w:pPr>
          </w:p>
        </w:tc>
      </w:tr>
      <w:tr w14:paraId="63FF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0DCD0975">
            <w:pPr>
              <w:rPr>
                <w:rFonts w:ascii="宋体" w:hAnsi="宋体" w:cs="宋体"/>
                <w:szCs w:val="21"/>
              </w:rPr>
            </w:pPr>
            <w:r>
              <w:rPr>
                <w:rFonts w:hint="eastAsia" w:ascii="宋体" w:hAnsi="宋体" w:cs="宋体"/>
                <w:szCs w:val="21"/>
              </w:rPr>
              <w:t>（三）人工挖孔桩工程。</w:t>
            </w:r>
          </w:p>
        </w:tc>
        <w:tc>
          <w:tcPr>
            <w:tcW w:w="674" w:type="pct"/>
            <w:tcBorders>
              <w:top w:val="single" w:color="auto" w:sz="4" w:space="0"/>
              <w:left w:val="nil"/>
              <w:bottom w:val="single" w:color="auto" w:sz="4" w:space="0"/>
              <w:right w:val="single" w:color="auto" w:sz="4" w:space="0"/>
            </w:tcBorders>
            <w:vAlign w:val="center"/>
          </w:tcPr>
          <w:p w14:paraId="788B7298">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11E3C19C">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1226FCE2">
            <w:pPr>
              <w:jc w:val="center"/>
              <w:rPr>
                <w:rFonts w:ascii="宋体" w:hAnsi="宋体" w:cs="宋体"/>
                <w:szCs w:val="21"/>
              </w:rPr>
            </w:pPr>
          </w:p>
        </w:tc>
      </w:tr>
      <w:tr w14:paraId="41B0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0B89D0E1">
            <w:pPr>
              <w:rPr>
                <w:rFonts w:ascii="宋体" w:hAnsi="宋体" w:cs="宋体"/>
                <w:szCs w:val="21"/>
              </w:rPr>
            </w:pPr>
            <w:r>
              <w:rPr>
                <w:rFonts w:hint="eastAsia" w:ascii="宋体" w:hAnsi="宋体" w:cs="宋体"/>
                <w:szCs w:val="21"/>
              </w:rPr>
              <w:t>（四）水下作业工程。</w:t>
            </w:r>
          </w:p>
        </w:tc>
        <w:tc>
          <w:tcPr>
            <w:tcW w:w="674" w:type="pct"/>
            <w:tcBorders>
              <w:top w:val="single" w:color="auto" w:sz="4" w:space="0"/>
              <w:left w:val="nil"/>
              <w:bottom w:val="single" w:color="auto" w:sz="4" w:space="0"/>
              <w:right w:val="single" w:color="auto" w:sz="4" w:space="0"/>
            </w:tcBorders>
            <w:vAlign w:val="center"/>
          </w:tcPr>
          <w:p w14:paraId="42E87EC8">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3B973FD6">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1711A325">
            <w:pPr>
              <w:jc w:val="center"/>
              <w:rPr>
                <w:rFonts w:ascii="宋体" w:hAnsi="宋体" w:cs="宋体"/>
                <w:szCs w:val="21"/>
              </w:rPr>
            </w:pPr>
          </w:p>
        </w:tc>
      </w:tr>
      <w:tr w14:paraId="2B49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14A06905">
            <w:pPr>
              <w:rPr>
                <w:rFonts w:ascii="宋体" w:hAnsi="宋体" w:cs="宋体"/>
                <w:szCs w:val="21"/>
              </w:rPr>
            </w:pPr>
            <w:r>
              <w:rPr>
                <w:rFonts w:hint="eastAsia" w:ascii="宋体" w:hAnsi="宋体" w:cs="宋体"/>
                <w:szCs w:val="21"/>
              </w:rPr>
              <w:t>（五）装配式建筑混凝土预制构件安装工程。</w:t>
            </w:r>
          </w:p>
        </w:tc>
        <w:tc>
          <w:tcPr>
            <w:tcW w:w="674" w:type="pct"/>
            <w:tcBorders>
              <w:top w:val="single" w:color="auto" w:sz="4" w:space="0"/>
              <w:left w:val="nil"/>
              <w:bottom w:val="single" w:color="auto" w:sz="4" w:space="0"/>
              <w:right w:val="single" w:color="auto" w:sz="4" w:space="0"/>
            </w:tcBorders>
            <w:vAlign w:val="center"/>
          </w:tcPr>
          <w:p w14:paraId="775FDEA9">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56BAF247">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3F9C3F90">
            <w:pPr>
              <w:jc w:val="center"/>
              <w:rPr>
                <w:rFonts w:ascii="宋体" w:hAnsi="宋体" w:cs="宋体"/>
                <w:szCs w:val="21"/>
              </w:rPr>
            </w:pPr>
          </w:p>
        </w:tc>
      </w:tr>
      <w:tr w14:paraId="0F7E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416546CB">
            <w:pPr>
              <w:rPr>
                <w:rFonts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674" w:type="pct"/>
            <w:tcBorders>
              <w:top w:val="single" w:color="auto" w:sz="4" w:space="0"/>
              <w:left w:val="nil"/>
              <w:bottom w:val="single" w:color="auto" w:sz="4" w:space="0"/>
              <w:right w:val="single" w:color="auto" w:sz="4" w:space="0"/>
            </w:tcBorders>
            <w:vAlign w:val="center"/>
          </w:tcPr>
          <w:p w14:paraId="3A3D1F89">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7EBE4BC0">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00FF348C">
            <w:pPr>
              <w:jc w:val="center"/>
              <w:rPr>
                <w:rFonts w:ascii="宋体" w:hAnsi="宋体" w:cs="宋体"/>
                <w:szCs w:val="21"/>
              </w:rPr>
            </w:pPr>
          </w:p>
        </w:tc>
      </w:tr>
      <w:tr w14:paraId="55C3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shd w:val="clear" w:color="auto" w:fill="D9D9D9"/>
            <w:vAlign w:val="center"/>
          </w:tcPr>
          <w:p w14:paraId="56DAD864">
            <w:pPr>
              <w:jc w:val="center"/>
              <w:rPr>
                <w:rFonts w:ascii="宋体" w:hAnsi="宋体" w:cs="宋体"/>
                <w:b/>
                <w:szCs w:val="21"/>
              </w:rPr>
            </w:pPr>
            <w:r>
              <w:rPr>
                <w:rFonts w:hint="eastAsia" w:ascii="宋体" w:hAnsi="宋体" w:cs="宋体"/>
                <w:b/>
                <w:szCs w:val="21"/>
              </w:rPr>
              <w:t>超过一定规模的危险性较大的分部分项工程清单</w:t>
            </w:r>
          </w:p>
        </w:tc>
        <w:tc>
          <w:tcPr>
            <w:tcW w:w="674" w:type="pct"/>
            <w:tcBorders>
              <w:top w:val="single" w:color="auto" w:sz="4" w:space="0"/>
              <w:left w:val="nil"/>
              <w:bottom w:val="single" w:color="auto" w:sz="4" w:space="0"/>
              <w:right w:val="single" w:color="auto" w:sz="4" w:space="0"/>
            </w:tcBorders>
            <w:shd w:val="clear" w:color="auto" w:fill="D9D9D9"/>
            <w:vAlign w:val="center"/>
          </w:tcPr>
          <w:p w14:paraId="75B9708E">
            <w:pPr>
              <w:jc w:val="center"/>
              <w:rPr>
                <w:rFonts w:ascii="宋体" w:hAnsi="宋体" w:cs="宋体"/>
                <w:b/>
                <w:szCs w:val="21"/>
              </w:rPr>
            </w:pPr>
            <w:r>
              <w:rPr>
                <w:rFonts w:hint="eastAsia" w:ascii="宋体" w:hAnsi="宋体" w:cs="宋体"/>
                <w:b/>
                <w:szCs w:val="21"/>
              </w:rPr>
              <w:t>招标人</w:t>
            </w:r>
          </w:p>
        </w:tc>
        <w:tc>
          <w:tcPr>
            <w:tcW w:w="752" w:type="pct"/>
            <w:tcBorders>
              <w:top w:val="single" w:color="auto" w:sz="4" w:space="0"/>
              <w:left w:val="nil"/>
              <w:bottom w:val="single" w:color="auto" w:sz="4" w:space="0"/>
              <w:right w:val="single" w:color="auto" w:sz="4" w:space="0"/>
            </w:tcBorders>
            <w:shd w:val="clear" w:color="auto" w:fill="D9D9D9"/>
            <w:vAlign w:val="center"/>
          </w:tcPr>
          <w:p w14:paraId="44FFBEFA">
            <w:pPr>
              <w:jc w:val="center"/>
              <w:rPr>
                <w:rFonts w:ascii="宋体" w:hAnsi="宋体" w:cs="宋体"/>
                <w:b/>
                <w:szCs w:val="21"/>
              </w:rPr>
            </w:pPr>
            <w:r>
              <w:rPr>
                <w:rFonts w:hint="eastAsia" w:ascii="宋体" w:hAnsi="宋体" w:cs="宋体"/>
                <w:b/>
                <w:szCs w:val="21"/>
              </w:rPr>
              <w:t>投标单位</w:t>
            </w:r>
          </w:p>
        </w:tc>
        <w:tc>
          <w:tcPr>
            <w:tcW w:w="447" w:type="pct"/>
            <w:gridSpan w:val="2"/>
            <w:tcBorders>
              <w:top w:val="single" w:color="auto" w:sz="4" w:space="0"/>
              <w:left w:val="nil"/>
              <w:bottom w:val="single" w:color="auto" w:sz="4" w:space="0"/>
              <w:right w:val="single" w:color="auto" w:sz="4" w:space="0"/>
            </w:tcBorders>
            <w:shd w:val="clear" w:color="auto" w:fill="D9D9D9"/>
            <w:vAlign w:val="center"/>
          </w:tcPr>
          <w:p w14:paraId="1F4B1E6D">
            <w:pPr>
              <w:jc w:val="center"/>
              <w:rPr>
                <w:rFonts w:ascii="宋体" w:hAnsi="宋体" w:cs="宋体"/>
                <w:b/>
                <w:szCs w:val="21"/>
              </w:rPr>
            </w:pPr>
            <w:r>
              <w:rPr>
                <w:rFonts w:hint="eastAsia" w:ascii="宋体" w:hAnsi="宋体" w:cs="宋体"/>
                <w:b/>
                <w:szCs w:val="21"/>
              </w:rPr>
              <w:t>备注</w:t>
            </w:r>
          </w:p>
        </w:tc>
      </w:tr>
      <w:tr w14:paraId="4FD8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13902BD3">
            <w:pPr>
              <w:rPr>
                <w:rFonts w:ascii="宋体" w:hAnsi="宋体" w:cs="宋体"/>
                <w:b/>
                <w:szCs w:val="21"/>
              </w:rPr>
            </w:pPr>
            <w:r>
              <w:rPr>
                <w:rFonts w:hint="eastAsia" w:ascii="宋体" w:hAnsi="宋体" w:cs="宋体"/>
                <w:b/>
                <w:szCs w:val="21"/>
              </w:rPr>
              <w:t>一、深基坑工程</w:t>
            </w:r>
          </w:p>
        </w:tc>
      </w:tr>
      <w:tr w14:paraId="7A28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44787B7C">
            <w:pPr>
              <w:rPr>
                <w:rFonts w:ascii="宋体" w:hAnsi="宋体" w:cs="宋体"/>
                <w:szCs w:val="21"/>
              </w:rPr>
            </w:pPr>
            <w:r>
              <w:rPr>
                <w:rFonts w:hint="eastAsia" w:ascii="宋体" w:hAnsi="宋体" w:cs="宋体"/>
                <w:szCs w:val="21"/>
              </w:rPr>
              <w:t>开挖深度超过5m（含5m）的基坑（槽）的土方开挖、支护、降水工程。</w:t>
            </w:r>
          </w:p>
        </w:tc>
        <w:tc>
          <w:tcPr>
            <w:tcW w:w="674" w:type="pct"/>
            <w:tcBorders>
              <w:top w:val="single" w:color="auto" w:sz="4" w:space="0"/>
              <w:left w:val="nil"/>
              <w:bottom w:val="single" w:color="auto" w:sz="4" w:space="0"/>
              <w:right w:val="single" w:color="auto" w:sz="4" w:space="0"/>
            </w:tcBorders>
            <w:vAlign w:val="center"/>
          </w:tcPr>
          <w:p w14:paraId="6079FA01">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23F47799">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0483885D">
            <w:pPr>
              <w:jc w:val="center"/>
              <w:rPr>
                <w:rFonts w:ascii="宋体" w:hAnsi="宋体" w:cs="宋体"/>
                <w:szCs w:val="21"/>
              </w:rPr>
            </w:pPr>
          </w:p>
        </w:tc>
      </w:tr>
      <w:tr w14:paraId="52DE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6F345ABB">
            <w:pPr>
              <w:rPr>
                <w:rFonts w:ascii="宋体" w:hAnsi="宋体" w:cs="宋体"/>
                <w:szCs w:val="21"/>
              </w:rPr>
            </w:pPr>
            <w:r>
              <w:rPr>
                <w:rFonts w:hint="eastAsia" w:ascii="宋体" w:hAnsi="宋体" w:cs="宋体"/>
                <w:b/>
                <w:szCs w:val="21"/>
              </w:rPr>
              <w:t>二、模板工程及支撑体系</w:t>
            </w:r>
          </w:p>
        </w:tc>
      </w:tr>
      <w:tr w14:paraId="04D5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693686D7">
            <w:pPr>
              <w:rPr>
                <w:rFonts w:ascii="宋体" w:hAnsi="宋体" w:cs="宋体"/>
                <w:szCs w:val="21"/>
              </w:rPr>
            </w:pPr>
            <w:r>
              <w:rPr>
                <w:rFonts w:hint="eastAsia" w:ascii="宋体" w:hAnsi="宋体" w:cs="宋体"/>
                <w:szCs w:val="21"/>
              </w:rPr>
              <w:t>（一）各类工具式模板工程：包括滑模、爬模、飞模、隧道模等工程。</w:t>
            </w:r>
          </w:p>
        </w:tc>
        <w:tc>
          <w:tcPr>
            <w:tcW w:w="674" w:type="pct"/>
            <w:tcBorders>
              <w:top w:val="single" w:color="auto" w:sz="4" w:space="0"/>
              <w:left w:val="nil"/>
              <w:bottom w:val="single" w:color="auto" w:sz="4" w:space="0"/>
              <w:right w:val="single" w:color="auto" w:sz="4" w:space="0"/>
            </w:tcBorders>
            <w:vAlign w:val="center"/>
          </w:tcPr>
          <w:p w14:paraId="3646B0BD">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7E56F2C5">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7127B0FE">
            <w:pPr>
              <w:jc w:val="center"/>
              <w:rPr>
                <w:rFonts w:ascii="宋体" w:hAnsi="宋体" w:cs="宋体"/>
                <w:szCs w:val="21"/>
              </w:rPr>
            </w:pPr>
          </w:p>
        </w:tc>
      </w:tr>
      <w:tr w14:paraId="01AC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22FBF2D2">
            <w:pPr>
              <w:rPr>
                <w:rFonts w:ascii="宋体" w:hAnsi="宋体" w:cs="宋体"/>
                <w:szCs w:val="21"/>
              </w:rPr>
            </w:pPr>
            <w:r>
              <w:rPr>
                <w:rFonts w:hint="eastAsia" w:ascii="宋体" w:hAnsi="宋体" w:cs="宋体"/>
                <w:szCs w:val="21"/>
              </w:rPr>
              <w:t>（二）混凝土模板支撑工程：搭设高度8m及以上，或搭设跨度18m及以上，或施工总荷载（设计值）15kN/m2及以上，或集中线荷载（设计值）20kN/m及以上。</w:t>
            </w:r>
          </w:p>
        </w:tc>
        <w:tc>
          <w:tcPr>
            <w:tcW w:w="674" w:type="pct"/>
            <w:tcBorders>
              <w:top w:val="single" w:color="auto" w:sz="4" w:space="0"/>
              <w:left w:val="nil"/>
              <w:bottom w:val="single" w:color="auto" w:sz="4" w:space="0"/>
              <w:right w:val="single" w:color="auto" w:sz="4" w:space="0"/>
            </w:tcBorders>
            <w:vAlign w:val="center"/>
          </w:tcPr>
          <w:p w14:paraId="7631C6F4">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0B81A7DE">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466E96A6">
            <w:pPr>
              <w:jc w:val="center"/>
              <w:rPr>
                <w:rFonts w:ascii="宋体" w:hAnsi="宋体" w:cs="宋体"/>
                <w:szCs w:val="21"/>
              </w:rPr>
            </w:pPr>
          </w:p>
        </w:tc>
      </w:tr>
      <w:tr w14:paraId="0D82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5F4F33D5">
            <w:pPr>
              <w:rPr>
                <w:rFonts w:ascii="宋体" w:hAnsi="宋体" w:cs="宋体"/>
                <w:szCs w:val="21"/>
              </w:rPr>
            </w:pPr>
            <w:r>
              <w:rPr>
                <w:rFonts w:hint="eastAsia" w:ascii="宋体" w:hAnsi="宋体" w:cs="宋体"/>
                <w:szCs w:val="21"/>
              </w:rPr>
              <w:t>（三）承重支撑体系：用于钢结构安装等满堂支撑体系，承受单点集中荷载7kN及以上。</w:t>
            </w:r>
          </w:p>
        </w:tc>
        <w:tc>
          <w:tcPr>
            <w:tcW w:w="674" w:type="pct"/>
            <w:tcBorders>
              <w:top w:val="single" w:color="auto" w:sz="4" w:space="0"/>
              <w:left w:val="nil"/>
              <w:bottom w:val="single" w:color="auto" w:sz="4" w:space="0"/>
              <w:right w:val="single" w:color="auto" w:sz="4" w:space="0"/>
            </w:tcBorders>
            <w:vAlign w:val="center"/>
          </w:tcPr>
          <w:p w14:paraId="0AB786FA">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5D64C1F7">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53B7E6A3">
            <w:pPr>
              <w:jc w:val="center"/>
              <w:rPr>
                <w:rFonts w:ascii="宋体" w:hAnsi="宋体" w:cs="宋体"/>
                <w:szCs w:val="21"/>
              </w:rPr>
            </w:pPr>
          </w:p>
        </w:tc>
      </w:tr>
      <w:tr w14:paraId="65C2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6A4DEF79">
            <w:pPr>
              <w:rPr>
                <w:rFonts w:ascii="宋体" w:hAnsi="宋体" w:cs="宋体"/>
                <w:szCs w:val="21"/>
              </w:rPr>
            </w:pPr>
            <w:r>
              <w:rPr>
                <w:rFonts w:hint="eastAsia" w:ascii="宋体" w:hAnsi="宋体" w:cs="宋体"/>
                <w:b/>
                <w:szCs w:val="21"/>
              </w:rPr>
              <w:t>三、起重吊装及起重机械安装拆卸工程</w:t>
            </w:r>
          </w:p>
        </w:tc>
      </w:tr>
      <w:tr w14:paraId="2925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30158434">
            <w:pPr>
              <w:rPr>
                <w:rFonts w:ascii="宋体" w:hAnsi="宋体" w:cs="宋体"/>
                <w:szCs w:val="21"/>
              </w:rPr>
            </w:pPr>
            <w:r>
              <w:rPr>
                <w:rFonts w:hint="eastAsia" w:ascii="宋体" w:hAnsi="宋体" w:cs="宋体"/>
                <w:szCs w:val="21"/>
              </w:rPr>
              <w:t>（一）采用非常规起重设备、方法，且单件起吊重量在100kN及以上的起重吊装工程。</w:t>
            </w:r>
          </w:p>
        </w:tc>
        <w:tc>
          <w:tcPr>
            <w:tcW w:w="674" w:type="pct"/>
            <w:tcBorders>
              <w:top w:val="single" w:color="auto" w:sz="4" w:space="0"/>
              <w:left w:val="nil"/>
              <w:bottom w:val="single" w:color="auto" w:sz="4" w:space="0"/>
              <w:right w:val="single" w:color="auto" w:sz="4" w:space="0"/>
            </w:tcBorders>
            <w:vAlign w:val="center"/>
          </w:tcPr>
          <w:p w14:paraId="4962E602">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77B04607">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15A124D2">
            <w:pPr>
              <w:jc w:val="center"/>
              <w:rPr>
                <w:rFonts w:ascii="宋体" w:hAnsi="宋体" w:cs="宋体"/>
                <w:szCs w:val="21"/>
              </w:rPr>
            </w:pPr>
          </w:p>
        </w:tc>
      </w:tr>
      <w:tr w14:paraId="6404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540DF54D">
            <w:pPr>
              <w:rPr>
                <w:rFonts w:ascii="宋体" w:hAnsi="宋体" w:cs="宋体"/>
                <w:szCs w:val="21"/>
              </w:rPr>
            </w:pPr>
            <w:r>
              <w:rPr>
                <w:rFonts w:hint="eastAsia" w:ascii="宋体" w:hAnsi="宋体" w:cs="宋体"/>
                <w:szCs w:val="21"/>
              </w:rPr>
              <w:t>（二）起重量300kN及以上，或搭设总高度200m及以上，或搭设基础标高在200m及以上的起重机械安装和拆卸工程。</w:t>
            </w:r>
          </w:p>
        </w:tc>
        <w:tc>
          <w:tcPr>
            <w:tcW w:w="674" w:type="pct"/>
            <w:tcBorders>
              <w:top w:val="single" w:color="auto" w:sz="4" w:space="0"/>
              <w:left w:val="nil"/>
              <w:bottom w:val="single" w:color="auto" w:sz="4" w:space="0"/>
              <w:right w:val="single" w:color="auto" w:sz="4" w:space="0"/>
            </w:tcBorders>
            <w:vAlign w:val="center"/>
          </w:tcPr>
          <w:p w14:paraId="7EA349CC">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1417A064">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30B7B7A2">
            <w:pPr>
              <w:jc w:val="center"/>
              <w:rPr>
                <w:rFonts w:ascii="宋体" w:hAnsi="宋体" w:cs="宋体"/>
                <w:szCs w:val="21"/>
              </w:rPr>
            </w:pPr>
          </w:p>
        </w:tc>
      </w:tr>
      <w:tr w14:paraId="2D45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6B2B9001">
            <w:pPr>
              <w:rPr>
                <w:rFonts w:ascii="宋体" w:hAnsi="宋体" w:cs="宋体"/>
                <w:b/>
                <w:szCs w:val="21"/>
              </w:rPr>
            </w:pPr>
            <w:r>
              <w:rPr>
                <w:rFonts w:hint="eastAsia" w:ascii="宋体" w:hAnsi="宋体" w:cs="宋体"/>
                <w:b/>
                <w:szCs w:val="21"/>
              </w:rPr>
              <w:t>四、脚手架工程</w:t>
            </w:r>
          </w:p>
        </w:tc>
      </w:tr>
      <w:tr w14:paraId="0F6D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73DBE687">
            <w:pPr>
              <w:rPr>
                <w:rFonts w:ascii="宋体" w:hAnsi="宋体" w:cs="宋体"/>
                <w:szCs w:val="21"/>
              </w:rPr>
            </w:pPr>
            <w:r>
              <w:rPr>
                <w:rFonts w:hint="eastAsia" w:ascii="宋体" w:hAnsi="宋体" w:cs="宋体"/>
                <w:szCs w:val="21"/>
              </w:rPr>
              <w:t>（一）搭设高度50m及以上的落地式钢管脚手架工程。</w:t>
            </w:r>
          </w:p>
        </w:tc>
        <w:tc>
          <w:tcPr>
            <w:tcW w:w="674" w:type="pct"/>
            <w:tcBorders>
              <w:top w:val="single" w:color="auto" w:sz="4" w:space="0"/>
              <w:left w:val="nil"/>
              <w:bottom w:val="single" w:color="auto" w:sz="4" w:space="0"/>
              <w:right w:val="single" w:color="auto" w:sz="4" w:space="0"/>
            </w:tcBorders>
            <w:vAlign w:val="center"/>
          </w:tcPr>
          <w:p w14:paraId="012398E9">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66B41FDA">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6954E9C8">
            <w:pPr>
              <w:jc w:val="center"/>
              <w:rPr>
                <w:rFonts w:ascii="宋体" w:hAnsi="宋体" w:cs="宋体"/>
                <w:szCs w:val="21"/>
              </w:rPr>
            </w:pPr>
          </w:p>
        </w:tc>
      </w:tr>
      <w:tr w14:paraId="2EA7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435A507C">
            <w:pPr>
              <w:rPr>
                <w:rFonts w:ascii="宋体" w:hAnsi="宋体" w:cs="宋体"/>
                <w:szCs w:val="21"/>
              </w:rPr>
            </w:pPr>
            <w:r>
              <w:rPr>
                <w:rFonts w:hint="eastAsia" w:ascii="宋体" w:hAnsi="宋体" w:cs="宋体"/>
                <w:szCs w:val="21"/>
              </w:rPr>
              <w:t>（二）提升高度在150m及以上的附着式升降脚手架工程或附着式升降操作平台工程。</w:t>
            </w:r>
          </w:p>
        </w:tc>
        <w:tc>
          <w:tcPr>
            <w:tcW w:w="674" w:type="pct"/>
            <w:tcBorders>
              <w:top w:val="single" w:color="auto" w:sz="4" w:space="0"/>
              <w:left w:val="nil"/>
              <w:bottom w:val="single" w:color="auto" w:sz="4" w:space="0"/>
              <w:right w:val="single" w:color="auto" w:sz="4" w:space="0"/>
            </w:tcBorders>
            <w:vAlign w:val="center"/>
          </w:tcPr>
          <w:p w14:paraId="3C28B42C">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0D032926">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2AA0C2AC">
            <w:pPr>
              <w:jc w:val="center"/>
              <w:rPr>
                <w:rFonts w:ascii="宋体" w:hAnsi="宋体" w:cs="宋体"/>
                <w:szCs w:val="21"/>
              </w:rPr>
            </w:pPr>
          </w:p>
        </w:tc>
      </w:tr>
      <w:tr w14:paraId="15FC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65CE071C">
            <w:pPr>
              <w:rPr>
                <w:rFonts w:ascii="宋体" w:hAnsi="宋体" w:cs="宋体"/>
                <w:szCs w:val="21"/>
              </w:rPr>
            </w:pPr>
            <w:r>
              <w:rPr>
                <w:rFonts w:hint="eastAsia" w:ascii="宋体" w:hAnsi="宋体" w:cs="宋体"/>
                <w:szCs w:val="21"/>
              </w:rPr>
              <w:t>（三）分段架体搭设高度20m及以上的悬挑式脚手架工程。</w:t>
            </w:r>
          </w:p>
        </w:tc>
        <w:tc>
          <w:tcPr>
            <w:tcW w:w="674" w:type="pct"/>
            <w:tcBorders>
              <w:top w:val="single" w:color="auto" w:sz="4" w:space="0"/>
              <w:left w:val="nil"/>
              <w:bottom w:val="single" w:color="auto" w:sz="4" w:space="0"/>
              <w:right w:val="single" w:color="auto" w:sz="4" w:space="0"/>
            </w:tcBorders>
            <w:vAlign w:val="center"/>
          </w:tcPr>
          <w:p w14:paraId="462F2659">
            <w:pPr>
              <w:widowControl/>
              <w:jc w:val="center"/>
              <w:rPr>
                <w:rFonts w:ascii="宋体" w:hAnsi="宋体" w:cs="宋体"/>
                <w:kern w:val="0"/>
                <w:szCs w:val="21"/>
              </w:rPr>
            </w:pPr>
            <w:r>
              <w:rPr>
                <w:rFonts w:hint="eastAsia" w:ascii="宋体" w:hAnsi="宋体" w:cs="宋体"/>
                <w:kern w:val="0"/>
                <w:szCs w:val="21"/>
              </w:rPr>
              <w:t xml:space="preserve">( </w:t>
            </w:r>
            <w:r>
              <w:rPr>
                <w:rFonts w:hint="eastAsia" w:ascii="宋体" w:hAnsi="宋体" w:cs="宋体"/>
                <w:b/>
                <w:kern w:val="0"/>
                <w:szCs w:val="21"/>
              </w:rPr>
              <w:t xml:space="preserve">  </w:t>
            </w:r>
            <w:r>
              <w:rPr>
                <w:rFonts w:hint="eastAsia" w:ascii="宋体" w:hAnsi="宋体" w:cs="宋体"/>
                <w:kern w:val="0"/>
                <w:szCs w:val="21"/>
              </w:rPr>
              <w:t xml:space="preserve"> )</w:t>
            </w:r>
          </w:p>
        </w:tc>
        <w:tc>
          <w:tcPr>
            <w:tcW w:w="752" w:type="pct"/>
            <w:tcBorders>
              <w:top w:val="single" w:color="auto" w:sz="4" w:space="0"/>
              <w:left w:val="nil"/>
              <w:bottom w:val="single" w:color="auto" w:sz="4" w:space="0"/>
              <w:right w:val="single" w:color="auto" w:sz="4" w:space="0"/>
            </w:tcBorders>
            <w:vAlign w:val="center"/>
          </w:tcPr>
          <w:p w14:paraId="53D0F79A">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69A0B75B">
            <w:pPr>
              <w:jc w:val="center"/>
              <w:rPr>
                <w:rFonts w:ascii="宋体" w:hAnsi="宋体" w:cs="宋体"/>
                <w:szCs w:val="21"/>
              </w:rPr>
            </w:pPr>
          </w:p>
        </w:tc>
      </w:tr>
      <w:tr w14:paraId="0E48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DB0BF30">
            <w:pPr>
              <w:rPr>
                <w:rFonts w:ascii="宋体" w:hAnsi="宋体" w:cs="宋体"/>
                <w:b/>
                <w:szCs w:val="21"/>
              </w:rPr>
            </w:pPr>
            <w:r>
              <w:rPr>
                <w:rFonts w:hint="eastAsia" w:ascii="宋体" w:hAnsi="宋体" w:cs="宋体"/>
                <w:b/>
                <w:szCs w:val="21"/>
              </w:rPr>
              <w:t>五、拆除工程</w:t>
            </w:r>
          </w:p>
        </w:tc>
      </w:tr>
      <w:tr w14:paraId="182D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019DDCD8">
            <w:pPr>
              <w:rPr>
                <w:rFonts w:ascii="宋体" w:hAnsi="宋体" w:cs="宋体"/>
                <w:szCs w:val="21"/>
              </w:rPr>
            </w:pPr>
            <w:r>
              <w:rPr>
                <w:rFonts w:hint="eastAsia" w:ascii="宋体" w:hAnsi="宋体" w:cs="宋体"/>
                <w:szCs w:val="21"/>
              </w:rPr>
              <w:t>（一）码头、桥梁、高架、烟囱、水塔或拆除中容易引起有毒有害气（液）体或粉尘扩散、易燃易爆事故发生的特殊建、构筑物的拆除工程。</w:t>
            </w:r>
          </w:p>
        </w:tc>
        <w:tc>
          <w:tcPr>
            <w:tcW w:w="674" w:type="pct"/>
            <w:tcBorders>
              <w:top w:val="single" w:color="auto" w:sz="4" w:space="0"/>
              <w:left w:val="nil"/>
              <w:bottom w:val="single" w:color="auto" w:sz="4" w:space="0"/>
              <w:right w:val="single" w:color="auto" w:sz="4" w:space="0"/>
            </w:tcBorders>
            <w:vAlign w:val="center"/>
          </w:tcPr>
          <w:p w14:paraId="69C2371E">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654212C8">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2277E40E">
            <w:pPr>
              <w:jc w:val="center"/>
              <w:rPr>
                <w:rFonts w:ascii="宋体" w:hAnsi="宋体" w:cs="宋体"/>
                <w:szCs w:val="21"/>
              </w:rPr>
            </w:pPr>
          </w:p>
        </w:tc>
      </w:tr>
      <w:tr w14:paraId="3C46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60196D53">
            <w:pPr>
              <w:rPr>
                <w:rFonts w:ascii="宋体" w:hAnsi="宋体" w:cs="宋体"/>
                <w:szCs w:val="21"/>
              </w:rPr>
            </w:pPr>
            <w:r>
              <w:rPr>
                <w:rFonts w:hint="eastAsia" w:ascii="宋体" w:hAnsi="宋体" w:cs="宋体"/>
                <w:szCs w:val="21"/>
              </w:rPr>
              <w:t>（二）文物保护建筑、优秀历史建筑或历史文化风貌区影响范围内的拆除工程。</w:t>
            </w:r>
          </w:p>
        </w:tc>
        <w:tc>
          <w:tcPr>
            <w:tcW w:w="674" w:type="pct"/>
            <w:tcBorders>
              <w:top w:val="single" w:color="auto" w:sz="4" w:space="0"/>
              <w:left w:val="nil"/>
              <w:bottom w:val="single" w:color="auto" w:sz="4" w:space="0"/>
              <w:right w:val="single" w:color="auto" w:sz="4" w:space="0"/>
            </w:tcBorders>
            <w:vAlign w:val="center"/>
          </w:tcPr>
          <w:p w14:paraId="02E01333">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5C1B4BB1">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43239BAC">
            <w:pPr>
              <w:jc w:val="center"/>
              <w:rPr>
                <w:rFonts w:ascii="宋体" w:hAnsi="宋体" w:cs="宋体"/>
                <w:szCs w:val="21"/>
              </w:rPr>
            </w:pPr>
          </w:p>
        </w:tc>
      </w:tr>
      <w:tr w14:paraId="5DA8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789709D7">
            <w:pPr>
              <w:rPr>
                <w:rFonts w:ascii="宋体" w:hAnsi="宋体" w:cs="宋体"/>
                <w:b/>
                <w:szCs w:val="21"/>
              </w:rPr>
            </w:pPr>
            <w:r>
              <w:rPr>
                <w:rFonts w:hint="eastAsia" w:ascii="宋体" w:hAnsi="宋体" w:cs="宋体"/>
                <w:b/>
                <w:szCs w:val="21"/>
              </w:rPr>
              <w:t>六、暗挖工程</w:t>
            </w:r>
          </w:p>
        </w:tc>
      </w:tr>
      <w:tr w14:paraId="7F4A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7F4BDB4F">
            <w:pPr>
              <w:rPr>
                <w:rFonts w:ascii="宋体" w:hAnsi="宋体" w:cs="宋体"/>
                <w:szCs w:val="21"/>
              </w:rPr>
            </w:pPr>
            <w:r>
              <w:rPr>
                <w:rFonts w:hint="eastAsia" w:ascii="宋体" w:hAnsi="宋体" w:cs="宋体"/>
                <w:szCs w:val="21"/>
              </w:rPr>
              <w:t>采用矿山法、盾构法、顶管法施工的隧道、洞室工程。</w:t>
            </w:r>
          </w:p>
        </w:tc>
        <w:tc>
          <w:tcPr>
            <w:tcW w:w="674" w:type="pct"/>
            <w:tcBorders>
              <w:top w:val="single" w:color="auto" w:sz="4" w:space="0"/>
              <w:left w:val="nil"/>
              <w:bottom w:val="single" w:color="auto" w:sz="4" w:space="0"/>
              <w:right w:val="single" w:color="auto" w:sz="4" w:space="0"/>
            </w:tcBorders>
            <w:vAlign w:val="center"/>
          </w:tcPr>
          <w:p w14:paraId="483BA7DB">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4333C30F">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01503588">
            <w:pPr>
              <w:jc w:val="center"/>
              <w:rPr>
                <w:rFonts w:ascii="宋体" w:hAnsi="宋体" w:cs="宋体"/>
                <w:szCs w:val="21"/>
              </w:rPr>
            </w:pPr>
          </w:p>
        </w:tc>
      </w:tr>
      <w:tr w14:paraId="0A62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45BD0B75">
            <w:pPr>
              <w:rPr>
                <w:rFonts w:ascii="宋体" w:hAnsi="宋体" w:cs="宋体"/>
                <w:b/>
                <w:szCs w:val="21"/>
              </w:rPr>
            </w:pPr>
            <w:r>
              <w:rPr>
                <w:rFonts w:hint="eastAsia" w:ascii="宋体" w:hAnsi="宋体" w:cs="宋体"/>
                <w:b/>
                <w:szCs w:val="21"/>
              </w:rPr>
              <w:t>七、其它</w:t>
            </w:r>
          </w:p>
        </w:tc>
      </w:tr>
      <w:tr w14:paraId="313C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5C46F754">
            <w:pPr>
              <w:rPr>
                <w:rFonts w:ascii="宋体" w:hAnsi="宋体" w:cs="宋体"/>
                <w:szCs w:val="21"/>
              </w:rPr>
            </w:pPr>
            <w:r>
              <w:rPr>
                <w:rFonts w:hint="eastAsia" w:ascii="宋体" w:hAnsi="宋体" w:cs="宋体"/>
                <w:szCs w:val="21"/>
              </w:rPr>
              <w:t>（一）施工高度50m及以上的建筑幕墙安装工程。</w:t>
            </w:r>
          </w:p>
        </w:tc>
        <w:tc>
          <w:tcPr>
            <w:tcW w:w="674" w:type="pct"/>
            <w:tcBorders>
              <w:top w:val="single" w:color="auto" w:sz="4" w:space="0"/>
              <w:left w:val="nil"/>
              <w:bottom w:val="single" w:color="auto" w:sz="4" w:space="0"/>
              <w:right w:val="single" w:color="auto" w:sz="4" w:space="0"/>
            </w:tcBorders>
            <w:vAlign w:val="center"/>
          </w:tcPr>
          <w:p w14:paraId="65DFE788">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6D7FF2D0">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35755D41">
            <w:pPr>
              <w:jc w:val="center"/>
              <w:rPr>
                <w:rFonts w:ascii="宋体" w:hAnsi="宋体" w:cs="宋体"/>
                <w:szCs w:val="21"/>
              </w:rPr>
            </w:pPr>
          </w:p>
        </w:tc>
      </w:tr>
      <w:tr w14:paraId="6877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6464AF0C">
            <w:pPr>
              <w:rPr>
                <w:rFonts w:ascii="宋体" w:hAnsi="宋体" w:cs="宋体"/>
                <w:szCs w:val="21"/>
              </w:rPr>
            </w:pPr>
            <w:r>
              <w:rPr>
                <w:rFonts w:hint="eastAsia" w:ascii="宋体" w:hAnsi="宋体" w:cs="宋体"/>
                <w:szCs w:val="21"/>
              </w:rPr>
              <w:t>（二）跨度36m及以上的钢结构安装工程，或跨度60m及以上的网架和索膜结构安装工程。</w:t>
            </w:r>
          </w:p>
        </w:tc>
        <w:tc>
          <w:tcPr>
            <w:tcW w:w="674" w:type="pct"/>
            <w:tcBorders>
              <w:top w:val="single" w:color="auto" w:sz="4" w:space="0"/>
              <w:left w:val="nil"/>
              <w:bottom w:val="single" w:color="auto" w:sz="4" w:space="0"/>
              <w:right w:val="single" w:color="auto" w:sz="4" w:space="0"/>
            </w:tcBorders>
            <w:vAlign w:val="center"/>
          </w:tcPr>
          <w:p w14:paraId="38C94890">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55A74D7D">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4B97D7E3">
            <w:pPr>
              <w:jc w:val="center"/>
              <w:rPr>
                <w:rFonts w:ascii="宋体" w:hAnsi="宋体" w:cs="宋体"/>
                <w:szCs w:val="21"/>
              </w:rPr>
            </w:pPr>
          </w:p>
        </w:tc>
      </w:tr>
      <w:tr w14:paraId="282A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3B229077">
            <w:pPr>
              <w:rPr>
                <w:rFonts w:ascii="宋体" w:hAnsi="宋体" w:cs="宋体"/>
                <w:szCs w:val="21"/>
              </w:rPr>
            </w:pPr>
            <w:r>
              <w:rPr>
                <w:rFonts w:hint="eastAsia" w:ascii="宋体" w:hAnsi="宋体" w:cs="宋体"/>
                <w:szCs w:val="21"/>
              </w:rPr>
              <w:t>（三）开挖深度16m及以上的人工挖孔桩工程。</w:t>
            </w:r>
          </w:p>
        </w:tc>
        <w:tc>
          <w:tcPr>
            <w:tcW w:w="674" w:type="pct"/>
            <w:tcBorders>
              <w:top w:val="single" w:color="auto" w:sz="4" w:space="0"/>
              <w:left w:val="nil"/>
              <w:bottom w:val="single" w:color="auto" w:sz="4" w:space="0"/>
              <w:right w:val="single" w:color="auto" w:sz="4" w:space="0"/>
            </w:tcBorders>
            <w:vAlign w:val="center"/>
          </w:tcPr>
          <w:p w14:paraId="19121F92">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0D86D6C4">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04A0F2B0">
            <w:pPr>
              <w:jc w:val="center"/>
              <w:rPr>
                <w:rFonts w:ascii="宋体" w:hAnsi="宋体" w:cs="宋体"/>
                <w:szCs w:val="21"/>
              </w:rPr>
            </w:pPr>
          </w:p>
        </w:tc>
      </w:tr>
      <w:tr w14:paraId="4B2A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2575A65C">
            <w:pPr>
              <w:rPr>
                <w:rFonts w:ascii="宋体" w:hAnsi="宋体" w:cs="宋体"/>
                <w:szCs w:val="21"/>
              </w:rPr>
            </w:pPr>
            <w:r>
              <w:rPr>
                <w:rFonts w:hint="eastAsia" w:ascii="宋体" w:hAnsi="宋体" w:cs="宋体"/>
                <w:szCs w:val="21"/>
              </w:rPr>
              <w:t>（四）水下作业工程。</w:t>
            </w:r>
          </w:p>
        </w:tc>
        <w:tc>
          <w:tcPr>
            <w:tcW w:w="674" w:type="pct"/>
            <w:tcBorders>
              <w:top w:val="single" w:color="auto" w:sz="4" w:space="0"/>
              <w:left w:val="nil"/>
              <w:bottom w:val="single" w:color="auto" w:sz="4" w:space="0"/>
              <w:right w:val="single" w:color="auto" w:sz="4" w:space="0"/>
            </w:tcBorders>
            <w:vAlign w:val="center"/>
          </w:tcPr>
          <w:p w14:paraId="1C6BD8C5">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537BE597">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4A697537">
            <w:pPr>
              <w:jc w:val="center"/>
              <w:rPr>
                <w:rFonts w:ascii="宋体" w:hAnsi="宋体" w:cs="宋体"/>
                <w:szCs w:val="21"/>
              </w:rPr>
            </w:pPr>
          </w:p>
        </w:tc>
      </w:tr>
      <w:tr w14:paraId="32EF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6BCB91F5">
            <w:pPr>
              <w:rPr>
                <w:rFonts w:ascii="宋体" w:hAnsi="宋体" w:cs="宋体"/>
                <w:szCs w:val="21"/>
              </w:rPr>
            </w:pPr>
            <w:r>
              <w:rPr>
                <w:rFonts w:hint="eastAsia" w:ascii="宋体" w:hAnsi="宋体" w:cs="宋体"/>
                <w:szCs w:val="21"/>
              </w:rPr>
              <w:t>（五）重量1000kN及以上的大型结构整体顶升、平移、转体等施工工艺。</w:t>
            </w:r>
          </w:p>
        </w:tc>
        <w:tc>
          <w:tcPr>
            <w:tcW w:w="674" w:type="pct"/>
            <w:tcBorders>
              <w:top w:val="single" w:color="auto" w:sz="4" w:space="0"/>
              <w:left w:val="nil"/>
              <w:bottom w:val="single" w:color="auto" w:sz="4" w:space="0"/>
              <w:right w:val="single" w:color="auto" w:sz="4" w:space="0"/>
            </w:tcBorders>
            <w:vAlign w:val="center"/>
          </w:tcPr>
          <w:p w14:paraId="3AADBA15">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76A7AC5D">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352FE9FC">
            <w:pPr>
              <w:jc w:val="center"/>
              <w:rPr>
                <w:rFonts w:ascii="宋体" w:hAnsi="宋体" w:cs="宋体"/>
                <w:szCs w:val="21"/>
              </w:rPr>
            </w:pPr>
          </w:p>
        </w:tc>
      </w:tr>
      <w:tr w14:paraId="63B6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25" w:type="pct"/>
            <w:tcBorders>
              <w:top w:val="single" w:color="auto" w:sz="4" w:space="0"/>
              <w:left w:val="single" w:color="auto" w:sz="4" w:space="0"/>
              <w:bottom w:val="single" w:color="auto" w:sz="4" w:space="0"/>
              <w:right w:val="single" w:color="auto" w:sz="4" w:space="0"/>
            </w:tcBorders>
            <w:vAlign w:val="center"/>
          </w:tcPr>
          <w:p w14:paraId="5258F78B">
            <w:pPr>
              <w:rPr>
                <w:rFonts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674" w:type="pct"/>
            <w:tcBorders>
              <w:top w:val="single" w:color="auto" w:sz="4" w:space="0"/>
              <w:left w:val="nil"/>
              <w:bottom w:val="single" w:color="auto" w:sz="4" w:space="0"/>
              <w:right w:val="single" w:color="auto" w:sz="4" w:space="0"/>
            </w:tcBorders>
            <w:vAlign w:val="center"/>
          </w:tcPr>
          <w:p w14:paraId="2F89D950">
            <w:pPr>
              <w:widowControl/>
              <w:jc w:val="center"/>
              <w:rPr>
                <w:rFonts w:ascii="宋体" w:hAnsi="宋体" w:cs="宋体"/>
                <w:kern w:val="0"/>
                <w:szCs w:val="21"/>
              </w:rPr>
            </w:pPr>
            <w:r>
              <w:rPr>
                <w:rFonts w:hint="eastAsia" w:ascii="宋体" w:hAnsi="宋体" w:cs="宋体"/>
                <w:kern w:val="0"/>
                <w:szCs w:val="21"/>
              </w:rPr>
              <w:t>(    )</w:t>
            </w:r>
          </w:p>
        </w:tc>
        <w:tc>
          <w:tcPr>
            <w:tcW w:w="752" w:type="pct"/>
            <w:tcBorders>
              <w:top w:val="single" w:color="auto" w:sz="4" w:space="0"/>
              <w:left w:val="nil"/>
              <w:bottom w:val="single" w:color="auto" w:sz="4" w:space="0"/>
              <w:right w:val="single" w:color="auto" w:sz="4" w:space="0"/>
            </w:tcBorders>
            <w:vAlign w:val="center"/>
          </w:tcPr>
          <w:p w14:paraId="55578E57">
            <w:pPr>
              <w:widowControl/>
              <w:jc w:val="center"/>
              <w:rPr>
                <w:rFonts w:ascii="宋体" w:hAnsi="宋体" w:cs="宋体"/>
                <w:kern w:val="0"/>
                <w:szCs w:val="21"/>
              </w:rPr>
            </w:pPr>
            <w:r>
              <w:rPr>
                <w:rFonts w:hint="eastAsia" w:ascii="宋体" w:hAnsi="宋体" w:cs="宋体"/>
                <w:kern w:val="0"/>
                <w:szCs w:val="21"/>
              </w:rPr>
              <w:t>(    )</w:t>
            </w:r>
          </w:p>
        </w:tc>
        <w:tc>
          <w:tcPr>
            <w:tcW w:w="447" w:type="pct"/>
            <w:gridSpan w:val="2"/>
            <w:tcBorders>
              <w:top w:val="single" w:color="auto" w:sz="4" w:space="0"/>
              <w:left w:val="nil"/>
              <w:bottom w:val="single" w:color="auto" w:sz="4" w:space="0"/>
              <w:right w:val="single" w:color="auto" w:sz="4" w:space="0"/>
            </w:tcBorders>
            <w:vAlign w:val="center"/>
          </w:tcPr>
          <w:p w14:paraId="5ECCC2D5">
            <w:pPr>
              <w:jc w:val="center"/>
              <w:rPr>
                <w:rFonts w:ascii="宋体" w:hAnsi="宋体" w:cs="宋体"/>
                <w:szCs w:val="21"/>
              </w:rPr>
            </w:pPr>
          </w:p>
        </w:tc>
      </w:tr>
    </w:tbl>
    <w:p w14:paraId="7C9E9F84">
      <w:pPr>
        <w:pStyle w:val="111"/>
        <w:autoSpaceDE w:val="0"/>
        <w:autoSpaceDN w:val="0"/>
        <w:spacing w:line="360" w:lineRule="auto"/>
        <w:ind w:firstLine="480"/>
        <w:rPr>
          <w:rFonts w:ascii="宋体" w:hAnsi="宋体" w:cs="宋体"/>
          <w:sz w:val="24"/>
          <w:szCs w:val="28"/>
        </w:rPr>
      </w:pPr>
    </w:p>
    <w:p w14:paraId="34FC1499">
      <w:pPr>
        <w:spacing w:line="360" w:lineRule="auto"/>
        <w:ind w:firstLine="3000" w:firstLineChars="1250"/>
        <w:rPr>
          <w:rFonts w:ascii="宋体" w:hAnsi="宋体" w:cs="宋体"/>
          <w:sz w:val="24"/>
          <w:szCs w:val="20"/>
          <w:u w:val="single"/>
        </w:rPr>
      </w:pPr>
      <w:r>
        <w:rPr>
          <w:rFonts w:hint="eastAsia" w:ascii="宋体" w:hAnsi="宋体" w:cs="宋体"/>
          <w:sz w:val="24"/>
          <w:szCs w:val="20"/>
        </w:rPr>
        <w:t>投标人名称：</w:t>
      </w:r>
    </w:p>
    <w:p w14:paraId="05F85ACF">
      <w:pPr>
        <w:spacing w:line="360" w:lineRule="auto"/>
        <w:ind w:firstLine="3000" w:firstLineChars="1250"/>
        <w:rPr>
          <w:rFonts w:ascii="宋体" w:hAnsi="宋体" w:cs="宋体"/>
          <w:sz w:val="24"/>
        </w:rPr>
      </w:pPr>
      <w:r>
        <w:rPr>
          <w:rFonts w:hint="eastAsia" w:ascii="宋体" w:hAnsi="宋体" w:cs="宋体"/>
          <w:sz w:val="24"/>
          <w:szCs w:val="20"/>
        </w:rPr>
        <w:t>日期：   年  月  日</w:t>
      </w:r>
    </w:p>
    <w:p w14:paraId="0DADA1F5">
      <w:pPr>
        <w:spacing w:line="360" w:lineRule="auto"/>
        <w:ind w:firstLine="3000" w:firstLineChars="1250"/>
        <w:rPr>
          <w:rFonts w:ascii="宋体" w:hAnsi="宋体" w:cs="宋体"/>
          <w:sz w:val="24"/>
        </w:rPr>
      </w:pPr>
    </w:p>
    <w:p w14:paraId="42D8B1FE">
      <w:pPr>
        <w:snapToGrid w:val="0"/>
        <w:spacing w:line="360" w:lineRule="auto"/>
        <w:jc w:val="center"/>
        <w:rPr>
          <w:rFonts w:ascii="宋体" w:hAnsi="宋体" w:cs="宋体"/>
          <w:b/>
          <w:bCs/>
        </w:rPr>
      </w:pPr>
    </w:p>
    <w:p w14:paraId="39ABF9A2">
      <w:pPr>
        <w:topLinePunct/>
        <w:adjustRightInd w:val="0"/>
        <w:snapToGrid w:val="0"/>
        <w:spacing w:line="360" w:lineRule="auto"/>
        <w:ind w:firstLine="168" w:firstLineChars="80"/>
        <w:jc w:val="left"/>
        <w:outlineLvl w:val="2"/>
        <w:rPr>
          <w:rFonts w:ascii="宋体" w:hAnsi="宋体" w:cs="宋体"/>
          <w:b/>
          <w:spacing w:val="4"/>
          <w:kern w:val="0"/>
          <w:sz w:val="24"/>
          <w:szCs w:val="24"/>
        </w:rPr>
      </w:pPr>
      <w:r>
        <w:rPr>
          <w:rFonts w:hint="eastAsia" w:ascii="宋体" w:hAnsi="宋体" w:cs="宋体"/>
        </w:rPr>
        <w:br w:type="page"/>
      </w:r>
      <w:bookmarkEnd w:id="53"/>
      <w:bookmarkEnd w:id="54"/>
      <w:bookmarkEnd w:id="55"/>
      <w:bookmarkEnd w:id="56"/>
      <w:bookmarkEnd w:id="57"/>
      <w:bookmarkStart w:id="70" w:name="_Toc80952401"/>
      <w:bookmarkStart w:id="71" w:name="_Toc83906657"/>
      <w:bookmarkStart w:id="72" w:name="_Toc14393"/>
      <w:bookmarkStart w:id="73" w:name="_Toc80701962"/>
      <w:bookmarkStart w:id="74" w:name="_Hlk150093894"/>
      <w:r>
        <w:rPr>
          <w:rFonts w:hint="eastAsia" w:ascii="宋体" w:hAnsi="宋体" w:cs="宋体"/>
          <w:b/>
          <w:spacing w:val="4"/>
          <w:kern w:val="0"/>
          <w:sz w:val="24"/>
          <w:szCs w:val="24"/>
        </w:rPr>
        <w:t>格式</w:t>
      </w:r>
      <w:r>
        <w:rPr>
          <w:rFonts w:hint="eastAsia" w:ascii="宋体" w:hAnsi="宋体" w:cs="宋体"/>
          <w:b/>
          <w:spacing w:val="4"/>
          <w:kern w:val="0"/>
          <w:sz w:val="24"/>
          <w:szCs w:val="24"/>
          <w:lang w:val="en-US" w:eastAsia="zh-CN"/>
        </w:rPr>
        <w:t>八</w:t>
      </w:r>
      <w:r>
        <w:rPr>
          <w:rFonts w:hint="eastAsia" w:ascii="宋体" w:hAnsi="宋体" w:cs="宋体"/>
          <w:b/>
          <w:spacing w:val="4"/>
          <w:kern w:val="0"/>
          <w:sz w:val="24"/>
          <w:szCs w:val="24"/>
        </w:rPr>
        <w:t>：参与编制技术标投标文件人员名单</w:t>
      </w:r>
      <w:bookmarkEnd w:id="70"/>
      <w:bookmarkEnd w:id="71"/>
      <w:bookmarkEnd w:id="72"/>
      <w:bookmarkEnd w:id="73"/>
    </w:p>
    <w:p w14:paraId="1EA0E025">
      <w:pPr>
        <w:tabs>
          <w:tab w:val="left" w:pos="720"/>
        </w:tabs>
        <w:snapToGrid w:val="0"/>
        <w:spacing w:line="360" w:lineRule="auto"/>
        <w:rPr>
          <w:rFonts w:ascii="宋体" w:hAnsi="宋体" w:cs="宋体"/>
          <w:szCs w:val="21"/>
        </w:rPr>
      </w:pPr>
    </w:p>
    <w:p w14:paraId="586F80AA">
      <w:pPr>
        <w:topLinePunct/>
        <w:adjustRightInd w:val="0"/>
        <w:snapToGrid w:val="0"/>
        <w:spacing w:before="156" w:after="156" w:line="360" w:lineRule="auto"/>
        <w:ind w:firstLine="617"/>
        <w:jc w:val="center"/>
        <w:rPr>
          <w:rFonts w:ascii="宋体" w:hAnsi="宋体" w:cs="宋体"/>
          <w:b/>
          <w:bCs/>
          <w:snapToGrid w:val="0"/>
          <w:spacing w:val="4"/>
          <w:kern w:val="0"/>
          <w:sz w:val="36"/>
          <w:szCs w:val="36"/>
        </w:rPr>
      </w:pPr>
      <w:r>
        <w:rPr>
          <w:rFonts w:hint="eastAsia" w:ascii="宋体" w:hAnsi="宋体" w:cs="宋体"/>
          <w:b/>
          <w:bCs/>
          <w:snapToGrid w:val="0"/>
          <w:spacing w:val="4"/>
          <w:kern w:val="0"/>
          <w:sz w:val="36"/>
          <w:szCs w:val="36"/>
        </w:rPr>
        <w:t>参与编制技术标投标文件人员名单</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1497"/>
        <w:gridCol w:w="2538"/>
        <w:gridCol w:w="2434"/>
        <w:gridCol w:w="1480"/>
      </w:tblGrid>
      <w:tr w14:paraId="5CC3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310C58B">
            <w:pPr>
              <w:tabs>
                <w:tab w:val="left" w:pos="720"/>
              </w:tabs>
              <w:snapToGrid w:val="0"/>
              <w:spacing w:line="360" w:lineRule="auto"/>
              <w:jc w:val="center"/>
              <w:rPr>
                <w:rFonts w:ascii="宋体" w:hAnsi="宋体" w:cs="宋体"/>
                <w:szCs w:val="21"/>
              </w:rPr>
            </w:pPr>
            <w:r>
              <w:rPr>
                <w:rFonts w:hint="eastAsia" w:ascii="宋体" w:hAnsi="宋体" w:cs="宋体"/>
                <w:szCs w:val="21"/>
              </w:rPr>
              <w:t>投标人名称</w:t>
            </w:r>
          </w:p>
        </w:tc>
      </w:tr>
      <w:tr w14:paraId="44B9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601867F2">
            <w:pPr>
              <w:tabs>
                <w:tab w:val="left" w:pos="720"/>
              </w:tabs>
              <w:snapToGrid w:val="0"/>
              <w:spacing w:line="360" w:lineRule="auto"/>
              <w:jc w:val="center"/>
              <w:rPr>
                <w:rFonts w:ascii="宋体" w:hAnsi="宋体" w:cs="宋体"/>
                <w:szCs w:val="21"/>
              </w:rPr>
            </w:pPr>
            <w:r>
              <w:rPr>
                <w:rFonts w:hint="eastAsia" w:ascii="宋体" w:hAnsi="宋体" w:cs="宋体"/>
                <w:szCs w:val="21"/>
              </w:rPr>
              <w:t>姓名</w:t>
            </w:r>
          </w:p>
        </w:tc>
        <w:tc>
          <w:tcPr>
            <w:tcW w:w="810" w:type="pct"/>
            <w:tcBorders>
              <w:top w:val="single" w:color="auto" w:sz="4" w:space="0"/>
              <w:left w:val="single" w:color="auto" w:sz="4" w:space="0"/>
              <w:bottom w:val="single" w:color="auto" w:sz="4" w:space="0"/>
              <w:right w:val="single" w:color="auto" w:sz="4" w:space="0"/>
            </w:tcBorders>
            <w:vAlign w:val="center"/>
          </w:tcPr>
          <w:p w14:paraId="107FB964">
            <w:pPr>
              <w:tabs>
                <w:tab w:val="left" w:pos="720"/>
              </w:tabs>
              <w:snapToGrid w:val="0"/>
              <w:spacing w:line="360" w:lineRule="auto"/>
              <w:jc w:val="center"/>
              <w:rPr>
                <w:rFonts w:ascii="宋体" w:hAnsi="宋体" w:cs="宋体"/>
                <w:szCs w:val="21"/>
              </w:rPr>
            </w:pPr>
            <w:r>
              <w:rPr>
                <w:rFonts w:hint="eastAsia" w:ascii="宋体" w:hAnsi="宋体" w:cs="宋体"/>
                <w:szCs w:val="21"/>
              </w:rPr>
              <w:t>职务</w:t>
            </w:r>
          </w:p>
        </w:tc>
        <w:tc>
          <w:tcPr>
            <w:tcW w:w="1373" w:type="pct"/>
            <w:tcBorders>
              <w:top w:val="single" w:color="auto" w:sz="4" w:space="0"/>
              <w:left w:val="single" w:color="auto" w:sz="4" w:space="0"/>
              <w:bottom w:val="single" w:color="auto" w:sz="4" w:space="0"/>
              <w:right w:val="single" w:color="auto" w:sz="4" w:space="0"/>
            </w:tcBorders>
            <w:vAlign w:val="center"/>
          </w:tcPr>
          <w:p w14:paraId="3A5CCEF1">
            <w:pPr>
              <w:tabs>
                <w:tab w:val="left" w:pos="720"/>
              </w:tabs>
              <w:snapToGrid w:val="0"/>
              <w:spacing w:line="360" w:lineRule="auto"/>
              <w:jc w:val="center"/>
              <w:rPr>
                <w:rFonts w:ascii="宋体" w:hAnsi="宋体" w:cs="宋体"/>
                <w:szCs w:val="21"/>
              </w:rPr>
            </w:pPr>
            <w:r>
              <w:rPr>
                <w:rFonts w:hint="eastAsia" w:ascii="宋体" w:hAnsi="宋体" w:cs="宋体"/>
                <w:szCs w:val="21"/>
              </w:rPr>
              <w:t>所承担工作</w:t>
            </w:r>
          </w:p>
        </w:tc>
        <w:tc>
          <w:tcPr>
            <w:tcW w:w="1317" w:type="pct"/>
            <w:tcBorders>
              <w:top w:val="single" w:color="auto" w:sz="4" w:space="0"/>
              <w:left w:val="single" w:color="auto" w:sz="4" w:space="0"/>
              <w:bottom w:val="single" w:color="auto" w:sz="4" w:space="0"/>
              <w:right w:val="single" w:color="auto" w:sz="4" w:space="0"/>
            </w:tcBorders>
            <w:vAlign w:val="center"/>
          </w:tcPr>
          <w:p w14:paraId="7F3328A7">
            <w:pPr>
              <w:tabs>
                <w:tab w:val="left" w:pos="720"/>
              </w:tabs>
              <w:snapToGrid w:val="0"/>
              <w:spacing w:line="360" w:lineRule="auto"/>
              <w:jc w:val="center"/>
              <w:rPr>
                <w:rFonts w:ascii="宋体" w:hAnsi="宋体" w:cs="宋体"/>
                <w:szCs w:val="21"/>
              </w:rPr>
            </w:pPr>
            <w:r>
              <w:rPr>
                <w:rFonts w:hint="eastAsia" w:ascii="宋体" w:hAnsi="宋体" w:cs="宋体"/>
                <w:szCs w:val="21"/>
              </w:rPr>
              <w:t>身份证号码</w:t>
            </w:r>
          </w:p>
        </w:tc>
        <w:tc>
          <w:tcPr>
            <w:tcW w:w="800" w:type="pct"/>
            <w:tcBorders>
              <w:top w:val="single" w:color="auto" w:sz="4" w:space="0"/>
              <w:left w:val="single" w:color="auto" w:sz="4" w:space="0"/>
              <w:bottom w:val="single" w:color="auto" w:sz="4" w:space="0"/>
              <w:right w:val="single" w:color="auto" w:sz="4" w:space="0"/>
            </w:tcBorders>
            <w:vAlign w:val="center"/>
          </w:tcPr>
          <w:p w14:paraId="6FF27B31">
            <w:pPr>
              <w:tabs>
                <w:tab w:val="left" w:pos="720"/>
              </w:tabs>
              <w:snapToGrid w:val="0"/>
              <w:spacing w:line="360" w:lineRule="auto"/>
              <w:jc w:val="center"/>
              <w:rPr>
                <w:rFonts w:ascii="宋体" w:hAnsi="宋体" w:cs="宋体"/>
                <w:szCs w:val="21"/>
              </w:rPr>
            </w:pPr>
            <w:r>
              <w:rPr>
                <w:rFonts w:hint="eastAsia" w:ascii="宋体" w:hAnsi="宋体" w:cs="宋体"/>
                <w:szCs w:val="21"/>
              </w:rPr>
              <w:t>本人签名栏</w:t>
            </w:r>
          </w:p>
        </w:tc>
      </w:tr>
      <w:tr w14:paraId="1D01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4697C31A">
            <w:pPr>
              <w:tabs>
                <w:tab w:val="left" w:pos="720"/>
              </w:tabs>
              <w:snapToGrid w:val="0"/>
              <w:spacing w:line="360" w:lineRule="auto"/>
              <w:jc w:val="center"/>
              <w:rPr>
                <w:rFonts w:ascii="宋体" w:hAnsi="宋体" w:cs="宋体"/>
                <w:szCs w:val="21"/>
              </w:rPr>
            </w:pPr>
          </w:p>
        </w:tc>
        <w:tc>
          <w:tcPr>
            <w:tcW w:w="810" w:type="pct"/>
            <w:tcBorders>
              <w:top w:val="single" w:color="auto" w:sz="4" w:space="0"/>
              <w:left w:val="single" w:color="auto" w:sz="4" w:space="0"/>
              <w:bottom w:val="single" w:color="auto" w:sz="4" w:space="0"/>
              <w:right w:val="single" w:color="auto" w:sz="4" w:space="0"/>
            </w:tcBorders>
            <w:vAlign w:val="center"/>
          </w:tcPr>
          <w:p w14:paraId="20D30205">
            <w:pPr>
              <w:tabs>
                <w:tab w:val="left" w:pos="720"/>
              </w:tabs>
              <w:snapToGrid w:val="0"/>
              <w:spacing w:line="360" w:lineRule="auto"/>
              <w:jc w:val="center"/>
              <w:rPr>
                <w:rFonts w:ascii="宋体" w:hAnsi="宋体" w:cs="宋体"/>
                <w:szCs w:val="21"/>
              </w:rPr>
            </w:pPr>
          </w:p>
        </w:tc>
        <w:tc>
          <w:tcPr>
            <w:tcW w:w="1373" w:type="pct"/>
            <w:tcBorders>
              <w:top w:val="single" w:color="auto" w:sz="4" w:space="0"/>
              <w:left w:val="single" w:color="auto" w:sz="4" w:space="0"/>
              <w:bottom w:val="single" w:color="auto" w:sz="4" w:space="0"/>
              <w:right w:val="single" w:color="auto" w:sz="4" w:space="0"/>
            </w:tcBorders>
            <w:vAlign w:val="center"/>
          </w:tcPr>
          <w:p w14:paraId="5EFC02A2">
            <w:pPr>
              <w:tabs>
                <w:tab w:val="left" w:pos="720"/>
              </w:tabs>
              <w:snapToGrid w:val="0"/>
              <w:spacing w:line="360" w:lineRule="auto"/>
              <w:jc w:val="center"/>
              <w:rPr>
                <w:rFonts w:ascii="宋体" w:hAnsi="宋体" w:cs="宋体"/>
                <w:szCs w:val="21"/>
              </w:rPr>
            </w:pPr>
          </w:p>
        </w:tc>
        <w:tc>
          <w:tcPr>
            <w:tcW w:w="1317" w:type="pct"/>
            <w:tcBorders>
              <w:top w:val="single" w:color="auto" w:sz="4" w:space="0"/>
              <w:left w:val="single" w:color="auto" w:sz="4" w:space="0"/>
              <w:bottom w:val="single" w:color="auto" w:sz="4" w:space="0"/>
              <w:right w:val="single" w:color="auto" w:sz="4" w:space="0"/>
            </w:tcBorders>
            <w:vAlign w:val="center"/>
          </w:tcPr>
          <w:p w14:paraId="2B3F1D2E">
            <w:pPr>
              <w:tabs>
                <w:tab w:val="left" w:pos="720"/>
              </w:tabs>
              <w:snapToGrid w:val="0"/>
              <w:spacing w:line="360" w:lineRule="auto"/>
              <w:jc w:val="center"/>
              <w:rPr>
                <w:rFonts w:ascii="宋体" w:hAnsi="宋体" w:cs="宋体"/>
                <w:szCs w:val="21"/>
              </w:rPr>
            </w:pPr>
          </w:p>
        </w:tc>
        <w:tc>
          <w:tcPr>
            <w:tcW w:w="800" w:type="pct"/>
            <w:tcBorders>
              <w:top w:val="single" w:color="auto" w:sz="4" w:space="0"/>
              <w:left w:val="single" w:color="auto" w:sz="4" w:space="0"/>
              <w:bottom w:val="single" w:color="auto" w:sz="4" w:space="0"/>
              <w:right w:val="single" w:color="auto" w:sz="4" w:space="0"/>
            </w:tcBorders>
            <w:vAlign w:val="center"/>
          </w:tcPr>
          <w:p w14:paraId="38B1615F">
            <w:pPr>
              <w:tabs>
                <w:tab w:val="left" w:pos="720"/>
              </w:tabs>
              <w:snapToGrid w:val="0"/>
              <w:spacing w:line="360" w:lineRule="auto"/>
              <w:jc w:val="center"/>
              <w:rPr>
                <w:rFonts w:ascii="宋体" w:hAnsi="宋体" w:cs="宋体"/>
                <w:szCs w:val="21"/>
              </w:rPr>
            </w:pPr>
          </w:p>
        </w:tc>
      </w:tr>
      <w:tr w14:paraId="2D92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561872BC">
            <w:pPr>
              <w:tabs>
                <w:tab w:val="left" w:pos="720"/>
              </w:tabs>
              <w:snapToGrid w:val="0"/>
              <w:spacing w:line="360" w:lineRule="auto"/>
              <w:jc w:val="center"/>
              <w:rPr>
                <w:rFonts w:ascii="宋体" w:hAnsi="宋体" w:cs="宋体"/>
                <w:szCs w:val="21"/>
              </w:rPr>
            </w:pPr>
          </w:p>
        </w:tc>
        <w:tc>
          <w:tcPr>
            <w:tcW w:w="810" w:type="pct"/>
            <w:tcBorders>
              <w:top w:val="single" w:color="auto" w:sz="4" w:space="0"/>
              <w:left w:val="single" w:color="auto" w:sz="4" w:space="0"/>
              <w:bottom w:val="single" w:color="auto" w:sz="4" w:space="0"/>
              <w:right w:val="single" w:color="auto" w:sz="4" w:space="0"/>
            </w:tcBorders>
            <w:vAlign w:val="center"/>
          </w:tcPr>
          <w:p w14:paraId="26671A49">
            <w:pPr>
              <w:tabs>
                <w:tab w:val="left" w:pos="720"/>
              </w:tabs>
              <w:snapToGrid w:val="0"/>
              <w:spacing w:line="360" w:lineRule="auto"/>
              <w:jc w:val="center"/>
              <w:rPr>
                <w:rFonts w:ascii="宋体" w:hAnsi="宋体" w:cs="宋体"/>
                <w:szCs w:val="21"/>
              </w:rPr>
            </w:pPr>
          </w:p>
        </w:tc>
        <w:tc>
          <w:tcPr>
            <w:tcW w:w="1373" w:type="pct"/>
            <w:tcBorders>
              <w:top w:val="single" w:color="auto" w:sz="4" w:space="0"/>
              <w:left w:val="single" w:color="auto" w:sz="4" w:space="0"/>
              <w:bottom w:val="single" w:color="auto" w:sz="4" w:space="0"/>
              <w:right w:val="single" w:color="auto" w:sz="4" w:space="0"/>
            </w:tcBorders>
            <w:vAlign w:val="center"/>
          </w:tcPr>
          <w:p w14:paraId="333922D5">
            <w:pPr>
              <w:tabs>
                <w:tab w:val="left" w:pos="720"/>
              </w:tabs>
              <w:snapToGrid w:val="0"/>
              <w:spacing w:line="360" w:lineRule="auto"/>
              <w:jc w:val="center"/>
              <w:rPr>
                <w:rFonts w:ascii="宋体" w:hAnsi="宋体" w:cs="宋体"/>
                <w:szCs w:val="21"/>
              </w:rPr>
            </w:pPr>
          </w:p>
        </w:tc>
        <w:tc>
          <w:tcPr>
            <w:tcW w:w="1317" w:type="pct"/>
            <w:tcBorders>
              <w:top w:val="single" w:color="auto" w:sz="4" w:space="0"/>
              <w:left w:val="single" w:color="auto" w:sz="4" w:space="0"/>
              <w:bottom w:val="single" w:color="auto" w:sz="4" w:space="0"/>
              <w:right w:val="single" w:color="auto" w:sz="4" w:space="0"/>
            </w:tcBorders>
            <w:vAlign w:val="center"/>
          </w:tcPr>
          <w:p w14:paraId="6695047F">
            <w:pPr>
              <w:tabs>
                <w:tab w:val="left" w:pos="720"/>
              </w:tabs>
              <w:snapToGrid w:val="0"/>
              <w:spacing w:line="360" w:lineRule="auto"/>
              <w:jc w:val="center"/>
              <w:rPr>
                <w:rFonts w:ascii="宋体" w:hAnsi="宋体" w:cs="宋体"/>
                <w:szCs w:val="21"/>
              </w:rPr>
            </w:pPr>
          </w:p>
        </w:tc>
        <w:tc>
          <w:tcPr>
            <w:tcW w:w="800" w:type="pct"/>
            <w:tcBorders>
              <w:top w:val="single" w:color="auto" w:sz="4" w:space="0"/>
              <w:left w:val="single" w:color="auto" w:sz="4" w:space="0"/>
              <w:bottom w:val="single" w:color="auto" w:sz="4" w:space="0"/>
              <w:right w:val="single" w:color="auto" w:sz="4" w:space="0"/>
            </w:tcBorders>
            <w:vAlign w:val="center"/>
          </w:tcPr>
          <w:p w14:paraId="23B84760">
            <w:pPr>
              <w:tabs>
                <w:tab w:val="left" w:pos="720"/>
              </w:tabs>
              <w:snapToGrid w:val="0"/>
              <w:spacing w:line="360" w:lineRule="auto"/>
              <w:jc w:val="center"/>
              <w:rPr>
                <w:rFonts w:ascii="宋体" w:hAnsi="宋体" w:cs="宋体"/>
                <w:szCs w:val="21"/>
              </w:rPr>
            </w:pPr>
          </w:p>
        </w:tc>
      </w:tr>
      <w:tr w14:paraId="5E04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5EF09424">
            <w:pPr>
              <w:tabs>
                <w:tab w:val="left" w:pos="720"/>
              </w:tabs>
              <w:snapToGrid w:val="0"/>
              <w:spacing w:line="360" w:lineRule="auto"/>
              <w:jc w:val="center"/>
              <w:rPr>
                <w:rFonts w:ascii="宋体" w:hAnsi="宋体" w:cs="宋体"/>
                <w:szCs w:val="21"/>
              </w:rPr>
            </w:pPr>
          </w:p>
        </w:tc>
        <w:tc>
          <w:tcPr>
            <w:tcW w:w="810" w:type="pct"/>
            <w:tcBorders>
              <w:top w:val="single" w:color="auto" w:sz="4" w:space="0"/>
              <w:left w:val="single" w:color="auto" w:sz="4" w:space="0"/>
              <w:bottom w:val="single" w:color="auto" w:sz="4" w:space="0"/>
              <w:right w:val="single" w:color="auto" w:sz="4" w:space="0"/>
            </w:tcBorders>
            <w:vAlign w:val="center"/>
          </w:tcPr>
          <w:p w14:paraId="5589DAA1">
            <w:pPr>
              <w:tabs>
                <w:tab w:val="left" w:pos="720"/>
              </w:tabs>
              <w:snapToGrid w:val="0"/>
              <w:spacing w:line="360" w:lineRule="auto"/>
              <w:jc w:val="center"/>
              <w:rPr>
                <w:rFonts w:ascii="宋体" w:hAnsi="宋体" w:cs="宋体"/>
                <w:szCs w:val="21"/>
              </w:rPr>
            </w:pPr>
          </w:p>
        </w:tc>
        <w:tc>
          <w:tcPr>
            <w:tcW w:w="1373" w:type="pct"/>
            <w:tcBorders>
              <w:top w:val="single" w:color="auto" w:sz="4" w:space="0"/>
              <w:left w:val="single" w:color="auto" w:sz="4" w:space="0"/>
              <w:bottom w:val="single" w:color="auto" w:sz="4" w:space="0"/>
              <w:right w:val="single" w:color="auto" w:sz="4" w:space="0"/>
            </w:tcBorders>
            <w:vAlign w:val="center"/>
          </w:tcPr>
          <w:p w14:paraId="1E6930F8">
            <w:pPr>
              <w:tabs>
                <w:tab w:val="left" w:pos="720"/>
              </w:tabs>
              <w:snapToGrid w:val="0"/>
              <w:spacing w:line="360" w:lineRule="auto"/>
              <w:jc w:val="center"/>
              <w:rPr>
                <w:rFonts w:ascii="宋体" w:hAnsi="宋体" w:cs="宋体"/>
                <w:szCs w:val="21"/>
              </w:rPr>
            </w:pPr>
          </w:p>
        </w:tc>
        <w:tc>
          <w:tcPr>
            <w:tcW w:w="1317" w:type="pct"/>
            <w:tcBorders>
              <w:top w:val="single" w:color="auto" w:sz="4" w:space="0"/>
              <w:left w:val="single" w:color="auto" w:sz="4" w:space="0"/>
              <w:bottom w:val="single" w:color="auto" w:sz="4" w:space="0"/>
              <w:right w:val="single" w:color="auto" w:sz="4" w:space="0"/>
            </w:tcBorders>
            <w:vAlign w:val="center"/>
          </w:tcPr>
          <w:p w14:paraId="3F4FD340">
            <w:pPr>
              <w:tabs>
                <w:tab w:val="left" w:pos="720"/>
              </w:tabs>
              <w:snapToGrid w:val="0"/>
              <w:spacing w:line="360" w:lineRule="auto"/>
              <w:jc w:val="center"/>
              <w:rPr>
                <w:rFonts w:ascii="宋体" w:hAnsi="宋体" w:cs="宋体"/>
                <w:szCs w:val="21"/>
              </w:rPr>
            </w:pPr>
          </w:p>
        </w:tc>
        <w:tc>
          <w:tcPr>
            <w:tcW w:w="800" w:type="pct"/>
            <w:tcBorders>
              <w:top w:val="single" w:color="auto" w:sz="4" w:space="0"/>
              <w:left w:val="single" w:color="auto" w:sz="4" w:space="0"/>
              <w:bottom w:val="single" w:color="auto" w:sz="4" w:space="0"/>
              <w:right w:val="single" w:color="auto" w:sz="4" w:space="0"/>
            </w:tcBorders>
            <w:vAlign w:val="center"/>
          </w:tcPr>
          <w:p w14:paraId="1D4F0C76">
            <w:pPr>
              <w:tabs>
                <w:tab w:val="left" w:pos="720"/>
              </w:tabs>
              <w:snapToGrid w:val="0"/>
              <w:spacing w:line="360" w:lineRule="auto"/>
              <w:jc w:val="center"/>
              <w:rPr>
                <w:rFonts w:ascii="宋体" w:hAnsi="宋体" w:cs="宋体"/>
                <w:szCs w:val="21"/>
              </w:rPr>
            </w:pPr>
          </w:p>
        </w:tc>
      </w:tr>
      <w:tr w14:paraId="2EC8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2D17FB30">
            <w:pPr>
              <w:tabs>
                <w:tab w:val="left" w:pos="720"/>
              </w:tabs>
              <w:snapToGrid w:val="0"/>
              <w:spacing w:line="360" w:lineRule="auto"/>
              <w:jc w:val="center"/>
              <w:rPr>
                <w:rFonts w:ascii="宋体" w:hAnsi="宋体" w:cs="宋体"/>
                <w:szCs w:val="21"/>
              </w:rPr>
            </w:pPr>
          </w:p>
        </w:tc>
        <w:tc>
          <w:tcPr>
            <w:tcW w:w="810" w:type="pct"/>
            <w:tcBorders>
              <w:top w:val="single" w:color="auto" w:sz="4" w:space="0"/>
              <w:left w:val="single" w:color="auto" w:sz="4" w:space="0"/>
              <w:bottom w:val="single" w:color="auto" w:sz="4" w:space="0"/>
              <w:right w:val="single" w:color="auto" w:sz="4" w:space="0"/>
            </w:tcBorders>
            <w:vAlign w:val="center"/>
          </w:tcPr>
          <w:p w14:paraId="1230393A">
            <w:pPr>
              <w:tabs>
                <w:tab w:val="left" w:pos="720"/>
              </w:tabs>
              <w:snapToGrid w:val="0"/>
              <w:spacing w:line="360" w:lineRule="auto"/>
              <w:jc w:val="center"/>
              <w:rPr>
                <w:rFonts w:ascii="宋体" w:hAnsi="宋体" w:cs="宋体"/>
                <w:szCs w:val="21"/>
              </w:rPr>
            </w:pPr>
          </w:p>
        </w:tc>
        <w:tc>
          <w:tcPr>
            <w:tcW w:w="1373" w:type="pct"/>
            <w:tcBorders>
              <w:top w:val="single" w:color="auto" w:sz="4" w:space="0"/>
              <w:left w:val="single" w:color="auto" w:sz="4" w:space="0"/>
              <w:bottom w:val="single" w:color="auto" w:sz="4" w:space="0"/>
              <w:right w:val="single" w:color="auto" w:sz="4" w:space="0"/>
            </w:tcBorders>
            <w:vAlign w:val="center"/>
          </w:tcPr>
          <w:p w14:paraId="51FE08B7">
            <w:pPr>
              <w:tabs>
                <w:tab w:val="left" w:pos="720"/>
              </w:tabs>
              <w:snapToGrid w:val="0"/>
              <w:spacing w:line="360" w:lineRule="auto"/>
              <w:jc w:val="center"/>
              <w:rPr>
                <w:rFonts w:ascii="宋体" w:hAnsi="宋体" w:cs="宋体"/>
                <w:szCs w:val="21"/>
              </w:rPr>
            </w:pPr>
          </w:p>
        </w:tc>
        <w:tc>
          <w:tcPr>
            <w:tcW w:w="1317" w:type="pct"/>
            <w:tcBorders>
              <w:top w:val="single" w:color="auto" w:sz="4" w:space="0"/>
              <w:left w:val="single" w:color="auto" w:sz="4" w:space="0"/>
              <w:bottom w:val="single" w:color="auto" w:sz="4" w:space="0"/>
              <w:right w:val="single" w:color="auto" w:sz="4" w:space="0"/>
            </w:tcBorders>
            <w:vAlign w:val="center"/>
          </w:tcPr>
          <w:p w14:paraId="1077DFB6">
            <w:pPr>
              <w:tabs>
                <w:tab w:val="left" w:pos="720"/>
              </w:tabs>
              <w:snapToGrid w:val="0"/>
              <w:spacing w:line="360" w:lineRule="auto"/>
              <w:jc w:val="center"/>
              <w:rPr>
                <w:rFonts w:ascii="宋体" w:hAnsi="宋体" w:cs="宋体"/>
                <w:szCs w:val="21"/>
              </w:rPr>
            </w:pPr>
          </w:p>
        </w:tc>
        <w:tc>
          <w:tcPr>
            <w:tcW w:w="800" w:type="pct"/>
            <w:tcBorders>
              <w:top w:val="single" w:color="auto" w:sz="4" w:space="0"/>
              <w:left w:val="single" w:color="auto" w:sz="4" w:space="0"/>
              <w:bottom w:val="single" w:color="auto" w:sz="4" w:space="0"/>
              <w:right w:val="single" w:color="auto" w:sz="4" w:space="0"/>
            </w:tcBorders>
            <w:vAlign w:val="center"/>
          </w:tcPr>
          <w:p w14:paraId="7EA5812C">
            <w:pPr>
              <w:tabs>
                <w:tab w:val="left" w:pos="720"/>
              </w:tabs>
              <w:snapToGrid w:val="0"/>
              <w:spacing w:line="360" w:lineRule="auto"/>
              <w:jc w:val="center"/>
              <w:rPr>
                <w:rFonts w:ascii="宋体" w:hAnsi="宋体" w:cs="宋体"/>
                <w:szCs w:val="21"/>
              </w:rPr>
            </w:pPr>
          </w:p>
        </w:tc>
      </w:tr>
      <w:tr w14:paraId="3E4F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47BB12BC">
            <w:pPr>
              <w:tabs>
                <w:tab w:val="left" w:pos="720"/>
              </w:tabs>
              <w:snapToGrid w:val="0"/>
              <w:spacing w:line="360" w:lineRule="auto"/>
              <w:jc w:val="center"/>
              <w:rPr>
                <w:rFonts w:ascii="宋体" w:hAnsi="宋体" w:cs="宋体"/>
                <w:szCs w:val="21"/>
              </w:rPr>
            </w:pPr>
          </w:p>
        </w:tc>
        <w:tc>
          <w:tcPr>
            <w:tcW w:w="810" w:type="pct"/>
            <w:tcBorders>
              <w:top w:val="single" w:color="auto" w:sz="4" w:space="0"/>
              <w:left w:val="single" w:color="auto" w:sz="4" w:space="0"/>
              <w:bottom w:val="single" w:color="auto" w:sz="4" w:space="0"/>
              <w:right w:val="single" w:color="auto" w:sz="4" w:space="0"/>
            </w:tcBorders>
            <w:vAlign w:val="center"/>
          </w:tcPr>
          <w:p w14:paraId="1B89E0AF">
            <w:pPr>
              <w:tabs>
                <w:tab w:val="left" w:pos="720"/>
              </w:tabs>
              <w:snapToGrid w:val="0"/>
              <w:spacing w:line="360" w:lineRule="auto"/>
              <w:jc w:val="center"/>
              <w:rPr>
                <w:rFonts w:ascii="宋体" w:hAnsi="宋体" w:cs="宋体"/>
                <w:szCs w:val="21"/>
              </w:rPr>
            </w:pPr>
          </w:p>
        </w:tc>
        <w:tc>
          <w:tcPr>
            <w:tcW w:w="1373" w:type="pct"/>
            <w:tcBorders>
              <w:top w:val="single" w:color="auto" w:sz="4" w:space="0"/>
              <w:left w:val="single" w:color="auto" w:sz="4" w:space="0"/>
              <w:bottom w:val="single" w:color="auto" w:sz="4" w:space="0"/>
              <w:right w:val="single" w:color="auto" w:sz="4" w:space="0"/>
            </w:tcBorders>
            <w:vAlign w:val="center"/>
          </w:tcPr>
          <w:p w14:paraId="53B5495B">
            <w:pPr>
              <w:tabs>
                <w:tab w:val="left" w:pos="720"/>
              </w:tabs>
              <w:snapToGrid w:val="0"/>
              <w:spacing w:line="360" w:lineRule="auto"/>
              <w:jc w:val="center"/>
              <w:rPr>
                <w:rFonts w:ascii="宋体" w:hAnsi="宋体" w:cs="宋体"/>
                <w:szCs w:val="21"/>
              </w:rPr>
            </w:pPr>
          </w:p>
        </w:tc>
        <w:tc>
          <w:tcPr>
            <w:tcW w:w="1317" w:type="pct"/>
            <w:tcBorders>
              <w:top w:val="single" w:color="auto" w:sz="4" w:space="0"/>
              <w:left w:val="single" w:color="auto" w:sz="4" w:space="0"/>
              <w:bottom w:val="single" w:color="auto" w:sz="4" w:space="0"/>
              <w:right w:val="single" w:color="auto" w:sz="4" w:space="0"/>
            </w:tcBorders>
            <w:vAlign w:val="center"/>
          </w:tcPr>
          <w:p w14:paraId="5E13E363">
            <w:pPr>
              <w:tabs>
                <w:tab w:val="left" w:pos="720"/>
              </w:tabs>
              <w:snapToGrid w:val="0"/>
              <w:spacing w:line="360" w:lineRule="auto"/>
              <w:jc w:val="center"/>
              <w:rPr>
                <w:rFonts w:ascii="宋体" w:hAnsi="宋体" w:cs="宋体"/>
                <w:szCs w:val="21"/>
              </w:rPr>
            </w:pPr>
          </w:p>
        </w:tc>
        <w:tc>
          <w:tcPr>
            <w:tcW w:w="800" w:type="pct"/>
            <w:tcBorders>
              <w:top w:val="single" w:color="auto" w:sz="4" w:space="0"/>
              <w:left w:val="single" w:color="auto" w:sz="4" w:space="0"/>
              <w:bottom w:val="single" w:color="auto" w:sz="4" w:space="0"/>
              <w:right w:val="single" w:color="auto" w:sz="4" w:space="0"/>
            </w:tcBorders>
            <w:vAlign w:val="center"/>
          </w:tcPr>
          <w:p w14:paraId="0C427C2B">
            <w:pPr>
              <w:tabs>
                <w:tab w:val="left" w:pos="720"/>
              </w:tabs>
              <w:snapToGrid w:val="0"/>
              <w:spacing w:line="360" w:lineRule="auto"/>
              <w:jc w:val="center"/>
              <w:rPr>
                <w:rFonts w:ascii="宋体" w:hAnsi="宋体" w:cs="宋体"/>
                <w:szCs w:val="21"/>
              </w:rPr>
            </w:pPr>
          </w:p>
        </w:tc>
      </w:tr>
      <w:tr w14:paraId="625A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16907D86">
            <w:pPr>
              <w:tabs>
                <w:tab w:val="left" w:pos="720"/>
              </w:tabs>
              <w:snapToGrid w:val="0"/>
              <w:spacing w:line="360" w:lineRule="auto"/>
              <w:jc w:val="center"/>
              <w:rPr>
                <w:rFonts w:ascii="宋体" w:hAnsi="宋体" w:cs="宋体"/>
                <w:szCs w:val="21"/>
              </w:rPr>
            </w:pPr>
          </w:p>
        </w:tc>
        <w:tc>
          <w:tcPr>
            <w:tcW w:w="810" w:type="pct"/>
            <w:tcBorders>
              <w:top w:val="single" w:color="auto" w:sz="4" w:space="0"/>
              <w:left w:val="single" w:color="auto" w:sz="4" w:space="0"/>
              <w:bottom w:val="single" w:color="auto" w:sz="4" w:space="0"/>
              <w:right w:val="single" w:color="auto" w:sz="4" w:space="0"/>
            </w:tcBorders>
            <w:vAlign w:val="center"/>
          </w:tcPr>
          <w:p w14:paraId="2D2312B7">
            <w:pPr>
              <w:tabs>
                <w:tab w:val="left" w:pos="720"/>
              </w:tabs>
              <w:snapToGrid w:val="0"/>
              <w:spacing w:line="360" w:lineRule="auto"/>
              <w:jc w:val="center"/>
              <w:rPr>
                <w:rFonts w:ascii="宋体" w:hAnsi="宋体" w:cs="宋体"/>
                <w:szCs w:val="21"/>
              </w:rPr>
            </w:pPr>
          </w:p>
        </w:tc>
        <w:tc>
          <w:tcPr>
            <w:tcW w:w="1373" w:type="pct"/>
            <w:tcBorders>
              <w:top w:val="single" w:color="auto" w:sz="4" w:space="0"/>
              <w:left w:val="single" w:color="auto" w:sz="4" w:space="0"/>
              <w:bottom w:val="single" w:color="auto" w:sz="4" w:space="0"/>
              <w:right w:val="single" w:color="auto" w:sz="4" w:space="0"/>
            </w:tcBorders>
            <w:vAlign w:val="center"/>
          </w:tcPr>
          <w:p w14:paraId="2E5B0807">
            <w:pPr>
              <w:tabs>
                <w:tab w:val="left" w:pos="720"/>
              </w:tabs>
              <w:snapToGrid w:val="0"/>
              <w:spacing w:line="360" w:lineRule="auto"/>
              <w:jc w:val="center"/>
              <w:rPr>
                <w:rFonts w:ascii="宋体" w:hAnsi="宋体" w:cs="宋体"/>
                <w:szCs w:val="21"/>
              </w:rPr>
            </w:pPr>
          </w:p>
        </w:tc>
        <w:tc>
          <w:tcPr>
            <w:tcW w:w="1317" w:type="pct"/>
            <w:tcBorders>
              <w:top w:val="single" w:color="auto" w:sz="4" w:space="0"/>
              <w:left w:val="single" w:color="auto" w:sz="4" w:space="0"/>
              <w:bottom w:val="single" w:color="auto" w:sz="4" w:space="0"/>
              <w:right w:val="single" w:color="auto" w:sz="4" w:space="0"/>
            </w:tcBorders>
            <w:vAlign w:val="center"/>
          </w:tcPr>
          <w:p w14:paraId="70C6915E">
            <w:pPr>
              <w:tabs>
                <w:tab w:val="left" w:pos="720"/>
              </w:tabs>
              <w:snapToGrid w:val="0"/>
              <w:spacing w:line="360" w:lineRule="auto"/>
              <w:jc w:val="center"/>
              <w:rPr>
                <w:rFonts w:ascii="宋体" w:hAnsi="宋体" w:cs="宋体"/>
                <w:szCs w:val="21"/>
              </w:rPr>
            </w:pPr>
          </w:p>
        </w:tc>
        <w:tc>
          <w:tcPr>
            <w:tcW w:w="800" w:type="pct"/>
            <w:tcBorders>
              <w:top w:val="single" w:color="auto" w:sz="4" w:space="0"/>
              <w:left w:val="single" w:color="auto" w:sz="4" w:space="0"/>
              <w:bottom w:val="single" w:color="auto" w:sz="4" w:space="0"/>
              <w:right w:val="single" w:color="auto" w:sz="4" w:space="0"/>
            </w:tcBorders>
            <w:vAlign w:val="center"/>
          </w:tcPr>
          <w:p w14:paraId="33467B91">
            <w:pPr>
              <w:tabs>
                <w:tab w:val="left" w:pos="720"/>
              </w:tabs>
              <w:snapToGrid w:val="0"/>
              <w:spacing w:line="360" w:lineRule="auto"/>
              <w:jc w:val="center"/>
              <w:rPr>
                <w:rFonts w:ascii="宋体" w:hAnsi="宋体" w:cs="宋体"/>
                <w:szCs w:val="21"/>
              </w:rPr>
            </w:pPr>
          </w:p>
        </w:tc>
      </w:tr>
      <w:tr w14:paraId="0306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4BE8E61B">
            <w:pPr>
              <w:tabs>
                <w:tab w:val="left" w:pos="720"/>
              </w:tabs>
              <w:snapToGrid w:val="0"/>
              <w:spacing w:line="360" w:lineRule="auto"/>
              <w:jc w:val="center"/>
              <w:rPr>
                <w:rFonts w:ascii="宋体" w:hAnsi="宋体" w:cs="宋体"/>
                <w:szCs w:val="21"/>
              </w:rPr>
            </w:pPr>
          </w:p>
        </w:tc>
        <w:tc>
          <w:tcPr>
            <w:tcW w:w="810" w:type="pct"/>
            <w:tcBorders>
              <w:top w:val="single" w:color="auto" w:sz="4" w:space="0"/>
              <w:left w:val="single" w:color="auto" w:sz="4" w:space="0"/>
              <w:bottom w:val="single" w:color="auto" w:sz="4" w:space="0"/>
              <w:right w:val="single" w:color="auto" w:sz="4" w:space="0"/>
            </w:tcBorders>
            <w:vAlign w:val="center"/>
          </w:tcPr>
          <w:p w14:paraId="72E7DBCB">
            <w:pPr>
              <w:tabs>
                <w:tab w:val="left" w:pos="720"/>
              </w:tabs>
              <w:snapToGrid w:val="0"/>
              <w:spacing w:line="360" w:lineRule="auto"/>
              <w:jc w:val="center"/>
              <w:rPr>
                <w:rFonts w:ascii="宋体" w:hAnsi="宋体" w:cs="宋体"/>
                <w:szCs w:val="21"/>
              </w:rPr>
            </w:pPr>
          </w:p>
        </w:tc>
        <w:tc>
          <w:tcPr>
            <w:tcW w:w="1373" w:type="pct"/>
            <w:tcBorders>
              <w:top w:val="single" w:color="auto" w:sz="4" w:space="0"/>
              <w:left w:val="single" w:color="auto" w:sz="4" w:space="0"/>
              <w:bottom w:val="single" w:color="auto" w:sz="4" w:space="0"/>
              <w:right w:val="single" w:color="auto" w:sz="4" w:space="0"/>
            </w:tcBorders>
            <w:vAlign w:val="center"/>
          </w:tcPr>
          <w:p w14:paraId="02159338">
            <w:pPr>
              <w:tabs>
                <w:tab w:val="left" w:pos="720"/>
              </w:tabs>
              <w:snapToGrid w:val="0"/>
              <w:spacing w:line="360" w:lineRule="auto"/>
              <w:jc w:val="center"/>
              <w:rPr>
                <w:rFonts w:ascii="宋体" w:hAnsi="宋体" w:cs="宋体"/>
                <w:szCs w:val="21"/>
              </w:rPr>
            </w:pPr>
          </w:p>
        </w:tc>
        <w:tc>
          <w:tcPr>
            <w:tcW w:w="1317" w:type="pct"/>
            <w:tcBorders>
              <w:top w:val="single" w:color="auto" w:sz="4" w:space="0"/>
              <w:left w:val="single" w:color="auto" w:sz="4" w:space="0"/>
              <w:bottom w:val="single" w:color="auto" w:sz="4" w:space="0"/>
              <w:right w:val="single" w:color="auto" w:sz="4" w:space="0"/>
            </w:tcBorders>
            <w:vAlign w:val="center"/>
          </w:tcPr>
          <w:p w14:paraId="4995CE3D">
            <w:pPr>
              <w:tabs>
                <w:tab w:val="left" w:pos="720"/>
              </w:tabs>
              <w:snapToGrid w:val="0"/>
              <w:spacing w:line="360" w:lineRule="auto"/>
              <w:jc w:val="center"/>
              <w:rPr>
                <w:rFonts w:ascii="宋体" w:hAnsi="宋体" w:cs="宋体"/>
                <w:szCs w:val="21"/>
              </w:rPr>
            </w:pPr>
          </w:p>
        </w:tc>
        <w:tc>
          <w:tcPr>
            <w:tcW w:w="800" w:type="pct"/>
            <w:tcBorders>
              <w:top w:val="single" w:color="auto" w:sz="4" w:space="0"/>
              <w:left w:val="single" w:color="auto" w:sz="4" w:space="0"/>
              <w:bottom w:val="single" w:color="auto" w:sz="4" w:space="0"/>
              <w:right w:val="single" w:color="auto" w:sz="4" w:space="0"/>
            </w:tcBorders>
            <w:vAlign w:val="center"/>
          </w:tcPr>
          <w:p w14:paraId="64057F87">
            <w:pPr>
              <w:tabs>
                <w:tab w:val="left" w:pos="720"/>
              </w:tabs>
              <w:snapToGrid w:val="0"/>
              <w:spacing w:line="360" w:lineRule="auto"/>
              <w:jc w:val="center"/>
              <w:rPr>
                <w:rFonts w:ascii="宋体" w:hAnsi="宋体" w:cs="宋体"/>
                <w:szCs w:val="21"/>
              </w:rPr>
            </w:pPr>
          </w:p>
        </w:tc>
      </w:tr>
      <w:tr w14:paraId="1AAF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6C8FCE32">
            <w:pPr>
              <w:tabs>
                <w:tab w:val="left" w:pos="720"/>
              </w:tabs>
              <w:snapToGrid w:val="0"/>
              <w:spacing w:line="360" w:lineRule="auto"/>
              <w:jc w:val="center"/>
              <w:rPr>
                <w:rFonts w:ascii="宋体" w:hAnsi="宋体" w:cs="宋体"/>
                <w:szCs w:val="21"/>
              </w:rPr>
            </w:pPr>
          </w:p>
        </w:tc>
        <w:tc>
          <w:tcPr>
            <w:tcW w:w="810" w:type="pct"/>
            <w:tcBorders>
              <w:top w:val="single" w:color="auto" w:sz="4" w:space="0"/>
              <w:left w:val="single" w:color="auto" w:sz="4" w:space="0"/>
              <w:bottom w:val="single" w:color="auto" w:sz="4" w:space="0"/>
              <w:right w:val="single" w:color="auto" w:sz="4" w:space="0"/>
            </w:tcBorders>
            <w:vAlign w:val="center"/>
          </w:tcPr>
          <w:p w14:paraId="4F2A0604">
            <w:pPr>
              <w:tabs>
                <w:tab w:val="left" w:pos="720"/>
              </w:tabs>
              <w:snapToGrid w:val="0"/>
              <w:spacing w:line="360" w:lineRule="auto"/>
              <w:jc w:val="center"/>
              <w:rPr>
                <w:rFonts w:ascii="宋体" w:hAnsi="宋体" w:cs="宋体"/>
                <w:szCs w:val="21"/>
              </w:rPr>
            </w:pPr>
          </w:p>
        </w:tc>
        <w:tc>
          <w:tcPr>
            <w:tcW w:w="1373" w:type="pct"/>
            <w:tcBorders>
              <w:top w:val="single" w:color="auto" w:sz="4" w:space="0"/>
              <w:left w:val="single" w:color="auto" w:sz="4" w:space="0"/>
              <w:bottom w:val="single" w:color="auto" w:sz="4" w:space="0"/>
              <w:right w:val="single" w:color="auto" w:sz="4" w:space="0"/>
            </w:tcBorders>
            <w:vAlign w:val="center"/>
          </w:tcPr>
          <w:p w14:paraId="5E373AE6">
            <w:pPr>
              <w:tabs>
                <w:tab w:val="left" w:pos="720"/>
              </w:tabs>
              <w:snapToGrid w:val="0"/>
              <w:spacing w:line="360" w:lineRule="auto"/>
              <w:jc w:val="center"/>
              <w:rPr>
                <w:rFonts w:ascii="宋体" w:hAnsi="宋体" w:cs="宋体"/>
                <w:szCs w:val="21"/>
              </w:rPr>
            </w:pPr>
          </w:p>
        </w:tc>
        <w:tc>
          <w:tcPr>
            <w:tcW w:w="1317" w:type="pct"/>
            <w:tcBorders>
              <w:top w:val="single" w:color="auto" w:sz="4" w:space="0"/>
              <w:left w:val="single" w:color="auto" w:sz="4" w:space="0"/>
              <w:bottom w:val="single" w:color="auto" w:sz="4" w:space="0"/>
              <w:right w:val="single" w:color="auto" w:sz="4" w:space="0"/>
            </w:tcBorders>
            <w:vAlign w:val="center"/>
          </w:tcPr>
          <w:p w14:paraId="32F7C9B2">
            <w:pPr>
              <w:tabs>
                <w:tab w:val="left" w:pos="720"/>
              </w:tabs>
              <w:snapToGrid w:val="0"/>
              <w:spacing w:line="360" w:lineRule="auto"/>
              <w:jc w:val="center"/>
              <w:rPr>
                <w:rFonts w:ascii="宋体" w:hAnsi="宋体" w:cs="宋体"/>
                <w:szCs w:val="21"/>
              </w:rPr>
            </w:pPr>
          </w:p>
        </w:tc>
        <w:tc>
          <w:tcPr>
            <w:tcW w:w="800" w:type="pct"/>
            <w:tcBorders>
              <w:top w:val="single" w:color="auto" w:sz="4" w:space="0"/>
              <w:left w:val="single" w:color="auto" w:sz="4" w:space="0"/>
              <w:bottom w:val="single" w:color="auto" w:sz="4" w:space="0"/>
              <w:right w:val="single" w:color="auto" w:sz="4" w:space="0"/>
            </w:tcBorders>
            <w:vAlign w:val="center"/>
          </w:tcPr>
          <w:p w14:paraId="4B252F90">
            <w:pPr>
              <w:tabs>
                <w:tab w:val="left" w:pos="720"/>
              </w:tabs>
              <w:snapToGrid w:val="0"/>
              <w:spacing w:line="360" w:lineRule="auto"/>
              <w:jc w:val="center"/>
              <w:rPr>
                <w:rFonts w:ascii="宋体" w:hAnsi="宋体" w:cs="宋体"/>
                <w:szCs w:val="21"/>
              </w:rPr>
            </w:pPr>
          </w:p>
        </w:tc>
      </w:tr>
      <w:bookmarkEnd w:id="74"/>
    </w:tbl>
    <w:p w14:paraId="557BFAD1">
      <w:pPr>
        <w:tabs>
          <w:tab w:val="left" w:pos="720"/>
        </w:tabs>
        <w:snapToGrid w:val="0"/>
        <w:jc w:val="left"/>
        <w:rPr>
          <w:rFonts w:ascii="宋体" w:hAnsi="宋体" w:cs="宋体"/>
          <w:sz w:val="22"/>
        </w:rPr>
      </w:pPr>
      <w:r>
        <w:rPr>
          <w:rFonts w:hint="eastAsia" w:ascii="宋体" w:hAnsi="宋体" w:cs="宋体"/>
          <w:sz w:val="22"/>
        </w:rPr>
        <w:t>注：请填写参与编制技术标书的所有人员名单，如：编制技术投标方案、负责清样校对（如有）、负责打印及复印（如有）等所有人员在内的人员名单。</w:t>
      </w:r>
    </w:p>
    <w:bookmarkEnd w:id="58"/>
    <w:bookmarkEnd w:id="59"/>
    <w:bookmarkEnd w:id="60"/>
    <w:bookmarkEnd w:id="61"/>
    <w:bookmarkEnd w:id="62"/>
    <w:bookmarkEnd w:id="63"/>
    <w:bookmarkEnd w:id="64"/>
    <w:bookmarkEnd w:id="65"/>
    <w:bookmarkEnd w:id="66"/>
    <w:bookmarkEnd w:id="67"/>
    <w:bookmarkEnd w:id="68"/>
    <w:bookmarkEnd w:id="69"/>
    <w:p w14:paraId="4750730A">
      <w:pPr>
        <w:jc w:val="left"/>
        <w:rPr>
          <w:rFonts w:ascii="宋体" w:hAnsi="宋体" w:cs="宋体"/>
          <w:b/>
          <w:snapToGrid w:val="0"/>
          <w:spacing w:val="4"/>
          <w:kern w:val="0"/>
          <w:sz w:val="30"/>
          <w:szCs w:val="30"/>
        </w:rPr>
      </w:pPr>
      <w:bookmarkStart w:id="75" w:name="_Toc62134866"/>
      <w:bookmarkStart w:id="76" w:name="_Toc21343"/>
      <w:bookmarkStart w:id="77" w:name="_Toc14697669"/>
      <w:bookmarkStart w:id="78" w:name="_Toc7019447"/>
      <w:r>
        <w:rPr>
          <w:rFonts w:hint="eastAsia" w:ascii="宋体" w:hAnsi="宋体" w:cs="宋体"/>
          <w:b/>
          <w:snapToGrid w:val="0"/>
          <w:spacing w:val="4"/>
          <w:kern w:val="0"/>
          <w:sz w:val="30"/>
          <w:szCs w:val="30"/>
        </w:rPr>
        <w:br w:type="page"/>
      </w:r>
      <w:bookmarkStart w:id="79" w:name="_Toc28432"/>
      <w:r>
        <w:rPr>
          <w:rFonts w:hint="eastAsia" w:ascii="宋体" w:hAnsi="宋体" w:cs="宋体"/>
          <w:b/>
          <w:snapToGrid w:val="0"/>
          <w:spacing w:val="4"/>
          <w:kern w:val="0"/>
          <w:sz w:val="30"/>
          <w:szCs w:val="30"/>
        </w:rPr>
        <w:t>二、经济标投标文件格式</w:t>
      </w:r>
      <w:bookmarkEnd w:id="75"/>
      <w:bookmarkEnd w:id="76"/>
      <w:bookmarkEnd w:id="77"/>
      <w:bookmarkEnd w:id="78"/>
      <w:bookmarkEnd w:id="79"/>
    </w:p>
    <w:p w14:paraId="0F346F1E">
      <w:pPr>
        <w:topLinePunct/>
        <w:adjustRightInd w:val="0"/>
        <w:snapToGrid w:val="0"/>
        <w:spacing w:line="360" w:lineRule="auto"/>
        <w:ind w:firstLine="496" w:firstLineChars="200"/>
        <w:rPr>
          <w:rFonts w:ascii="宋体" w:hAnsi="宋体" w:cs="宋体"/>
          <w:snapToGrid w:val="0"/>
          <w:spacing w:val="4"/>
          <w:kern w:val="0"/>
          <w:sz w:val="24"/>
          <w:szCs w:val="24"/>
        </w:rPr>
      </w:pPr>
    </w:p>
    <w:p w14:paraId="7932341E">
      <w:pPr>
        <w:outlineLvl w:val="2"/>
        <w:rPr>
          <w:rFonts w:ascii="宋体" w:hAnsi="宋体" w:cs="宋体"/>
          <w:b/>
          <w:sz w:val="24"/>
          <w:szCs w:val="24"/>
        </w:rPr>
      </w:pPr>
      <w:bookmarkStart w:id="80" w:name="_Toc295"/>
      <w:r>
        <w:rPr>
          <w:rFonts w:hint="eastAsia" w:ascii="宋体" w:hAnsi="宋体" w:cs="宋体"/>
          <w:b/>
          <w:sz w:val="24"/>
          <w:szCs w:val="24"/>
        </w:rPr>
        <w:t>格式一：经济标封面</w:t>
      </w:r>
      <w:bookmarkEnd w:id="80"/>
    </w:p>
    <w:p w14:paraId="708F2A9F">
      <w:pPr>
        <w:topLinePunct/>
        <w:adjustRightInd w:val="0"/>
        <w:snapToGrid w:val="0"/>
        <w:spacing w:line="360" w:lineRule="auto"/>
        <w:ind w:firstLine="496" w:firstLineChars="200"/>
        <w:rPr>
          <w:rFonts w:ascii="宋体" w:hAnsi="宋体" w:cs="宋体"/>
          <w:snapToGrid w:val="0"/>
          <w:spacing w:val="4"/>
          <w:kern w:val="0"/>
          <w:sz w:val="24"/>
          <w:szCs w:val="24"/>
        </w:rPr>
      </w:pPr>
    </w:p>
    <w:p w14:paraId="4DB1080B">
      <w:pPr>
        <w:topLinePunct/>
        <w:adjustRightInd w:val="0"/>
        <w:snapToGrid w:val="0"/>
        <w:spacing w:line="360" w:lineRule="auto"/>
        <w:ind w:firstLine="496" w:firstLineChars="200"/>
        <w:rPr>
          <w:rFonts w:ascii="宋体" w:hAnsi="宋体" w:cs="宋体"/>
          <w:snapToGrid w:val="0"/>
          <w:spacing w:val="4"/>
          <w:kern w:val="0"/>
          <w:sz w:val="24"/>
          <w:szCs w:val="24"/>
        </w:rPr>
      </w:pPr>
    </w:p>
    <w:p w14:paraId="60F68B21">
      <w:pPr>
        <w:topLinePunct/>
        <w:adjustRightInd w:val="0"/>
        <w:snapToGrid w:val="0"/>
        <w:spacing w:line="360" w:lineRule="auto"/>
        <w:jc w:val="center"/>
        <w:rPr>
          <w:rFonts w:ascii="宋体" w:hAnsi="宋体" w:cs="宋体"/>
          <w:snapToGrid w:val="0"/>
          <w:spacing w:val="4"/>
          <w:kern w:val="0"/>
          <w:sz w:val="36"/>
          <w:szCs w:val="36"/>
          <w:u w:val="single"/>
        </w:rPr>
      </w:pPr>
      <w:r>
        <w:rPr>
          <w:rFonts w:hint="eastAsia" w:ascii="宋体" w:hAnsi="宋体" w:cs="宋体"/>
          <w:snapToGrid w:val="0"/>
          <w:spacing w:val="4"/>
          <w:kern w:val="0"/>
          <w:sz w:val="36"/>
          <w:szCs w:val="36"/>
          <w:u w:val="single"/>
        </w:rPr>
        <w:t xml:space="preserve">[工程名称] </w:t>
      </w:r>
    </w:p>
    <w:p w14:paraId="2D3BA4CA">
      <w:pPr>
        <w:topLinePunct/>
        <w:adjustRightInd w:val="0"/>
        <w:snapToGrid w:val="0"/>
        <w:spacing w:line="360" w:lineRule="auto"/>
        <w:ind w:firstLine="496" w:firstLineChars="200"/>
        <w:rPr>
          <w:rFonts w:ascii="宋体" w:hAnsi="宋体" w:cs="宋体"/>
          <w:snapToGrid w:val="0"/>
          <w:spacing w:val="4"/>
          <w:kern w:val="0"/>
          <w:sz w:val="24"/>
          <w:szCs w:val="24"/>
        </w:rPr>
      </w:pPr>
    </w:p>
    <w:p w14:paraId="38B7999D">
      <w:pPr>
        <w:topLinePunct/>
        <w:adjustRightInd w:val="0"/>
        <w:snapToGrid w:val="0"/>
        <w:spacing w:line="360" w:lineRule="auto"/>
        <w:ind w:firstLine="496" w:firstLineChars="200"/>
        <w:rPr>
          <w:rFonts w:ascii="宋体" w:hAnsi="宋体" w:cs="宋体"/>
          <w:snapToGrid w:val="0"/>
          <w:spacing w:val="4"/>
          <w:kern w:val="0"/>
          <w:sz w:val="24"/>
          <w:szCs w:val="24"/>
        </w:rPr>
      </w:pPr>
    </w:p>
    <w:p w14:paraId="093695B1">
      <w:pPr>
        <w:topLinePunct/>
        <w:adjustRightInd w:val="0"/>
        <w:snapToGrid w:val="0"/>
        <w:spacing w:line="360" w:lineRule="auto"/>
        <w:ind w:firstLine="496" w:firstLineChars="200"/>
        <w:rPr>
          <w:rFonts w:ascii="宋体" w:hAnsi="宋体" w:cs="宋体"/>
          <w:snapToGrid w:val="0"/>
          <w:spacing w:val="4"/>
          <w:kern w:val="0"/>
          <w:sz w:val="24"/>
          <w:szCs w:val="24"/>
        </w:rPr>
      </w:pPr>
    </w:p>
    <w:p w14:paraId="5AA5D9E6">
      <w:pPr>
        <w:topLinePunct/>
        <w:adjustRightInd w:val="0"/>
        <w:snapToGrid w:val="0"/>
        <w:spacing w:line="360" w:lineRule="auto"/>
        <w:ind w:firstLine="496" w:firstLineChars="200"/>
        <w:rPr>
          <w:rFonts w:ascii="宋体" w:hAnsi="宋体" w:cs="宋体"/>
          <w:snapToGrid w:val="0"/>
          <w:spacing w:val="4"/>
          <w:kern w:val="0"/>
          <w:sz w:val="24"/>
          <w:szCs w:val="24"/>
        </w:rPr>
      </w:pPr>
    </w:p>
    <w:p w14:paraId="3D6F9BCC">
      <w:pPr>
        <w:topLinePunct/>
        <w:adjustRightInd w:val="0"/>
        <w:snapToGrid w:val="0"/>
        <w:spacing w:line="360" w:lineRule="auto"/>
        <w:jc w:val="center"/>
        <w:rPr>
          <w:rFonts w:ascii="宋体" w:hAnsi="宋体" w:cs="宋体"/>
          <w:snapToGrid w:val="0"/>
          <w:spacing w:val="4"/>
          <w:kern w:val="0"/>
          <w:sz w:val="84"/>
          <w:szCs w:val="84"/>
        </w:rPr>
      </w:pPr>
      <w:r>
        <w:rPr>
          <w:rFonts w:hint="eastAsia" w:ascii="宋体" w:hAnsi="宋体" w:cs="宋体"/>
          <w:snapToGrid w:val="0"/>
          <w:spacing w:val="4"/>
          <w:kern w:val="0"/>
          <w:sz w:val="84"/>
          <w:szCs w:val="84"/>
        </w:rPr>
        <w:t>投标文件</w:t>
      </w:r>
    </w:p>
    <w:p w14:paraId="195C2248">
      <w:pPr>
        <w:topLinePunct/>
        <w:adjustRightInd w:val="0"/>
        <w:snapToGrid w:val="0"/>
        <w:spacing w:line="360" w:lineRule="auto"/>
        <w:jc w:val="center"/>
        <w:rPr>
          <w:rFonts w:ascii="宋体" w:hAnsi="宋体" w:cs="宋体"/>
          <w:snapToGrid w:val="0"/>
          <w:spacing w:val="4"/>
          <w:kern w:val="0"/>
          <w:sz w:val="36"/>
          <w:szCs w:val="36"/>
        </w:rPr>
      </w:pPr>
      <w:r>
        <w:rPr>
          <w:rFonts w:hint="eastAsia" w:ascii="宋体" w:hAnsi="宋体" w:cs="宋体"/>
          <w:snapToGrid w:val="0"/>
          <w:spacing w:val="4"/>
          <w:kern w:val="0"/>
          <w:sz w:val="36"/>
          <w:szCs w:val="36"/>
        </w:rPr>
        <w:t>第二册 （经济标书）</w:t>
      </w:r>
    </w:p>
    <w:p w14:paraId="400025F0">
      <w:pPr>
        <w:topLinePunct/>
        <w:adjustRightInd w:val="0"/>
        <w:snapToGrid w:val="0"/>
        <w:spacing w:line="360" w:lineRule="auto"/>
        <w:ind w:firstLine="496" w:firstLineChars="200"/>
        <w:rPr>
          <w:rFonts w:ascii="宋体" w:hAnsi="宋体" w:cs="宋体"/>
          <w:snapToGrid w:val="0"/>
          <w:spacing w:val="4"/>
          <w:kern w:val="0"/>
          <w:sz w:val="24"/>
          <w:szCs w:val="24"/>
        </w:rPr>
      </w:pPr>
      <w:r>
        <w:rPr>
          <w:rFonts w:hint="eastAsia" w:ascii="宋体" w:hAnsi="宋体" w:cs="宋体"/>
          <w:snapToGrid w:val="0"/>
          <w:spacing w:val="4"/>
          <w:kern w:val="0"/>
          <w:sz w:val="24"/>
          <w:szCs w:val="24"/>
        </w:rPr>
        <w:t xml:space="preserve">   </w:t>
      </w:r>
    </w:p>
    <w:p w14:paraId="079C4F31">
      <w:pPr>
        <w:topLinePunct/>
        <w:adjustRightInd w:val="0"/>
        <w:snapToGrid w:val="0"/>
        <w:spacing w:line="360" w:lineRule="auto"/>
        <w:ind w:firstLine="496" w:firstLineChars="200"/>
        <w:rPr>
          <w:rFonts w:ascii="宋体" w:hAnsi="宋体" w:cs="宋体"/>
          <w:snapToGrid w:val="0"/>
          <w:spacing w:val="4"/>
          <w:kern w:val="0"/>
          <w:sz w:val="24"/>
          <w:szCs w:val="24"/>
        </w:rPr>
      </w:pPr>
    </w:p>
    <w:p w14:paraId="0FC9433C">
      <w:pPr>
        <w:topLinePunct/>
        <w:adjustRightInd w:val="0"/>
        <w:snapToGrid w:val="0"/>
        <w:spacing w:line="360" w:lineRule="auto"/>
        <w:ind w:firstLine="496" w:firstLineChars="200"/>
        <w:rPr>
          <w:rFonts w:ascii="宋体" w:hAnsi="宋体" w:cs="宋体"/>
          <w:snapToGrid w:val="0"/>
          <w:spacing w:val="4"/>
          <w:kern w:val="0"/>
          <w:sz w:val="24"/>
          <w:szCs w:val="24"/>
        </w:rPr>
      </w:pPr>
    </w:p>
    <w:p w14:paraId="148F4221">
      <w:pPr>
        <w:topLinePunct/>
        <w:adjustRightInd w:val="0"/>
        <w:snapToGrid w:val="0"/>
        <w:spacing w:line="360" w:lineRule="auto"/>
        <w:ind w:firstLine="496" w:firstLineChars="200"/>
        <w:rPr>
          <w:rFonts w:ascii="宋体" w:hAnsi="宋体" w:cs="宋体"/>
          <w:snapToGrid w:val="0"/>
          <w:spacing w:val="4"/>
          <w:kern w:val="0"/>
          <w:sz w:val="24"/>
          <w:szCs w:val="24"/>
        </w:rPr>
      </w:pPr>
    </w:p>
    <w:p w14:paraId="7958D2E5">
      <w:pPr>
        <w:topLinePunct/>
        <w:adjustRightInd w:val="0"/>
        <w:snapToGrid w:val="0"/>
        <w:spacing w:line="360" w:lineRule="auto"/>
        <w:ind w:firstLine="496" w:firstLineChars="200"/>
        <w:rPr>
          <w:rFonts w:ascii="宋体" w:hAnsi="宋体" w:cs="宋体"/>
          <w:snapToGrid w:val="0"/>
          <w:spacing w:val="4"/>
          <w:kern w:val="0"/>
          <w:sz w:val="24"/>
          <w:szCs w:val="24"/>
        </w:rPr>
      </w:pPr>
    </w:p>
    <w:p w14:paraId="500018EB">
      <w:pPr>
        <w:topLinePunct/>
        <w:adjustRightInd w:val="0"/>
        <w:snapToGrid w:val="0"/>
        <w:spacing w:line="360" w:lineRule="auto"/>
        <w:ind w:firstLine="496" w:firstLineChars="200"/>
        <w:rPr>
          <w:rFonts w:ascii="宋体" w:hAnsi="宋体" w:cs="宋体"/>
          <w:snapToGrid w:val="0"/>
          <w:spacing w:val="4"/>
          <w:kern w:val="0"/>
          <w:sz w:val="24"/>
          <w:szCs w:val="24"/>
        </w:rPr>
      </w:pPr>
    </w:p>
    <w:p w14:paraId="5EBACEDD">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投标人：</w:t>
      </w:r>
      <w:r>
        <w:rPr>
          <w:rFonts w:hint="eastAsia" w:ascii="宋体" w:hAnsi="宋体" w:cs="宋体"/>
          <w:snapToGrid w:val="0"/>
          <w:spacing w:val="4"/>
          <w:kern w:val="0"/>
          <w:sz w:val="30"/>
          <w:szCs w:val="30"/>
          <w:u w:val="single"/>
        </w:rPr>
        <w:t xml:space="preserve">       （填写投标人单位名称）       </w:t>
      </w:r>
    </w:p>
    <w:p w14:paraId="523738B7">
      <w:pPr>
        <w:topLinePunct/>
        <w:adjustRightInd w:val="0"/>
        <w:snapToGrid w:val="0"/>
        <w:spacing w:line="360" w:lineRule="auto"/>
        <w:ind w:firstLine="616" w:firstLineChars="200"/>
        <w:jc w:val="left"/>
        <w:rPr>
          <w:rFonts w:ascii="宋体" w:hAnsi="宋体" w:cs="宋体"/>
          <w:snapToGrid w:val="0"/>
          <w:spacing w:val="4"/>
          <w:kern w:val="0"/>
          <w:sz w:val="30"/>
          <w:szCs w:val="30"/>
        </w:rPr>
      </w:pPr>
    </w:p>
    <w:p w14:paraId="43066045">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日  期：</w:t>
      </w:r>
      <w:r>
        <w:rPr>
          <w:rFonts w:hint="eastAsia" w:ascii="宋体" w:hAnsi="宋体" w:cs="宋体"/>
          <w:snapToGrid w:val="0"/>
          <w:spacing w:val="4"/>
          <w:kern w:val="0"/>
          <w:sz w:val="30"/>
          <w:szCs w:val="30"/>
          <w:u w:val="single"/>
        </w:rPr>
        <w:t xml:space="preserve">                                        </w:t>
      </w:r>
      <w:r>
        <w:rPr>
          <w:rFonts w:hint="eastAsia" w:ascii="宋体" w:hAnsi="宋体" w:cs="宋体"/>
          <w:snapToGrid w:val="0"/>
          <w:spacing w:val="4"/>
          <w:kern w:val="0"/>
          <w:sz w:val="30"/>
          <w:szCs w:val="30"/>
        </w:rPr>
        <w:t xml:space="preserve"> </w:t>
      </w:r>
    </w:p>
    <w:p w14:paraId="23A15D48">
      <w:pPr>
        <w:outlineLvl w:val="2"/>
        <w:rPr>
          <w:rFonts w:ascii="宋体" w:hAnsi="宋体" w:cs="宋体"/>
          <w:b/>
          <w:sz w:val="24"/>
          <w:szCs w:val="24"/>
        </w:rPr>
      </w:pPr>
      <w:r>
        <w:rPr>
          <w:rFonts w:hint="eastAsia" w:ascii="宋体" w:hAnsi="宋体" w:cs="宋体"/>
        </w:rPr>
        <w:br w:type="page"/>
      </w:r>
      <w:bookmarkStart w:id="81" w:name="_Toc22187"/>
      <w:r>
        <w:rPr>
          <w:rFonts w:hint="eastAsia" w:ascii="宋体" w:hAnsi="宋体" w:cs="宋体"/>
          <w:b/>
          <w:sz w:val="24"/>
          <w:szCs w:val="24"/>
        </w:rPr>
        <w:t>格式二：工程量清单计价表</w:t>
      </w:r>
      <w:bookmarkEnd w:id="81"/>
    </w:p>
    <w:p w14:paraId="0CDA7532">
      <w:pPr>
        <w:topLinePunct/>
        <w:adjustRightInd w:val="0"/>
        <w:snapToGrid w:val="0"/>
        <w:spacing w:line="360" w:lineRule="auto"/>
        <w:ind w:firstLine="498" w:firstLineChars="200"/>
        <w:rPr>
          <w:rFonts w:ascii="宋体" w:hAnsi="宋体" w:cs="宋体"/>
          <w:b/>
          <w:snapToGrid w:val="0"/>
          <w:spacing w:val="4"/>
          <w:kern w:val="0"/>
          <w:sz w:val="24"/>
          <w:szCs w:val="24"/>
        </w:rPr>
      </w:pPr>
    </w:p>
    <w:p w14:paraId="0F3F213F">
      <w:pPr>
        <w:topLinePunct/>
        <w:adjustRightInd w:val="0"/>
        <w:snapToGrid w:val="0"/>
        <w:spacing w:before="156" w:after="156" w:line="360" w:lineRule="auto"/>
        <w:ind w:firstLine="617"/>
        <w:jc w:val="center"/>
        <w:rPr>
          <w:rFonts w:ascii="宋体" w:hAnsi="宋体" w:cs="宋体"/>
          <w:b/>
          <w:snapToGrid w:val="0"/>
          <w:spacing w:val="4"/>
          <w:kern w:val="0"/>
          <w:sz w:val="36"/>
          <w:szCs w:val="36"/>
        </w:rPr>
      </w:pPr>
      <w:r>
        <w:rPr>
          <w:rFonts w:hint="eastAsia" w:ascii="宋体" w:hAnsi="宋体" w:cs="宋体"/>
          <w:b/>
          <w:snapToGrid w:val="0"/>
          <w:spacing w:val="4"/>
          <w:kern w:val="0"/>
          <w:sz w:val="36"/>
          <w:szCs w:val="36"/>
        </w:rPr>
        <w:t>工程量清单计价表</w:t>
      </w:r>
    </w:p>
    <w:p w14:paraId="57DA69E8">
      <w:pPr>
        <w:topLinePunct/>
        <w:adjustRightInd w:val="0"/>
        <w:snapToGrid w:val="0"/>
        <w:spacing w:line="360" w:lineRule="auto"/>
        <w:ind w:firstLine="498" w:firstLineChars="200"/>
        <w:rPr>
          <w:rFonts w:ascii="宋体" w:hAnsi="宋体" w:cs="宋体"/>
          <w:b/>
          <w:snapToGrid w:val="0"/>
          <w:spacing w:val="4"/>
          <w:kern w:val="0"/>
          <w:sz w:val="24"/>
          <w:szCs w:val="24"/>
        </w:rPr>
      </w:pPr>
    </w:p>
    <w:p w14:paraId="760E55A8">
      <w:pPr>
        <w:topLinePunct/>
        <w:adjustRightInd w:val="0"/>
        <w:snapToGrid w:val="0"/>
        <w:spacing w:line="360" w:lineRule="auto"/>
        <w:ind w:firstLine="498" w:firstLineChars="200"/>
        <w:rPr>
          <w:rFonts w:ascii="宋体" w:hAnsi="宋体" w:cs="宋体"/>
          <w:b/>
          <w:snapToGrid w:val="0"/>
          <w:spacing w:val="4"/>
          <w:kern w:val="0"/>
          <w:sz w:val="24"/>
          <w:szCs w:val="24"/>
        </w:rPr>
      </w:pPr>
      <w:r>
        <w:rPr>
          <w:rFonts w:hint="eastAsia" w:ascii="宋体" w:hAnsi="宋体" w:cs="宋体"/>
          <w:b/>
          <w:snapToGrid w:val="0"/>
          <w:spacing w:val="4"/>
          <w:kern w:val="0"/>
          <w:sz w:val="24"/>
          <w:szCs w:val="24"/>
        </w:rPr>
        <w:t>本部分内容详见招标文件第七章工程量清单。</w:t>
      </w:r>
    </w:p>
    <w:p w14:paraId="312C13D3">
      <w:pPr>
        <w:topLinePunct/>
        <w:adjustRightInd w:val="0"/>
        <w:snapToGrid w:val="0"/>
        <w:spacing w:line="360" w:lineRule="auto"/>
        <w:ind w:firstLine="496" w:firstLineChars="200"/>
        <w:rPr>
          <w:rFonts w:ascii="宋体" w:hAnsi="宋体" w:cs="宋体"/>
          <w:snapToGrid w:val="0"/>
          <w:spacing w:val="4"/>
          <w:kern w:val="0"/>
          <w:sz w:val="24"/>
          <w:szCs w:val="24"/>
        </w:rPr>
      </w:pPr>
    </w:p>
    <w:p w14:paraId="73A668D1">
      <w:pPr>
        <w:outlineLvl w:val="2"/>
        <w:rPr>
          <w:rFonts w:ascii="宋体" w:hAnsi="宋体" w:cs="宋体"/>
          <w:b/>
          <w:sz w:val="24"/>
          <w:szCs w:val="24"/>
        </w:rPr>
      </w:pPr>
      <w:r>
        <w:rPr>
          <w:rFonts w:hint="eastAsia" w:ascii="宋体" w:hAnsi="宋体" w:cs="宋体"/>
        </w:rPr>
        <w:br w:type="page"/>
      </w:r>
      <w:bookmarkStart w:id="82" w:name="_Toc1143"/>
      <w:r>
        <w:rPr>
          <w:rFonts w:hint="eastAsia" w:ascii="宋体" w:hAnsi="宋体" w:cs="宋体"/>
          <w:b/>
          <w:sz w:val="24"/>
          <w:szCs w:val="24"/>
        </w:rPr>
        <w:t>格式三：参与编制经济标投标文件人员名单</w:t>
      </w:r>
      <w:bookmarkEnd w:id="82"/>
    </w:p>
    <w:p w14:paraId="38890D77">
      <w:pPr>
        <w:tabs>
          <w:tab w:val="left" w:pos="720"/>
        </w:tabs>
        <w:snapToGrid w:val="0"/>
        <w:spacing w:line="360" w:lineRule="auto"/>
        <w:jc w:val="center"/>
        <w:rPr>
          <w:rFonts w:ascii="宋体" w:hAnsi="宋体" w:cs="宋体"/>
          <w:sz w:val="24"/>
        </w:rPr>
      </w:pPr>
    </w:p>
    <w:p w14:paraId="1A08FE55">
      <w:pPr>
        <w:topLinePunct/>
        <w:adjustRightInd w:val="0"/>
        <w:snapToGrid w:val="0"/>
        <w:spacing w:before="156" w:after="156" w:line="360" w:lineRule="auto"/>
        <w:ind w:firstLine="617"/>
        <w:jc w:val="center"/>
        <w:rPr>
          <w:rFonts w:ascii="宋体" w:hAnsi="宋体" w:cs="宋体"/>
          <w:b/>
          <w:bCs/>
          <w:snapToGrid w:val="0"/>
          <w:spacing w:val="4"/>
          <w:kern w:val="0"/>
          <w:sz w:val="36"/>
          <w:szCs w:val="36"/>
        </w:rPr>
      </w:pPr>
      <w:r>
        <w:rPr>
          <w:rFonts w:hint="eastAsia" w:ascii="宋体" w:hAnsi="宋体" w:cs="宋体"/>
          <w:b/>
          <w:bCs/>
          <w:snapToGrid w:val="0"/>
          <w:spacing w:val="4"/>
          <w:kern w:val="0"/>
          <w:sz w:val="36"/>
          <w:szCs w:val="36"/>
        </w:rPr>
        <w:t>参与编制经济标投标文件人员名单</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1347"/>
        <w:gridCol w:w="2284"/>
        <w:gridCol w:w="2190"/>
        <w:gridCol w:w="2257"/>
      </w:tblGrid>
      <w:tr w14:paraId="0A55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vAlign w:val="center"/>
          </w:tcPr>
          <w:p w14:paraId="683D2C76">
            <w:pPr>
              <w:tabs>
                <w:tab w:val="left" w:pos="720"/>
              </w:tabs>
              <w:snapToGrid w:val="0"/>
              <w:spacing w:line="360" w:lineRule="auto"/>
              <w:jc w:val="center"/>
              <w:rPr>
                <w:rFonts w:ascii="宋体" w:hAnsi="宋体" w:cs="宋体"/>
                <w:sz w:val="24"/>
              </w:rPr>
            </w:pPr>
            <w:r>
              <w:rPr>
                <w:rFonts w:hint="eastAsia" w:ascii="宋体" w:hAnsi="宋体" w:cs="宋体"/>
                <w:sz w:val="24"/>
              </w:rPr>
              <w:t>投标单位名称</w:t>
            </w:r>
          </w:p>
        </w:tc>
      </w:tr>
      <w:tr w14:paraId="63A9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9" w:type="pct"/>
            <w:vAlign w:val="center"/>
          </w:tcPr>
          <w:p w14:paraId="4FC6FEC8">
            <w:pPr>
              <w:tabs>
                <w:tab w:val="left" w:pos="720"/>
              </w:tabs>
              <w:snapToGrid w:val="0"/>
              <w:spacing w:line="360" w:lineRule="auto"/>
              <w:jc w:val="center"/>
              <w:rPr>
                <w:rFonts w:ascii="宋体" w:hAnsi="宋体" w:cs="宋体"/>
                <w:sz w:val="24"/>
              </w:rPr>
            </w:pPr>
            <w:r>
              <w:rPr>
                <w:rFonts w:hint="eastAsia" w:ascii="宋体" w:hAnsi="宋体" w:cs="宋体"/>
                <w:sz w:val="24"/>
              </w:rPr>
              <w:t>姓名</w:t>
            </w:r>
          </w:p>
        </w:tc>
        <w:tc>
          <w:tcPr>
            <w:tcW w:w="729" w:type="pct"/>
            <w:vAlign w:val="center"/>
          </w:tcPr>
          <w:p w14:paraId="44192F19">
            <w:pPr>
              <w:tabs>
                <w:tab w:val="left" w:pos="720"/>
              </w:tabs>
              <w:snapToGrid w:val="0"/>
              <w:spacing w:line="360" w:lineRule="auto"/>
              <w:jc w:val="center"/>
              <w:rPr>
                <w:rFonts w:ascii="宋体" w:hAnsi="宋体" w:cs="宋体"/>
                <w:sz w:val="24"/>
              </w:rPr>
            </w:pPr>
            <w:r>
              <w:rPr>
                <w:rFonts w:hint="eastAsia" w:ascii="宋体" w:hAnsi="宋体" w:cs="宋体"/>
                <w:sz w:val="24"/>
              </w:rPr>
              <w:t>职务</w:t>
            </w:r>
          </w:p>
        </w:tc>
        <w:tc>
          <w:tcPr>
            <w:tcW w:w="1236" w:type="pct"/>
            <w:vAlign w:val="center"/>
          </w:tcPr>
          <w:p w14:paraId="36275E4C">
            <w:pPr>
              <w:tabs>
                <w:tab w:val="left" w:pos="720"/>
              </w:tabs>
              <w:snapToGrid w:val="0"/>
              <w:spacing w:line="360" w:lineRule="auto"/>
              <w:jc w:val="center"/>
              <w:rPr>
                <w:rFonts w:ascii="宋体" w:hAnsi="宋体" w:cs="宋体"/>
                <w:sz w:val="24"/>
              </w:rPr>
            </w:pPr>
            <w:r>
              <w:rPr>
                <w:rFonts w:hint="eastAsia" w:ascii="宋体" w:hAnsi="宋体" w:cs="宋体"/>
                <w:sz w:val="24"/>
              </w:rPr>
              <w:t>所承担工作</w:t>
            </w:r>
          </w:p>
        </w:tc>
        <w:tc>
          <w:tcPr>
            <w:tcW w:w="1185" w:type="pct"/>
            <w:vAlign w:val="center"/>
          </w:tcPr>
          <w:p w14:paraId="74C37AF6">
            <w:pPr>
              <w:tabs>
                <w:tab w:val="left" w:pos="720"/>
              </w:tabs>
              <w:snapToGrid w:val="0"/>
              <w:spacing w:line="360" w:lineRule="auto"/>
              <w:jc w:val="center"/>
              <w:rPr>
                <w:rFonts w:ascii="宋体" w:hAnsi="宋体" w:cs="宋体"/>
                <w:sz w:val="24"/>
              </w:rPr>
            </w:pPr>
            <w:r>
              <w:rPr>
                <w:rFonts w:hint="eastAsia" w:ascii="宋体" w:hAnsi="宋体" w:cs="宋体"/>
                <w:sz w:val="24"/>
              </w:rPr>
              <w:t>身份证号码</w:t>
            </w:r>
          </w:p>
        </w:tc>
        <w:tc>
          <w:tcPr>
            <w:tcW w:w="1218" w:type="pct"/>
            <w:vAlign w:val="center"/>
          </w:tcPr>
          <w:p w14:paraId="2F38AA72">
            <w:pPr>
              <w:tabs>
                <w:tab w:val="left" w:pos="720"/>
              </w:tabs>
              <w:snapToGrid w:val="0"/>
              <w:spacing w:line="360" w:lineRule="auto"/>
              <w:jc w:val="center"/>
              <w:rPr>
                <w:rFonts w:ascii="宋体" w:hAnsi="宋体" w:cs="宋体"/>
                <w:sz w:val="24"/>
              </w:rPr>
            </w:pPr>
            <w:r>
              <w:rPr>
                <w:rFonts w:hint="eastAsia" w:ascii="宋体" w:hAnsi="宋体" w:cs="宋体"/>
                <w:sz w:val="24"/>
              </w:rPr>
              <w:t>本人签名栏</w:t>
            </w:r>
          </w:p>
        </w:tc>
      </w:tr>
      <w:tr w14:paraId="000E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29" w:type="pct"/>
            <w:vAlign w:val="center"/>
          </w:tcPr>
          <w:p w14:paraId="3B0196AB">
            <w:pPr>
              <w:tabs>
                <w:tab w:val="left" w:pos="720"/>
              </w:tabs>
              <w:snapToGrid w:val="0"/>
              <w:spacing w:line="360" w:lineRule="auto"/>
              <w:jc w:val="center"/>
              <w:rPr>
                <w:rFonts w:ascii="宋体" w:hAnsi="宋体" w:cs="宋体"/>
                <w:sz w:val="24"/>
              </w:rPr>
            </w:pPr>
          </w:p>
        </w:tc>
        <w:tc>
          <w:tcPr>
            <w:tcW w:w="729" w:type="pct"/>
            <w:vAlign w:val="center"/>
          </w:tcPr>
          <w:p w14:paraId="206CE48B">
            <w:pPr>
              <w:tabs>
                <w:tab w:val="left" w:pos="720"/>
              </w:tabs>
              <w:snapToGrid w:val="0"/>
              <w:spacing w:line="360" w:lineRule="auto"/>
              <w:jc w:val="center"/>
              <w:rPr>
                <w:rFonts w:ascii="宋体" w:hAnsi="宋体" w:cs="宋体"/>
                <w:sz w:val="24"/>
              </w:rPr>
            </w:pPr>
          </w:p>
        </w:tc>
        <w:tc>
          <w:tcPr>
            <w:tcW w:w="1236" w:type="pct"/>
            <w:vAlign w:val="center"/>
          </w:tcPr>
          <w:p w14:paraId="75E09782">
            <w:pPr>
              <w:tabs>
                <w:tab w:val="left" w:pos="720"/>
              </w:tabs>
              <w:snapToGrid w:val="0"/>
              <w:spacing w:line="360" w:lineRule="auto"/>
              <w:jc w:val="center"/>
              <w:rPr>
                <w:rFonts w:ascii="宋体" w:hAnsi="宋体" w:cs="宋体"/>
                <w:sz w:val="24"/>
              </w:rPr>
            </w:pPr>
          </w:p>
        </w:tc>
        <w:tc>
          <w:tcPr>
            <w:tcW w:w="1185" w:type="pct"/>
            <w:vAlign w:val="center"/>
          </w:tcPr>
          <w:p w14:paraId="61D76053">
            <w:pPr>
              <w:tabs>
                <w:tab w:val="left" w:pos="720"/>
              </w:tabs>
              <w:snapToGrid w:val="0"/>
              <w:spacing w:line="360" w:lineRule="auto"/>
              <w:jc w:val="center"/>
              <w:rPr>
                <w:rFonts w:ascii="宋体" w:hAnsi="宋体" w:cs="宋体"/>
                <w:sz w:val="24"/>
              </w:rPr>
            </w:pPr>
          </w:p>
        </w:tc>
        <w:tc>
          <w:tcPr>
            <w:tcW w:w="1218" w:type="pct"/>
            <w:vAlign w:val="center"/>
          </w:tcPr>
          <w:p w14:paraId="458118F0">
            <w:pPr>
              <w:tabs>
                <w:tab w:val="left" w:pos="720"/>
              </w:tabs>
              <w:snapToGrid w:val="0"/>
              <w:spacing w:line="360" w:lineRule="auto"/>
              <w:jc w:val="center"/>
              <w:rPr>
                <w:rFonts w:ascii="宋体" w:hAnsi="宋体" w:cs="宋体"/>
                <w:sz w:val="24"/>
              </w:rPr>
            </w:pPr>
          </w:p>
        </w:tc>
      </w:tr>
      <w:tr w14:paraId="12E4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4B09A8AC">
            <w:pPr>
              <w:tabs>
                <w:tab w:val="left" w:pos="720"/>
              </w:tabs>
              <w:snapToGrid w:val="0"/>
              <w:spacing w:line="360" w:lineRule="auto"/>
              <w:jc w:val="center"/>
              <w:rPr>
                <w:rFonts w:ascii="宋体" w:hAnsi="宋体" w:cs="宋体"/>
                <w:sz w:val="24"/>
              </w:rPr>
            </w:pPr>
          </w:p>
        </w:tc>
        <w:tc>
          <w:tcPr>
            <w:tcW w:w="729" w:type="pct"/>
            <w:vAlign w:val="center"/>
          </w:tcPr>
          <w:p w14:paraId="37A63D1A">
            <w:pPr>
              <w:tabs>
                <w:tab w:val="left" w:pos="720"/>
              </w:tabs>
              <w:snapToGrid w:val="0"/>
              <w:spacing w:line="360" w:lineRule="auto"/>
              <w:jc w:val="center"/>
              <w:rPr>
                <w:rFonts w:ascii="宋体" w:hAnsi="宋体" w:cs="宋体"/>
                <w:sz w:val="24"/>
              </w:rPr>
            </w:pPr>
          </w:p>
        </w:tc>
        <w:tc>
          <w:tcPr>
            <w:tcW w:w="1236" w:type="pct"/>
            <w:vAlign w:val="center"/>
          </w:tcPr>
          <w:p w14:paraId="727FF6D9">
            <w:pPr>
              <w:tabs>
                <w:tab w:val="left" w:pos="720"/>
              </w:tabs>
              <w:snapToGrid w:val="0"/>
              <w:spacing w:line="360" w:lineRule="auto"/>
              <w:jc w:val="center"/>
              <w:rPr>
                <w:rFonts w:ascii="宋体" w:hAnsi="宋体" w:cs="宋体"/>
                <w:sz w:val="24"/>
              </w:rPr>
            </w:pPr>
          </w:p>
        </w:tc>
        <w:tc>
          <w:tcPr>
            <w:tcW w:w="1185" w:type="pct"/>
            <w:vAlign w:val="center"/>
          </w:tcPr>
          <w:p w14:paraId="4747A123">
            <w:pPr>
              <w:tabs>
                <w:tab w:val="left" w:pos="720"/>
              </w:tabs>
              <w:snapToGrid w:val="0"/>
              <w:spacing w:line="360" w:lineRule="auto"/>
              <w:jc w:val="center"/>
              <w:rPr>
                <w:rFonts w:ascii="宋体" w:hAnsi="宋体" w:cs="宋体"/>
                <w:sz w:val="24"/>
              </w:rPr>
            </w:pPr>
          </w:p>
        </w:tc>
        <w:tc>
          <w:tcPr>
            <w:tcW w:w="1218" w:type="pct"/>
            <w:vAlign w:val="center"/>
          </w:tcPr>
          <w:p w14:paraId="79D092A5">
            <w:pPr>
              <w:tabs>
                <w:tab w:val="left" w:pos="720"/>
              </w:tabs>
              <w:snapToGrid w:val="0"/>
              <w:spacing w:line="360" w:lineRule="auto"/>
              <w:jc w:val="center"/>
              <w:rPr>
                <w:rFonts w:ascii="宋体" w:hAnsi="宋体" w:cs="宋体"/>
                <w:sz w:val="24"/>
              </w:rPr>
            </w:pPr>
          </w:p>
        </w:tc>
      </w:tr>
      <w:tr w14:paraId="32C6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6E63714C">
            <w:pPr>
              <w:tabs>
                <w:tab w:val="left" w:pos="720"/>
              </w:tabs>
              <w:snapToGrid w:val="0"/>
              <w:spacing w:line="360" w:lineRule="auto"/>
              <w:jc w:val="center"/>
              <w:rPr>
                <w:rFonts w:ascii="宋体" w:hAnsi="宋体" w:cs="宋体"/>
                <w:sz w:val="24"/>
              </w:rPr>
            </w:pPr>
          </w:p>
        </w:tc>
        <w:tc>
          <w:tcPr>
            <w:tcW w:w="729" w:type="pct"/>
            <w:vAlign w:val="center"/>
          </w:tcPr>
          <w:p w14:paraId="2E4104D4">
            <w:pPr>
              <w:tabs>
                <w:tab w:val="left" w:pos="720"/>
              </w:tabs>
              <w:snapToGrid w:val="0"/>
              <w:spacing w:line="360" w:lineRule="auto"/>
              <w:jc w:val="center"/>
              <w:rPr>
                <w:rFonts w:ascii="宋体" w:hAnsi="宋体" w:cs="宋体"/>
                <w:sz w:val="24"/>
              </w:rPr>
            </w:pPr>
          </w:p>
        </w:tc>
        <w:tc>
          <w:tcPr>
            <w:tcW w:w="1236" w:type="pct"/>
            <w:vAlign w:val="center"/>
          </w:tcPr>
          <w:p w14:paraId="2FBD7613">
            <w:pPr>
              <w:tabs>
                <w:tab w:val="left" w:pos="720"/>
              </w:tabs>
              <w:snapToGrid w:val="0"/>
              <w:spacing w:line="360" w:lineRule="auto"/>
              <w:jc w:val="center"/>
              <w:rPr>
                <w:rFonts w:ascii="宋体" w:hAnsi="宋体" w:cs="宋体"/>
                <w:sz w:val="24"/>
              </w:rPr>
            </w:pPr>
          </w:p>
        </w:tc>
        <w:tc>
          <w:tcPr>
            <w:tcW w:w="1185" w:type="pct"/>
            <w:vAlign w:val="center"/>
          </w:tcPr>
          <w:p w14:paraId="5BAFEBD2">
            <w:pPr>
              <w:tabs>
                <w:tab w:val="left" w:pos="720"/>
              </w:tabs>
              <w:snapToGrid w:val="0"/>
              <w:spacing w:line="360" w:lineRule="auto"/>
              <w:jc w:val="center"/>
              <w:rPr>
                <w:rFonts w:ascii="宋体" w:hAnsi="宋体" w:cs="宋体"/>
                <w:sz w:val="24"/>
              </w:rPr>
            </w:pPr>
          </w:p>
        </w:tc>
        <w:tc>
          <w:tcPr>
            <w:tcW w:w="1218" w:type="pct"/>
            <w:vAlign w:val="center"/>
          </w:tcPr>
          <w:p w14:paraId="06551149">
            <w:pPr>
              <w:tabs>
                <w:tab w:val="left" w:pos="720"/>
              </w:tabs>
              <w:snapToGrid w:val="0"/>
              <w:spacing w:line="360" w:lineRule="auto"/>
              <w:jc w:val="center"/>
              <w:rPr>
                <w:rFonts w:ascii="宋体" w:hAnsi="宋体" w:cs="宋体"/>
                <w:sz w:val="24"/>
              </w:rPr>
            </w:pPr>
          </w:p>
        </w:tc>
      </w:tr>
      <w:tr w14:paraId="75DC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4F0B7BB4">
            <w:pPr>
              <w:tabs>
                <w:tab w:val="left" w:pos="720"/>
              </w:tabs>
              <w:snapToGrid w:val="0"/>
              <w:spacing w:line="360" w:lineRule="auto"/>
              <w:jc w:val="center"/>
              <w:rPr>
                <w:rFonts w:ascii="宋体" w:hAnsi="宋体" w:cs="宋体"/>
                <w:sz w:val="24"/>
              </w:rPr>
            </w:pPr>
          </w:p>
        </w:tc>
        <w:tc>
          <w:tcPr>
            <w:tcW w:w="729" w:type="pct"/>
            <w:vAlign w:val="center"/>
          </w:tcPr>
          <w:p w14:paraId="5B8013E6">
            <w:pPr>
              <w:tabs>
                <w:tab w:val="left" w:pos="720"/>
              </w:tabs>
              <w:snapToGrid w:val="0"/>
              <w:spacing w:line="360" w:lineRule="auto"/>
              <w:jc w:val="center"/>
              <w:rPr>
                <w:rFonts w:ascii="宋体" w:hAnsi="宋体" w:cs="宋体"/>
                <w:sz w:val="24"/>
              </w:rPr>
            </w:pPr>
          </w:p>
        </w:tc>
        <w:tc>
          <w:tcPr>
            <w:tcW w:w="1236" w:type="pct"/>
            <w:vAlign w:val="center"/>
          </w:tcPr>
          <w:p w14:paraId="13B01348">
            <w:pPr>
              <w:tabs>
                <w:tab w:val="left" w:pos="720"/>
              </w:tabs>
              <w:snapToGrid w:val="0"/>
              <w:spacing w:line="360" w:lineRule="auto"/>
              <w:jc w:val="center"/>
              <w:rPr>
                <w:rFonts w:ascii="宋体" w:hAnsi="宋体" w:cs="宋体"/>
                <w:sz w:val="24"/>
              </w:rPr>
            </w:pPr>
          </w:p>
        </w:tc>
        <w:tc>
          <w:tcPr>
            <w:tcW w:w="1185" w:type="pct"/>
            <w:vAlign w:val="center"/>
          </w:tcPr>
          <w:p w14:paraId="7CCE1833">
            <w:pPr>
              <w:tabs>
                <w:tab w:val="left" w:pos="720"/>
              </w:tabs>
              <w:snapToGrid w:val="0"/>
              <w:spacing w:line="360" w:lineRule="auto"/>
              <w:jc w:val="center"/>
              <w:rPr>
                <w:rFonts w:ascii="宋体" w:hAnsi="宋体" w:cs="宋体"/>
                <w:sz w:val="24"/>
              </w:rPr>
            </w:pPr>
          </w:p>
        </w:tc>
        <w:tc>
          <w:tcPr>
            <w:tcW w:w="1218" w:type="pct"/>
            <w:vAlign w:val="center"/>
          </w:tcPr>
          <w:p w14:paraId="308CA966">
            <w:pPr>
              <w:tabs>
                <w:tab w:val="left" w:pos="720"/>
              </w:tabs>
              <w:snapToGrid w:val="0"/>
              <w:spacing w:line="360" w:lineRule="auto"/>
              <w:jc w:val="center"/>
              <w:rPr>
                <w:rFonts w:ascii="宋体" w:hAnsi="宋体" w:cs="宋体"/>
                <w:sz w:val="24"/>
              </w:rPr>
            </w:pPr>
          </w:p>
        </w:tc>
      </w:tr>
      <w:tr w14:paraId="2415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137DBF62">
            <w:pPr>
              <w:tabs>
                <w:tab w:val="left" w:pos="720"/>
              </w:tabs>
              <w:snapToGrid w:val="0"/>
              <w:spacing w:line="360" w:lineRule="auto"/>
              <w:jc w:val="center"/>
              <w:rPr>
                <w:rFonts w:ascii="宋体" w:hAnsi="宋体" w:cs="宋体"/>
                <w:sz w:val="24"/>
              </w:rPr>
            </w:pPr>
          </w:p>
        </w:tc>
        <w:tc>
          <w:tcPr>
            <w:tcW w:w="729" w:type="pct"/>
            <w:vAlign w:val="center"/>
          </w:tcPr>
          <w:p w14:paraId="3F5A8D72">
            <w:pPr>
              <w:tabs>
                <w:tab w:val="left" w:pos="720"/>
              </w:tabs>
              <w:snapToGrid w:val="0"/>
              <w:spacing w:line="360" w:lineRule="auto"/>
              <w:jc w:val="center"/>
              <w:rPr>
                <w:rFonts w:ascii="宋体" w:hAnsi="宋体" w:cs="宋体"/>
                <w:sz w:val="24"/>
              </w:rPr>
            </w:pPr>
          </w:p>
        </w:tc>
        <w:tc>
          <w:tcPr>
            <w:tcW w:w="1236" w:type="pct"/>
            <w:vAlign w:val="center"/>
          </w:tcPr>
          <w:p w14:paraId="2B161A2E">
            <w:pPr>
              <w:tabs>
                <w:tab w:val="left" w:pos="720"/>
              </w:tabs>
              <w:snapToGrid w:val="0"/>
              <w:spacing w:line="360" w:lineRule="auto"/>
              <w:jc w:val="center"/>
              <w:rPr>
                <w:rFonts w:ascii="宋体" w:hAnsi="宋体" w:cs="宋体"/>
                <w:sz w:val="24"/>
              </w:rPr>
            </w:pPr>
          </w:p>
        </w:tc>
        <w:tc>
          <w:tcPr>
            <w:tcW w:w="1185" w:type="pct"/>
            <w:vAlign w:val="center"/>
          </w:tcPr>
          <w:p w14:paraId="5E910D87">
            <w:pPr>
              <w:tabs>
                <w:tab w:val="left" w:pos="720"/>
              </w:tabs>
              <w:snapToGrid w:val="0"/>
              <w:spacing w:line="360" w:lineRule="auto"/>
              <w:jc w:val="center"/>
              <w:rPr>
                <w:rFonts w:ascii="宋体" w:hAnsi="宋体" w:cs="宋体"/>
                <w:sz w:val="24"/>
              </w:rPr>
            </w:pPr>
          </w:p>
        </w:tc>
        <w:tc>
          <w:tcPr>
            <w:tcW w:w="1218" w:type="pct"/>
            <w:vAlign w:val="center"/>
          </w:tcPr>
          <w:p w14:paraId="177CBE2D">
            <w:pPr>
              <w:tabs>
                <w:tab w:val="left" w:pos="720"/>
              </w:tabs>
              <w:snapToGrid w:val="0"/>
              <w:spacing w:line="360" w:lineRule="auto"/>
              <w:jc w:val="center"/>
              <w:rPr>
                <w:rFonts w:ascii="宋体" w:hAnsi="宋体" w:cs="宋体"/>
                <w:sz w:val="24"/>
              </w:rPr>
            </w:pPr>
          </w:p>
        </w:tc>
      </w:tr>
      <w:tr w14:paraId="214F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1374413F">
            <w:pPr>
              <w:tabs>
                <w:tab w:val="left" w:pos="720"/>
              </w:tabs>
              <w:snapToGrid w:val="0"/>
              <w:spacing w:line="360" w:lineRule="auto"/>
              <w:jc w:val="center"/>
              <w:rPr>
                <w:rFonts w:ascii="宋体" w:hAnsi="宋体" w:cs="宋体"/>
                <w:sz w:val="24"/>
              </w:rPr>
            </w:pPr>
          </w:p>
        </w:tc>
        <w:tc>
          <w:tcPr>
            <w:tcW w:w="729" w:type="pct"/>
            <w:vAlign w:val="center"/>
          </w:tcPr>
          <w:p w14:paraId="68F025E3">
            <w:pPr>
              <w:tabs>
                <w:tab w:val="left" w:pos="720"/>
              </w:tabs>
              <w:snapToGrid w:val="0"/>
              <w:spacing w:line="360" w:lineRule="auto"/>
              <w:jc w:val="center"/>
              <w:rPr>
                <w:rFonts w:ascii="宋体" w:hAnsi="宋体" w:cs="宋体"/>
                <w:sz w:val="24"/>
              </w:rPr>
            </w:pPr>
          </w:p>
        </w:tc>
        <w:tc>
          <w:tcPr>
            <w:tcW w:w="1236" w:type="pct"/>
            <w:vAlign w:val="center"/>
          </w:tcPr>
          <w:p w14:paraId="3D0E3B65">
            <w:pPr>
              <w:tabs>
                <w:tab w:val="left" w:pos="720"/>
              </w:tabs>
              <w:snapToGrid w:val="0"/>
              <w:spacing w:line="360" w:lineRule="auto"/>
              <w:jc w:val="center"/>
              <w:rPr>
                <w:rFonts w:ascii="宋体" w:hAnsi="宋体" w:cs="宋体"/>
                <w:sz w:val="24"/>
              </w:rPr>
            </w:pPr>
          </w:p>
        </w:tc>
        <w:tc>
          <w:tcPr>
            <w:tcW w:w="1185" w:type="pct"/>
            <w:vAlign w:val="center"/>
          </w:tcPr>
          <w:p w14:paraId="6B7C286B">
            <w:pPr>
              <w:tabs>
                <w:tab w:val="left" w:pos="720"/>
              </w:tabs>
              <w:snapToGrid w:val="0"/>
              <w:spacing w:line="360" w:lineRule="auto"/>
              <w:jc w:val="center"/>
              <w:rPr>
                <w:rFonts w:ascii="宋体" w:hAnsi="宋体" w:cs="宋体"/>
                <w:sz w:val="24"/>
              </w:rPr>
            </w:pPr>
          </w:p>
        </w:tc>
        <w:tc>
          <w:tcPr>
            <w:tcW w:w="1218" w:type="pct"/>
            <w:vAlign w:val="center"/>
          </w:tcPr>
          <w:p w14:paraId="70047805">
            <w:pPr>
              <w:tabs>
                <w:tab w:val="left" w:pos="720"/>
              </w:tabs>
              <w:snapToGrid w:val="0"/>
              <w:spacing w:line="360" w:lineRule="auto"/>
              <w:jc w:val="center"/>
              <w:rPr>
                <w:rFonts w:ascii="宋体" w:hAnsi="宋体" w:cs="宋体"/>
                <w:sz w:val="24"/>
              </w:rPr>
            </w:pPr>
          </w:p>
        </w:tc>
      </w:tr>
      <w:tr w14:paraId="1F6B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29" w:type="pct"/>
            <w:vAlign w:val="center"/>
          </w:tcPr>
          <w:p w14:paraId="6C2F2FD9">
            <w:pPr>
              <w:tabs>
                <w:tab w:val="left" w:pos="720"/>
              </w:tabs>
              <w:snapToGrid w:val="0"/>
              <w:spacing w:line="360" w:lineRule="auto"/>
              <w:jc w:val="center"/>
              <w:rPr>
                <w:rFonts w:ascii="宋体" w:hAnsi="宋体" w:cs="宋体"/>
                <w:sz w:val="24"/>
              </w:rPr>
            </w:pPr>
          </w:p>
        </w:tc>
        <w:tc>
          <w:tcPr>
            <w:tcW w:w="729" w:type="pct"/>
            <w:vAlign w:val="center"/>
          </w:tcPr>
          <w:p w14:paraId="268598C7">
            <w:pPr>
              <w:tabs>
                <w:tab w:val="left" w:pos="720"/>
              </w:tabs>
              <w:snapToGrid w:val="0"/>
              <w:spacing w:line="360" w:lineRule="auto"/>
              <w:jc w:val="center"/>
              <w:rPr>
                <w:rFonts w:ascii="宋体" w:hAnsi="宋体" w:cs="宋体"/>
                <w:sz w:val="24"/>
              </w:rPr>
            </w:pPr>
          </w:p>
        </w:tc>
        <w:tc>
          <w:tcPr>
            <w:tcW w:w="1236" w:type="pct"/>
            <w:vAlign w:val="center"/>
          </w:tcPr>
          <w:p w14:paraId="0AF18F15">
            <w:pPr>
              <w:tabs>
                <w:tab w:val="left" w:pos="720"/>
              </w:tabs>
              <w:snapToGrid w:val="0"/>
              <w:spacing w:line="360" w:lineRule="auto"/>
              <w:jc w:val="center"/>
              <w:rPr>
                <w:rFonts w:ascii="宋体" w:hAnsi="宋体" w:cs="宋体"/>
                <w:sz w:val="24"/>
              </w:rPr>
            </w:pPr>
          </w:p>
        </w:tc>
        <w:tc>
          <w:tcPr>
            <w:tcW w:w="1185" w:type="pct"/>
            <w:vAlign w:val="center"/>
          </w:tcPr>
          <w:p w14:paraId="1C3843D6">
            <w:pPr>
              <w:tabs>
                <w:tab w:val="left" w:pos="720"/>
              </w:tabs>
              <w:snapToGrid w:val="0"/>
              <w:spacing w:line="360" w:lineRule="auto"/>
              <w:jc w:val="center"/>
              <w:rPr>
                <w:rFonts w:ascii="宋体" w:hAnsi="宋体" w:cs="宋体"/>
                <w:sz w:val="24"/>
              </w:rPr>
            </w:pPr>
          </w:p>
        </w:tc>
        <w:tc>
          <w:tcPr>
            <w:tcW w:w="1218" w:type="pct"/>
            <w:vAlign w:val="center"/>
          </w:tcPr>
          <w:p w14:paraId="3287F840">
            <w:pPr>
              <w:tabs>
                <w:tab w:val="left" w:pos="720"/>
              </w:tabs>
              <w:snapToGrid w:val="0"/>
              <w:spacing w:line="360" w:lineRule="auto"/>
              <w:jc w:val="center"/>
              <w:rPr>
                <w:rFonts w:ascii="宋体" w:hAnsi="宋体" w:cs="宋体"/>
                <w:sz w:val="24"/>
              </w:rPr>
            </w:pPr>
          </w:p>
        </w:tc>
      </w:tr>
      <w:tr w14:paraId="5264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29" w:type="pct"/>
            <w:vAlign w:val="center"/>
          </w:tcPr>
          <w:p w14:paraId="31869C3F">
            <w:pPr>
              <w:tabs>
                <w:tab w:val="left" w:pos="720"/>
              </w:tabs>
              <w:snapToGrid w:val="0"/>
              <w:spacing w:line="360" w:lineRule="auto"/>
              <w:jc w:val="center"/>
              <w:rPr>
                <w:rFonts w:ascii="宋体" w:hAnsi="宋体" w:cs="宋体"/>
                <w:sz w:val="24"/>
              </w:rPr>
            </w:pPr>
          </w:p>
        </w:tc>
        <w:tc>
          <w:tcPr>
            <w:tcW w:w="729" w:type="pct"/>
            <w:vAlign w:val="center"/>
          </w:tcPr>
          <w:p w14:paraId="4810DC4E">
            <w:pPr>
              <w:tabs>
                <w:tab w:val="left" w:pos="720"/>
              </w:tabs>
              <w:snapToGrid w:val="0"/>
              <w:spacing w:line="360" w:lineRule="auto"/>
              <w:jc w:val="center"/>
              <w:rPr>
                <w:rFonts w:ascii="宋体" w:hAnsi="宋体" w:cs="宋体"/>
                <w:sz w:val="24"/>
              </w:rPr>
            </w:pPr>
          </w:p>
        </w:tc>
        <w:tc>
          <w:tcPr>
            <w:tcW w:w="1236" w:type="pct"/>
            <w:vAlign w:val="center"/>
          </w:tcPr>
          <w:p w14:paraId="3B8E9B7F">
            <w:pPr>
              <w:tabs>
                <w:tab w:val="left" w:pos="720"/>
              </w:tabs>
              <w:snapToGrid w:val="0"/>
              <w:spacing w:line="360" w:lineRule="auto"/>
              <w:jc w:val="center"/>
              <w:rPr>
                <w:rFonts w:ascii="宋体" w:hAnsi="宋体" w:cs="宋体"/>
                <w:sz w:val="24"/>
              </w:rPr>
            </w:pPr>
          </w:p>
        </w:tc>
        <w:tc>
          <w:tcPr>
            <w:tcW w:w="1185" w:type="pct"/>
            <w:vAlign w:val="center"/>
          </w:tcPr>
          <w:p w14:paraId="3BE70E4F">
            <w:pPr>
              <w:tabs>
                <w:tab w:val="left" w:pos="720"/>
              </w:tabs>
              <w:snapToGrid w:val="0"/>
              <w:spacing w:line="360" w:lineRule="auto"/>
              <w:jc w:val="center"/>
              <w:rPr>
                <w:rFonts w:ascii="宋体" w:hAnsi="宋体" w:cs="宋体"/>
                <w:sz w:val="24"/>
              </w:rPr>
            </w:pPr>
          </w:p>
        </w:tc>
        <w:tc>
          <w:tcPr>
            <w:tcW w:w="1218" w:type="pct"/>
            <w:vAlign w:val="center"/>
          </w:tcPr>
          <w:p w14:paraId="7607A800">
            <w:pPr>
              <w:tabs>
                <w:tab w:val="left" w:pos="720"/>
              </w:tabs>
              <w:snapToGrid w:val="0"/>
              <w:spacing w:line="360" w:lineRule="auto"/>
              <w:jc w:val="center"/>
              <w:rPr>
                <w:rFonts w:ascii="宋体" w:hAnsi="宋体" w:cs="宋体"/>
                <w:sz w:val="24"/>
              </w:rPr>
            </w:pPr>
          </w:p>
        </w:tc>
      </w:tr>
    </w:tbl>
    <w:p w14:paraId="57134C80">
      <w:pPr>
        <w:pStyle w:val="5"/>
        <w:spacing w:after="0"/>
        <w:ind w:firstLine="0"/>
        <w:jc w:val="left"/>
        <w:rPr>
          <w:rFonts w:ascii="宋体" w:hAnsi="宋体" w:cs="宋体"/>
          <w:sz w:val="22"/>
          <w:szCs w:val="22"/>
        </w:rPr>
      </w:pPr>
      <w:r>
        <w:rPr>
          <w:rFonts w:hint="eastAsia" w:ascii="宋体" w:hAnsi="宋体" w:cs="宋体"/>
          <w:sz w:val="22"/>
          <w:szCs w:val="22"/>
        </w:rPr>
        <w:t xml:space="preserve">注：请填写参与编制经济标书的所有人员名单，如：编制各种专业工程量清单投标报价、负责清样校对（如有）、负责打印及复印（如有）等。 </w:t>
      </w:r>
    </w:p>
    <w:p w14:paraId="50716D73">
      <w:pPr>
        <w:autoSpaceDE w:val="0"/>
        <w:autoSpaceDN w:val="0"/>
        <w:adjustRightInd w:val="0"/>
        <w:outlineLvl w:val="2"/>
        <w:rPr>
          <w:rFonts w:ascii="宋体" w:hAnsi="宋体" w:cs="宋体"/>
          <w:b/>
          <w:sz w:val="24"/>
          <w:szCs w:val="24"/>
        </w:rPr>
      </w:pPr>
      <w:r>
        <w:rPr>
          <w:rFonts w:hint="eastAsia" w:ascii="宋体" w:hAnsi="宋体" w:cs="宋体"/>
          <w:sz w:val="24"/>
        </w:rPr>
        <w:br w:type="page"/>
      </w:r>
      <w:bookmarkStart w:id="83" w:name="_Toc15104"/>
      <w:r>
        <w:rPr>
          <w:rFonts w:hint="eastAsia" w:ascii="宋体" w:hAnsi="宋体" w:cs="宋体"/>
          <w:b/>
          <w:sz w:val="24"/>
          <w:szCs w:val="24"/>
        </w:rPr>
        <w:t>格式四：对投标文件编制的承诺</w:t>
      </w:r>
      <w:bookmarkEnd w:id="83"/>
    </w:p>
    <w:p w14:paraId="617B45D2">
      <w:pPr>
        <w:autoSpaceDE w:val="0"/>
        <w:autoSpaceDN w:val="0"/>
        <w:adjustRightInd w:val="0"/>
        <w:rPr>
          <w:rFonts w:ascii="宋体" w:hAnsi="宋体" w:cs="宋体"/>
          <w:szCs w:val="21"/>
        </w:rPr>
      </w:pPr>
    </w:p>
    <w:p w14:paraId="091005C5">
      <w:pPr>
        <w:spacing w:line="360" w:lineRule="auto"/>
        <w:jc w:val="center"/>
        <w:rPr>
          <w:rFonts w:ascii="宋体" w:hAnsi="宋体" w:cs="宋体"/>
          <w:kern w:val="0"/>
          <w:sz w:val="32"/>
          <w:szCs w:val="32"/>
        </w:rPr>
      </w:pPr>
      <w:r>
        <w:rPr>
          <w:rFonts w:hint="eastAsia" w:ascii="宋体" w:hAnsi="宋体" w:cs="宋体"/>
          <w:b/>
          <w:kern w:val="0"/>
          <w:sz w:val="32"/>
          <w:szCs w:val="32"/>
        </w:rPr>
        <w:t>对投标文件编制的承诺</w:t>
      </w:r>
    </w:p>
    <w:p w14:paraId="118EDFCE">
      <w:pPr>
        <w:spacing w:line="360" w:lineRule="auto"/>
        <w:ind w:left="-2" w:leftChars="-1" w:firstLine="540" w:firstLineChars="225"/>
        <w:rPr>
          <w:rFonts w:ascii="宋体" w:hAnsi="宋体" w:cs="宋体"/>
          <w:kern w:val="0"/>
          <w:sz w:val="24"/>
          <w:szCs w:val="20"/>
        </w:rPr>
      </w:pPr>
      <w:r>
        <w:rPr>
          <w:rFonts w:hint="eastAsia" w:ascii="宋体" w:hAnsi="宋体" w:cs="宋体"/>
          <w:kern w:val="0"/>
          <w:sz w:val="24"/>
          <w:szCs w:val="20"/>
        </w:rPr>
        <w:t>本公司授权</w:t>
      </w:r>
      <w:r>
        <w:rPr>
          <w:rFonts w:hint="eastAsia" w:ascii="宋体" w:hAnsi="宋体" w:cs="宋体"/>
          <w:kern w:val="0"/>
          <w:sz w:val="24"/>
          <w:szCs w:val="20"/>
          <w:u w:val="single"/>
        </w:rPr>
        <w:t xml:space="preserve">         （身份证号：               ）</w:t>
      </w:r>
      <w:r>
        <w:rPr>
          <w:rFonts w:hint="eastAsia" w:ascii="宋体" w:hAnsi="宋体" w:cs="宋体"/>
          <w:kern w:val="0"/>
          <w:sz w:val="24"/>
          <w:szCs w:val="20"/>
        </w:rPr>
        <w:t>负责对投标文件的编制及内容进行解释、说明，并承诺以下事项：</w:t>
      </w:r>
    </w:p>
    <w:p w14:paraId="2E9517C1">
      <w:pPr>
        <w:spacing w:line="360" w:lineRule="auto"/>
        <w:ind w:left="-2" w:leftChars="-1" w:firstLine="540" w:firstLineChars="225"/>
        <w:rPr>
          <w:rFonts w:ascii="宋体" w:hAnsi="宋体" w:cs="宋体"/>
          <w:kern w:val="0"/>
          <w:sz w:val="24"/>
          <w:szCs w:val="20"/>
        </w:rPr>
      </w:pPr>
      <w:r>
        <w:rPr>
          <w:rFonts w:hint="eastAsia" w:ascii="宋体" w:hAnsi="宋体" w:cs="宋体"/>
          <w:kern w:val="0"/>
          <w:sz w:val="24"/>
          <w:szCs w:val="20"/>
        </w:rPr>
        <w:t>1.被授权人清楚投标文件编制的具体情况，包括技术方案文件、工程量清单、以及投标文件的加密打包的理解；</w:t>
      </w:r>
    </w:p>
    <w:p w14:paraId="1DEB262D">
      <w:pPr>
        <w:spacing w:line="360" w:lineRule="auto"/>
        <w:ind w:left="-2" w:leftChars="-1" w:firstLine="540" w:firstLineChars="225"/>
        <w:rPr>
          <w:rFonts w:ascii="宋体" w:hAnsi="宋体" w:cs="宋体"/>
          <w:kern w:val="0"/>
          <w:sz w:val="24"/>
          <w:szCs w:val="20"/>
        </w:rPr>
      </w:pPr>
      <w:r>
        <w:rPr>
          <w:rFonts w:hint="eastAsia" w:ascii="宋体" w:hAnsi="宋体" w:cs="宋体"/>
          <w:kern w:val="0"/>
          <w:sz w:val="24"/>
          <w:szCs w:val="20"/>
        </w:rPr>
        <w:t>2.在本项目开标至评标结束前，努力确保被授权人在项目评标所在地附近；</w:t>
      </w:r>
    </w:p>
    <w:p w14:paraId="60CFDD7A">
      <w:pPr>
        <w:spacing w:line="360" w:lineRule="auto"/>
        <w:ind w:left="-2" w:leftChars="-1" w:firstLine="540" w:firstLineChars="225"/>
        <w:rPr>
          <w:rFonts w:ascii="宋体" w:hAnsi="宋体" w:cs="宋体"/>
          <w:kern w:val="0"/>
          <w:sz w:val="24"/>
          <w:szCs w:val="20"/>
        </w:rPr>
      </w:pPr>
      <w:r>
        <w:rPr>
          <w:rFonts w:hint="eastAsia" w:ascii="宋体" w:hAnsi="宋体" w:cs="宋体"/>
          <w:kern w:val="0"/>
          <w:sz w:val="24"/>
          <w:szCs w:val="20"/>
        </w:rPr>
        <w:t>3.从评标委员会要求澄清起二小时内，被授权人应如实地书面澄清。</w:t>
      </w:r>
    </w:p>
    <w:p w14:paraId="3EC8A445">
      <w:pPr>
        <w:spacing w:line="360" w:lineRule="auto"/>
        <w:ind w:left="-2" w:leftChars="-1" w:firstLine="540" w:firstLineChars="225"/>
        <w:rPr>
          <w:rFonts w:ascii="宋体" w:hAnsi="宋体" w:cs="宋体"/>
          <w:kern w:val="0"/>
          <w:sz w:val="24"/>
          <w:szCs w:val="20"/>
        </w:rPr>
      </w:pPr>
      <w:r>
        <w:rPr>
          <w:rFonts w:hint="eastAsia" w:ascii="宋体" w:hAnsi="宋体" w:cs="宋体"/>
          <w:kern w:val="0"/>
          <w:sz w:val="24"/>
          <w:szCs w:val="20"/>
        </w:rPr>
        <w:t xml:space="preserve">如由于未遵守上述承诺内容之一导致无法进行澄清的，我公司认可和接受评标委员会作出的评审结论。                                 </w:t>
      </w:r>
    </w:p>
    <w:p w14:paraId="1AD345CA">
      <w:pPr>
        <w:spacing w:line="360" w:lineRule="auto"/>
        <w:ind w:firstLine="360" w:firstLineChars="150"/>
        <w:rPr>
          <w:rFonts w:ascii="宋体" w:hAnsi="宋体" w:cs="宋体"/>
          <w:kern w:val="0"/>
          <w:sz w:val="24"/>
          <w:szCs w:val="20"/>
        </w:rPr>
      </w:pPr>
      <w:r>
        <w:rPr>
          <w:rFonts w:hint="eastAsia" w:ascii="宋体" w:hAnsi="宋体" w:cs="宋体"/>
          <w:kern w:val="0"/>
          <w:sz w:val="24"/>
          <w:szCs w:val="20"/>
        </w:rPr>
        <w:t xml:space="preserve"> </w:t>
      </w:r>
    </w:p>
    <w:p w14:paraId="200253A2">
      <w:pPr>
        <w:spacing w:line="360" w:lineRule="auto"/>
        <w:ind w:firstLine="480" w:firstLineChars="200"/>
        <w:rPr>
          <w:rFonts w:ascii="宋体" w:hAnsi="宋体" w:cs="宋体"/>
          <w:kern w:val="0"/>
          <w:sz w:val="24"/>
          <w:szCs w:val="20"/>
        </w:rPr>
      </w:pPr>
      <w:r>
        <w:rPr>
          <w:rFonts w:hint="eastAsia" w:ascii="宋体" w:hAnsi="宋体" w:cs="宋体"/>
          <w:kern w:val="0"/>
          <w:sz w:val="24"/>
          <w:szCs w:val="20"/>
        </w:rPr>
        <w:t>附件：《投标文件编制情况》</w:t>
      </w:r>
    </w:p>
    <w:p w14:paraId="12633F8C">
      <w:pPr>
        <w:widowControl/>
        <w:spacing w:line="360" w:lineRule="exact"/>
        <w:ind w:firstLine="1980" w:firstLineChars="900"/>
        <w:jc w:val="left"/>
        <w:rPr>
          <w:rFonts w:ascii="宋体" w:hAnsi="宋体" w:cs="宋体"/>
          <w:kern w:val="0"/>
          <w:sz w:val="22"/>
        </w:rPr>
      </w:pPr>
    </w:p>
    <w:p w14:paraId="2306DB2F">
      <w:pPr>
        <w:widowControl/>
        <w:spacing w:line="360" w:lineRule="exact"/>
        <w:ind w:firstLine="2160" w:firstLineChars="900"/>
        <w:jc w:val="center"/>
        <w:rPr>
          <w:rFonts w:ascii="宋体" w:hAnsi="宋体" w:cs="宋体"/>
        </w:rPr>
      </w:pPr>
      <w:r>
        <w:rPr>
          <w:rFonts w:hint="eastAsia" w:ascii="宋体" w:hAnsi="宋体" w:cs="宋体"/>
          <w:kern w:val="0"/>
          <w:sz w:val="24"/>
          <w:szCs w:val="24"/>
        </w:rPr>
        <w:t>投标人名称：</w:t>
      </w:r>
      <w:r>
        <w:rPr>
          <w:rFonts w:hint="eastAsia" w:ascii="宋体" w:hAnsi="宋体" w:cs="宋体"/>
          <w:kern w:val="0"/>
          <w:sz w:val="24"/>
          <w:szCs w:val="24"/>
          <w:u w:val="single"/>
        </w:rPr>
        <w:t xml:space="preserve">                  </w:t>
      </w:r>
    </w:p>
    <w:p w14:paraId="38CDD82D">
      <w:pPr>
        <w:spacing w:line="360" w:lineRule="auto"/>
        <w:ind w:firstLine="4440" w:firstLineChars="1850"/>
        <w:jc w:val="center"/>
        <w:rPr>
          <w:rFonts w:ascii="宋体" w:hAnsi="宋体" w:cs="宋体"/>
          <w:sz w:val="24"/>
          <w:szCs w:val="24"/>
        </w:rPr>
      </w:pPr>
      <w:r>
        <w:rPr>
          <w:rFonts w:hint="eastAsia" w:ascii="宋体" w:hAnsi="宋体" w:cs="宋体"/>
          <w:kern w:val="0"/>
          <w:sz w:val="24"/>
          <w:szCs w:val="24"/>
        </w:rPr>
        <w:t xml:space="preserve">        日期：      年   月   日</w:t>
      </w:r>
      <w:r>
        <w:rPr>
          <w:rFonts w:hint="eastAsia" w:ascii="宋体" w:hAnsi="宋体" w:cs="宋体"/>
          <w:sz w:val="24"/>
          <w:szCs w:val="24"/>
        </w:rPr>
        <w:t xml:space="preserve">    </w:t>
      </w:r>
    </w:p>
    <w:p w14:paraId="13182A70">
      <w:pPr>
        <w:spacing w:line="360" w:lineRule="auto"/>
        <w:ind w:firstLine="643" w:firstLineChars="200"/>
        <w:jc w:val="center"/>
        <w:rPr>
          <w:rFonts w:ascii="宋体" w:hAnsi="宋体" w:cs="宋体"/>
          <w:b/>
          <w:kern w:val="0"/>
          <w:sz w:val="32"/>
          <w:szCs w:val="32"/>
        </w:rPr>
      </w:pPr>
    </w:p>
    <w:p w14:paraId="5CFB797C">
      <w:pPr>
        <w:spacing w:line="360" w:lineRule="auto"/>
        <w:ind w:firstLine="643" w:firstLineChars="200"/>
        <w:jc w:val="center"/>
        <w:rPr>
          <w:rFonts w:ascii="宋体" w:hAnsi="宋体" w:cs="宋体"/>
          <w:kern w:val="0"/>
          <w:sz w:val="18"/>
          <w:szCs w:val="18"/>
        </w:rPr>
      </w:pPr>
      <w:r>
        <w:rPr>
          <w:rFonts w:hint="eastAsia" w:ascii="宋体" w:hAnsi="宋体" w:cs="宋体"/>
          <w:b/>
          <w:kern w:val="0"/>
          <w:sz w:val="32"/>
          <w:szCs w:val="32"/>
        </w:rPr>
        <w:t>投标文件编制情况</w:t>
      </w:r>
    </w:p>
    <w:tbl>
      <w:tblPr>
        <w:tblStyle w:val="42"/>
        <w:tblW w:w="5000" w:type="pct"/>
        <w:tblInd w:w="0" w:type="dxa"/>
        <w:tblLayout w:type="autofit"/>
        <w:tblCellMar>
          <w:top w:w="0" w:type="dxa"/>
          <w:left w:w="108" w:type="dxa"/>
          <w:bottom w:w="0" w:type="dxa"/>
          <w:right w:w="108" w:type="dxa"/>
        </w:tblCellMar>
      </w:tblPr>
      <w:tblGrid>
        <w:gridCol w:w="9241"/>
      </w:tblGrid>
      <w:tr w14:paraId="2DC7C200">
        <w:tblPrEx>
          <w:tblCellMar>
            <w:top w:w="0" w:type="dxa"/>
            <w:left w:w="108" w:type="dxa"/>
            <w:bottom w:w="0" w:type="dxa"/>
            <w:right w:w="108" w:type="dxa"/>
          </w:tblCellMar>
        </w:tblPrEx>
        <w:trPr>
          <w:trHeight w:val="2819" w:hRule="atLeast"/>
        </w:trPr>
        <w:tc>
          <w:tcPr>
            <w:tcW w:w="5000" w:type="pct"/>
          </w:tcPr>
          <w:p w14:paraId="587FFC75">
            <w:pPr>
              <w:spacing w:line="360" w:lineRule="auto"/>
              <w:rPr>
                <w:rFonts w:ascii="宋体" w:hAnsi="宋体" w:cs="宋体"/>
                <w:sz w:val="24"/>
                <w:szCs w:val="20"/>
              </w:rPr>
            </w:pPr>
            <w:r>
              <w:rPr>
                <w:rFonts w:hint="eastAsia" w:ascii="宋体" w:hAnsi="宋体" w:cs="宋体"/>
                <w:sz w:val="24"/>
                <w:szCs w:val="20"/>
              </w:rPr>
              <w:t>1、投标文件报价编制方式：</w:t>
            </w:r>
          </w:p>
          <w:p w14:paraId="33D77691">
            <w:pPr>
              <w:spacing w:line="360" w:lineRule="auto"/>
              <w:ind w:firstLine="480" w:firstLineChars="200"/>
              <w:rPr>
                <w:rFonts w:ascii="宋体" w:hAnsi="宋体" w:cs="宋体"/>
                <w:sz w:val="24"/>
                <w:szCs w:val="20"/>
              </w:rPr>
            </w:pPr>
            <w:r>
              <w:rPr>
                <w:rFonts w:hint="eastAsia" w:ascii="宋体" w:hAnsi="宋体" w:cs="宋体"/>
                <w:sz w:val="24"/>
                <w:szCs w:val="20"/>
              </w:rPr>
              <w:t>□自行编制的，编制的负责人：</w:t>
            </w:r>
            <w:r>
              <w:rPr>
                <w:rFonts w:hint="eastAsia" w:ascii="宋体" w:hAnsi="宋体" w:cs="宋体"/>
                <w:sz w:val="24"/>
                <w:szCs w:val="20"/>
                <w:u w:val="single"/>
              </w:rPr>
              <w:t>（盖造价工程师执业专用章或全国建设工程造价员章，执业单位应与投标人一致）</w:t>
            </w:r>
            <w:r>
              <w:rPr>
                <w:rFonts w:hint="eastAsia" w:ascii="宋体" w:hAnsi="宋体" w:cs="宋体"/>
                <w:sz w:val="24"/>
                <w:szCs w:val="20"/>
              </w:rPr>
              <w:t>。</w:t>
            </w:r>
          </w:p>
          <w:p w14:paraId="3F8E5972">
            <w:pPr>
              <w:spacing w:line="360" w:lineRule="auto"/>
              <w:ind w:firstLine="480" w:firstLineChars="200"/>
              <w:rPr>
                <w:rFonts w:ascii="宋体" w:hAnsi="宋体" w:cs="宋体"/>
                <w:sz w:val="24"/>
                <w:szCs w:val="20"/>
              </w:rPr>
            </w:pPr>
            <w:r>
              <w:rPr>
                <w:rFonts w:hint="eastAsia" w:ascii="宋体" w:hAnsi="宋体" w:cs="宋体"/>
                <w:sz w:val="24"/>
                <w:szCs w:val="20"/>
              </w:rPr>
              <w:t>□委托编制的，受委托单位</w:t>
            </w:r>
            <w:r>
              <w:rPr>
                <w:rFonts w:hint="eastAsia" w:ascii="宋体" w:hAnsi="宋体" w:cs="宋体"/>
                <w:sz w:val="24"/>
                <w:szCs w:val="20"/>
                <w:u w:val="single"/>
              </w:rPr>
              <w:t xml:space="preserve">                    </w:t>
            </w:r>
            <w:r>
              <w:rPr>
                <w:rFonts w:hint="eastAsia" w:ascii="宋体" w:hAnsi="宋体" w:cs="宋体"/>
                <w:sz w:val="24"/>
                <w:szCs w:val="20"/>
              </w:rPr>
              <w:t>，编制的负责人：</w:t>
            </w:r>
            <w:r>
              <w:rPr>
                <w:rFonts w:hint="eastAsia" w:ascii="宋体" w:hAnsi="宋体" w:cs="宋体"/>
                <w:sz w:val="24"/>
                <w:szCs w:val="20"/>
                <w:u w:val="single"/>
              </w:rPr>
              <w:t>（盖造价工程师执业专用章或全国建设工程造价员章，执业单位应与受委托单位一致）</w:t>
            </w:r>
            <w:r>
              <w:rPr>
                <w:rFonts w:hint="eastAsia" w:ascii="宋体" w:hAnsi="宋体" w:cs="宋体"/>
                <w:sz w:val="24"/>
                <w:szCs w:val="20"/>
              </w:rPr>
              <w:t>。</w:t>
            </w:r>
          </w:p>
          <w:p w14:paraId="1CE35E24">
            <w:pPr>
              <w:spacing w:line="360" w:lineRule="auto"/>
              <w:rPr>
                <w:rFonts w:ascii="宋体" w:hAnsi="宋体" w:cs="宋体"/>
                <w:sz w:val="24"/>
                <w:szCs w:val="20"/>
              </w:rPr>
            </w:pPr>
            <w:r>
              <w:rPr>
                <w:rFonts w:hint="eastAsia" w:ascii="宋体" w:hAnsi="宋体" w:cs="宋体"/>
                <w:sz w:val="24"/>
                <w:szCs w:val="20"/>
              </w:rPr>
              <w:t xml:space="preserve">2、投标文件加密打包的电脑情况投标文件加密打包的电脑    </w:t>
            </w:r>
          </w:p>
          <w:p w14:paraId="3B4D2826">
            <w:pPr>
              <w:spacing w:line="360" w:lineRule="auto"/>
              <w:ind w:firstLine="480" w:firstLineChars="200"/>
              <w:rPr>
                <w:rFonts w:ascii="宋体" w:hAnsi="宋体" w:cs="宋体"/>
                <w:sz w:val="24"/>
                <w:szCs w:val="20"/>
              </w:rPr>
            </w:pPr>
            <w:r>
              <w:rPr>
                <w:rFonts w:hint="eastAsia" w:ascii="宋体" w:hAnsi="宋体" w:cs="宋体"/>
                <w:sz w:val="24"/>
                <w:szCs w:val="20"/>
              </w:rPr>
              <w:t xml:space="preserve"> 自有    □      外包    □     其他    □</w:t>
            </w:r>
          </w:p>
          <w:p w14:paraId="0FE4DF2C">
            <w:pPr>
              <w:spacing w:line="360" w:lineRule="auto"/>
              <w:rPr>
                <w:rFonts w:ascii="宋体" w:hAnsi="宋体" w:cs="宋体"/>
                <w:sz w:val="24"/>
                <w:szCs w:val="20"/>
              </w:rPr>
            </w:pPr>
            <w:r>
              <w:rPr>
                <w:rFonts w:hint="eastAsia" w:ascii="宋体" w:hAnsi="宋体" w:cs="宋体"/>
                <w:sz w:val="24"/>
                <w:szCs w:val="20"/>
              </w:rPr>
              <w:t>电脑类型</w:t>
            </w:r>
          </w:p>
          <w:p w14:paraId="5B9857E5">
            <w:pPr>
              <w:spacing w:line="360" w:lineRule="auto"/>
              <w:rPr>
                <w:rFonts w:ascii="宋体" w:hAnsi="宋体" w:cs="宋体"/>
                <w:sz w:val="24"/>
                <w:szCs w:val="20"/>
              </w:rPr>
            </w:pPr>
            <w:r>
              <w:rPr>
                <w:rFonts w:hint="eastAsia" w:ascii="宋体" w:hAnsi="宋体" w:cs="宋体"/>
                <w:sz w:val="24"/>
                <w:szCs w:val="20"/>
              </w:rPr>
              <w:t>电脑所属单位</w:t>
            </w:r>
          </w:p>
          <w:p w14:paraId="3AFBF93F">
            <w:pPr>
              <w:spacing w:line="360" w:lineRule="auto"/>
              <w:rPr>
                <w:rFonts w:ascii="宋体" w:hAnsi="宋体" w:cs="宋体"/>
                <w:sz w:val="24"/>
                <w:szCs w:val="20"/>
              </w:rPr>
            </w:pPr>
            <w:r>
              <w:rPr>
                <w:rFonts w:hint="eastAsia" w:ascii="宋体" w:hAnsi="宋体" w:cs="宋体"/>
                <w:sz w:val="24"/>
                <w:szCs w:val="20"/>
              </w:rPr>
              <w:t>电脑所在地址        （如××市××区(县) ××街（路）××号××大厦××房）</w:t>
            </w:r>
          </w:p>
        </w:tc>
      </w:tr>
    </w:tbl>
    <w:p w14:paraId="0ABBC656">
      <w:pPr>
        <w:topLinePunct/>
        <w:adjustRightInd w:val="0"/>
        <w:snapToGrid w:val="0"/>
        <w:spacing w:line="360" w:lineRule="auto"/>
        <w:outlineLvl w:val="1"/>
        <w:rPr>
          <w:rFonts w:ascii="宋体" w:hAnsi="宋体" w:cs="宋体"/>
          <w:b/>
          <w:snapToGrid w:val="0"/>
          <w:spacing w:val="4"/>
          <w:kern w:val="0"/>
          <w:sz w:val="30"/>
          <w:szCs w:val="30"/>
        </w:rPr>
      </w:pPr>
      <w:r>
        <w:rPr>
          <w:rFonts w:hint="eastAsia" w:ascii="宋体" w:hAnsi="宋体" w:cs="宋体"/>
          <w:sz w:val="24"/>
          <w:szCs w:val="24"/>
        </w:rPr>
        <w:br w:type="page"/>
      </w:r>
      <w:bookmarkStart w:id="84" w:name="_Toc14026"/>
      <w:bookmarkStart w:id="85" w:name="_Toc62134867"/>
      <w:bookmarkStart w:id="86" w:name="_Toc62134868"/>
      <w:r>
        <w:rPr>
          <w:rFonts w:hint="eastAsia" w:ascii="宋体" w:hAnsi="宋体" w:cs="宋体"/>
          <w:b/>
          <w:snapToGrid w:val="0"/>
          <w:spacing w:val="4"/>
          <w:kern w:val="0"/>
          <w:sz w:val="30"/>
          <w:szCs w:val="30"/>
        </w:rPr>
        <w:t>三、定标文件格式</w:t>
      </w:r>
    </w:p>
    <w:p w14:paraId="4D5C6BAF">
      <w:pPr>
        <w:widowControl/>
        <w:spacing w:before="100" w:beforeAutospacing="1" w:after="100" w:afterAutospacing="1"/>
        <w:jc w:val="left"/>
        <w:outlineLvl w:val="2"/>
        <w:rPr>
          <w:rFonts w:ascii="宋体" w:hAnsi="宋体" w:cs="宋体"/>
          <w:b/>
          <w:kern w:val="0"/>
          <w:sz w:val="24"/>
          <w:szCs w:val="24"/>
        </w:rPr>
      </w:pPr>
      <w:r>
        <w:rPr>
          <w:rFonts w:hint="eastAsia" w:ascii="宋体" w:hAnsi="宋体" w:cs="宋体"/>
          <w:b/>
          <w:kern w:val="0"/>
          <w:sz w:val="24"/>
          <w:szCs w:val="24"/>
        </w:rPr>
        <w:t>格式一：定标文件封面</w:t>
      </w:r>
    </w:p>
    <w:p w14:paraId="0267ED25">
      <w:pPr>
        <w:topLinePunct/>
        <w:adjustRightInd w:val="0"/>
        <w:snapToGrid w:val="0"/>
        <w:spacing w:line="360" w:lineRule="auto"/>
        <w:ind w:firstLine="496" w:firstLineChars="200"/>
        <w:rPr>
          <w:rFonts w:ascii="宋体" w:hAnsi="宋体" w:cs="宋体"/>
          <w:snapToGrid w:val="0"/>
          <w:spacing w:val="4"/>
          <w:kern w:val="0"/>
          <w:sz w:val="24"/>
          <w:szCs w:val="24"/>
        </w:rPr>
      </w:pPr>
    </w:p>
    <w:p w14:paraId="3D6C594C">
      <w:pPr>
        <w:topLinePunct/>
        <w:adjustRightInd w:val="0"/>
        <w:snapToGrid w:val="0"/>
        <w:spacing w:line="360" w:lineRule="auto"/>
        <w:ind w:firstLine="496" w:firstLineChars="200"/>
        <w:rPr>
          <w:rFonts w:ascii="宋体" w:hAnsi="宋体" w:cs="宋体"/>
          <w:snapToGrid w:val="0"/>
          <w:spacing w:val="4"/>
          <w:kern w:val="0"/>
          <w:sz w:val="24"/>
          <w:szCs w:val="24"/>
        </w:rPr>
      </w:pPr>
    </w:p>
    <w:p w14:paraId="5C3C035C">
      <w:pPr>
        <w:topLinePunct/>
        <w:adjustRightInd w:val="0"/>
        <w:snapToGrid w:val="0"/>
        <w:spacing w:line="360" w:lineRule="auto"/>
        <w:ind w:firstLine="496" w:firstLineChars="200"/>
        <w:rPr>
          <w:rFonts w:ascii="宋体" w:hAnsi="宋体" w:cs="宋体"/>
          <w:snapToGrid w:val="0"/>
          <w:spacing w:val="4"/>
          <w:kern w:val="0"/>
          <w:sz w:val="24"/>
          <w:szCs w:val="24"/>
        </w:rPr>
      </w:pPr>
    </w:p>
    <w:p w14:paraId="061028A0">
      <w:pPr>
        <w:topLinePunct/>
        <w:adjustRightInd w:val="0"/>
        <w:snapToGrid w:val="0"/>
        <w:spacing w:line="360" w:lineRule="auto"/>
        <w:jc w:val="center"/>
        <w:rPr>
          <w:rFonts w:ascii="宋体" w:hAnsi="宋体" w:cs="宋体"/>
          <w:snapToGrid w:val="0"/>
          <w:spacing w:val="4"/>
          <w:kern w:val="0"/>
          <w:sz w:val="36"/>
          <w:szCs w:val="36"/>
          <w:u w:val="single"/>
        </w:rPr>
      </w:pPr>
      <w:r>
        <w:rPr>
          <w:rFonts w:hint="eastAsia" w:ascii="宋体" w:hAnsi="宋体" w:cs="宋体"/>
          <w:snapToGrid w:val="0"/>
          <w:spacing w:val="4"/>
          <w:kern w:val="0"/>
          <w:sz w:val="36"/>
          <w:szCs w:val="36"/>
          <w:u w:val="single"/>
        </w:rPr>
        <w:t xml:space="preserve">[工程名称] </w:t>
      </w:r>
    </w:p>
    <w:p w14:paraId="6862D960">
      <w:pPr>
        <w:topLinePunct/>
        <w:adjustRightInd w:val="0"/>
        <w:snapToGrid w:val="0"/>
        <w:spacing w:line="360" w:lineRule="auto"/>
        <w:ind w:firstLine="496" w:firstLineChars="200"/>
        <w:rPr>
          <w:rFonts w:ascii="宋体" w:hAnsi="宋体" w:cs="宋体"/>
          <w:snapToGrid w:val="0"/>
          <w:spacing w:val="4"/>
          <w:kern w:val="0"/>
          <w:sz w:val="24"/>
          <w:szCs w:val="24"/>
        </w:rPr>
      </w:pPr>
    </w:p>
    <w:p w14:paraId="45B536B6">
      <w:pPr>
        <w:topLinePunct/>
        <w:adjustRightInd w:val="0"/>
        <w:snapToGrid w:val="0"/>
        <w:spacing w:line="360" w:lineRule="auto"/>
        <w:ind w:firstLine="496" w:firstLineChars="200"/>
        <w:rPr>
          <w:rFonts w:ascii="宋体" w:hAnsi="宋体" w:cs="宋体"/>
          <w:snapToGrid w:val="0"/>
          <w:spacing w:val="4"/>
          <w:kern w:val="0"/>
          <w:sz w:val="24"/>
          <w:szCs w:val="24"/>
        </w:rPr>
      </w:pPr>
    </w:p>
    <w:p w14:paraId="7D328406">
      <w:pPr>
        <w:topLinePunct/>
        <w:adjustRightInd w:val="0"/>
        <w:snapToGrid w:val="0"/>
        <w:spacing w:line="360" w:lineRule="auto"/>
        <w:ind w:firstLine="496" w:firstLineChars="200"/>
        <w:rPr>
          <w:rFonts w:ascii="宋体" w:hAnsi="宋体" w:cs="宋体"/>
          <w:snapToGrid w:val="0"/>
          <w:spacing w:val="4"/>
          <w:kern w:val="0"/>
          <w:sz w:val="24"/>
          <w:szCs w:val="24"/>
        </w:rPr>
      </w:pPr>
    </w:p>
    <w:p w14:paraId="6666747B">
      <w:pPr>
        <w:topLinePunct/>
        <w:adjustRightInd w:val="0"/>
        <w:snapToGrid w:val="0"/>
        <w:spacing w:line="360" w:lineRule="auto"/>
        <w:ind w:firstLine="496" w:firstLineChars="200"/>
        <w:rPr>
          <w:rFonts w:ascii="宋体" w:hAnsi="宋体" w:cs="宋体"/>
          <w:snapToGrid w:val="0"/>
          <w:spacing w:val="4"/>
          <w:kern w:val="0"/>
          <w:sz w:val="24"/>
          <w:szCs w:val="24"/>
        </w:rPr>
      </w:pPr>
    </w:p>
    <w:p w14:paraId="5C55F0F2">
      <w:pPr>
        <w:topLinePunct/>
        <w:adjustRightInd w:val="0"/>
        <w:snapToGrid w:val="0"/>
        <w:spacing w:line="360" w:lineRule="auto"/>
        <w:jc w:val="center"/>
        <w:rPr>
          <w:rFonts w:ascii="宋体" w:hAnsi="宋体" w:cs="宋体"/>
          <w:snapToGrid w:val="0"/>
          <w:spacing w:val="4"/>
          <w:kern w:val="0"/>
          <w:sz w:val="84"/>
          <w:szCs w:val="84"/>
        </w:rPr>
      </w:pPr>
      <w:r>
        <w:rPr>
          <w:rFonts w:hint="eastAsia" w:ascii="宋体" w:hAnsi="宋体" w:cs="宋体"/>
          <w:snapToGrid w:val="0"/>
          <w:spacing w:val="4"/>
          <w:kern w:val="0"/>
          <w:sz w:val="84"/>
          <w:szCs w:val="84"/>
        </w:rPr>
        <w:t>定标文件</w:t>
      </w:r>
    </w:p>
    <w:p w14:paraId="4EDCC546">
      <w:pPr>
        <w:topLinePunct/>
        <w:adjustRightInd w:val="0"/>
        <w:snapToGrid w:val="0"/>
        <w:spacing w:line="360" w:lineRule="auto"/>
        <w:ind w:firstLine="496" w:firstLineChars="200"/>
        <w:rPr>
          <w:rFonts w:ascii="宋体" w:hAnsi="宋体" w:cs="宋体"/>
          <w:snapToGrid w:val="0"/>
          <w:spacing w:val="4"/>
          <w:kern w:val="0"/>
          <w:sz w:val="24"/>
          <w:szCs w:val="24"/>
        </w:rPr>
      </w:pPr>
    </w:p>
    <w:p w14:paraId="490C6766">
      <w:pPr>
        <w:topLinePunct/>
        <w:adjustRightInd w:val="0"/>
        <w:snapToGrid w:val="0"/>
        <w:spacing w:line="360" w:lineRule="auto"/>
        <w:ind w:firstLine="496" w:firstLineChars="200"/>
        <w:rPr>
          <w:rFonts w:ascii="宋体" w:hAnsi="宋体" w:cs="宋体"/>
          <w:snapToGrid w:val="0"/>
          <w:spacing w:val="4"/>
          <w:kern w:val="0"/>
          <w:sz w:val="24"/>
          <w:szCs w:val="24"/>
        </w:rPr>
      </w:pPr>
    </w:p>
    <w:p w14:paraId="4CDF8533">
      <w:pPr>
        <w:topLinePunct/>
        <w:adjustRightInd w:val="0"/>
        <w:snapToGrid w:val="0"/>
        <w:spacing w:line="360" w:lineRule="auto"/>
        <w:ind w:firstLine="496" w:firstLineChars="200"/>
        <w:rPr>
          <w:rFonts w:ascii="宋体" w:hAnsi="宋体" w:cs="宋体"/>
          <w:snapToGrid w:val="0"/>
          <w:spacing w:val="4"/>
          <w:kern w:val="0"/>
          <w:sz w:val="24"/>
          <w:szCs w:val="24"/>
        </w:rPr>
      </w:pPr>
    </w:p>
    <w:p w14:paraId="49D25B19">
      <w:pPr>
        <w:topLinePunct/>
        <w:adjustRightInd w:val="0"/>
        <w:snapToGrid w:val="0"/>
        <w:spacing w:line="360" w:lineRule="auto"/>
        <w:ind w:firstLine="496" w:firstLineChars="200"/>
        <w:rPr>
          <w:rFonts w:ascii="宋体" w:hAnsi="宋体" w:cs="宋体"/>
          <w:snapToGrid w:val="0"/>
          <w:spacing w:val="4"/>
          <w:kern w:val="0"/>
          <w:sz w:val="24"/>
          <w:szCs w:val="24"/>
        </w:rPr>
      </w:pPr>
    </w:p>
    <w:p w14:paraId="4C3C4001">
      <w:pPr>
        <w:topLinePunct/>
        <w:adjustRightInd w:val="0"/>
        <w:snapToGrid w:val="0"/>
        <w:spacing w:line="360" w:lineRule="auto"/>
        <w:ind w:firstLine="496" w:firstLineChars="200"/>
        <w:rPr>
          <w:rFonts w:ascii="宋体" w:hAnsi="宋体" w:cs="宋体"/>
          <w:snapToGrid w:val="0"/>
          <w:spacing w:val="4"/>
          <w:kern w:val="0"/>
          <w:sz w:val="24"/>
          <w:szCs w:val="24"/>
        </w:rPr>
      </w:pPr>
    </w:p>
    <w:p w14:paraId="6BDD4874">
      <w:pPr>
        <w:topLinePunct/>
        <w:adjustRightInd w:val="0"/>
        <w:snapToGrid w:val="0"/>
        <w:spacing w:line="360" w:lineRule="auto"/>
        <w:ind w:firstLine="496" w:firstLineChars="200"/>
        <w:rPr>
          <w:rFonts w:ascii="宋体" w:hAnsi="宋体" w:cs="宋体"/>
          <w:snapToGrid w:val="0"/>
          <w:spacing w:val="4"/>
          <w:kern w:val="0"/>
          <w:sz w:val="24"/>
          <w:szCs w:val="24"/>
        </w:rPr>
      </w:pPr>
    </w:p>
    <w:p w14:paraId="3ACA6D3D">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投标人：</w:t>
      </w:r>
      <w:r>
        <w:rPr>
          <w:rFonts w:hint="eastAsia" w:ascii="宋体" w:hAnsi="宋体" w:cs="宋体"/>
          <w:snapToGrid w:val="0"/>
          <w:spacing w:val="4"/>
          <w:kern w:val="0"/>
          <w:sz w:val="30"/>
          <w:szCs w:val="30"/>
          <w:u w:val="single"/>
        </w:rPr>
        <w:t xml:space="preserve">    （填写投标人单位名称）    </w:t>
      </w:r>
    </w:p>
    <w:p w14:paraId="538445F7">
      <w:pPr>
        <w:topLinePunct/>
        <w:adjustRightInd w:val="0"/>
        <w:snapToGrid w:val="0"/>
        <w:spacing w:line="360" w:lineRule="auto"/>
        <w:ind w:firstLine="616" w:firstLineChars="200"/>
        <w:jc w:val="left"/>
        <w:rPr>
          <w:rFonts w:ascii="宋体" w:hAnsi="宋体" w:cs="宋体"/>
          <w:snapToGrid w:val="0"/>
          <w:spacing w:val="4"/>
          <w:kern w:val="0"/>
          <w:sz w:val="30"/>
          <w:szCs w:val="30"/>
        </w:rPr>
      </w:pPr>
    </w:p>
    <w:p w14:paraId="3CFD3687">
      <w:pPr>
        <w:topLinePunct/>
        <w:adjustRightInd w:val="0"/>
        <w:snapToGrid w:val="0"/>
        <w:spacing w:line="360" w:lineRule="auto"/>
        <w:ind w:firstLine="616" w:firstLineChars="200"/>
        <w:jc w:val="left"/>
        <w:rPr>
          <w:rFonts w:ascii="宋体" w:hAnsi="宋体" w:cs="宋体"/>
          <w:snapToGrid w:val="0"/>
          <w:spacing w:val="4"/>
          <w:kern w:val="0"/>
          <w:sz w:val="24"/>
          <w:szCs w:val="24"/>
        </w:rPr>
      </w:pPr>
      <w:r>
        <w:rPr>
          <w:rFonts w:hint="eastAsia" w:ascii="宋体" w:hAnsi="宋体" w:cs="宋体"/>
          <w:snapToGrid w:val="0"/>
          <w:spacing w:val="4"/>
          <w:kern w:val="0"/>
          <w:sz w:val="30"/>
          <w:szCs w:val="30"/>
        </w:rPr>
        <w:t>日  期：</w:t>
      </w:r>
      <w:r>
        <w:rPr>
          <w:rFonts w:hint="eastAsia" w:ascii="宋体" w:hAnsi="宋体" w:cs="宋体"/>
          <w:snapToGrid w:val="0"/>
          <w:spacing w:val="4"/>
          <w:kern w:val="0"/>
          <w:sz w:val="30"/>
          <w:szCs w:val="30"/>
          <w:u w:val="single"/>
        </w:rPr>
        <w:t xml:space="preserve">                                            </w:t>
      </w:r>
    </w:p>
    <w:p w14:paraId="15FF031E">
      <w:pPr>
        <w:rPr>
          <w:rFonts w:ascii="宋体" w:hAnsi="宋体" w:cs="宋体"/>
          <w:sz w:val="24"/>
          <w:szCs w:val="24"/>
        </w:rPr>
      </w:pPr>
    </w:p>
    <w:p w14:paraId="4C936618">
      <w:pPr>
        <w:rPr>
          <w:rFonts w:ascii="宋体" w:hAnsi="宋体" w:cs="宋体"/>
          <w:spacing w:val="4"/>
          <w:kern w:val="0"/>
          <w:sz w:val="24"/>
          <w:szCs w:val="24"/>
        </w:rPr>
      </w:pPr>
      <w:r>
        <w:rPr>
          <w:rFonts w:hint="eastAsia" w:ascii="宋体" w:hAnsi="宋体" w:cs="宋体"/>
          <w:sz w:val="24"/>
          <w:szCs w:val="24"/>
        </w:rPr>
        <w:br w:type="page"/>
      </w:r>
      <w:r>
        <w:rPr>
          <w:rFonts w:hint="eastAsia" w:ascii="宋体" w:hAnsi="宋体" w:cs="宋体"/>
          <w:spacing w:val="4"/>
          <w:kern w:val="0"/>
          <w:sz w:val="24"/>
          <w:szCs w:val="24"/>
        </w:rPr>
        <w:t>格式三-1：目录</w:t>
      </w:r>
    </w:p>
    <w:p w14:paraId="1A962A62">
      <w:pPr>
        <w:autoSpaceDE w:val="0"/>
        <w:autoSpaceDN w:val="0"/>
        <w:adjustRightInd w:val="0"/>
        <w:jc w:val="center"/>
        <w:rPr>
          <w:rFonts w:ascii="宋体" w:hAnsi="宋体" w:cs="宋体"/>
          <w:b/>
          <w:bCs/>
          <w:sz w:val="52"/>
          <w:szCs w:val="52"/>
        </w:rPr>
      </w:pPr>
      <w:r>
        <w:rPr>
          <w:rFonts w:hint="eastAsia" w:ascii="宋体" w:hAnsi="宋体" w:cs="宋体"/>
          <w:b/>
          <w:bCs/>
          <w:sz w:val="44"/>
          <w:szCs w:val="44"/>
          <w:lang w:val="zh-CN"/>
        </w:rPr>
        <w:t>目录</w:t>
      </w:r>
    </w:p>
    <w:p w14:paraId="148FD693">
      <w:pPr>
        <w:tabs>
          <w:tab w:val="left" w:pos="720"/>
        </w:tabs>
        <w:snapToGrid w:val="0"/>
        <w:spacing w:line="360" w:lineRule="auto"/>
        <w:jc w:val="center"/>
        <w:rPr>
          <w:rFonts w:ascii="宋体" w:hAnsi="宋体" w:cs="宋体"/>
          <w:sz w:val="24"/>
          <w:szCs w:val="24"/>
        </w:rPr>
      </w:pPr>
    </w:p>
    <w:p w14:paraId="435E725D">
      <w:pPr>
        <w:tabs>
          <w:tab w:val="left" w:pos="720"/>
        </w:tabs>
        <w:snapToGrid w:val="0"/>
        <w:spacing w:line="360" w:lineRule="auto"/>
        <w:jc w:val="center"/>
        <w:rPr>
          <w:rFonts w:ascii="宋体" w:hAnsi="宋体" w:cs="宋体"/>
          <w:sz w:val="24"/>
          <w:szCs w:val="24"/>
        </w:rPr>
      </w:pPr>
      <w:r>
        <w:rPr>
          <w:rFonts w:hint="eastAsia" w:ascii="宋体" w:hAnsi="宋体" w:cs="宋体"/>
          <w:sz w:val="24"/>
          <w:szCs w:val="24"/>
        </w:rPr>
        <w:t>（格式自拟，需标明页码）</w:t>
      </w:r>
    </w:p>
    <w:p w14:paraId="4248977E">
      <w:pPr>
        <w:pStyle w:val="38"/>
        <w:ind w:left="0" w:leftChars="0"/>
        <w:rPr>
          <w:rFonts w:ascii="宋体" w:hAnsi="宋体" w:cs="宋体"/>
          <w:sz w:val="24"/>
        </w:rPr>
      </w:pPr>
    </w:p>
    <w:p w14:paraId="49048982">
      <w:pPr>
        <w:tabs>
          <w:tab w:val="left" w:pos="720"/>
        </w:tabs>
        <w:snapToGrid w:val="0"/>
        <w:spacing w:line="360" w:lineRule="auto"/>
        <w:jc w:val="center"/>
        <w:rPr>
          <w:rFonts w:ascii="宋体" w:hAnsi="宋体" w:cs="宋体"/>
          <w:sz w:val="24"/>
          <w:szCs w:val="24"/>
        </w:rPr>
      </w:pPr>
      <w:r>
        <w:rPr>
          <w:rFonts w:hint="eastAsia" w:ascii="宋体" w:hAnsi="宋体" w:cs="宋体"/>
          <w:sz w:val="24"/>
          <w:szCs w:val="24"/>
        </w:rPr>
        <w:t>定标内容由投标人自行编制。</w:t>
      </w:r>
    </w:p>
    <w:p w14:paraId="4B848F0A">
      <w:pPr>
        <w:rPr>
          <w:rFonts w:ascii="宋体" w:hAnsi="宋体" w:cs="宋体"/>
          <w:sz w:val="24"/>
          <w:szCs w:val="24"/>
        </w:rPr>
      </w:pPr>
    </w:p>
    <w:p w14:paraId="02063B95">
      <w:pPr>
        <w:keepNext/>
        <w:keepLines/>
        <w:spacing w:line="360" w:lineRule="auto"/>
        <w:jc w:val="center"/>
        <w:outlineLvl w:val="0"/>
        <w:rPr>
          <w:rFonts w:ascii="宋体" w:hAnsi="宋体" w:cs="宋体"/>
          <w:b/>
          <w:kern w:val="44"/>
          <w:sz w:val="28"/>
          <w:szCs w:val="28"/>
        </w:rPr>
      </w:pPr>
      <w:r>
        <w:rPr>
          <w:rFonts w:hint="eastAsia" w:ascii="宋体" w:hAnsi="宋体" w:cs="宋体"/>
          <w:sz w:val="24"/>
          <w:szCs w:val="24"/>
        </w:rPr>
        <w:br w:type="page"/>
      </w:r>
      <w:r>
        <w:rPr>
          <w:rFonts w:hint="eastAsia" w:ascii="宋体" w:hAnsi="宋体" w:cs="宋体"/>
          <w:b/>
          <w:kern w:val="44"/>
          <w:sz w:val="32"/>
          <w:szCs w:val="32"/>
        </w:rPr>
        <w:t>第五章  技术条件（工程建设标准）</w:t>
      </w:r>
    </w:p>
    <w:p w14:paraId="48E4A9A0">
      <w:pPr>
        <w:snapToGrid w:val="0"/>
        <w:spacing w:line="440" w:lineRule="exact"/>
        <w:rPr>
          <w:rFonts w:ascii="宋体" w:hAnsi="宋体" w:cs="宋体"/>
          <w:b/>
          <w:sz w:val="24"/>
          <w:szCs w:val="24"/>
        </w:rPr>
      </w:pPr>
      <w:r>
        <w:rPr>
          <w:rFonts w:hint="eastAsia" w:ascii="宋体" w:hAnsi="宋体" w:cs="宋体"/>
          <w:b/>
          <w:sz w:val="24"/>
          <w:szCs w:val="24"/>
        </w:rPr>
        <w:t>一、标准</w:t>
      </w:r>
    </w:p>
    <w:p w14:paraId="09F45797">
      <w:pPr>
        <w:snapToGrid w:val="0"/>
        <w:spacing w:line="440" w:lineRule="exact"/>
        <w:ind w:firstLine="480" w:firstLineChars="200"/>
        <w:rPr>
          <w:rFonts w:ascii="宋体" w:hAnsi="宋体" w:cs="宋体"/>
          <w:b/>
          <w:sz w:val="24"/>
          <w:szCs w:val="24"/>
        </w:rPr>
      </w:pPr>
      <w:r>
        <w:rPr>
          <w:rFonts w:hint="eastAsia" w:ascii="宋体" w:hAnsi="宋体" w:cs="宋体"/>
          <w:sz w:val="24"/>
          <w:szCs w:val="24"/>
        </w:rPr>
        <w:t>以现行的中华人民共和国及有关部委颁布的标准、规范、和规程。若施工时期建设主管部门颁布新的规范、标准，则按照新的规范、标准执行。</w:t>
      </w:r>
    </w:p>
    <w:p w14:paraId="7F066721">
      <w:pPr>
        <w:snapToGrid w:val="0"/>
        <w:spacing w:line="440" w:lineRule="exact"/>
        <w:rPr>
          <w:rFonts w:ascii="宋体" w:hAnsi="宋体" w:cs="宋体"/>
          <w:b/>
          <w:sz w:val="24"/>
          <w:szCs w:val="24"/>
        </w:rPr>
      </w:pPr>
      <w:r>
        <w:rPr>
          <w:rFonts w:hint="eastAsia" w:ascii="宋体" w:hAnsi="宋体" w:cs="宋体"/>
          <w:b/>
          <w:sz w:val="24"/>
          <w:szCs w:val="24"/>
        </w:rPr>
        <w:t>二、需满足的技术要求（质量、安全、技术规格、物理特性、服务内容、服务标准、期限、效率等）</w:t>
      </w:r>
    </w:p>
    <w:p w14:paraId="0B0F6B29">
      <w:pPr>
        <w:snapToGrid w:val="0"/>
        <w:spacing w:line="440" w:lineRule="exact"/>
        <w:ind w:firstLine="480" w:firstLineChars="200"/>
        <w:rPr>
          <w:rFonts w:ascii="宋体" w:hAnsi="宋体" w:cs="宋体"/>
          <w:sz w:val="24"/>
          <w:szCs w:val="24"/>
        </w:rPr>
      </w:pPr>
      <w:r>
        <w:rPr>
          <w:rFonts w:hint="eastAsia" w:ascii="宋体" w:hAnsi="宋体" w:cs="宋体"/>
          <w:sz w:val="24"/>
          <w:szCs w:val="24"/>
        </w:rPr>
        <w:t>1、投标人应贯彻执行《建筑工程质量管理条例》和《工程建设标准强制性条文》要求，保证单项工程一次验收合格，达到《建筑工程施工质量验收统一标准》（GB50300-2013）合格标准，各分部、子分部、分项工程和各检验批质量验收除符合《建筑工程施工质量验收统一标准》（GB50300-2013）合格标准外，还应符合国家和地方相关标准要求。</w:t>
      </w:r>
    </w:p>
    <w:p w14:paraId="2B47F481">
      <w:pPr>
        <w:snapToGrid w:val="0"/>
        <w:spacing w:line="440" w:lineRule="exact"/>
        <w:ind w:firstLine="480" w:firstLineChars="200"/>
        <w:rPr>
          <w:rFonts w:ascii="宋体" w:hAnsi="宋体" w:cs="宋体"/>
          <w:sz w:val="24"/>
          <w:szCs w:val="24"/>
        </w:rPr>
      </w:pPr>
      <w:r>
        <w:rPr>
          <w:rFonts w:hint="eastAsia" w:ascii="宋体" w:hAnsi="宋体" w:cs="宋体"/>
          <w:sz w:val="24"/>
          <w:szCs w:val="24"/>
        </w:rPr>
        <w:t>2、投标人进场后根据施工组织设计编制场地临建布置方案，临建方案通过招标人、监理（如有）审核后实施。</w:t>
      </w:r>
    </w:p>
    <w:p w14:paraId="464B80DD">
      <w:pPr>
        <w:snapToGrid w:val="0"/>
        <w:spacing w:line="440" w:lineRule="exact"/>
        <w:ind w:firstLine="480" w:firstLineChars="200"/>
        <w:rPr>
          <w:rFonts w:ascii="宋体" w:hAnsi="宋体" w:cs="宋体"/>
          <w:sz w:val="24"/>
          <w:szCs w:val="24"/>
        </w:rPr>
      </w:pPr>
      <w:r>
        <w:rPr>
          <w:rFonts w:hint="eastAsia" w:ascii="宋体" w:hAnsi="宋体" w:cs="宋体"/>
          <w:sz w:val="24"/>
          <w:szCs w:val="24"/>
        </w:rPr>
        <w:t>3、投标人应按国家和地方建筑施工安全的相关法律法规、规定、办法和合同约定履行现场的安全管理职责，杜绝各类安全隐患、确保无安全事故发生。投标人必须遵守发包人厂区管理规定，办理入司作业手续，严格按国家及地方以及发包人有关安全、保密等管理规定执行，签订相应安全文明施工协议，做好施工安全措施。投标人应遵守有关环境保护规定，工完场清，采取措施控制和防范对环境的污染和危害；做好成品和相邻物品的保护(如房屋结构、各种管线等)，并承担由此造成的一切经济损失及法律责任。</w:t>
      </w:r>
    </w:p>
    <w:p w14:paraId="01E0AE90">
      <w:pPr>
        <w:snapToGrid w:val="0"/>
        <w:spacing w:line="440" w:lineRule="exact"/>
        <w:ind w:firstLine="480" w:firstLineChars="200"/>
        <w:rPr>
          <w:rFonts w:ascii="宋体" w:hAnsi="宋体" w:cs="宋体"/>
          <w:sz w:val="24"/>
          <w:szCs w:val="24"/>
        </w:rPr>
      </w:pPr>
      <w:r>
        <w:rPr>
          <w:rFonts w:hint="eastAsia" w:ascii="宋体" w:hAnsi="宋体" w:cs="宋体"/>
          <w:sz w:val="24"/>
          <w:szCs w:val="24"/>
        </w:rPr>
        <w:t>4、工程需要的材料由投标人采购、运输、保管，材料进场前，须提前1个工作日书面通知招标人及监理（如有），进场时经招标人、监理（如有）共同验收并作书面记录。投标人所进场的各种原材料、设备必须按规范规程要求提供出厂合格证书、检验报告（如需）。招标人可以随机抽检原材料和设备，不合格的材料、设备不允许进场使用和安装。</w:t>
      </w:r>
    </w:p>
    <w:p w14:paraId="7EF5EAC2">
      <w:pPr>
        <w:snapToGrid w:val="0"/>
        <w:spacing w:line="440" w:lineRule="exact"/>
        <w:ind w:firstLine="480" w:firstLineChars="200"/>
        <w:rPr>
          <w:rFonts w:ascii="宋体" w:hAnsi="宋体" w:cs="宋体"/>
          <w:sz w:val="24"/>
          <w:szCs w:val="24"/>
        </w:rPr>
      </w:pPr>
      <w:r>
        <w:rPr>
          <w:rFonts w:hint="eastAsia" w:ascii="宋体" w:hAnsi="宋体" w:cs="宋体"/>
          <w:sz w:val="24"/>
          <w:szCs w:val="24"/>
        </w:rPr>
        <w:t>5、隐蔽工程、中间验收项目由双方商定，投标人施工完成后根据需求做好隐蔽部位影像记录，具备验收条件并经自检合格后书面通知招标人参加验收。投标人已施工完成的工作内容按规范规程、验收标准以及地方的有关规定、招标人的要求申请进行验收，工程质量标准执行国家现行施工及验收规范。</w:t>
      </w:r>
    </w:p>
    <w:p w14:paraId="3A539E09">
      <w:pPr>
        <w:snapToGrid w:val="0"/>
        <w:spacing w:line="440" w:lineRule="exact"/>
        <w:ind w:firstLine="480" w:firstLineChars="200"/>
        <w:rPr>
          <w:rFonts w:ascii="宋体" w:hAnsi="宋体" w:cs="宋体"/>
          <w:sz w:val="24"/>
          <w:szCs w:val="24"/>
        </w:rPr>
      </w:pPr>
      <w:r>
        <w:rPr>
          <w:rFonts w:hint="eastAsia" w:ascii="宋体" w:hAnsi="宋体" w:cs="宋体"/>
          <w:sz w:val="24"/>
          <w:szCs w:val="24"/>
        </w:rPr>
        <w:t>6、项目所有的电缆、电箱等需带合格证；所涉及的电缆、电箱安装标准稳固符合GB50254-2014《电气装置安装工程低压电气施工及验收规范》；电缆敷设完毕后按照GB50254-2014《电气装置安装工程低压电气施工及验收规范》完成测试。</w:t>
      </w:r>
    </w:p>
    <w:p w14:paraId="3B22C440">
      <w:pPr>
        <w:snapToGrid w:val="0"/>
        <w:spacing w:line="440" w:lineRule="exact"/>
        <w:ind w:firstLine="480" w:firstLineChars="200"/>
        <w:rPr>
          <w:rFonts w:ascii="宋体" w:hAnsi="宋体" w:cs="宋体"/>
          <w:sz w:val="24"/>
          <w:szCs w:val="24"/>
        </w:rPr>
      </w:pPr>
      <w:r>
        <w:rPr>
          <w:rFonts w:hint="eastAsia" w:ascii="宋体" w:hAnsi="宋体" w:cs="宋体"/>
          <w:sz w:val="24"/>
          <w:szCs w:val="24"/>
        </w:rPr>
        <w:t>7、所有配电设备在额定功率下无异常发热、噪声、震动；所有走线路径防护完善，封堵严密；电缆电箱施工后平直、美观；</w:t>
      </w:r>
    </w:p>
    <w:p w14:paraId="1CCBF860">
      <w:pPr>
        <w:snapToGrid w:val="0"/>
        <w:spacing w:line="440" w:lineRule="exact"/>
        <w:ind w:firstLine="480" w:firstLineChars="200"/>
        <w:rPr>
          <w:rFonts w:ascii="宋体" w:hAnsi="宋体" w:cs="宋体"/>
          <w:sz w:val="24"/>
          <w:szCs w:val="24"/>
        </w:rPr>
      </w:pPr>
      <w:r>
        <w:rPr>
          <w:rFonts w:hint="eastAsia" w:ascii="宋体" w:hAnsi="宋体" w:cs="宋体"/>
          <w:sz w:val="24"/>
          <w:szCs w:val="24"/>
        </w:rPr>
        <w:t>8、投标人施工期间做好安全文明施工，施工区域采用围蔽，不影响园区正常生产生活。</w:t>
      </w:r>
    </w:p>
    <w:p w14:paraId="1E618FF9">
      <w:pPr>
        <w:snapToGrid w:val="0"/>
        <w:spacing w:line="440" w:lineRule="exact"/>
        <w:ind w:firstLine="480" w:firstLineChars="200"/>
        <w:rPr>
          <w:rFonts w:ascii="宋体" w:hAnsi="宋体" w:cs="宋体"/>
          <w:sz w:val="24"/>
          <w:szCs w:val="24"/>
        </w:rPr>
      </w:pPr>
      <w:r>
        <w:rPr>
          <w:rFonts w:hint="eastAsia" w:ascii="宋体" w:hAnsi="宋体" w:cs="宋体"/>
          <w:sz w:val="24"/>
          <w:szCs w:val="24"/>
        </w:rPr>
        <w:t>9、本项目如</w:t>
      </w:r>
      <w:r>
        <w:rPr>
          <w:rFonts w:hint="eastAsia" w:ascii="宋体" w:hAnsi="宋体" w:cs="宋体"/>
          <w:sz w:val="24"/>
          <w:szCs w:val="24"/>
          <w:highlight w:val="none"/>
        </w:rPr>
        <w:t>有工程量清单计价执行《建设工程工程量清单计价规范》（GB50500-2013），定额套用《广</w:t>
      </w:r>
      <w:r>
        <w:rPr>
          <w:rFonts w:hint="eastAsia" w:ascii="宋体" w:hAnsi="宋体" w:cs="宋体"/>
          <w:sz w:val="24"/>
          <w:szCs w:val="24"/>
        </w:rPr>
        <w:t>东省房屋建筑与装饰工程综合定额（2018）》、《广东省通用安装工程综合定额（2018）》；计费参照粤建市[2019]6号关于《广东省建设工程计价依据的通知(2018)》等计价文件。</w:t>
      </w:r>
    </w:p>
    <w:p w14:paraId="3E47540C">
      <w:pPr>
        <w:snapToGrid w:val="0"/>
        <w:spacing w:line="440" w:lineRule="exact"/>
        <w:ind w:firstLine="480" w:firstLineChars="200"/>
        <w:rPr>
          <w:rFonts w:ascii="宋体" w:hAnsi="宋体" w:cs="宋体"/>
          <w:sz w:val="24"/>
          <w:szCs w:val="24"/>
        </w:rPr>
      </w:pPr>
      <w:r>
        <w:rPr>
          <w:rFonts w:hint="eastAsia" w:ascii="宋体" w:hAnsi="宋体" w:cs="宋体"/>
          <w:sz w:val="24"/>
          <w:szCs w:val="24"/>
        </w:rPr>
        <w:t>10、工程量以经招标人确认的施工图为依据，按国家定额及地方相关规定和招标人与投标人双方认可的方式计算工程量，最终按照经招标人确认验收合格的工程量据实结算。</w:t>
      </w:r>
    </w:p>
    <w:p w14:paraId="5FCDFF28">
      <w:pPr>
        <w:snapToGrid w:val="0"/>
        <w:spacing w:line="440" w:lineRule="exact"/>
        <w:ind w:firstLine="480" w:firstLineChars="200"/>
        <w:rPr>
          <w:rFonts w:ascii="宋体" w:hAnsi="宋体" w:cs="宋体"/>
          <w:sz w:val="24"/>
          <w:szCs w:val="24"/>
        </w:rPr>
      </w:pPr>
      <w:r>
        <w:rPr>
          <w:rFonts w:hint="eastAsia" w:ascii="宋体" w:hAnsi="宋体" w:cs="宋体"/>
          <w:sz w:val="24"/>
          <w:szCs w:val="24"/>
        </w:rPr>
        <w:t>11、缺陷责任期</w:t>
      </w:r>
      <w:r>
        <w:rPr>
          <w:rFonts w:hint="eastAsia" w:ascii="宋体" w:hAnsi="宋体" w:cs="宋体"/>
          <w:sz w:val="24"/>
          <w:szCs w:val="24"/>
          <w:highlight w:val="none"/>
        </w:rPr>
        <w:t>为1年，自竣工验收合格之日起计算。本项目质保金额为结算审定金额的3%。</w:t>
      </w:r>
    </w:p>
    <w:p w14:paraId="5B1369B1">
      <w:pPr>
        <w:snapToGrid w:val="0"/>
        <w:spacing w:line="440" w:lineRule="exact"/>
        <w:ind w:firstLine="480" w:firstLineChars="200"/>
        <w:rPr>
          <w:rFonts w:ascii="宋体" w:hAnsi="宋体" w:cs="宋体"/>
          <w:sz w:val="24"/>
          <w:szCs w:val="24"/>
        </w:rPr>
      </w:pPr>
      <w:r>
        <w:rPr>
          <w:rFonts w:hint="eastAsia" w:ascii="宋体" w:hAnsi="宋体" w:cs="宋体"/>
          <w:sz w:val="24"/>
          <w:szCs w:val="24"/>
        </w:rPr>
        <w:t>12、如遇招标人公司内部政策调整取消本项目实施，招标人不承担与此相关的一切损失。</w:t>
      </w:r>
    </w:p>
    <w:p w14:paraId="45C9FD5C">
      <w:pPr>
        <w:snapToGrid w:val="0"/>
        <w:spacing w:line="440" w:lineRule="exact"/>
        <w:rPr>
          <w:rFonts w:ascii="宋体" w:hAnsi="宋体" w:cs="宋体"/>
          <w:b/>
          <w:sz w:val="24"/>
          <w:szCs w:val="24"/>
        </w:rPr>
      </w:pPr>
      <w:r>
        <w:rPr>
          <w:rFonts w:hint="eastAsia" w:ascii="宋体" w:hAnsi="宋体" w:cs="宋体"/>
          <w:b/>
          <w:sz w:val="24"/>
          <w:szCs w:val="24"/>
        </w:rPr>
        <w:t>三、验收标准、方案</w:t>
      </w:r>
    </w:p>
    <w:p w14:paraId="71098896">
      <w:pPr>
        <w:snapToGrid w:val="0"/>
        <w:spacing w:line="440" w:lineRule="exact"/>
        <w:ind w:firstLine="480" w:firstLineChars="200"/>
        <w:rPr>
          <w:rFonts w:ascii="宋体" w:hAnsi="宋体" w:cs="宋体"/>
          <w:sz w:val="24"/>
          <w:szCs w:val="24"/>
        </w:rPr>
      </w:pPr>
      <w:r>
        <w:rPr>
          <w:rFonts w:hint="eastAsia" w:ascii="宋体" w:hAnsi="宋体" w:cs="宋体"/>
          <w:sz w:val="24"/>
          <w:szCs w:val="24"/>
        </w:rPr>
        <w:t>1.验收条件：施工完成并自检合格。</w:t>
      </w:r>
    </w:p>
    <w:p w14:paraId="3BE3253B">
      <w:pPr>
        <w:snapToGrid w:val="0"/>
        <w:spacing w:line="440" w:lineRule="exact"/>
        <w:ind w:firstLine="480" w:firstLineChars="200"/>
        <w:rPr>
          <w:rFonts w:ascii="宋体" w:hAnsi="宋体" w:cs="宋体"/>
          <w:sz w:val="24"/>
          <w:szCs w:val="24"/>
        </w:rPr>
      </w:pPr>
      <w:r>
        <w:rPr>
          <w:rFonts w:hint="eastAsia" w:ascii="宋体" w:hAnsi="宋体" w:cs="宋体"/>
          <w:sz w:val="24"/>
          <w:szCs w:val="24"/>
        </w:rPr>
        <w:t>2.验收方法：现场一次性验收。隐蔽工程、中间验收项目在隐蔽前、下一道工序前组织验收；其余项目在乙方施工完成具备验收条件并经自检合格后组织验收。所有项目在甲方发出进场通知后150个日历天内完成验收。</w:t>
      </w:r>
    </w:p>
    <w:p w14:paraId="60706E2F">
      <w:pPr>
        <w:snapToGrid w:val="0"/>
        <w:spacing w:line="440" w:lineRule="exact"/>
        <w:ind w:firstLine="480" w:firstLineChars="200"/>
        <w:rPr>
          <w:rFonts w:ascii="宋体" w:hAnsi="宋体" w:cs="宋体"/>
          <w:sz w:val="24"/>
          <w:szCs w:val="24"/>
        </w:rPr>
      </w:pPr>
      <w:r>
        <w:rPr>
          <w:rFonts w:hint="eastAsia" w:ascii="宋体" w:hAnsi="宋体" w:cs="宋体"/>
          <w:sz w:val="24"/>
          <w:szCs w:val="24"/>
        </w:rPr>
        <w:t>3.验收依据：按照现行《建筑工程质量管理条例》、《工程建设标准强制性条文》、《建筑工程施工质量验收统一标准》（GB50300-2013）合格标准、招投标文件、合同条款进行验收。</w:t>
      </w:r>
    </w:p>
    <w:p w14:paraId="3ADD7F9D">
      <w:pPr>
        <w:snapToGrid w:val="0"/>
        <w:spacing w:line="440" w:lineRule="exact"/>
        <w:ind w:firstLine="480" w:firstLineChars="200"/>
        <w:rPr>
          <w:rFonts w:ascii="宋体" w:hAnsi="宋体" w:cs="宋体"/>
          <w:sz w:val="24"/>
          <w:szCs w:val="24"/>
        </w:rPr>
      </w:pPr>
      <w:r>
        <w:rPr>
          <w:rFonts w:hint="eastAsia" w:ascii="宋体" w:hAnsi="宋体" w:cs="宋体"/>
          <w:sz w:val="24"/>
          <w:szCs w:val="24"/>
        </w:rPr>
        <w:t>4.验收需提交的文档：自评报告。</w:t>
      </w:r>
    </w:p>
    <w:p w14:paraId="1A19C270">
      <w:pPr>
        <w:snapToGrid w:val="0"/>
        <w:spacing w:line="440" w:lineRule="exact"/>
        <w:rPr>
          <w:rFonts w:ascii="宋体" w:hAnsi="宋体" w:cs="宋体"/>
          <w:b/>
          <w:sz w:val="24"/>
          <w:szCs w:val="24"/>
        </w:rPr>
      </w:pPr>
      <w:r>
        <w:rPr>
          <w:rFonts w:hint="eastAsia" w:ascii="宋体" w:hAnsi="宋体" w:cs="宋体"/>
          <w:b/>
          <w:sz w:val="24"/>
          <w:szCs w:val="24"/>
        </w:rPr>
        <w:t>四、施工组织设计要点</w:t>
      </w:r>
    </w:p>
    <w:p w14:paraId="77814E5C">
      <w:pPr>
        <w:snapToGrid w:val="0"/>
        <w:spacing w:line="440" w:lineRule="exact"/>
        <w:ind w:firstLine="480" w:firstLineChars="200"/>
        <w:rPr>
          <w:rFonts w:ascii="宋体" w:hAnsi="宋体" w:cs="宋体"/>
          <w:sz w:val="24"/>
          <w:szCs w:val="24"/>
        </w:rPr>
      </w:pPr>
      <w:r>
        <w:rPr>
          <w:rFonts w:hint="eastAsia" w:ascii="宋体" w:hAnsi="宋体" w:cs="宋体"/>
          <w:sz w:val="24"/>
          <w:szCs w:val="24"/>
        </w:rPr>
        <w:t>如果中标，中标人应按项目的进展需求，并在规定的时间内按要点要求，编制详细的施工组织设计，作为工程施工的指导性文件，向建设单位提交一式四份的《施工组织设计方案》，内容包括（不限于）以下：</w:t>
      </w:r>
    </w:p>
    <w:p w14:paraId="30C1C6E8">
      <w:pPr>
        <w:snapToGrid w:val="0"/>
        <w:spacing w:line="440" w:lineRule="exact"/>
        <w:ind w:firstLine="424" w:firstLineChars="177"/>
        <w:rPr>
          <w:rFonts w:ascii="宋体" w:hAnsi="宋体" w:cs="宋体"/>
          <w:sz w:val="24"/>
          <w:szCs w:val="24"/>
        </w:rPr>
      </w:pPr>
      <w:r>
        <w:rPr>
          <w:rFonts w:hint="eastAsia" w:ascii="宋体" w:hAnsi="宋体" w:cs="宋体"/>
          <w:sz w:val="24"/>
          <w:szCs w:val="24"/>
        </w:rPr>
        <w:t>（一）工程概况及特点</w:t>
      </w:r>
    </w:p>
    <w:p w14:paraId="750AC412">
      <w:pPr>
        <w:snapToGrid w:val="0"/>
        <w:spacing w:line="440" w:lineRule="exact"/>
        <w:ind w:firstLine="424" w:firstLineChars="177"/>
        <w:rPr>
          <w:rFonts w:ascii="宋体" w:hAnsi="宋体" w:cs="宋体"/>
          <w:sz w:val="24"/>
          <w:szCs w:val="24"/>
        </w:rPr>
      </w:pPr>
      <w:r>
        <w:rPr>
          <w:rFonts w:hint="eastAsia" w:ascii="宋体" w:hAnsi="宋体" w:cs="宋体"/>
          <w:sz w:val="24"/>
          <w:szCs w:val="24"/>
        </w:rPr>
        <w:t>1.1 工程概况</w:t>
      </w:r>
    </w:p>
    <w:p w14:paraId="5E9FB0D5">
      <w:pPr>
        <w:snapToGrid w:val="0"/>
        <w:spacing w:line="440" w:lineRule="exact"/>
        <w:ind w:firstLine="424" w:firstLineChars="177"/>
        <w:rPr>
          <w:rFonts w:ascii="宋体" w:hAnsi="宋体" w:cs="宋体"/>
          <w:sz w:val="24"/>
          <w:szCs w:val="24"/>
        </w:rPr>
      </w:pPr>
      <w:r>
        <w:rPr>
          <w:rFonts w:hint="eastAsia" w:ascii="宋体" w:hAnsi="宋体" w:cs="宋体"/>
          <w:sz w:val="24"/>
          <w:szCs w:val="24"/>
        </w:rPr>
        <w:t>工程简述，工程规模，工程承包范围，自然环境，交通情况等。</w:t>
      </w:r>
    </w:p>
    <w:p w14:paraId="6AD149B3">
      <w:pPr>
        <w:snapToGrid w:val="0"/>
        <w:spacing w:line="440" w:lineRule="exact"/>
        <w:ind w:firstLine="424" w:firstLineChars="177"/>
        <w:rPr>
          <w:rFonts w:ascii="宋体" w:hAnsi="宋体" w:cs="宋体"/>
          <w:sz w:val="24"/>
          <w:szCs w:val="24"/>
        </w:rPr>
      </w:pPr>
      <w:r>
        <w:rPr>
          <w:rFonts w:hint="eastAsia" w:ascii="宋体" w:hAnsi="宋体" w:cs="宋体"/>
          <w:sz w:val="24"/>
          <w:szCs w:val="24"/>
        </w:rPr>
        <w:t>1.2 工程特点</w:t>
      </w:r>
    </w:p>
    <w:p w14:paraId="026F2BFE">
      <w:pPr>
        <w:snapToGrid w:val="0"/>
        <w:spacing w:line="440" w:lineRule="exact"/>
        <w:ind w:firstLine="424" w:firstLineChars="177"/>
        <w:rPr>
          <w:rFonts w:ascii="宋体" w:hAnsi="宋体" w:cs="宋体"/>
          <w:sz w:val="24"/>
          <w:szCs w:val="24"/>
        </w:rPr>
      </w:pPr>
      <w:r>
        <w:rPr>
          <w:rFonts w:hint="eastAsia" w:ascii="宋体" w:hAnsi="宋体" w:cs="宋体"/>
          <w:sz w:val="24"/>
          <w:szCs w:val="24"/>
        </w:rPr>
        <w:t>设计特点、工程特点、影响施工的主要和特殊环节分析等。</w:t>
      </w:r>
    </w:p>
    <w:p w14:paraId="58FA7261">
      <w:pPr>
        <w:snapToGrid w:val="0"/>
        <w:spacing w:line="440" w:lineRule="exact"/>
        <w:ind w:firstLine="424" w:firstLineChars="177"/>
        <w:rPr>
          <w:rFonts w:ascii="宋体" w:hAnsi="宋体" w:cs="宋体"/>
          <w:sz w:val="24"/>
          <w:szCs w:val="24"/>
        </w:rPr>
      </w:pPr>
      <w:r>
        <w:rPr>
          <w:rFonts w:hint="eastAsia" w:ascii="宋体" w:hAnsi="宋体" w:cs="宋体"/>
          <w:sz w:val="24"/>
          <w:szCs w:val="24"/>
        </w:rPr>
        <w:t>（二）施工现场组织机构</w:t>
      </w:r>
    </w:p>
    <w:p w14:paraId="004CD76E">
      <w:pPr>
        <w:snapToGrid w:val="0"/>
        <w:spacing w:line="440" w:lineRule="exact"/>
        <w:ind w:firstLine="424" w:firstLineChars="177"/>
        <w:rPr>
          <w:rFonts w:ascii="宋体" w:hAnsi="宋体" w:cs="宋体"/>
          <w:sz w:val="24"/>
          <w:szCs w:val="24"/>
        </w:rPr>
      </w:pPr>
      <w:r>
        <w:rPr>
          <w:rFonts w:hint="eastAsia" w:ascii="宋体" w:hAnsi="宋体" w:cs="宋体"/>
          <w:sz w:val="24"/>
          <w:szCs w:val="24"/>
        </w:rPr>
        <w:t>2.1 组织机构关系图</w:t>
      </w:r>
    </w:p>
    <w:p w14:paraId="7D2BFC87">
      <w:pPr>
        <w:snapToGrid w:val="0"/>
        <w:spacing w:line="440" w:lineRule="exact"/>
        <w:ind w:firstLine="424" w:firstLineChars="177"/>
        <w:rPr>
          <w:rFonts w:ascii="宋体" w:hAnsi="宋体" w:cs="宋体"/>
          <w:sz w:val="24"/>
          <w:szCs w:val="24"/>
        </w:rPr>
      </w:pPr>
      <w:r>
        <w:rPr>
          <w:rFonts w:hint="eastAsia" w:ascii="宋体" w:hAnsi="宋体" w:cs="宋体"/>
          <w:sz w:val="24"/>
          <w:szCs w:val="24"/>
        </w:rPr>
        <w:t>2.2 工程主要负责人简介。</w:t>
      </w:r>
    </w:p>
    <w:p w14:paraId="2112413D">
      <w:pPr>
        <w:snapToGrid w:val="0"/>
        <w:spacing w:line="440" w:lineRule="exact"/>
        <w:ind w:firstLine="424" w:firstLineChars="177"/>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）施工方案</w:t>
      </w:r>
    </w:p>
    <w:p w14:paraId="680C269F">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.1 施工准备</w:t>
      </w:r>
    </w:p>
    <w:p w14:paraId="018098F3">
      <w:pPr>
        <w:snapToGrid w:val="0"/>
        <w:spacing w:line="440" w:lineRule="exact"/>
        <w:ind w:firstLine="424" w:firstLineChars="177"/>
        <w:rPr>
          <w:rFonts w:ascii="宋体" w:hAnsi="宋体" w:cs="宋体"/>
          <w:sz w:val="24"/>
          <w:szCs w:val="24"/>
        </w:rPr>
      </w:pPr>
      <w:r>
        <w:rPr>
          <w:rFonts w:hint="eastAsia" w:ascii="宋体" w:hAnsi="宋体" w:cs="宋体"/>
          <w:sz w:val="24"/>
          <w:szCs w:val="24"/>
        </w:rPr>
        <w:t>简要叙述施工技术资料、材料、通讯、施工场地的准备，施工机械、施工力量的配置，以及生活设施等的准备情况。主要施工机械设备表。</w:t>
      </w:r>
    </w:p>
    <w:p w14:paraId="68CA4785">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.2 施工工序总体安排</w:t>
      </w:r>
    </w:p>
    <w:p w14:paraId="51B79349">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.3 主要工序和特殊工序的施工方法和施工效率估计，潜在问题的分析。</w:t>
      </w:r>
    </w:p>
    <w:p w14:paraId="69A6DE1C">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.4 工程成本的控制措施为控制成本，提高效益，拟采取的措施。</w:t>
      </w:r>
    </w:p>
    <w:p w14:paraId="2CB96E65">
      <w:pPr>
        <w:snapToGrid w:val="0"/>
        <w:spacing w:line="440" w:lineRule="exact"/>
        <w:ind w:firstLine="424" w:firstLineChars="177"/>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）工期及施工进度计划</w:t>
      </w:r>
    </w:p>
    <w:p w14:paraId="3FBFF70B">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.1 工期规划及要求</w:t>
      </w:r>
    </w:p>
    <w:p w14:paraId="33FFC3F4">
      <w:pPr>
        <w:snapToGrid w:val="0"/>
        <w:spacing w:line="440" w:lineRule="exact"/>
        <w:ind w:firstLine="424" w:firstLineChars="177"/>
        <w:rPr>
          <w:rFonts w:ascii="宋体" w:hAnsi="宋体" w:cs="宋体"/>
          <w:sz w:val="24"/>
          <w:szCs w:val="24"/>
        </w:rPr>
      </w:pPr>
      <w:r>
        <w:rPr>
          <w:rFonts w:hint="eastAsia" w:ascii="宋体" w:hAnsi="宋体" w:cs="宋体"/>
          <w:sz w:val="24"/>
          <w:szCs w:val="24"/>
        </w:rPr>
        <w:t>用横道图反映各主要施工过程的计划进度，深度达到全面、准确、清楚的描述工程实施过程，从中可衍生出各种施工资源计划及其过程管理信息。</w:t>
      </w:r>
    </w:p>
    <w:p w14:paraId="3230CAA8">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.2 施工进度计划网络图</w:t>
      </w:r>
    </w:p>
    <w:p w14:paraId="2A23F154">
      <w:pPr>
        <w:snapToGrid w:val="0"/>
        <w:spacing w:line="440" w:lineRule="exact"/>
        <w:ind w:firstLine="424" w:firstLineChars="177"/>
        <w:rPr>
          <w:rFonts w:ascii="宋体" w:hAnsi="宋体" w:cs="宋体"/>
          <w:sz w:val="24"/>
          <w:szCs w:val="24"/>
        </w:rPr>
      </w:pPr>
      <w:r>
        <w:rPr>
          <w:rFonts w:hint="eastAsia" w:ascii="宋体" w:hAnsi="宋体" w:cs="宋体"/>
          <w:sz w:val="24"/>
          <w:szCs w:val="24"/>
        </w:rPr>
        <w:t>施工网络图应明确工程开工、竣工日期，工程施工的关键路线，并针对关键工序，提出确保工期拟采取的措施。</w:t>
      </w:r>
    </w:p>
    <w:p w14:paraId="01975746">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.3 施工资源（人力、材料、机具、场地及进场道路、公共关系）计划</w:t>
      </w:r>
    </w:p>
    <w:p w14:paraId="1533F948">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.4 施工进度计划分析</w:t>
      </w:r>
    </w:p>
    <w:p w14:paraId="32C32E13">
      <w:pPr>
        <w:snapToGrid w:val="0"/>
        <w:spacing w:line="440" w:lineRule="exact"/>
        <w:ind w:firstLine="424" w:firstLineChars="177"/>
        <w:rPr>
          <w:rFonts w:ascii="宋体" w:hAnsi="宋体" w:cs="宋体"/>
          <w:sz w:val="24"/>
          <w:szCs w:val="24"/>
        </w:rPr>
      </w:pPr>
      <w:r>
        <w:rPr>
          <w:rFonts w:hint="eastAsia" w:ascii="宋体" w:hAnsi="宋体" w:cs="宋体"/>
          <w:sz w:val="24"/>
          <w:szCs w:val="24"/>
        </w:rPr>
        <w:t>分析施工进度计划潜在问题，计划的可实施性等。</w:t>
      </w:r>
    </w:p>
    <w:p w14:paraId="27D2DBCB">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.5 计划控制</w:t>
      </w:r>
    </w:p>
    <w:p w14:paraId="0E90BE01">
      <w:pPr>
        <w:snapToGrid w:val="0"/>
        <w:spacing w:line="440" w:lineRule="exact"/>
        <w:ind w:firstLine="424" w:firstLineChars="177"/>
        <w:rPr>
          <w:rFonts w:ascii="宋体" w:hAnsi="宋体" w:cs="宋体"/>
          <w:sz w:val="24"/>
          <w:szCs w:val="24"/>
        </w:rPr>
      </w:pPr>
      <w:r>
        <w:rPr>
          <w:rFonts w:hint="eastAsia" w:ascii="宋体" w:hAnsi="宋体" w:cs="宋体"/>
          <w:sz w:val="24"/>
          <w:szCs w:val="24"/>
        </w:rPr>
        <w:t>在工作计划开始执行之前，必须进行提前规划。这包括明确项目的目标和具体任务，并制定详细的时间表和里程碑。此外，还需要确定所需资源和工作团队成员，确保每个人都清楚其职责和任务。使现场施工严格按工期计划执行。</w:t>
      </w:r>
    </w:p>
    <w:p w14:paraId="5DEBF1F3">
      <w:pPr>
        <w:snapToGrid w:val="0"/>
        <w:spacing w:line="440" w:lineRule="exact"/>
        <w:ind w:firstLine="424" w:firstLineChars="177"/>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五</w:t>
      </w:r>
      <w:r>
        <w:rPr>
          <w:rFonts w:hint="eastAsia" w:ascii="宋体" w:hAnsi="宋体" w:cs="宋体"/>
          <w:sz w:val="24"/>
          <w:szCs w:val="24"/>
        </w:rPr>
        <w:t>）质量目标、质量保证体系及技术组织措施</w:t>
      </w:r>
    </w:p>
    <w:p w14:paraId="2E94B612">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.1 质量目标</w:t>
      </w:r>
    </w:p>
    <w:p w14:paraId="1B24B43D">
      <w:pPr>
        <w:snapToGrid w:val="0"/>
        <w:spacing w:line="440" w:lineRule="exact"/>
        <w:ind w:firstLine="424" w:firstLineChars="177"/>
        <w:rPr>
          <w:rFonts w:ascii="宋体" w:hAnsi="宋体" w:cs="宋体"/>
          <w:sz w:val="24"/>
          <w:szCs w:val="24"/>
        </w:rPr>
      </w:pPr>
      <w:r>
        <w:rPr>
          <w:rFonts w:hint="eastAsia" w:ascii="宋体" w:hAnsi="宋体" w:cs="宋体"/>
          <w:sz w:val="24"/>
          <w:szCs w:val="24"/>
        </w:rPr>
        <w:t>本工程要求的质量目标：工程质量达到国家或行业质量检验评定的合格标准。</w:t>
      </w:r>
    </w:p>
    <w:p w14:paraId="43AFF950">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.2 质量管理组织机构及主要职责</w:t>
      </w:r>
    </w:p>
    <w:p w14:paraId="15392481">
      <w:pPr>
        <w:snapToGrid w:val="0"/>
        <w:spacing w:line="440" w:lineRule="exact"/>
        <w:ind w:firstLine="424" w:firstLineChars="177"/>
        <w:rPr>
          <w:rFonts w:ascii="宋体" w:hAnsi="宋体" w:cs="宋体"/>
          <w:sz w:val="24"/>
          <w:szCs w:val="24"/>
        </w:rPr>
      </w:pPr>
      <w:r>
        <w:rPr>
          <w:rFonts w:hint="eastAsia" w:ascii="宋体" w:hAnsi="宋体" w:cs="宋体"/>
          <w:sz w:val="24"/>
          <w:szCs w:val="24"/>
        </w:rPr>
        <w:t>用框图表示质量管理组织机构，并简要叙述各质量管理部门的主要职责。</w:t>
      </w:r>
    </w:p>
    <w:p w14:paraId="63877C65">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.3 质量管理的措施</w:t>
      </w:r>
    </w:p>
    <w:p w14:paraId="52B9C043">
      <w:pPr>
        <w:snapToGrid w:val="0"/>
        <w:spacing w:line="440" w:lineRule="exact"/>
        <w:ind w:firstLine="424" w:firstLineChars="177"/>
        <w:rPr>
          <w:rFonts w:ascii="宋体" w:hAnsi="宋体" w:cs="宋体"/>
          <w:sz w:val="24"/>
          <w:szCs w:val="24"/>
        </w:rPr>
      </w:pPr>
      <w:r>
        <w:rPr>
          <w:rFonts w:hint="eastAsia" w:ascii="宋体" w:hAnsi="宋体" w:cs="宋体"/>
          <w:sz w:val="24"/>
          <w:szCs w:val="24"/>
        </w:rPr>
        <w:t>简要叙述质量管理的措施和关键工序的质量控制。</w:t>
      </w:r>
    </w:p>
    <w:p w14:paraId="2C592DAB">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.4 质量管理及检验的标准</w:t>
      </w:r>
    </w:p>
    <w:p w14:paraId="51BF16EF">
      <w:pPr>
        <w:snapToGrid w:val="0"/>
        <w:spacing w:line="440" w:lineRule="exact"/>
        <w:ind w:firstLine="424" w:firstLineChars="177"/>
        <w:rPr>
          <w:rFonts w:ascii="宋体" w:hAnsi="宋体" w:cs="宋体"/>
          <w:sz w:val="24"/>
          <w:szCs w:val="24"/>
        </w:rPr>
      </w:pPr>
      <w:r>
        <w:rPr>
          <w:rFonts w:hint="eastAsia" w:ascii="宋体" w:hAnsi="宋体" w:cs="宋体"/>
          <w:sz w:val="24"/>
          <w:szCs w:val="24"/>
        </w:rPr>
        <w:t>《建筑工程施工质量验收统一标准》及相应配套的各专业验收规范等。</w:t>
      </w:r>
    </w:p>
    <w:p w14:paraId="22B97C70">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.5 质量保证技术措施</w:t>
      </w:r>
    </w:p>
    <w:p w14:paraId="67114D74">
      <w:pPr>
        <w:snapToGrid w:val="0"/>
        <w:spacing w:line="440" w:lineRule="exact"/>
        <w:ind w:firstLine="424" w:firstLineChars="177"/>
        <w:rPr>
          <w:rFonts w:ascii="宋体" w:hAnsi="宋体" w:cs="宋体"/>
          <w:sz w:val="24"/>
          <w:szCs w:val="24"/>
        </w:rPr>
      </w:pPr>
      <w:r>
        <w:rPr>
          <w:rFonts w:hint="eastAsia" w:ascii="宋体" w:hAnsi="宋体" w:cs="宋体"/>
          <w:sz w:val="24"/>
          <w:szCs w:val="24"/>
        </w:rPr>
        <w:t>针对本工程特点，分析质量薄弱环节，拟将采取的技术措施。</w:t>
      </w:r>
    </w:p>
    <w:p w14:paraId="790122A0">
      <w:pPr>
        <w:snapToGrid w:val="0"/>
        <w:spacing w:line="440" w:lineRule="exact"/>
        <w:ind w:firstLine="424" w:firstLineChars="177"/>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六</w:t>
      </w:r>
      <w:r>
        <w:rPr>
          <w:rFonts w:hint="eastAsia" w:ascii="宋体" w:hAnsi="宋体" w:cs="宋体"/>
          <w:sz w:val="24"/>
          <w:szCs w:val="24"/>
        </w:rPr>
        <w:t>）安全目标、安全保证体系及技术组织措施</w:t>
      </w:r>
    </w:p>
    <w:p w14:paraId="06359E0D">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.1 安全管理目标</w:t>
      </w:r>
    </w:p>
    <w:p w14:paraId="5093E085">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.2 安全管理组织机构及主要职责</w:t>
      </w:r>
    </w:p>
    <w:p w14:paraId="77062A90">
      <w:pPr>
        <w:snapToGrid w:val="0"/>
        <w:spacing w:line="440" w:lineRule="exact"/>
        <w:ind w:firstLine="424" w:firstLineChars="177"/>
        <w:rPr>
          <w:rFonts w:ascii="宋体" w:hAnsi="宋体" w:cs="宋体"/>
          <w:sz w:val="24"/>
          <w:szCs w:val="24"/>
        </w:rPr>
      </w:pPr>
      <w:r>
        <w:rPr>
          <w:rFonts w:hint="eastAsia" w:ascii="宋体" w:hAnsi="宋体" w:cs="宋体"/>
          <w:sz w:val="24"/>
          <w:szCs w:val="24"/>
        </w:rPr>
        <w:t>用框图表示安全管理组织机构，并简要叙述各安全管理部门及人员的主要职责。</w:t>
      </w:r>
    </w:p>
    <w:p w14:paraId="3082359E">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.3 安全管理制度及办法</w:t>
      </w:r>
    </w:p>
    <w:p w14:paraId="5D8B6357">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.4 安全组织技术措施</w:t>
      </w:r>
    </w:p>
    <w:p w14:paraId="4EB15CCD">
      <w:pPr>
        <w:snapToGrid w:val="0"/>
        <w:spacing w:line="440" w:lineRule="exact"/>
        <w:ind w:firstLine="424" w:firstLineChars="177"/>
        <w:rPr>
          <w:rFonts w:ascii="宋体" w:hAnsi="宋体" w:cs="宋体"/>
          <w:sz w:val="24"/>
          <w:szCs w:val="24"/>
        </w:rPr>
      </w:pPr>
      <w:r>
        <w:rPr>
          <w:rFonts w:hint="eastAsia" w:ascii="宋体" w:hAnsi="宋体" w:cs="宋体"/>
          <w:sz w:val="24"/>
          <w:szCs w:val="24"/>
        </w:rPr>
        <w:t>针对本工程特点，分析安全薄弱环节，拟将采取的技术措施。</w:t>
      </w:r>
    </w:p>
    <w:p w14:paraId="2993974D">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.5 重要施工方案和特殊施工工序的安全过程控制</w:t>
      </w:r>
    </w:p>
    <w:p w14:paraId="5234F65D">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.6 严格执行《建筑施工安全检查标准》(JGJ59-2011)和省、市建设主管部门有关文明施工的规定。并按照甲方要求安排工作时间，在施工中尽量减少噪音，必要时采取有效的隔音措施，混凝土浇灌需连续不间断作业时，按有关规定申报夜间施工许可证。</w:t>
      </w:r>
    </w:p>
    <w:p w14:paraId="4945CB6D">
      <w:pPr>
        <w:snapToGrid w:val="0"/>
        <w:spacing w:line="440" w:lineRule="exact"/>
        <w:ind w:firstLine="424" w:firstLineChars="177"/>
        <w:rPr>
          <w:rFonts w:ascii="宋体" w:hAnsi="宋体" w:cs="宋体"/>
          <w:sz w:val="24"/>
          <w:szCs w:val="24"/>
        </w:rPr>
      </w:pPr>
      <w:r>
        <w:rPr>
          <w:rFonts w:hint="eastAsia" w:ascii="宋体" w:hAnsi="宋体" w:cs="宋体"/>
          <w:sz w:val="24"/>
          <w:szCs w:val="24"/>
        </w:rPr>
        <w:t>安全生产目标：杜绝本项目施工人员伤亡事故。</w:t>
      </w:r>
    </w:p>
    <w:p w14:paraId="47E545C0">
      <w:pPr>
        <w:snapToGrid w:val="0"/>
        <w:spacing w:line="440" w:lineRule="exact"/>
        <w:ind w:firstLine="424" w:firstLineChars="177"/>
        <w:rPr>
          <w:rFonts w:ascii="宋体" w:hAnsi="宋体" w:cs="宋体"/>
          <w:sz w:val="24"/>
          <w:szCs w:val="24"/>
        </w:rPr>
      </w:pPr>
      <w:r>
        <w:rPr>
          <w:rFonts w:hint="eastAsia" w:ascii="宋体" w:hAnsi="宋体" w:cs="宋体"/>
          <w:sz w:val="24"/>
          <w:szCs w:val="24"/>
        </w:rPr>
        <w:t>文明施工目标：标准化管理。</w:t>
      </w:r>
    </w:p>
    <w:p w14:paraId="010131A3">
      <w:pPr>
        <w:snapToGrid w:val="0"/>
        <w:spacing w:line="440" w:lineRule="exact"/>
        <w:ind w:firstLine="424" w:firstLineChars="177"/>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七</w:t>
      </w:r>
      <w:r>
        <w:rPr>
          <w:rFonts w:hint="eastAsia" w:ascii="宋体" w:hAnsi="宋体" w:cs="宋体"/>
          <w:sz w:val="24"/>
          <w:szCs w:val="24"/>
        </w:rPr>
        <w:t>）环境保护及文明施工</w:t>
      </w:r>
    </w:p>
    <w:p w14:paraId="08CC6F31">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.1 环境保护</w:t>
      </w:r>
    </w:p>
    <w:p w14:paraId="194B5F13">
      <w:pPr>
        <w:snapToGrid w:val="0"/>
        <w:spacing w:line="440" w:lineRule="exact"/>
        <w:ind w:firstLine="424" w:firstLineChars="177"/>
        <w:rPr>
          <w:rFonts w:ascii="宋体" w:hAnsi="宋体" w:cs="宋体"/>
          <w:sz w:val="24"/>
          <w:szCs w:val="24"/>
        </w:rPr>
      </w:pPr>
      <w:r>
        <w:rPr>
          <w:rFonts w:hint="eastAsia" w:ascii="宋体" w:hAnsi="宋体" w:cs="宋体"/>
          <w:sz w:val="24"/>
          <w:szCs w:val="24"/>
        </w:rPr>
        <w:t>分析因施工可能引起的环境保护方面的问题。</w:t>
      </w:r>
    </w:p>
    <w:p w14:paraId="5989C849">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.2 加强施工管理、严格保护环境</w:t>
      </w:r>
    </w:p>
    <w:p w14:paraId="60828A5E">
      <w:pPr>
        <w:snapToGrid w:val="0"/>
        <w:spacing w:line="440" w:lineRule="exact"/>
        <w:ind w:firstLine="424" w:firstLineChars="177"/>
        <w:rPr>
          <w:rFonts w:ascii="宋体" w:hAnsi="宋体" w:cs="宋体"/>
          <w:sz w:val="24"/>
          <w:szCs w:val="24"/>
        </w:rPr>
      </w:pPr>
      <w:r>
        <w:rPr>
          <w:rFonts w:hint="eastAsia" w:ascii="宋体" w:hAnsi="宋体" w:cs="宋体"/>
          <w:sz w:val="24"/>
          <w:szCs w:val="24"/>
        </w:rPr>
        <w:t>提出环境保护的目标及采取的具体措施。</w:t>
      </w:r>
    </w:p>
    <w:p w14:paraId="4A7FFBF9">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.3 文明施工的目标、组织机构和实施方案</w:t>
      </w:r>
    </w:p>
    <w:p w14:paraId="20217A2A">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.4 文明施工考核、管理办法</w:t>
      </w:r>
    </w:p>
    <w:p w14:paraId="4022BD7C">
      <w:pPr>
        <w:snapToGrid w:val="0"/>
        <w:spacing w:line="440" w:lineRule="exact"/>
        <w:ind w:firstLine="424" w:firstLineChars="177"/>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八</w:t>
      </w:r>
      <w:r>
        <w:rPr>
          <w:rFonts w:hint="eastAsia" w:ascii="宋体" w:hAnsi="宋体" w:cs="宋体"/>
          <w:sz w:val="24"/>
          <w:szCs w:val="24"/>
        </w:rPr>
        <w:t>）计划、统计和信息管理</w:t>
      </w:r>
    </w:p>
    <w:p w14:paraId="62E95058">
      <w:pPr>
        <w:snapToGrid w:val="0"/>
        <w:spacing w:line="440" w:lineRule="exact"/>
        <w:ind w:firstLine="424" w:firstLineChars="177"/>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.1 计划、统计报表的编制与传递；</w:t>
      </w:r>
    </w:p>
    <w:p w14:paraId="7A7FA531">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.2 信息管理</w:t>
      </w:r>
    </w:p>
    <w:p w14:paraId="56657F9B">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提出信息管理的目标及拟将采取的措施。</w:t>
      </w:r>
    </w:p>
    <w:p w14:paraId="1D800EB0">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九</w:t>
      </w:r>
      <w:r>
        <w:rPr>
          <w:rFonts w:hint="eastAsia" w:ascii="宋体" w:hAnsi="宋体" w:cs="宋体"/>
          <w:sz w:val="24"/>
          <w:szCs w:val="24"/>
        </w:rPr>
        <w:t>）总承包人应严格遵守并执行《广东省建筑垃圾管理条例》，应通过施工图纸深化、施工方案优化、永临结合、临时设施和周转材料重复利用、施工过程管理等控制措施，从源头控制施工现场建筑垃圾的产生。</w:t>
      </w:r>
    </w:p>
    <w:p w14:paraId="221542CE">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十）总承包人应落实《广东省建筑垃圾管理条例》要求，对施工现场的建筑垃圾精细化分类分质利用，将符合条件的建筑垃圾用于生产以建筑垃圾为主要原料的再生粉料、再生骨料、再生骨料混凝土及其构件、再生骨料砂浆、再生混合料、再生混凝土砖、再生混凝土砌块、再生混凝土墙板、烧结砖和烧结砌块等建筑垃圾综合利用产品。对建筑垃圾里分拣出来的废钢筋、废电线、废铁丝等，可用于材料再生；废竹木料可用于制造人造板材或者生产生物质碳等产品。</w:t>
      </w:r>
    </w:p>
    <w:p w14:paraId="0BFF1E73">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（十</w:t>
      </w:r>
      <w:r>
        <w:rPr>
          <w:rFonts w:hint="eastAsia" w:ascii="宋体" w:hAnsi="宋体" w:cs="宋体"/>
          <w:sz w:val="24"/>
          <w:szCs w:val="24"/>
          <w:lang w:val="en-US" w:eastAsia="zh-CN"/>
        </w:rPr>
        <w:t>一</w:t>
      </w:r>
      <w:r>
        <w:rPr>
          <w:rFonts w:hint="eastAsia" w:ascii="宋体" w:hAnsi="宋体" w:cs="宋体"/>
          <w:sz w:val="24"/>
          <w:szCs w:val="24"/>
        </w:rPr>
        <w:t>）总承包单位应当编制建筑垃圾处理方案，采取污染防治措施，并在开工前报工程所在地建筑垃圾主管部门备案。建筑垃圾处理方案内容有调整的，应当及时报告接受备案的部门。建筑垃圾处理方案应当包括下列内容：</w:t>
      </w:r>
    </w:p>
    <w:p w14:paraId="76016C0C">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1.工程概况和施工单位基本信息；</w:t>
      </w:r>
    </w:p>
    <w:p w14:paraId="242C3D96">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2.建筑垃圾产生量与种类；</w:t>
      </w:r>
    </w:p>
    <w:p w14:paraId="4A7B4545">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3.建筑垃圾源头减量、分类收集、综合利用、污染防治的措施和目标；</w:t>
      </w:r>
    </w:p>
    <w:p w14:paraId="74FBE200">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4.需要外运的建筑垃圾种类、数量与运输的时间、路线、方式和运输单位；</w:t>
      </w:r>
    </w:p>
    <w:p w14:paraId="71EE086F">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5.建筑垃圾回填、消纳、综合利用场所名称；</w:t>
      </w:r>
    </w:p>
    <w:p w14:paraId="3C9DC13C">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6.法律、法规规定的其他内容。</w:t>
      </w:r>
    </w:p>
    <w:p w14:paraId="18B7246D">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（十</w:t>
      </w:r>
      <w:r>
        <w:rPr>
          <w:rFonts w:hint="eastAsia" w:ascii="宋体" w:hAnsi="宋体" w:cs="宋体"/>
          <w:sz w:val="24"/>
          <w:szCs w:val="24"/>
          <w:lang w:val="en-US" w:eastAsia="zh-CN"/>
        </w:rPr>
        <w:t>二</w:t>
      </w:r>
      <w:r>
        <w:rPr>
          <w:rFonts w:hint="eastAsia" w:ascii="宋体" w:hAnsi="宋体" w:cs="宋体"/>
          <w:sz w:val="24"/>
          <w:szCs w:val="24"/>
        </w:rPr>
        <w:t>）总承包单位应当按照国家有关规定对施工现场的建筑垃圾进行分类，实行分类收集、分类贮存、分类运输、分类处置。</w:t>
      </w:r>
    </w:p>
    <w:p w14:paraId="639DB4F7">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（十</w:t>
      </w:r>
      <w:r>
        <w:rPr>
          <w:rFonts w:hint="eastAsia" w:ascii="宋体" w:hAnsi="宋体" w:cs="宋体"/>
          <w:sz w:val="24"/>
          <w:szCs w:val="24"/>
          <w:lang w:val="en-US" w:eastAsia="zh-CN"/>
        </w:rPr>
        <w:t>三</w:t>
      </w:r>
      <w:r>
        <w:rPr>
          <w:rFonts w:hint="eastAsia" w:ascii="宋体" w:hAnsi="宋体" w:cs="宋体"/>
          <w:sz w:val="24"/>
          <w:szCs w:val="24"/>
        </w:rPr>
        <w:t>）总承包单位应开展建筑垃圾分类和合法装载，并及时向工程所在地建筑垃圾主管部门报送建筑垃圾处理方案。总承包单位应当建立建筑垃圾管理台账，分类收集、贮存和及时清运施工过程中产生的建筑垃圾，采取有效措施防止混合已分类的建筑垃圾。总承包单位应当将建筑垃圾的产生量与种类、清运时间、最终去向等信息在施工现场公示，接受社会监督。</w:t>
      </w:r>
    </w:p>
    <w:p w14:paraId="0D7F1E34">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运输建筑垃圾应当遵守下列规定：</w:t>
      </w:r>
    </w:p>
    <w:p w14:paraId="722DDDE4">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1.建立建筑垃圾运输管理台账；</w:t>
      </w:r>
    </w:p>
    <w:p w14:paraId="02B7AFDF">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2.不得将工程渣土、工程泥浆与其他建筑垃圾混合运输；</w:t>
      </w:r>
    </w:p>
    <w:p w14:paraId="756CD621">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3.保持运输车辆、船舶等运输工具的行驶记录、卫星定位等电子装置正常使用；</w:t>
      </w:r>
    </w:p>
    <w:p w14:paraId="10C05FCF">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4.运输过程中保持运输工具整洁，采取密闭或者其他有效措施防止遗撒建筑垃圾，不得擅自倾倒、抛撒建筑垃圾；</w:t>
      </w:r>
    </w:p>
    <w:p w14:paraId="37085FFA">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5.按照建筑垃圾处理方案确定的时间、路线、方式、场所进行运输。建筑垃圾运输车辆、船舶应当符合相应的载运技术条件。建筑垃圾处置场所为陆域的，不得采用开底式船舶运输建筑垃圾。</w:t>
      </w:r>
    </w:p>
    <w:p w14:paraId="4D33182A">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（十</w:t>
      </w:r>
      <w:r>
        <w:rPr>
          <w:rFonts w:hint="eastAsia" w:ascii="宋体" w:hAnsi="宋体" w:cs="宋体"/>
          <w:sz w:val="24"/>
          <w:szCs w:val="24"/>
          <w:lang w:val="en-US" w:eastAsia="zh-CN"/>
        </w:rPr>
        <w:t>四</w:t>
      </w:r>
      <w:r>
        <w:rPr>
          <w:rFonts w:hint="eastAsia" w:ascii="宋体" w:hAnsi="宋体" w:cs="宋体"/>
          <w:sz w:val="24"/>
          <w:szCs w:val="24"/>
        </w:rPr>
        <w:t>）工程泥浆应当在施工现场进行脱水固化处理。施工现场不具备条件的，应当采用罐装器具密闭运输至依法设置的建筑垃圾处置场所进行处置。水上工程中依法无需经脱水处理的除外。建筑垃圾应当按照下列方式，优先就地就近利用：</w:t>
      </w:r>
    </w:p>
    <w:p w14:paraId="44DDEF06">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1.工程渣土及脱水后的工程泥浆优先用于土方平衡、矿坑修复、环境治理、烧结制品及回填等；</w:t>
      </w:r>
    </w:p>
    <w:p w14:paraId="7ED9C9F2">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2.工程垃圾、拆除垃圾和装修垃圾优先用于生产再生骨料、再生砖、再生砌块、再生沥青混合料等建筑垃圾综合利用产品。具备现场综合利用条件的建设工程，应当进行建筑垃圾现场综合利用。</w:t>
      </w:r>
    </w:p>
    <w:p w14:paraId="1AB13418">
      <w:pPr>
        <w:snapToGrid w:val="0"/>
        <w:spacing w:line="440" w:lineRule="exact"/>
        <w:ind w:firstLine="424" w:firstLineChars="177"/>
        <w:jc w:val="left"/>
        <w:rPr>
          <w:rFonts w:ascii="宋体" w:hAnsi="宋体" w:cs="宋体"/>
          <w:sz w:val="24"/>
          <w:szCs w:val="24"/>
        </w:rPr>
      </w:pPr>
      <w:r>
        <w:rPr>
          <w:rFonts w:hint="eastAsia" w:ascii="宋体" w:hAnsi="宋体" w:cs="宋体"/>
          <w:sz w:val="24"/>
          <w:szCs w:val="24"/>
        </w:rPr>
        <w:t>（十</w:t>
      </w:r>
      <w:r>
        <w:rPr>
          <w:rFonts w:hint="eastAsia" w:ascii="宋体" w:hAnsi="宋体" w:cs="宋体"/>
          <w:sz w:val="24"/>
          <w:szCs w:val="24"/>
          <w:lang w:val="en-US" w:eastAsia="zh-CN"/>
        </w:rPr>
        <w:t>五</w:t>
      </w:r>
      <w:r>
        <w:rPr>
          <w:rFonts w:hint="eastAsia" w:ascii="宋体" w:hAnsi="宋体" w:cs="宋体"/>
          <w:sz w:val="24"/>
          <w:szCs w:val="24"/>
        </w:rPr>
        <w:t>）总承包人须在施工现场的合理位置设置废弃物与垃圾堆场，并根据施工现场总平面的变化及时变更废弃物与垃圾堆场的位置。</w:t>
      </w:r>
    </w:p>
    <w:bookmarkEnd w:id="84"/>
    <w:bookmarkEnd w:id="85"/>
    <w:bookmarkEnd w:id="86"/>
    <w:p w14:paraId="73AF2088">
      <w:pPr>
        <w:jc w:val="left"/>
        <w:rPr>
          <w:rFonts w:ascii="宋体" w:hAnsi="宋体" w:cs="宋体"/>
          <w:sz w:val="24"/>
          <w:szCs w:val="24"/>
        </w:rPr>
      </w:pPr>
      <w:bookmarkStart w:id="87" w:name="_Toc62134899"/>
      <w:r>
        <w:rPr>
          <w:rFonts w:hint="eastAsia" w:ascii="宋体" w:hAnsi="宋体" w:cs="宋体"/>
          <w:sz w:val="24"/>
          <w:szCs w:val="24"/>
        </w:rPr>
        <w:br w:type="page"/>
      </w:r>
    </w:p>
    <w:p w14:paraId="318A0A1A">
      <w:pPr>
        <w:snapToGrid w:val="0"/>
        <w:spacing w:line="440" w:lineRule="exact"/>
        <w:ind w:firstLine="569" w:firstLineChars="177"/>
        <w:jc w:val="left"/>
        <w:rPr>
          <w:rFonts w:ascii="宋体" w:hAnsi="宋体" w:cs="宋体"/>
          <w:b/>
          <w:kern w:val="44"/>
          <w:sz w:val="28"/>
          <w:szCs w:val="28"/>
        </w:rPr>
      </w:pPr>
      <w:bookmarkStart w:id="88" w:name="_Toc1964"/>
      <w:r>
        <w:rPr>
          <w:rFonts w:hint="eastAsia" w:ascii="宋体" w:hAnsi="宋体" w:cs="宋体"/>
          <w:b/>
          <w:kern w:val="44"/>
          <w:sz w:val="32"/>
          <w:szCs w:val="32"/>
        </w:rPr>
        <w:t>第六章  图纸及勘察资料</w:t>
      </w:r>
      <w:bookmarkEnd w:id="87"/>
      <w:bookmarkEnd w:id="88"/>
    </w:p>
    <w:p w14:paraId="180C608D">
      <w:pPr>
        <w:keepNext/>
        <w:keepLines/>
        <w:spacing w:before="120" w:after="120" w:line="360" w:lineRule="auto"/>
        <w:jc w:val="center"/>
        <w:outlineLvl w:val="0"/>
        <w:rPr>
          <w:rFonts w:ascii="宋体" w:hAnsi="宋体" w:cs="宋体"/>
          <w:b/>
          <w:kern w:val="44"/>
          <w:sz w:val="28"/>
          <w:szCs w:val="28"/>
        </w:rPr>
      </w:pPr>
      <w:bookmarkStart w:id="89" w:name="_Toc41306302"/>
      <w:bookmarkStart w:id="90" w:name="_Toc8441"/>
      <w:bookmarkStart w:id="91" w:name="_Toc19107"/>
      <w:bookmarkStart w:id="92" w:name="_Toc62134900"/>
      <w:r>
        <w:rPr>
          <w:rFonts w:hint="eastAsia" w:ascii="宋体" w:hAnsi="宋体" w:cs="宋体"/>
          <w:b/>
          <w:kern w:val="44"/>
          <w:sz w:val="28"/>
          <w:szCs w:val="28"/>
        </w:rPr>
        <w:t>（另册）</w:t>
      </w:r>
      <w:bookmarkEnd w:id="89"/>
      <w:bookmarkEnd w:id="90"/>
      <w:bookmarkEnd w:id="91"/>
      <w:bookmarkEnd w:id="92"/>
    </w:p>
    <w:p w14:paraId="278888C1">
      <w:pPr>
        <w:spacing w:line="360" w:lineRule="auto"/>
        <w:ind w:firstLine="480" w:firstLineChars="200"/>
        <w:rPr>
          <w:rFonts w:ascii="宋体" w:hAnsi="宋体" w:cs="宋体"/>
          <w:sz w:val="24"/>
          <w:szCs w:val="24"/>
        </w:rPr>
      </w:pPr>
      <w:r>
        <w:rPr>
          <w:rFonts w:hint="eastAsia" w:ascii="宋体" w:hAnsi="宋体" w:cs="宋体"/>
          <w:sz w:val="24"/>
          <w:szCs w:val="24"/>
        </w:rPr>
        <w:t>注：本项目所有招标图纸、资料知识产权属招标人所有，不得用于除本次招标项目外其它用途，否则应承担由此所引起的全部法律责任。</w:t>
      </w:r>
    </w:p>
    <w:p w14:paraId="496A9958">
      <w:pPr>
        <w:rPr>
          <w:rFonts w:ascii="宋体" w:hAnsi="宋体" w:cs="宋体"/>
          <w:sz w:val="24"/>
          <w:szCs w:val="24"/>
        </w:rPr>
      </w:pPr>
    </w:p>
    <w:p w14:paraId="52774F88">
      <w:pPr>
        <w:keepNext/>
        <w:keepLines/>
        <w:spacing w:line="360" w:lineRule="auto"/>
        <w:jc w:val="center"/>
        <w:outlineLvl w:val="0"/>
        <w:rPr>
          <w:rFonts w:ascii="宋体" w:hAnsi="宋体" w:cs="宋体"/>
          <w:b/>
          <w:kern w:val="44"/>
          <w:sz w:val="28"/>
          <w:szCs w:val="28"/>
        </w:rPr>
      </w:pPr>
      <w:r>
        <w:rPr>
          <w:rFonts w:hint="eastAsia" w:ascii="宋体" w:hAnsi="宋体" w:cs="宋体"/>
          <w:b/>
          <w:kern w:val="44"/>
          <w:sz w:val="24"/>
          <w:szCs w:val="24"/>
        </w:rPr>
        <w:br w:type="page"/>
      </w:r>
      <w:bookmarkStart w:id="93" w:name="_Toc26404"/>
      <w:bookmarkStart w:id="94" w:name="_Toc62134901"/>
      <w:r>
        <w:rPr>
          <w:rFonts w:hint="eastAsia" w:ascii="宋体" w:hAnsi="宋体" w:cs="宋体"/>
          <w:b/>
          <w:kern w:val="44"/>
          <w:sz w:val="32"/>
          <w:szCs w:val="32"/>
        </w:rPr>
        <w:t>第七章  工程量清单</w:t>
      </w:r>
      <w:bookmarkEnd w:id="93"/>
      <w:bookmarkEnd w:id="94"/>
    </w:p>
    <w:p w14:paraId="1734869D">
      <w:pPr>
        <w:jc w:val="center"/>
        <w:rPr>
          <w:rFonts w:ascii="宋体" w:hAnsi="宋体" w:cs="宋体"/>
          <w:sz w:val="24"/>
          <w:szCs w:val="24"/>
        </w:rPr>
      </w:pPr>
      <w:r>
        <w:rPr>
          <w:rFonts w:hint="eastAsia" w:ascii="宋体" w:hAnsi="宋体" w:cs="宋体"/>
          <w:sz w:val="28"/>
          <w:szCs w:val="28"/>
        </w:rPr>
        <w:t>（另册）</w:t>
      </w:r>
    </w:p>
    <w:p w14:paraId="736BA4BF">
      <w:pPr>
        <w:keepNext/>
        <w:keepLines/>
        <w:spacing w:line="360" w:lineRule="auto"/>
        <w:jc w:val="center"/>
        <w:outlineLvl w:val="0"/>
        <w:rPr>
          <w:rFonts w:ascii="宋体" w:hAnsi="宋体" w:cs="宋体"/>
          <w:b/>
          <w:kern w:val="44"/>
          <w:sz w:val="28"/>
          <w:szCs w:val="28"/>
        </w:rPr>
      </w:pPr>
      <w:r>
        <w:rPr>
          <w:rFonts w:hint="eastAsia" w:ascii="宋体" w:hAnsi="宋体" w:cs="宋体"/>
          <w:b/>
          <w:kern w:val="44"/>
          <w:sz w:val="24"/>
          <w:szCs w:val="24"/>
        </w:rPr>
        <w:br w:type="page"/>
      </w:r>
      <w:bookmarkStart w:id="95" w:name="_Toc62134902"/>
      <w:bookmarkStart w:id="96" w:name="_Toc31901"/>
      <w:r>
        <w:rPr>
          <w:rFonts w:hint="eastAsia" w:ascii="宋体" w:hAnsi="宋体" w:cs="宋体"/>
          <w:b/>
          <w:kern w:val="44"/>
          <w:sz w:val="32"/>
          <w:szCs w:val="32"/>
        </w:rPr>
        <w:t>第八章  最高投标限价</w:t>
      </w:r>
      <w:bookmarkEnd w:id="95"/>
      <w:bookmarkEnd w:id="96"/>
    </w:p>
    <w:p w14:paraId="78AA6311">
      <w:pPr>
        <w:spacing w:line="360" w:lineRule="auto"/>
        <w:ind w:firstLine="480" w:firstLineChars="200"/>
        <w:jc w:val="left"/>
        <w:rPr>
          <w:rFonts w:ascii="宋体" w:hAnsi="宋体" w:cs="宋体"/>
          <w:sz w:val="24"/>
          <w:szCs w:val="24"/>
        </w:rPr>
      </w:pPr>
      <w:r>
        <w:rPr>
          <w:rFonts w:hint="eastAsia" w:ascii="宋体" w:hAnsi="宋体" w:cs="宋体"/>
          <w:sz w:val="24"/>
          <w:szCs w:val="24"/>
        </w:rPr>
        <w:t>招标人应当在发布招标文件时，公布最高投标限价的总价，分部分项工程费、措施项目费、其他项目费、规费和税金，以及绿色施工安全防护措施费、暂列金额等投标人不可竞争的固定报价。</w:t>
      </w:r>
    </w:p>
    <w:p w14:paraId="759C22A9">
      <w:pPr>
        <w:spacing w:line="360" w:lineRule="auto"/>
        <w:ind w:firstLine="480" w:firstLineChars="200"/>
        <w:jc w:val="left"/>
        <w:rPr>
          <w:rFonts w:ascii="宋体" w:hAnsi="宋体" w:cs="宋体"/>
          <w:sz w:val="24"/>
          <w:szCs w:val="24"/>
        </w:rPr>
      </w:pPr>
      <w:r>
        <w:rPr>
          <w:rFonts w:hint="eastAsia" w:ascii="宋体" w:hAnsi="宋体" w:cs="宋体"/>
          <w:sz w:val="24"/>
          <w:szCs w:val="24"/>
        </w:rPr>
        <w:t>具体见本项目《最高投标限价公布函》。</w:t>
      </w:r>
    </w:p>
    <w:p w14:paraId="0943DE96">
      <w:pPr>
        <w:rPr>
          <w:rFonts w:ascii="宋体" w:hAnsi="宋体" w:cs="宋体"/>
        </w:rPr>
      </w:pPr>
    </w:p>
    <w:p w14:paraId="34739CDB">
      <w:pPr>
        <w:snapToGrid w:val="0"/>
        <w:spacing w:line="360" w:lineRule="auto"/>
        <w:ind w:firstLine="482" w:firstLineChars="200"/>
        <w:jc w:val="left"/>
        <w:rPr>
          <w:rFonts w:ascii="宋体" w:hAnsi="宋体" w:cs="宋体"/>
          <w:b/>
          <w:sz w:val="24"/>
          <w:szCs w:val="24"/>
        </w:rPr>
      </w:pPr>
    </w:p>
    <w:p w14:paraId="413917EF">
      <w:pPr>
        <w:rPr>
          <w:rFonts w:ascii="宋体" w:hAnsi="宋体" w:cs="宋体"/>
        </w:rPr>
      </w:pPr>
    </w:p>
    <w:sectPr>
      <w:headerReference r:id="rId12" w:type="default"/>
      <w:footerReference r:id="rId13" w:type="default"/>
      <w:pgSz w:w="11905" w:h="16838"/>
      <w:pgMar w:top="1083" w:right="1440" w:bottom="1083" w:left="1440" w:header="851" w:footer="992" w:gutter="0"/>
      <w:cols w:space="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39E24">
    <w:pPr>
      <w:pStyle w:val="27"/>
      <w:ind w:firstLine="392"/>
      <w:rPr>
        <w:rStyle w:val="4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6A496">
    <w:pPr>
      <w:pStyle w:val="27"/>
      <w:ind w:firstLine="392"/>
      <w:rPr>
        <w:rStyle w:val="47"/>
      </w:rPr>
    </w:pPr>
    <w:r>
      <w:rPr>
        <w:rStyle w:val="47"/>
      </w:rPr>
      <w:fldChar w:fldCharType="begin"/>
    </w:r>
    <w:r>
      <w:rPr>
        <w:rStyle w:val="47"/>
      </w:rPr>
      <w:instrText xml:space="preserve">PAGE  </w:instrText>
    </w:r>
    <w:r>
      <w:fldChar w:fldCharType="separate"/>
    </w:r>
    <w:r>
      <w:rPr>
        <w:rStyle w:val="47"/>
        <w:rFonts w:hint="eastAsia"/>
      </w:rPr>
      <w:t>一</w:t>
    </w:r>
    <w:r>
      <w:rPr>
        <w:rStyle w:val="47"/>
      </w:rPr>
      <w:t>–2</w:t>
    </w:r>
    <w:r>
      <w:fldChar w:fldCharType="end"/>
    </w:r>
  </w:p>
  <w:p w14:paraId="7BB6EADD">
    <w:pPr>
      <w:pStyle w:val="27"/>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5847D">
    <w:pPr>
      <w:pStyle w:val="27"/>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EE522">
    <w:pPr>
      <w:pStyle w:val="27"/>
      <w:ind w:firstLine="392"/>
      <w:rPr>
        <w:rStyle w:val="47"/>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3FC11">
                          <w:pPr>
                            <w:pStyle w:val="2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AB3FC11">
                    <w:pPr>
                      <w:pStyle w:val="2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2EF5A">
    <w:pPr>
      <w:pStyle w:val="27"/>
      <w:ind w:firstLine="39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0C227">
                          <w:pPr>
                            <w:pStyle w:val="2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860C227">
                    <w:pPr>
                      <w:pStyle w:val="2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9CFB6">
    <w:pPr>
      <w:pStyle w:val="87"/>
      <w:ind w:right="360"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EA497A">
                          <w:pPr>
                            <w:tabs>
                              <w:tab w:val="center" w:pos="4153"/>
                              <w:tab w:val="right" w:pos="8306"/>
                            </w:tabs>
                          </w:pPr>
                          <w:r>
                            <w:fldChar w:fldCharType="begin"/>
                          </w:r>
                          <w:r>
                            <w:instrText xml:space="preserve"> PAGE  \* MERGEFORMAT </w:instrText>
                          </w:r>
                          <w:r>
                            <w:fldChar w:fldCharType="separate"/>
                          </w:r>
                          <w:r>
                            <w:t>62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FEA497A">
                    <w:pPr>
                      <w:tabs>
                        <w:tab w:val="center" w:pos="4153"/>
                        <w:tab w:val="right" w:pos="8306"/>
                      </w:tabs>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17E6F">
    <w:pPr>
      <w:pStyle w:val="27"/>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0E4F8">
                          <w:pPr>
                            <w:pStyle w:val="27"/>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8D0E4F8">
                    <w:pPr>
                      <w:pStyle w:val="27"/>
                    </w:pPr>
                    <w:r>
                      <w:fldChar w:fldCharType="begin"/>
                    </w:r>
                    <w:r>
                      <w:instrText xml:space="preserve"> PAGE  \* MERGEFORMAT </w:instrText>
                    </w:r>
                    <w:r>
                      <w:fldChar w:fldCharType="separate"/>
                    </w:r>
                    <w:r>
                      <w:t>95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5473">
    <w:pPr>
      <w:pStyle w:val="29"/>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029F4">
    <w:pPr>
      <w:pStyle w:val="29"/>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2A937">
    <w:pPr>
      <w:pStyle w:val="12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32693">
    <w:pPr>
      <w:pStyle w:val="29"/>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97037"/>
    <w:multiLevelType w:val="multilevel"/>
    <w:tmpl w:val="01A97037"/>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B28322"/>
    <w:multiLevelType w:val="singleLevel"/>
    <w:tmpl w:val="37B28322"/>
    <w:lvl w:ilvl="0" w:tentative="0">
      <w:start w:val="1"/>
      <w:numFmt w:val="decimal"/>
      <w:pStyle w:val="31"/>
      <w:lvlText w:val="%1."/>
      <w:lvlJc w:val="left"/>
      <w:pPr>
        <w:tabs>
          <w:tab w:val="left" w:pos="2040"/>
        </w:tabs>
        <w:ind w:left="2040" w:hanging="360"/>
      </w:pPr>
    </w:lvl>
  </w:abstractNum>
  <w:abstractNum w:abstractNumId="2">
    <w:nsid w:val="5EC63031"/>
    <w:multiLevelType w:val="singleLevel"/>
    <w:tmpl w:val="5EC63031"/>
    <w:lvl w:ilvl="0" w:tentative="0">
      <w:start w:val="4"/>
      <w:numFmt w:val="chineseCounting"/>
      <w:suff w:val="space"/>
      <w:lvlText w:val="第%1章"/>
      <w:lvlJc w:val="left"/>
      <w:pPr>
        <w:tabs>
          <w:tab w:val="left" w:pos="0"/>
        </w:tabs>
        <w:ind w:left="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63"/>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0YzE1ODViZDcyMjAwMTc2YzY0NGViNDk0OTM3OTQifQ=="/>
  </w:docVars>
  <w:rsids>
    <w:rsidRoot w:val="00815716"/>
    <w:rsid w:val="0001678B"/>
    <w:rsid w:val="000273CC"/>
    <w:rsid w:val="00053FB7"/>
    <w:rsid w:val="00056228"/>
    <w:rsid w:val="00084244"/>
    <w:rsid w:val="000B52C5"/>
    <w:rsid w:val="000B6ADD"/>
    <w:rsid w:val="000B76C3"/>
    <w:rsid w:val="000C30BE"/>
    <w:rsid w:val="000F7CCD"/>
    <w:rsid w:val="00106E75"/>
    <w:rsid w:val="001079F1"/>
    <w:rsid w:val="00117779"/>
    <w:rsid w:val="00131916"/>
    <w:rsid w:val="001463FA"/>
    <w:rsid w:val="001767B7"/>
    <w:rsid w:val="00183431"/>
    <w:rsid w:val="00185E02"/>
    <w:rsid w:val="0018612E"/>
    <w:rsid w:val="00210947"/>
    <w:rsid w:val="002140DD"/>
    <w:rsid w:val="00220759"/>
    <w:rsid w:val="00221BB9"/>
    <w:rsid w:val="00226079"/>
    <w:rsid w:val="002C7224"/>
    <w:rsid w:val="00303630"/>
    <w:rsid w:val="00315D81"/>
    <w:rsid w:val="00321A83"/>
    <w:rsid w:val="00331FE2"/>
    <w:rsid w:val="00332D2E"/>
    <w:rsid w:val="00343A00"/>
    <w:rsid w:val="00350463"/>
    <w:rsid w:val="003508F6"/>
    <w:rsid w:val="003A5802"/>
    <w:rsid w:val="003B0FE6"/>
    <w:rsid w:val="003B6B29"/>
    <w:rsid w:val="003C7777"/>
    <w:rsid w:val="003C7EE1"/>
    <w:rsid w:val="003E68B4"/>
    <w:rsid w:val="003F0821"/>
    <w:rsid w:val="003F2FBD"/>
    <w:rsid w:val="00452D14"/>
    <w:rsid w:val="004577F5"/>
    <w:rsid w:val="004C3EE6"/>
    <w:rsid w:val="004D7144"/>
    <w:rsid w:val="004E2980"/>
    <w:rsid w:val="004F290F"/>
    <w:rsid w:val="00507E0B"/>
    <w:rsid w:val="00523C26"/>
    <w:rsid w:val="005608ED"/>
    <w:rsid w:val="00575D16"/>
    <w:rsid w:val="0057716D"/>
    <w:rsid w:val="005828EA"/>
    <w:rsid w:val="005A3329"/>
    <w:rsid w:val="005E76DC"/>
    <w:rsid w:val="006037EF"/>
    <w:rsid w:val="00603C95"/>
    <w:rsid w:val="006446D8"/>
    <w:rsid w:val="00652624"/>
    <w:rsid w:val="006A34E3"/>
    <w:rsid w:val="006E0196"/>
    <w:rsid w:val="006F4F59"/>
    <w:rsid w:val="00706BF4"/>
    <w:rsid w:val="00710CB7"/>
    <w:rsid w:val="007377E5"/>
    <w:rsid w:val="00741A09"/>
    <w:rsid w:val="00797B7E"/>
    <w:rsid w:val="007A7AA1"/>
    <w:rsid w:val="00815716"/>
    <w:rsid w:val="0081673D"/>
    <w:rsid w:val="00830F52"/>
    <w:rsid w:val="008820E2"/>
    <w:rsid w:val="00916C49"/>
    <w:rsid w:val="00932E36"/>
    <w:rsid w:val="00935E82"/>
    <w:rsid w:val="00936206"/>
    <w:rsid w:val="00940B7F"/>
    <w:rsid w:val="00981E4E"/>
    <w:rsid w:val="00995D3D"/>
    <w:rsid w:val="009D264E"/>
    <w:rsid w:val="009E3FDC"/>
    <w:rsid w:val="009F195C"/>
    <w:rsid w:val="009F6B16"/>
    <w:rsid w:val="00A67603"/>
    <w:rsid w:val="00A97848"/>
    <w:rsid w:val="00AD39E5"/>
    <w:rsid w:val="00AE0D75"/>
    <w:rsid w:val="00AF7AAE"/>
    <w:rsid w:val="00B17001"/>
    <w:rsid w:val="00B3691F"/>
    <w:rsid w:val="00B441D0"/>
    <w:rsid w:val="00B45D45"/>
    <w:rsid w:val="00B536E6"/>
    <w:rsid w:val="00B67FA7"/>
    <w:rsid w:val="00BE45FB"/>
    <w:rsid w:val="00C133EC"/>
    <w:rsid w:val="00C27BE6"/>
    <w:rsid w:val="00C335AD"/>
    <w:rsid w:val="00C40859"/>
    <w:rsid w:val="00C413C9"/>
    <w:rsid w:val="00C77882"/>
    <w:rsid w:val="00C86823"/>
    <w:rsid w:val="00CD3536"/>
    <w:rsid w:val="00D10859"/>
    <w:rsid w:val="00D144A7"/>
    <w:rsid w:val="00D306C5"/>
    <w:rsid w:val="00D65474"/>
    <w:rsid w:val="00D7582B"/>
    <w:rsid w:val="00D824B0"/>
    <w:rsid w:val="00DD72AD"/>
    <w:rsid w:val="00DF3B23"/>
    <w:rsid w:val="00E006CA"/>
    <w:rsid w:val="00E36DCF"/>
    <w:rsid w:val="00E420B6"/>
    <w:rsid w:val="00E55370"/>
    <w:rsid w:val="00E76F0C"/>
    <w:rsid w:val="00EA1A7D"/>
    <w:rsid w:val="00ED19D3"/>
    <w:rsid w:val="00ED1E2A"/>
    <w:rsid w:val="00EE78D2"/>
    <w:rsid w:val="00F2102C"/>
    <w:rsid w:val="00F37A48"/>
    <w:rsid w:val="00F44192"/>
    <w:rsid w:val="00F56C3B"/>
    <w:rsid w:val="00F67810"/>
    <w:rsid w:val="00F75CCC"/>
    <w:rsid w:val="00FA2726"/>
    <w:rsid w:val="00FD081A"/>
    <w:rsid w:val="01297336"/>
    <w:rsid w:val="014063FE"/>
    <w:rsid w:val="01493211"/>
    <w:rsid w:val="01CD7566"/>
    <w:rsid w:val="01DC70F0"/>
    <w:rsid w:val="01FB0758"/>
    <w:rsid w:val="02327F52"/>
    <w:rsid w:val="024E5835"/>
    <w:rsid w:val="027427F8"/>
    <w:rsid w:val="027A5B89"/>
    <w:rsid w:val="027C10FF"/>
    <w:rsid w:val="028C437D"/>
    <w:rsid w:val="02AB5AF9"/>
    <w:rsid w:val="02B96B72"/>
    <w:rsid w:val="02BA52A4"/>
    <w:rsid w:val="02D06BC4"/>
    <w:rsid w:val="02F713AB"/>
    <w:rsid w:val="0315735F"/>
    <w:rsid w:val="03327563"/>
    <w:rsid w:val="036E17B4"/>
    <w:rsid w:val="039F4AE6"/>
    <w:rsid w:val="03B25805"/>
    <w:rsid w:val="03BA2565"/>
    <w:rsid w:val="03E80687"/>
    <w:rsid w:val="03E96655"/>
    <w:rsid w:val="03EC5D30"/>
    <w:rsid w:val="03F958C7"/>
    <w:rsid w:val="04282F9F"/>
    <w:rsid w:val="0495080F"/>
    <w:rsid w:val="04AB0032"/>
    <w:rsid w:val="05137986"/>
    <w:rsid w:val="05397A09"/>
    <w:rsid w:val="05534D23"/>
    <w:rsid w:val="059A3C03"/>
    <w:rsid w:val="05A551A9"/>
    <w:rsid w:val="05BC0BF8"/>
    <w:rsid w:val="05E9279D"/>
    <w:rsid w:val="060E31C6"/>
    <w:rsid w:val="06174FC9"/>
    <w:rsid w:val="062067FE"/>
    <w:rsid w:val="06254684"/>
    <w:rsid w:val="06732DD2"/>
    <w:rsid w:val="067808F5"/>
    <w:rsid w:val="0687687D"/>
    <w:rsid w:val="06DA2009"/>
    <w:rsid w:val="071820D0"/>
    <w:rsid w:val="074C13AB"/>
    <w:rsid w:val="07554CEB"/>
    <w:rsid w:val="07A159B5"/>
    <w:rsid w:val="07AC0883"/>
    <w:rsid w:val="07C7150F"/>
    <w:rsid w:val="080737D2"/>
    <w:rsid w:val="0828199A"/>
    <w:rsid w:val="082D189E"/>
    <w:rsid w:val="085959D0"/>
    <w:rsid w:val="08616145"/>
    <w:rsid w:val="08907C6B"/>
    <w:rsid w:val="08B16C66"/>
    <w:rsid w:val="08B51480"/>
    <w:rsid w:val="08D977C7"/>
    <w:rsid w:val="08E055B3"/>
    <w:rsid w:val="08FA3336"/>
    <w:rsid w:val="09102B5A"/>
    <w:rsid w:val="09117964"/>
    <w:rsid w:val="09513E78"/>
    <w:rsid w:val="098B0432"/>
    <w:rsid w:val="09A82D92"/>
    <w:rsid w:val="09D04542"/>
    <w:rsid w:val="0A051F93"/>
    <w:rsid w:val="0A0A1357"/>
    <w:rsid w:val="0A1E3055"/>
    <w:rsid w:val="0A226F8E"/>
    <w:rsid w:val="0A283ED3"/>
    <w:rsid w:val="0A423A93"/>
    <w:rsid w:val="0A430D0D"/>
    <w:rsid w:val="0A4505F6"/>
    <w:rsid w:val="0A517362"/>
    <w:rsid w:val="0A570314"/>
    <w:rsid w:val="0A5C592B"/>
    <w:rsid w:val="0A6A2EC4"/>
    <w:rsid w:val="0A937495"/>
    <w:rsid w:val="0A981059"/>
    <w:rsid w:val="0AFD3352"/>
    <w:rsid w:val="0AFD710E"/>
    <w:rsid w:val="0B0154D8"/>
    <w:rsid w:val="0B3C2AF0"/>
    <w:rsid w:val="0B52745A"/>
    <w:rsid w:val="0B835865"/>
    <w:rsid w:val="0BE22158"/>
    <w:rsid w:val="0BE61608"/>
    <w:rsid w:val="0BFC73C5"/>
    <w:rsid w:val="0BFE7494"/>
    <w:rsid w:val="0C072A3C"/>
    <w:rsid w:val="0C193A44"/>
    <w:rsid w:val="0C554348"/>
    <w:rsid w:val="0CB170E8"/>
    <w:rsid w:val="0D1A5D55"/>
    <w:rsid w:val="0D257E20"/>
    <w:rsid w:val="0D2E35AF"/>
    <w:rsid w:val="0D325F10"/>
    <w:rsid w:val="0D4234FE"/>
    <w:rsid w:val="0D444B80"/>
    <w:rsid w:val="0D4D0619"/>
    <w:rsid w:val="0D612E03"/>
    <w:rsid w:val="0D655386"/>
    <w:rsid w:val="0DA61884"/>
    <w:rsid w:val="0DB76A45"/>
    <w:rsid w:val="0DE1205C"/>
    <w:rsid w:val="0DEB2FE7"/>
    <w:rsid w:val="0DF5231E"/>
    <w:rsid w:val="0E2C5669"/>
    <w:rsid w:val="0E410657"/>
    <w:rsid w:val="0E45272D"/>
    <w:rsid w:val="0E514B8C"/>
    <w:rsid w:val="0E754F8F"/>
    <w:rsid w:val="0E86602D"/>
    <w:rsid w:val="0EA74134"/>
    <w:rsid w:val="0EAA60E0"/>
    <w:rsid w:val="0EB506CE"/>
    <w:rsid w:val="0EBF3805"/>
    <w:rsid w:val="0EF81D7C"/>
    <w:rsid w:val="0F41676A"/>
    <w:rsid w:val="0F751969"/>
    <w:rsid w:val="0F8F40AD"/>
    <w:rsid w:val="0FA8520D"/>
    <w:rsid w:val="0FA933C0"/>
    <w:rsid w:val="0FCA6D79"/>
    <w:rsid w:val="0FED4587"/>
    <w:rsid w:val="0FF15EFC"/>
    <w:rsid w:val="0FF21B16"/>
    <w:rsid w:val="101F18D4"/>
    <w:rsid w:val="102313C5"/>
    <w:rsid w:val="103957B2"/>
    <w:rsid w:val="10594AC5"/>
    <w:rsid w:val="10780801"/>
    <w:rsid w:val="108160EB"/>
    <w:rsid w:val="10832039"/>
    <w:rsid w:val="10E50428"/>
    <w:rsid w:val="10FE6A90"/>
    <w:rsid w:val="117B6FDE"/>
    <w:rsid w:val="122B630F"/>
    <w:rsid w:val="122F0041"/>
    <w:rsid w:val="12301B77"/>
    <w:rsid w:val="123F1DBA"/>
    <w:rsid w:val="12696DE3"/>
    <w:rsid w:val="12711E22"/>
    <w:rsid w:val="12984C9E"/>
    <w:rsid w:val="1299596E"/>
    <w:rsid w:val="12CD1ABC"/>
    <w:rsid w:val="12DC0551"/>
    <w:rsid w:val="12DF18D6"/>
    <w:rsid w:val="12E0534B"/>
    <w:rsid w:val="12E96C91"/>
    <w:rsid w:val="12EF5C6F"/>
    <w:rsid w:val="130852AB"/>
    <w:rsid w:val="134C0C32"/>
    <w:rsid w:val="13833B74"/>
    <w:rsid w:val="139A2872"/>
    <w:rsid w:val="13CC3B21"/>
    <w:rsid w:val="13DC4CD3"/>
    <w:rsid w:val="13F866C4"/>
    <w:rsid w:val="144638D4"/>
    <w:rsid w:val="144B0C03"/>
    <w:rsid w:val="1457788F"/>
    <w:rsid w:val="14605474"/>
    <w:rsid w:val="146C6567"/>
    <w:rsid w:val="147321EF"/>
    <w:rsid w:val="147815B3"/>
    <w:rsid w:val="14863CD0"/>
    <w:rsid w:val="14985D33"/>
    <w:rsid w:val="14AF76CB"/>
    <w:rsid w:val="14B90A17"/>
    <w:rsid w:val="14CC051A"/>
    <w:rsid w:val="14D33BAB"/>
    <w:rsid w:val="14D5008C"/>
    <w:rsid w:val="14F1597F"/>
    <w:rsid w:val="14F75FA0"/>
    <w:rsid w:val="15307874"/>
    <w:rsid w:val="15517AD4"/>
    <w:rsid w:val="155E69FB"/>
    <w:rsid w:val="156009C5"/>
    <w:rsid w:val="156B1E6B"/>
    <w:rsid w:val="156E4577"/>
    <w:rsid w:val="15A84EB2"/>
    <w:rsid w:val="15D357EB"/>
    <w:rsid w:val="15EF109D"/>
    <w:rsid w:val="160D5381"/>
    <w:rsid w:val="160E7CC8"/>
    <w:rsid w:val="160F2914"/>
    <w:rsid w:val="16493207"/>
    <w:rsid w:val="166409FF"/>
    <w:rsid w:val="166D0B07"/>
    <w:rsid w:val="168500F5"/>
    <w:rsid w:val="16CA189C"/>
    <w:rsid w:val="16DE1BA1"/>
    <w:rsid w:val="16E1442D"/>
    <w:rsid w:val="16F969DB"/>
    <w:rsid w:val="174C2535"/>
    <w:rsid w:val="176A1687"/>
    <w:rsid w:val="178177BA"/>
    <w:rsid w:val="17C36FE9"/>
    <w:rsid w:val="17DE0250"/>
    <w:rsid w:val="17E458DD"/>
    <w:rsid w:val="185E3CCC"/>
    <w:rsid w:val="186B3909"/>
    <w:rsid w:val="18A10767"/>
    <w:rsid w:val="18B93C1D"/>
    <w:rsid w:val="194E2D81"/>
    <w:rsid w:val="198A6011"/>
    <w:rsid w:val="199B7E8F"/>
    <w:rsid w:val="19E17662"/>
    <w:rsid w:val="1A693D73"/>
    <w:rsid w:val="1A8B2040"/>
    <w:rsid w:val="1AC450AE"/>
    <w:rsid w:val="1ADC6D40"/>
    <w:rsid w:val="1AE94FB9"/>
    <w:rsid w:val="1AFD4E1B"/>
    <w:rsid w:val="1B010554"/>
    <w:rsid w:val="1B165903"/>
    <w:rsid w:val="1B43410D"/>
    <w:rsid w:val="1B49189B"/>
    <w:rsid w:val="1B505038"/>
    <w:rsid w:val="1B5D2A26"/>
    <w:rsid w:val="1BEA2D97"/>
    <w:rsid w:val="1BF53404"/>
    <w:rsid w:val="1BF81957"/>
    <w:rsid w:val="1C2F6CF9"/>
    <w:rsid w:val="1CB04DF2"/>
    <w:rsid w:val="1CD57C8F"/>
    <w:rsid w:val="1D07095D"/>
    <w:rsid w:val="1D295DF7"/>
    <w:rsid w:val="1D2A6753"/>
    <w:rsid w:val="1D443ACF"/>
    <w:rsid w:val="1D4A6EF2"/>
    <w:rsid w:val="1D526E45"/>
    <w:rsid w:val="1D925D01"/>
    <w:rsid w:val="1D962818"/>
    <w:rsid w:val="1DAF3B10"/>
    <w:rsid w:val="1DCC309C"/>
    <w:rsid w:val="1DDC756B"/>
    <w:rsid w:val="1DE303E5"/>
    <w:rsid w:val="1DF20CB4"/>
    <w:rsid w:val="1DF36104"/>
    <w:rsid w:val="1DF51610"/>
    <w:rsid w:val="1E01141C"/>
    <w:rsid w:val="1E3D18A3"/>
    <w:rsid w:val="1E596BB7"/>
    <w:rsid w:val="1E6A084E"/>
    <w:rsid w:val="1E6E5DE2"/>
    <w:rsid w:val="1E707ECB"/>
    <w:rsid w:val="1E7569E3"/>
    <w:rsid w:val="1E8C0022"/>
    <w:rsid w:val="1EAA20D4"/>
    <w:rsid w:val="1EB8717C"/>
    <w:rsid w:val="1EBE420E"/>
    <w:rsid w:val="1EC33F3E"/>
    <w:rsid w:val="1EDF6E17"/>
    <w:rsid w:val="1EF27207"/>
    <w:rsid w:val="1F144534"/>
    <w:rsid w:val="1F177AEE"/>
    <w:rsid w:val="1F246077"/>
    <w:rsid w:val="1F2B13FF"/>
    <w:rsid w:val="1F3610AF"/>
    <w:rsid w:val="1F505606"/>
    <w:rsid w:val="1F6A2B6C"/>
    <w:rsid w:val="1F6A4104"/>
    <w:rsid w:val="1F72256E"/>
    <w:rsid w:val="1F8872E7"/>
    <w:rsid w:val="1F925057"/>
    <w:rsid w:val="1F950ABF"/>
    <w:rsid w:val="1F9A4310"/>
    <w:rsid w:val="1FBE07C2"/>
    <w:rsid w:val="1FC11FCD"/>
    <w:rsid w:val="1FE30229"/>
    <w:rsid w:val="1FE47927"/>
    <w:rsid w:val="1FFF365F"/>
    <w:rsid w:val="202750D0"/>
    <w:rsid w:val="20285501"/>
    <w:rsid w:val="204607B7"/>
    <w:rsid w:val="204A0B08"/>
    <w:rsid w:val="205471C3"/>
    <w:rsid w:val="207549E3"/>
    <w:rsid w:val="20980875"/>
    <w:rsid w:val="20981A3A"/>
    <w:rsid w:val="20AA3083"/>
    <w:rsid w:val="20E2036B"/>
    <w:rsid w:val="21556F04"/>
    <w:rsid w:val="21581F3F"/>
    <w:rsid w:val="21583423"/>
    <w:rsid w:val="216D0F5A"/>
    <w:rsid w:val="216D4A20"/>
    <w:rsid w:val="219A0DBB"/>
    <w:rsid w:val="21AA4994"/>
    <w:rsid w:val="21B207FA"/>
    <w:rsid w:val="21BE2083"/>
    <w:rsid w:val="21CE6CB6"/>
    <w:rsid w:val="21E927F5"/>
    <w:rsid w:val="221A3624"/>
    <w:rsid w:val="22321DD6"/>
    <w:rsid w:val="225F06DB"/>
    <w:rsid w:val="226506AC"/>
    <w:rsid w:val="22733ED9"/>
    <w:rsid w:val="22B175FF"/>
    <w:rsid w:val="22C56C82"/>
    <w:rsid w:val="22DA1DB7"/>
    <w:rsid w:val="22DD18A7"/>
    <w:rsid w:val="22E20A69"/>
    <w:rsid w:val="22E569AE"/>
    <w:rsid w:val="23007343"/>
    <w:rsid w:val="23166B67"/>
    <w:rsid w:val="231F5419"/>
    <w:rsid w:val="235C778D"/>
    <w:rsid w:val="236C6787"/>
    <w:rsid w:val="238E19D2"/>
    <w:rsid w:val="239104E2"/>
    <w:rsid w:val="23BB319C"/>
    <w:rsid w:val="23CA3E04"/>
    <w:rsid w:val="23E565CE"/>
    <w:rsid w:val="23E96281"/>
    <w:rsid w:val="23FA6244"/>
    <w:rsid w:val="240C2AFA"/>
    <w:rsid w:val="243520DB"/>
    <w:rsid w:val="24456DC2"/>
    <w:rsid w:val="24742744"/>
    <w:rsid w:val="24B120D7"/>
    <w:rsid w:val="24B6305E"/>
    <w:rsid w:val="24F8725E"/>
    <w:rsid w:val="251755E4"/>
    <w:rsid w:val="253634F0"/>
    <w:rsid w:val="254D6604"/>
    <w:rsid w:val="254E25E8"/>
    <w:rsid w:val="255D12DF"/>
    <w:rsid w:val="255F3263"/>
    <w:rsid w:val="258834D1"/>
    <w:rsid w:val="25A47B73"/>
    <w:rsid w:val="25A5157B"/>
    <w:rsid w:val="25AC5561"/>
    <w:rsid w:val="25D36F91"/>
    <w:rsid w:val="25F25669"/>
    <w:rsid w:val="26264831"/>
    <w:rsid w:val="2628108B"/>
    <w:rsid w:val="262B0B7B"/>
    <w:rsid w:val="262E272C"/>
    <w:rsid w:val="26473E9E"/>
    <w:rsid w:val="26494115"/>
    <w:rsid w:val="264B57DE"/>
    <w:rsid w:val="265D2364"/>
    <w:rsid w:val="26693529"/>
    <w:rsid w:val="267569F6"/>
    <w:rsid w:val="26785B58"/>
    <w:rsid w:val="268E4D4B"/>
    <w:rsid w:val="26AC3A6A"/>
    <w:rsid w:val="26BE3F3A"/>
    <w:rsid w:val="26D73A91"/>
    <w:rsid w:val="26F07BDF"/>
    <w:rsid w:val="26F92A28"/>
    <w:rsid w:val="271D5449"/>
    <w:rsid w:val="27313F6F"/>
    <w:rsid w:val="27452B8C"/>
    <w:rsid w:val="276305D7"/>
    <w:rsid w:val="278206FD"/>
    <w:rsid w:val="27BE6714"/>
    <w:rsid w:val="27EB2B01"/>
    <w:rsid w:val="2813617D"/>
    <w:rsid w:val="285B6F60"/>
    <w:rsid w:val="28694B0A"/>
    <w:rsid w:val="288E282F"/>
    <w:rsid w:val="28B90200"/>
    <w:rsid w:val="28B906C0"/>
    <w:rsid w:val="28ED3EC6"/>
    <w:rsid w:val="2902208A"/>
    <w:rsid w:val="290C3501"/>
    <w:rsid w:val="29600B3C"/>
    <w:rsid w:val="29736AC1"/>
    <w:rsid w:val="297B3BC8"/>
    <w:rsid w:val="29A12379"/>
    <w:rsid w:val="29A50C45"/>
    <w:rsid w:val="29A76FE9"/>
    <w:rsid w:val="29DA269C"/>
    <w:rsid w:val="29EB2AFB"/>
    <w:rsid w:val="29EE439A"/>
    <w:rsid w:val="2A48477C"/>
    <w:rsid w:val="2A612DBE"/>
    <w:rsid w:val="2A8555CF"/>
    <w:rsid w:val="2A8C1D7B"/>
    <w:rsid w:val="2AB541DD"/>
    <w:rsid w:val="2AC223FD"/>
    <w:rsid w:val="2ADE7954"/>
    <w:rsid w:val="2AF7727E"/>
    <w:rsid w:val="2B475D09"/>
    <w:rsid w:val="2B485616"/>
    <w:rsid w:val="2B807398"/>
    <w:rsid w:val="2B8929C1"/>
    <w:rsid w:val="2B9A6BF0"/>
    <w:rsid w:val="2BA86D7E"/>
    <w:rsid w:val="2BB12E1B"/>
    <w:rsid w:val="2BD5787D"/>
    <w:rsid w:val="2BDA0EEB"/>
    <w:rsid w:val="2BE5357A"/>
    <w:rsid w:val="2BFD76DA"/>
    <w:rsid w:val="2C0A4D8F"/>
    <w:rsid w:val="2C1F083A"/>
    <w:rsid w:val="2C416245"/>
    <w:rsid w:val="2C424529"/>
    <w:rsid w:val="2C4913BE"/>
    <w:rsid w:val="2C51698E"/>
    <w:rsid w:val="2C574478"/>
    <w:rsid w:val="2C5C663C"/>
    <w:rsid w:val="2C722E46"/>
    <w:rsid w:val="2C8E776E"/>
    <w:rsid w:val="2CC55886"/>
    <w:rsid w:val="2CDF1D27"/>
    <w:rsid w:val="2CEF46B1"/>
    <w:rsid w:val="2CF33A75"/>
    <w:rsid w:val="2CFD295C"/>
    <w:rsid w:val="2D2866AB"/>
    <w:rsid w:val="2D3260DF"/>
    <w:rsid w:val="2D534468"/>
    <w:rsid w:val="2D58648F"/>
    <w:rsid w:val="2D8864DB"/>
    <w:rsid w:val="2D932AF8"/>
    <w:rsid w:val="2DBE739B"/>
    <w:rsid w:val="2DC27831"/>
    <w:rsid w:val="2DDC3B25"/>
    <w:rsid w:val="2DF164CB"/>
    <w:rsid w:val="2DF950BB"/>
    <w:rsid w:val="2E054B87"/>
    <w:rsid w:val="2E0E0B66"/>
    <w:rsid w:val="2E24482E"/>
    <w:rsid w:val="2E3305CD"/>
    <w:rsid w:val="2E385BE3"/>
    <w:rsid w:val="2E89643F"/>
    <w:rsid w:val="2EA5008E"/>
    <w:rsid w:val="2EB5143F"/>
    <w:rsid w:val="2EBA66A4"/>
    <w:rsid w:val="2EBD6924"/>
    <w:rsid w:val="2EC41B6D"/>
    <w:rsid w:val="2ED323A0"/>
    <w:rsid w:val="2EE10029"/>
    <w:rsid w:val="2EE95283"/>
    <w:rsid w:val="2F240BD8"/>
    <w:rsid w:val="2F3C5BA7"/>
    <w:rsid w:val="2F40046A"/>
    <w:rsid w:val="2F437684"/>
    <w:rsid w:val="2F4555FF"/>
    <w:rsid w:val="2F654DC7"/>
    <w:rsid w:val="2F86708A"/>
    <w:rsid w:val="2F9B28BE"/>
    <w:rsid w:val="2F9B4641"/>
    <w:rsid w:val="2F9E1BA3"/>
    <w:rsid w:val="2FBD408C"/>
    <w:rsid w:val="2FF7281C"/>
    <w:rsid w:val="302A36DB"/>
    <w:rsid w:val="302E61A3"/>
    <w:rsid w:val="30436451"/>
    <w:rsid w:val="304F41C5"/>
    <w:rsid w:val="306C426A"/>
    <w:rsid w:val="307744C3"/>
    <w:rsid w:val="3080153D"/>
    <w:rsid w:val="30977B66"/>
    <w:rsid w:val="30B55C11"/>
    <w:rsid w:val="30E75210"/>
    <w:rsid w:val="30FB48AE"/>
    <w:rsid w:val="30FC021A"/>
    <w:rsid w:val="31137B6B"/>
    <w:rsid w:val="31293365"/>
    <w:rsid w:val="31903F88"/>
    <w:rsid w:val="31945827"/>
    <w:rsid w:val="31A33CBC"/>
    <w:rsid w:val="322446E7"/>
    <w:rsid w:val="3226703B"/>
    <w:rsid w:val="32270449"/>
    <w:rsid w:val="32305DEA"/>
    <w:rsid w:val="3244724D"/>
    <w:rsid w:val="32671AA9"/>
    <w:rsid w:val="32827D75"/>
    <w:rsid w:val="3287538B"/>
    <w:rsid w:val="328922BB"/>
    <w:rsid w:val="32C043F9"/>
    <w:rsid w:val="32CD697B"/>
    <w:rsid w:val="32E75E2A"/>
    <w:rsid w:val="32F51665"/>
    <w:rsid w:val="33016EEC"/>
    <w:rsid w:val="33122EA7"/>
    <w:rsid w:val="33130ECB"/>
    <w:rsid w:val="33257A5C"/>
    <w:rsid w:val="33294694"/>
    <w:rsid w:val="33425A63"/>
    <w:rsid w:val="33812AA5"/>
    <w:rsid w:val="33837901"/>
    <w:rsid w:val="33871D11"/>
    <w:rsid w:val="33B12468"/>
    <w:rsid w:val="33D07F54"/>
    <w:rsid w:val="33DB6D77"/>
    <w:rsid w:val="34135D8F"/>
    <w:rsid w:val="343E1A7A"/>
    <w:rsid w:val="34605E94"/>
    <w:rsid w:val="34651443"/>
    <w:rsid w:val="34916346"/>
    <w:rsid w:val="34963664"/>
    <w:rsid w:val="34B513ED"/>
    <w:rsid w:val="34BA190F"/>
    <w:rsid w:val="34C401D1"/>
    <w:rsid w:val="35154ED0"/>
    <w:rsid w:val="35305644"/>
    <w:rsid w:val="35691CC8"/>
    <w:rsid w:val="357E0B14"/>
    <w:rsid w:val="359009FB"/>
    <w:rsid w:val="35CB558F"/>
    <w:rsid w:val="35FF348B"/>
    <w:rsid w:val="36137470"/>
    <w:rsid w:val="36365978"/>
    <w:rsid w:val="36464C77"/>
    <w:rsid w:val="368617ED"/>
    <w:rsid w:val="368A178B"/>
    <w:rsid w:val="369340D7"/>
    <w:rsid w:val="36BF730B"/>
    <w:rsid w:val="36C30281"/>
    <w:rsid w:val="36E16D21"/>
    <w:rsid w:val="36E25286"/>
    <w:rsid w:val="371F5B92"/>
    <w:rsid w:val="37265173"/>
    <w:rsid w:val="37421C4F"/>
    <w:rsid w:val="37462179"/>
    <w:rsid w:val="3747333B"/>
    <w:rsid w:val="376712E7"/>
    <w:rsid w:val="3797526A"/>
    <w:rsid w:val="37BE5D48"/>
    <w:rsid w:val="37BF7375"/>
    <w:rsid w:val="37C27A87"/>
    <w:rsid w:val="37FA5DBA"/>
    <w:rsid w:val="38066D52"/>
    <w:rsid w:val="380F4E21"/>
    <w:rsid w:val="3828431A"/>
    <w:rsid w:val="383742DD"/>
    <w:rsid w:val="38610D42"/>
    <w:rsid w:val="388008B3"/>
    <w:rsid w:val="38AC16A8"/>
    <w:rsid w:val="38CA4672"/>
    <w:rsid w:val="38EC44D2"/>
    <w:rsid w:val="38F56310"/>
    <w:rsid w:val="39134081"/>
    <w:rsid w:val="39314D45"/>
    <w:rsid w:val="396401DD"/>
    <w:rsid w:val="39697599"/>
    <w:rsid w:val="399B34CA"/>
    <w:rsid w:val="39A76447"/>
    <w:rsid w:val="39C90037"/>
    <w:rsid w:val="3A077E08"/>
    <w:rsid w:val="3A1E65D5"/>
    <w:rsid w:val="3A2D189D"/>
    <w:rsid w:val="3A3A0F35"/>
    <w:rsid w:val="3A64545A"/>
    <w:rsid w:val="3A7B6A1B"/>
    <w:rsid w:val="3ADC3872"/>
    <w:rsid w:val="3AF60132"/>
    <w:rsid w:val="3AF74EE6"/>
    <w:rsid w:val="3B005886"/>
    <w:rsid w:val="3B14399B"/>
    <w:rsid w:val="3B163750"/>
    <w:rsid w:val="3B3A1848"/>
    <w:rsid w:val="3B5953EB"/>
    <w:rsid w:val="3B6328C7"/>
    <w:rsid w:val="3B967256"/>
    <w:rsid w:val="3BA7084C"/>
    <w:rsid w:val="3BAB26B5"/>
    <w:rsid w:val="3BDC22A4"/>
    <w:rsid w:val="3BE27D36"/>
    <w:rsid w:val="3C190E3D"/>
    <w:rsid w:val="3C1A101E"/>
    <w:rsid w:val="3C432323"/>
    <w:rsid w:val="3C4E096B"/>
    <w:rsid w:val="3C834E15"/>
    <w:rsid w:val="3C8A1D00"/>
    <w:rsid w:val="3C9C5ED7"/>
    <w:rsid w:val="3CEA7FFA"/>
    <w:rsid w:val="3D0F2205"/>
    <w:rsid w:val="3D18555E"/>
    <w:rsid w:val="3D3600DA"/>
    <w:rsid w:val="3D4701E5"/>
    <w:rsid w:val="3D7434F6"/>
    <w:rsid w:val="3D764EAE"/>
    <w:rsid w:val="3D7F5232"/>
    <w:rsid w:val="3D87158C"/>
    <w:rsid w:val="3D984CFB"/>
    <w:rsid w:val="3DA70690"/>
    <w:rsid w:val="3DD75419"/>
    <w:rsid w:val="3DE035E0"/>
    <w:rsid w:val="3E09134A"/>
    <w:rsid w:val="3E31371C"/>
    <w:rsid w:val="3E396A10"/>
    <w:rsid w:val="3E410BEE"/>
    <w:rsid w:val="3E5B13B8"/>
    <w:rsid w:val="3E614CE2"/>
    <w:rsid w:val="3E7E1EB0"/>
    <w:rsid w:val="3E7F2BB4"/>
    <w:rsid w:val="3E8310FD"/>
    <w:rsid w:val="3E8867CA"/>
    <w:rsid w:val="3EA36A5E"/>
    <w:rsid w:val="3EA370A9"/>
    <w:rsid w:val="3EC84D62"/>
    <w:rsid w:val="3EC86B10"/>
    <w:rsid w:val="3ECA39EB"/>
    <w:rsid w:val="3EEC7BC8"/>
    <w:rsid w:val="3F325181"/>
    <w:rsid w:val="3F425244"/>
    <w:rsid w:val="3F582DCD"/>
    <w:rsid w:val="3F7A2500"/>
    <w:rsid w:val="3F827606"/>
    <w:rsid w:val="3FD6625B"/>
    <w:rsid w:val="400369B5"/>
    <w:rsid w:val="40150BBF"/>
    <w:rsid w:val="40157C74"/>
    <w:rsid w:val="40174CBD"/>
    <w:rsid w:val="401D732F"/>
    <w:rsid w:val="402D6987"/>
    <w:rsid w:val="40315CE1"/>
    <w:rsid w:val="404C3770"/>
    <w:rsid w:val="404F6A83"/>
    <w:rsid w:val="40AF3448"/>
    <w:rsid w:val="40EF3F23"/>
    <w:rsid w:val="40FA4F7A"/>
    <w:rsid w:val="410E63D5"/>
    <w:rsid w:val="414A7CB0"/>
    <w:rsid w:val="415723CD"/>
    <w:rsid w:val="41986C6D"/>
    <w:rsid w:val="41D95ED9"/>
    <w:rsid w:val="420B1225"/>
    <w:rsid w:val="424253AB"/>
    <w:rsid w:val="42442951"/>
    <w:rsid w:val="4249497E"/>
    <w:rsid w:val="424C3D4C"/>
    <w:rsid w:val="42847BF7"/>
    <w:rsid w:val="42A247E0"/>
    <w:rsid w:val="42B4263C"/>
    <w:rsid w:val="42C02477"/>
    <w:rsid w:val="42C910A8"/>
    <w:rsid w:val="42CD2946"/>
    <w:rsid w:val="42DC2910"/>
    <w:rsid w:val="42E06783"/>
    <w:rsid w:val="42E9790C"/>
    <w:rsid w:val="42F9198D"/>
    <w:rsid w:val="42FC76D0"/>
    <w:rsid w:val="43122A4F"/>
    <w:rsid w:val="43220A36"/>
    <w:rsid w:val="43533919"/>
    <w:rsid w:val="4355293C"/>
    <w:rsid w:val="438F3E78"/>
    <w:rsid w:val="43BB6C43"/>
    <w:rsid w:val="440E5EB9"/>
    <w:rsid w:val="443B7D84"/>
    <w:rsid w:val="443C4228"/>
    <w:rsid w:val="444555AF"/>
    <w:rsid w:val="445D01AB"/>
    <w:rsid w:val="446C038D"/>
    <w:rsid w:val="4476184A"/>
    <w:rsid w:val="448B3D32"/>
    <w:rsid w:val="448E7968"/>
    <w:rsid w:val="44A26055"/>
    <w:rsid w:val="44D15B74"/>
    <w:rsid w:val="44D818C1"/>
    <w:rsid w:val="44F23E01"/>
    <w:rsid w:val="450F48DA"/>
    <w:rsid w:val="45125B6C"/>
    <w:rsid w:val="452C3209"/>
    <w:rsid w:val="45385419"/>
    <w:rsid w:val="455709C6"/>
    <w:rsid w:val="45570BED"/>
    <w:rsid w:val="45723DE6"/>
    <w:rsid w:val="45905EAD"/>
    <w:rsid w:val="459064D9"/>
    <w:rsid w:val="45C67B21"/>
    <w:rsid w:val="45D70D68"/>
    <w:rsid w:val="45FA30AD"/>
    <w:rsid w:val="46141CE4"/>
    <w:rsid w:val="461A0599"/>
    <w:rsid w:val="461A684D"/>
    <w:rsid w:val="46362EF9"/>
    <w:rsid w:val="464363AB"/>
    <w:rsid w:val="46505844"/>
    <w:rsid w:val="46747AD2"/>
    <w:rsid w:val="467910D6"/>
    <w:rsid w:val="46854B63"/>
    <w:rsid w:val="469A6FE4"/>
    <w:rsid w:val="46C55AB2"/>
    <w:rsid w:val="46C80B03"/>
    <w:rsid w:val="46D26813"/>
    <w:rsid w:val="46EF2BA3"/>
    <w:rsid w:val="471C49BA"/>
    <w:rsid w:val="47370CD6"/>
    <w:rsid w:val="475606AA"/>
    <w:rsid w:val="478A3D4C"/>
    <w:rsid w:val="479954ED"/>
    <w:rsid w:val="47AB6FCE"/>
    <w:rsid w:val="47BA6EE2"/>
    <w:rsid w:val="47BE31A6"/>
    <w:rsid w:val="47C6205A"/>
    <w:rsid w:val="47EC60E4"/>
    <w:rsid w:val="47FC461D"/>
    <w:rsid w:val="47FC5C74"/>
    <w:rsid w:val="47FD3CCE"/>
    <w:rsid w:val="48284AC3"/>
    <w:rsid w:val="48535D55"/>
    <w:rsid w:val="48586CEC"/>
    <w:rsid w:val="48737036"/>
    <w:rsid w:val="48A04659"/>
    <w:rsid w:val="48E704DA"/>
    <w:rsid w:val="48ED1F09"/>
    <w:rsid w:val="4904108C"/>
    <w:rsid w:val="49117305"/>
    <w:rsid w:val="49316094"/>
    <w:rsid w:val="49641B2B"/>
    <w:rsid w:val="49A93BA2"/>
    <w:rsid w:val="49B02FC2"/>
    <w:rsid w:val="49BE56DF"/>
    <w:rsid w:val="49ED38CE"/>
    <w:rsid w:val="4A6708DB"/>
    <w:rsid w:val="4A6D7DCF"/>
    <w:rsid w:val="4A9947F9"/>
    <w:rsid w:val="4A9E02F9"/>
    <w:rsid w:val="4A9E2E1A"/>
    <w:rsid w:val="4AA70076"/>
    <w:rsid w:val="4AC12452"/>
    <w:rsid w:val="4B1A671E"/>
    <w:rsid w:val="4B275B68"/>
    <w:rsid w:val="4BAB3A41"/>
    <w:rsid w:val="4BCC23AA"/>
    <w:rsid w:val="4BE223EB"/>
    <w:rsid w:val="4BE84CCB"/>
    <w:rsid w:val="4BEA3291"/>
    <w:rsid w:val="4BEB13A6"/>
    <w:rsid w:val="4BFE0015"/>
    <w:rsid w:val="4C006754"/>
    <w:rsid w:val="4C127F0A"/>
    <w:rsid w:val="4C483EB0"/>
    <w:rsid w:val="4C60482B"/>
    <w:rsid w:val="4C7B78B7"/>
    <w:rsid w:val="4C8A7AFA"/>
    <w:rsid w:val="4C8F6034"/>
    <w:rsid w:val="4CA7245A"/>
    <w:rsid w:val="4CD46FC7"/>
    <w:rsid w:val="4CDE39A2"/>
    <w:rsid w:val="4D16138E"/>
    <w:rsid w:val="4D3B4EC4"/>
    <w:rsid w:val="4D882021"/>
    <w:rsid w:val="4DA5715E"/>
    <w:rsid w:val="4DB209AC"/>
    <w:rsid w:val="4DE00C06"/>
    <w:rsid w:val="4DE2587A"/>
    <w:rsid w:val="4E3E2D7A"/>
    <w:rsid w:val="4E473712"/>
    <w:rsid w:val="4E4A207D"/>
    <w:rsid w:val="4E54070A"/>
    <w:rsid w:val="4E694BDA"/>
    <w:rsid w:val="4E7526EB"/>
    <w:rsid w:val="4E807407"/>
    <w:rsid w:val="4E992277"/>
    <w:rsid w:val="4ECA68D4"/>
    <w:rsid w:val="4F0B3174"/>
    <w:rsid w:val="4F2718E7"/>
    <w:rsid w:val="4F34456A"/>
    <w:rsid w:val="4F471278"/>
    <w:rsid w:val="4F4A68FE"/>
    <w:rsid w:val="4F6A2167"/>
    <w:rsid w:val="4F7E3BBA"/>
    <w:rsid w:val="4F965B0E"/>
    <w:rsid w:val="4FAE1D52"/>
    <w:rsid w:val="50016325"/>
    <w:rsid w:val="503E4E84"/>
    <w:rsid w:val="504D5AE0"/>
    <w:rsid w:val="506F051F"/>
    <w:rsid w:val="507064AE"/>
    <w:rsid w:val="50A604AE"/>
    <w:rsid w:val="50B05655"/>
    <w:rsid w:val="50B34139"/>
    <w:rsid w:val="50F47F3A"/>
    <w:rsid w:val="511C4A01"/>
    <w:rsid w:val="5268443A"/>
    <w:rsid w:val="529C0587"/>
    <w:rsid w:val="52D27B05"/>
    <w:rsid w:val="530D6C66"/>
    <w:rsid w:val="53385317"/>
    <w:rsid w:val="53494AEB"/>
    <w:rsid w:val="534A0993"/>
    <w:rsid w:val="53EF11C9"/>
    <w:rsid w:val="542B68D0"/>
    <w:rsid w:val="54652E7B"/>
    <w:rsid w:val="548918C6"/>
    <w:rsid w:val="549459EB"/>
    <w:rsid w:val="549D7F9A"/>
    <w:rsid w:val="54E65AEA"/>
    <w:rsid w:val="54E70AF5"/>
    <w:rsid w:val="54EF0E42"/>
    <w:rsid w:val="55072AA8"/>
    <w:rsid w:val="55175CA3"/>
    <w:rsid w:val="551B1622"/>
    <w:rsid w:val="552D2FFB"/>
    <w:rsid w:val="553E67B1"/>
    <w:rsid w:val="55724866"/>
    <w:rsid w:val="558154F2"/>
    <w:rsid w:val="56015F7F"/>
    <w:rsid w:val="56462CE4"/>
    <w:rsid w:val="56693A76"/>
    <w:rsid w:val="56B4020B"/>
    <w:rsid w:val="56C322F8"/>
    <w:rsid w:val="56E9366F"/>
    <w:rsid w:val="56ED315F"/>
    <w:rsid w:val="56FE711B"/>
    <w:rsid w:val="571B31C5"/>
    <w:rsid w:val="572172AD"/>
    <w:rsid w:val="57373E87"/>
    <w:rsid w:val="573E39BB"/>
    <w:rsid w:val="575573E9"/>
    <w:rsid w:val="577556CB"/>
    <w:rsid w:val="577D0987"/>
    <w:rsid w:val="5780735A"/>
    <w:rsid w:val="5797131D"/>
    <w:rsid w:val="57A2219C"/>
    <w:rsid w:val="57E1581E"/>
    <w:rsid w:val="57EF3B87"/>
    <w:rsid w:val="57FD76B5"/>
    <w:rsid w:val="581B382C"/>
    <w:rsid w:val="586D09FC"/>
    <w:rsid w:val="587D49B7"/>
    <w:rsid w:val="589675A8"/>
    <w:rsid w:val="58973B60"/>
    <w:rsid w:val="58B67E59"/>
    <w:rsid w:val="58D00F8B"/>
    <w:rsid w:val="58D173B3"/>
    <w:rsid w:val="58E022CE"/>
    <w:rsid w:val="59121BB1"/>
    <w:rsid w:val="59165C58"/>
    <w:rsid w:val="592A16CF"/>
    <w:rsid w:val="598B34A0"/>
    <w:rsid w:val="59A321FB"/>
    <w:rsid w:val="59F20A8D"/>
    <w:rsid w:val="59F842F5"/>
    <w:rsid w:val="59F91E1B"/>
    <w:rsid w:val="59FB3DE5"/>
    <w:rsid w:val="5AAA087E"/>
    <w:rsid w:val="5AB05656"/>
    <w:rsid w:val="5ADD720D"/>
    <w:rsid w:val="5AE76118"/>
    <w:rsid w:val="5AF1081C"/>
    <w:rsid w:val="5AF947C9"/>
    <w:rsid w:val="5AFC023A"/>
    <w:rsid w:val="5B0532A3"/>
    <w:rsid w:val="5B450D77"/>
    <w:rsid w:val="5B6634E0"/>
    <w:rsid w:val="5B940859"/>
    <w:rsid w:val="5B94571E"/>
    <w:rsid w:val="5BBA59B0"/>
    <w:rsid w:val="5BBF15C8"/>
    <w:rsid w:val="5C013209"/>
    <w:rsid w:val="5C052CF9"/>
    <w:rsid w:val="5C1E631D"/>
    <w:rsid w:val="5C645C4C"/>
    <w:rsid w:val="5C7165E1"/>
    <w:rsid w:val="5C9C761B"/>
    <w:rsid w:val="5CC417B9"/>
    <w:rsid w:val="5CC47CC0"/>
    <w:rsid w:val="5CCE13F4"/>
    <w:rsid w:val="5CD050B5"/>
    <w:rsid w:val="5D2D26BF"/>
    <w:rsid w:val="5D391C60"/>
    <w:rsid w:val="5D420B01"/>
    <w:rsid w:val="5D5438C4"/>
    <w:rsid w:val="5D695C96"/>
    <w:rsid w:val="5DB6074F"/>
    <w:rsid w:val="5DF976BB"/>
    <w:rsid w:val="5E0771FD"/>
    <w:rsid w:val="5E336236"/>
    <w:rsid w:val="5E407C0D"/>
    <w:rsid w:val="5E6F7432"/>
    <w:rsid w:val="5E855390"/>
    <w:rsid w:val="5EA94C40"/>
    <w:rsid w:val="5ECC4C0C"/>
    <w:rsid w:val="5EE00FAF"/>
    <w:rsid w:val="5F001DC8"/>
    <w:rsid w:val="5F155949"/>
    <w:rsid w:val="5F1A4D0E"/>
    <w:rsid w:val="5F21609C"/>
    <w:rsid w:val="5F632F7D"/>
    <w:rsid w:val="5F7C32D2"/>
    <w:rsid w:val="5F845733"/>
    <w:rsid w:val="5FA13DF9"/>
    <w:rsid w:val="5FAD7930"/>
    <w:rsid w:val="5FC23A00"/>
    <w:rsid w:val="5FF609C0"/>
    <w:rsid w:val="600B7BE6"/>
    <w:rsid w:val="600E3A0C"/>
    <w:rsid w:val="601856F1"/>
    <w:rsid w:val="607A0C97"/>
    <w:rsid w:val="6098413C"/>
    <w:rsid w:val="60B23D9B"/>
    <w:rsid w:val="60C846E2"/>
    <w:rsid w:val="60D1728B"/>
    <w:rsid w:val="60EC2EA9"/>
    <w:rsid w:val="60F52262"/>
    <w:rsid w:val="61156500"/>
    <w:rsid w:val="61256F01"/>
    <w:rsid w:val="61490334"/>
    <w:rsid w:val="6155202D"/>
    <w:rsid w:val="61B71907"/>
    <w:rsid w:val="61C07F4C"/>
    <w:rsid w:val="61D566EC"/>
    <w:rsid w:val="620B4DE2"/>
    <w:rsid w:val="621734AF"/>
    <w:rsid w:val="623034EA"/>
    <w:rsid w:val="623954AB"/>
    <w:rsid w:val="623A2054"/>
    <w:rsid w:val="6243450F"/>
    <w:rsid w:val="624816DE"/>
    <w:rsid w:val="62940BFF"/>
    <w:rsid w:val="62D578C9"/>
    <w:rsid w:val="62F01B0C"/>
    <w:rsid w:val="62FC4B82"/>
    <w:rsid w:val="631041FE"/>
    <w:rsid w:val="63285B29"/>
    <w:rsid w:val="63312626"/>
    <w:rsid w:val="63367C3C"/>
    <w:rsid w:val="635357E1"/>
    <w:rsid w:val="638266CE"/>
    <w:rsid w:val="63AE1EC8"/>
    <w:rsid w:val="63B05D47"/>
    <w:rsid w:val="63B83D67"/>
    <w:rsid w:val="63E1766F"/>
    <w:rsid w:val="63E36016"/>
    <w:rsid w:val="641B3336"/>
    <w:rsid w:val="641D3F06"/>
    <w:rsid w:val="642F125B"/>
    <w:rsid w:val="64300E53"/>
    <w:rsid w:val="6457085E"/>
    <w:rsid w:val="646627A3"/>
    <w:rsid w:val="646A2293"/>
    <w:rsid w:val="64827E19"/>
    <w:rsid w:val="648B4982"/>
    <w:rsid w:val="64AC3292"/>
    <w:rsid w:val="64AF5C32"/>
    <w:rsid w:val="64BF1BEA"/>
    <w:rsid w:val="64C5415D"/>
    <w:rsid w:val="64ED4BA9"/>
    <w:rsid w:val="64F52F2E"/>
    <w:rsid w:val="64FE287E"/>
    <w:rsid w:val="650C33C5"/>
    <w:rsid w:val="650C5401"/>
    <w:rsid w:val="652266CA"/>
    <w:rsid w:val="65307E23"/>
    <w:rsid w:val="654B754E"/>
    <w:rsid w:val="65501489"/>
    <w:rsid w:val="656C3DE9"/>
    <w:rsid w:val="656C78BC"/>
    <w:rsid w:val="65864B37"/>
    <w:rsid w:val="65AD5545"/>
    <w:rsid w:val="65AE7D29"/>
    <w:rsid w:val="660A0814"/>
    <w:rsid w:val="661A2940"/>
    <w:rsid w:val="66294158"/>
    <w:rsid w:val="664663E8"/>
    <w:rsid w:val="666D606B"/>
    <w:rsid w:val="669E7FD2"/>
    <w:rsid w:val="66BE2423"/>
    <w:rsid w:val="66EF4CD2"/>
    <w:rsid w:val="66FC29B2"/>
    <w:rsid w:val="670C13E0"/>
    <w:rsid w:val="671D5A41"/>
    <w:rsid w:val="672A5D0A"/>
    <w:rsid w:val="67310E46"/>
    <w:rsid w:val="67474F7B"/>
    <w:rsid w:val="674E19F8"/>
    <w:rsid w:val="6753700F"/>
    <w:rsid w:val="67540266"/>
    <w:rsid w:val="675B2367"/>
    <w:rsid w:val="67650AF0"/>
    <w:rsid w:val="67695DFF"/>
    <w:rsid w:val="676D7C5F"/>
    <w:rsid w:val="677B47B7"/>
    <w:rsid w:val="677B6C2F"/>
    <w:rsid w:val="67A3421F"/>
    <w:rsid w:val="67D87514"/>
    <w:rsid w:val="67E577CF"/>
    <w:rsid w:val="67F325A0"/>
    <w:rsid w:val="681011E9"/>
    <w:rsid w:val="68171F90"/>
    <w:rsid w:val="6844104D"/>
    <w:rsid w:val="6885322F"/>
    <w:rsid w:val="68904799"/>
    <w:rsid w:val="68B852C3"/>
    <w:rsid w:val="68CD11F9"/>
    <w:rsid w:val="68CD787A"/>
    <w:rsid w:val="68EF2221"/>
    <w:rsid w:val="692D521E"/>
    <w:rsid w:val="694E6CFC"/>
    <w:rsid w:val="69717549"/>
    <w:rsid w:val="69826D62"/>
    <w:rsid w:val="698C4A5A"/>
    <w:rsid w:val="69C2660A"/>
    <w:rsid w:val="69DB153D"/>
    <w:rsid w:val="6A040A94"/>
    <w:rsid w:val="6A0B5E3F"/>
    <w:rsid w:val="6A203B1F"/>
    <w:rsid w:val="6A246A40"/>
    <w:rsid w:val="6A266C5C"/>
    <w:rsid w:val="6A3A57EC"/>
    <w:rsid w:val="6A4B1B9D"/>
    <w:rsid w:val="6A701400"/>
    <w:rsid w:val="6A7C322F"/>
    <w:rsid w:val="6A7F0169"/>
    <w:rsid w:val="6AB4102B"/>
    <w:rsid w:val="6AE5205E"/>
    <w:rsid w:val="6AE832A2"/>
    <w:rsid w:val="6AEB755E"/>
    <w:rsid w:val="6AEC1C54"/>
    <w:rsid w:val="6AFC5C0F"/>
    <w:rsid w:val="6B107AD1"/>
    <w:rsid w:val="6B296DEA"/>
    <w:rsid w:val="6B7B1AB7"/>
    <w:rsid w:val="6B8465E1"/>
    <w:rsid w:val="6BA964AF"/>
    <w:rsid w:val="6BAF4D5A"/>
    <w:rsid w:val="6BCE4EB6"/>
    <w:rsid w:val="6BD43911"/>
    <w:rsid w:val="6BF37AE9"/>
    <w:rsid w:val="6BFF656E"/>
    <w:rsid w:val="6C272092"/>
    <w:rsid w:val="6C4B45B8"/>
    <w:rsid w:val="6C7041BF"/>
    <w:rsid w:val="6C8639E2"/>
    <w:rsid w:val="6CAF1E59"/>
    <w:rsid w:val="6CBB5389"/>
    <w:rsid w:val="6CBE13CE"/>
    <w:rsid w:val="6CD40BF2"/>
    <w:rsid w:val="6CEA21C3"/>
    <w:rsid w:val="6D1B0052"/>
    <w:rsid w:val="6D286956"/>
    <w:rsid w:val="6D3451EC"/>
    <w:rsid w:val="6D394EF9"/>
    <w:rsid w:val="6D55456E"/>
    <w:rsid w:val="6D57531C"/>
    <w:rsid w:val="6D994899"/>
    <w:rsid w:val="6DA54E60"/>
    <w:rsid w:val="6DD071EE"/>
    <w:rsid w:val="6DD70AA6"/>
    <w:rsid w:val="6DDE3296"/>
    <w:rsid w:val="6DE00490"/>
    <w:rsid w:val="6E050987"/>
    <w:rsid w:val="6E0A1740"/>
    <w:rsid w:val="6E4D18A4"/>
    <w:rsid w:val="6E5B1737"/>
    <w:rsid w:val="6E6143A3"/>
    <w:rsid w:val="6E6733A0"/>
    <w:rsid w:val="6E887155"/>
    <w:rsid w:val="6E960634"/>
    <w:rsid w:val="6EB04543"/>
    <w:rsid w:val="6EBD2B8A"/>
    <w:rsid w:val="6ECB1959"/>
    <w:rsid w:val="6EEE3AC1"/>
    <w:rsid w:val="6F3C75F5"/>
    <w:rsid w:val="6F3F0C8A"/>
    <w:rsid w:val="6F4715AA"/>
    <w:rsid w:val="6F525DFE"/>
    <w:rsid w:val="6F7F3D4B"/>
    <w:rsid w:val="6F8754C1"/>
    <w:rsid w:val="6FCE7604"/>
    <w:rsid w:val="6FDB2059"/>
    <w:rsid w:val="6FFB4193"/>
    <w:rsid w:val="70230F84"/>
    <w:rsid w:val="702507C8"/>
    <w:rsid w:val="702E2323"/>
    <w:rsid w:val="70564717"/>
    <w:rsid w:val="70A72C33"/>
    <w:rsid w:val="70B35CBF"/>
    <w:rsid w:val="70D23371"/>
    <w:rsid w:val="71182A50"/>
    <w:rsid w:val="71245028"/>
    <w:rsid w:val="7133185D"/>
    <w:rsid w:val="713779A1"/>
    <w:rsid w:val="717D1818"/>
    <w:rsid w:val="717F29DF"/>
    <w:rsid w:val="71C47E8D"/>
    <w:rsid w:val="71E03B95"/>
    <w:rsid w:val="720E636D"/>
    <w:rsid w:val="72136EEC"/>
    <w:rsid w:val="723839D1"/>
    <w:rsid w:val="72485D8E"/>
    <w:rsid w:val="72563C24"/>
    <w:rsid w:val="725B372C"/>
    <w:rsid w:val="72736E04"/>
    <w:rsid w:val="72743E13"/>
    <w:rsid w:val="727F142E"/>
    <w:rsid w:val="72935F51"/>
    <w:rsid w:val="72952BD1"/>
    <w:rsid w:val="72A80F60"/>
    <w:rsid w:val="72AA419F"/>
    <w:rsid w:val="72F85D77"/>
    <w:rsid w:val="72FB055A"/>
    <w:rsid w:val="73032F1B"/>
    <w:rsid w:val="73165394"/>
    <w:rsid w:val="73454FAD"/>
    <w:rsid w:val="735635E4"/>
    <w:rsid w:val="737C3121"/>
    <w:rsid w:val="73820E28"/>
    <w:rsid w:val="738F62A2"/>
    <w:rsid w:val="73D117C0"/>
    <w:rsid w:val="73DC03CF"/>
    <w:rsid w:val="73E31467"/>
    <w:rsid w:val="73EC5A79"/>
    <w:rsid w:val="73F6144E"/>
    <w:rsid w:val="73FE6554"/>
    <w:rsid w:val="73FF0247"/>
    <w:rsid w:val="7422416A"/>
    <w:rsid w:val="74261AE3"/>
    <w:rsid w:val="74454183"/>
    <w:rsid w:val="745F58C2"/>
    <w:rsid w:val="746561B6"/>
    <w:rsid w:val="74784559"/>
    <w:rsid w:val="749C5D6B"/>
    <w:rsid w:val="74A7099A"/>
    <w:rsid w:val="74AF538D"/>
    <w:rsid w:val="74B57EAD"/>
    <w:rsid w:val="74CE474F"/>
    <w:rsid w:val="74DD4421"/>
    <w:rsid w:val="74EC2027"/>
    <w:rsid w:val="75241FEA"/>
    <w:rsid w:val="753556D2"/>
    <w:rsid w:val="755723C0"/>
    <w:rsid w:val="75723055"/>
    <w:rsid w:val="75785AD4"/>
    <w:rsid w:val="758545EB"/>
    <w:rsid w:val="758D0645"/>
    <w:rsid w:val="759A405B"/>
    <w:rsid w:val="75A063FF"/>
    <w:rsid w:val="75AD4F12"/>
    <w:rsid w:val="75D532E5"/>
    <w:rsid w:val="75EF516B"/>
    <w:rsid w:val="75F167A6"/>
    <w:rsid w:val="75F85260"/>
    <w:rsid w:val="760C23E8"/>
    <w:rsid w:val="76155969"/>
    <w:rsid w:val="764A1B9D"/>
    <w:rsid w:val="76513D6C"/>
    <w:rsid w:val="76671E8C"/>
    <w:rsid w:val="76693189"/>
    <w:rsid w:val="769D02A6"/>
    <w:rsid w:val="76CA4E14"/>
    <w:rsid w:val="76D400B8"/>
    <w:rsid w:val="77004391"/>
    <w:rsid w:val="77204EF6"/>
    <w:rsid w:val="772569A9"/>
    <w:rsid w:val="772F7752"/>
    <w:rsid w:val="7769462C"/>
    <w:rsid w:val="776E1C43"/>
    <w:rsid w:val="77751B25"/>
    <w:rsid w:val="77826762"/>
    <w:rsid w:val="778622A7"/>
    <w:rsid w:val="77AB07A1"/>
    <w:rsid w:val="77C63091"/>
    <w:rsid w:val="77C67389"/>
    <w:rsid w:val="77CB0E43"/>
    <w:rsid w:val="77E230FD"/>
    <w:rsid w:val="780C2FB1"/>
    <w:rsid w:val="7811774D"/>
    <w:rsid w:val="782E18F1"/>
    <w:rsid w:val="783E4C56"/>
    <w:rsid w:val="784F737E"/>
    <w:rsid w:val="78AC47D1"/>
    <w:rsid w:val="78EB1386"/>
    <w:rsid w:val="792A3948"/>
    <w:rsid w:val="79560ED2"/>
    <w:rsid w:val="79650B6D"/>
    <w:rsid w:val="79861BA2"/>
    <w:rsid w:val="79883191"/>
    <w:rsid w:val="79DF2984"/>
    <w:rsid w:val="79E21EB4"/>
    <w:rsid w:val="79E40587"/>
    <w:rsid w:val="79EF706B"/>
    <w:rsid w:val="79F71E9C"/>
    <w:rsid w:val="79FC1A87"/>
    <w:rsid w:val="7AA8546C"/>
    <w:rsid w:val="7AAE5DC9"/>
    <w:rsid w:val="7AC309CF"/>
    <w:rsid w:val="7ACB4CB6"/>
    <w:rsid w:val="7AD84E69"/>
    <w:rsid w:val="7AD9728E"/>
    <w:rsid w:val="7AFF4689"/>
    <w:rsid w:val="7B121E97"/>
    <w:rsid w:val="7B242D44"/>
    <w:rsid w:val="7B2B1D2B"/>
    <w:rsid w:val="7B2F5CBF"/>
    <w:rsid w:val="7B494559"/>
    <w:rsid w:val="7B6273C9"/>
    <w:rsid w:val="7B8C571E"/>
    <w:rsid w:val="7B8F1019"/>
    <w:rsid w:val="7B9145F0"/>
    <w:rsid w:val="7BA40EC8"/>
    <w:rsid w:val="7BB25029"/>
    <w:rsid w:val="7BD43E5B"/>
    <w:rsid w:val="7BE17B70"/>
    <w:rsid w:val="7BFA5853"/>
    <w:rsid w:val="7C0F3D99"/>
    <w:rsid w:val="7C6D2235"/>
    <w:rsid w:val="7C856EC8"/>
    <w:rsid w:val="7C964388"/>
    <w:rsid w:val="7CBE2D25"/>
    <w:rsid w:val="7CC61A19"/>
    <w:rsid w:val="7CD31F2F"/>
    <w:rsid w:val="7CE56503"/>
    <w:rsid w:val="7CED02AC"/>
    <w:rsid w:val="7CF84488"/>
    <w:rsid w:val="7D5B33D0"/>
    <w:rsid w:val="7D5E5F64"/>
    <w:rsid w:val="7D8E6B9B"/>
    <w:rsid w:val="7D9257BF"/>
    <w:rsid w:val="7DA243F4"/>
    <w:rsid w:val="7DAF281C"/>
    <w:rsid w:val="7DCA389C"/>
    <w:rsid w:val="7E063455"/>
    <w:rsid w:val="7E1F3C97"/>
    <w:rsid w:val="7E514E49"/>
    <w:rsid w:val="7E8D2C18"/>
    <w:rsid w:val="7E9E4BBC"/>
    <w:rsid w:val="7EA67F14"/>
    <w:rsid w:val="7EEC0B8C"/>
    <w:rsid w:val="7F134365"/>
    <w:rsid w:val="7F392B36"/>
    <w:rsid w:val="7F623E3B"/>
    <w:rsid w:val="7F7E5DEE"/>
    <w:rsid w:val="7FC3324B"/>
    <w:rsid w:val="7FDD5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5"/>
    <w:link w:val="52"/>
    <w:qFormat/>
    <w:uiPriority w:val="0"/>
    <w:pPr>
      <w:keepNext/>
      <w:keepLines/>
      <w:spacing w:after="120" w:line="360" w:lineRule="auto"/>
      <w:jc w:val="left"/>
      <w:outlineLvl w:val="0"/>
    </w:pPr>
    <w:rPr>
      <w:kern w:val="44"/>
      <w:sz w:val="28"/>
      <w:szCs w:val="28"/>
    </w:rPr>
  </w:style>
  <w:style w:type="paragraph" w:styleId="6">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7">
    <w:name w:val="heading 3"/>
    <w:basedOn w:val="1"/>
    <w:next w:val="1"/>
    <w:qFormat/>
    <w:uiPriority w:val="0"/>
    <w:pPr>
      <w:widowControl/>
      <w:spacing w:before="100" w:beforeAutospacing="1" w:after="100" w:afterAutospacing="1"/>
      <w:jc w:val="left"/>
      <w:outlineLvl w:val="2"/>
    </w:pPr>
    <w:rPr>
      <w:rFonts w:ascii="宋体"/>
      <w:kern w:val="0"/>
      <w:sz w:val="27"/>
      <w:szCs w:val="27"/>
    </w:rPr>
  </w:style>
  <w:style w:type="paragraph" w:styleId="8">
    <w:name w:val="heading 4"/>
    <w:basedOn w:val="1"/>
    <w:next w:val="1"/>
    <w:qFormat/>
    <w:uiPriority w:val="0"/>
    <w:pPr>
      <w:keepNext/>
      <w:keepLines/>
      <w:spacing w:before="50" w:beforeLines="50" w:after="50" w:afterLines="50" w:line="360" w:lineRule="auto"/>
      <w:ind w:left="284" w:hanging="284"/>
      <w:outlineLvl w:val="3"/>
    </w:pPr>
    <w:rPr>
      <w:rFonts w:ascii="Arial" w:hAnsi="Arial"/>
      <w:color w:val="000000"/>
      <w:kern w:val="0"/>
      <w:sz w:val="20"/>
      <w:szCs w:val="21"/>
    </w:rPr>
  </w:style>
  <w:style w:type="paragraph" w:styleId="9">
    <w:name w:val="heading 5"/>
    <w:basedOn w:val="8"/>
    <w:next w:val="10"/>
    <w:qFormat/>
    <w:uiPriority w:val="0"/>
    <w:pPr>
      <w:spacing w:line="240" w:lineRule="exact"/>
      <w:outlineLvl w:val="4"/>
    </w:pPr>
  </w:style>
  <w:style w:type="paragraph" w:styleId="11">
    <w:name w:val="heading 6"/>
    <w:basedOn w:val="1"/>
    <w:next w:val="1"/>
    <w:qFormat/>
    <w:uiPriority w:val="0"/>
    <w:pPr>
      <w:keepNext/>
      <w:keepLines/>
      <w:spacing w:before="240" w:after="64" w:line="319" w:lineRule="auto"/>
      <w:outlineLvl w:val="5"/>
    </w:pPr>
    <w:rPr>
      <w:rFonts w:ascii="Arial" w:hAnsi="Arial" w:eastAsia="黑体"/>
      <w:b/>
      <w:bCs/>
      <w:kern w:val="0"/>
      <w:sz w:val="24"/>
      <w:szCs w:val="24"/>
    </w:rPr>
  </w:style>
  <w:style w:type="paragraph" w:styleId="12">
    <w:name w:val="heading 7"/>
    <w:basedOn w:val="1"/>
    <w:next w:val="10"/>
    <w:qFormat/>
    <w:uiPriority w:val="0"/>
    <w:pPr>
      <w:keepNext/>
      <w:keepLines/>
      <w:spacing w:before="240" w:after="64" w:line="319" w:lineRule="auto"/>
      <w:outlineLvl w:val="6"/>
    </w:pPr>
    <w:rPr>
      <w:b/>
      <w:kern w:val="0"/>
      <w:sz w:val="24"/>
      <w:szCs w:val="20"/>
    </w:rPr>
  </w:style>
  <w:style w:type="paragraph" w:styleId="13">
    <w:name w:val="heading 8"/>
    <w:basedOn w:val="1"/>
    <w:next w:val="10"/>
    <w:qFormat/>
    <w:uiPriority w:val="0"/>
    <w:pPr>
      <w:keepNext/>
      <w:keepLines/>
      <w:spacing w:before="240" w:after="64" w:line="319" w:lineRule="auto"/>
      <w:outlineLvl w:val="7"/>
    </w:pPr>
    <w:rPr>
      <w:rFonts w:ascii="Arial" w:hAnsi="Arial" w:eastAsia="黑体"/>
      <w:kern w:val="0"/>
      <w:sz w:val="24"/>
      <w:szCs w:val="20"/>
    </w:rPr>
  </w:style>
  <w:style w:type="paragraph" w:styleId="14">
    <w:name w:val="heading 9"/>
    <w:basedOn w:val="1"/>
    <w:next w:val="10"/>
    <w:qFormat/>
    <w:uiPriority w:val="0"/>
    <w:pPr>
      <w:keepNext/>
      <w:keepLines/>
      <w:spacing w:before="240" w:after="64" w:line="319" w:lineRule="auto"/>
      <w:outlineLvl w:val="8"/>
    </w:pPr>
    <w:rPr>
      <w:rFonts w:ascii="Arial" w:hAnsi="Arial" w:eastAsia="黑体"/>
      <w:kern w:val="0"/>
      <w:sz w:val="20"/>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szCs w:val="20"/>
    </w:rPr>
  </w:style>
  <w:style w:type="paragraph" w:styleId="4">
    <w:name w:val="Title"/>
    <w:basedOn w:val="1"/>
    <w:next w:val="1"/>
    <w:link w:val="53"/>
    <w:qFormat/>
    <w:uiPriority w:val="0"/>
    <w:pPr>
      <w:spacing w:before="120" w:after="60"/>
      <w:jc w:val="center"/>
    </w:pPr>
    <w:rPr>
      <w:rFonts w:ascii="Arial" w:hAnsi="Arial"/>
      <w:b/>
      <w:kern w:val="0"/>
      <w:sz w:val="44"/>
      <w:szCs w:val="20"/>
    </w:rPr>
  </w:style>
  <w:style w:type="paragraph" w:styleId="5">
    <w:name w:val="Body Text First Indent"/>
    <w:basedOn w:val="2"/>
    <w:qFormat/>
    <w:uiPriority w:val="0"/>
    <w:pPr>
      <w:ind w:firstLine="420"/>
    </w:pPr>
  </w:style>
  <w:style w:type="paragraph" w:styleId="10">
    <w:name w:val="Normal Indent"/>
    <w:basedOn w:val="1"/>
    <w:next w:val="1"/>
    <w:qFormat/>
    <w:uiPriority w:val="0"/>
    <w:pPr>
      <w:ind w:firstLine="420"/>
    </w:pPr>
    <w:rPr>
      <w:szCs w:val="20"/>
    </w:rPr>
  </w:style>
  <w:style w:type="paragraph" w:styleId="15">
    <w:name w:val="Document Map"/>
    <w:basedOn w:val="1"/>
    <w:qFormat/>
    <w:uiPriority w:val="0"/>
    <w:pPr>
      <w:shd w:val="clear" w:color="auto" w:fill="000080"/>
    </w:pPr>
    <w:rPr>
      <w:kern w:val="0"/>
      <w:sz w:val="20"/>
      <w:szCs w:val="20"/>
    </w:rPr>
  </w:style>
  <w:style w:type="paragraph" w:styleId="16">
    <w:name w:val="annotation text"/>
    <w:basedOn w:val="1"/>
    <w:link w:val="127"/>
    <w:qFormat/>
    <w:uiPriority w:val="0"/>
    <w:pPr>
      <w:spacing w:line="360" w:lineRule="auto"/>
      <w:ind w:firstLine="218" w:firstLineChars="218"/>
      <w:jc w:val="left"/>
    </w:pPr>
    <w:rPr>
      <w:rFonts w:ascii="宋体"/>
      <w:kern w:val="0"/>
      <w:sz w:val="24"/>
      <w:szCs w:val="24"/>
      <w:lang w:val="zh-CN"/>
    </w:rPr>
  </w:style>
  <w:style w:type="paragraph" w:styleId="17">
    <w:name w:val="index 6"/>
    <w:basedOn w:val="1"/>
    <w:next w:val="1"/>
    <w:qFormat/>
    <w:uiPriority w:val="0"/>
    <w:pPr>
      <w:ind w:left="2100"/>
    </w:pPr>
  </w:style>
  <w:style w:type="paragraph" w:styleId="18">
    <w:name w:val="Body Text 3"/>
    <w:basedOn w:val="1"/>
    <w:qFormat/>
    <w:uiPriority w:val="0"/>
    <w:pPr>
      <w:spacing w:after="120"/>
    </w:pPr>
    <w:rPr>
      <w:rFonts w:ascii="Calibri" w:hAnsi="Calibri"/>
      <w:sz w:val="16"/>
      <w:szCs w:val="16"/>
    </w:rPr>
  </w:style>
  <w:style w:type="paragraph" w:styleId="19">
    <w:name w:val="Body Text Indent"/>
    <w:basedOn w:val="1"/>
    <w:next w:val="1"/>
    <w:qFormat/>
    <w:uiPriority w:val="0"/>
    <w:pPr>
      <w:ind w:firstLine="570"/>
    </w:pPr>
    <w:rPr>
      <w:kern w:val="0"/>
      <w:sz w:val="28"/>
      <w:szCs w:val="20"/>
    </w:rPr>
  </w:style>
  <w:style w:type="paragraph" w:styleId="20">
    <w:name w:val="Block Text"/>
    <w:basedOn w:val="1"/>
    <w:unhideWhenUsed/>
    <w:qFormat/>
    <w:uiPriority w:val="99"/>
    <w:pPr>
      <w:widowControl/>
      <w:spacing w:after="120" w:line="276" w:lineRule="auto"/>
      <w:ind w:left="1440" w:leftChars="700" w:right="700" w:rightChars="700"/>
    </w:pPr>
    <w:rPr>
      <w:rFonts w:ascii="Calibri" w:hAnsi="Calibri"/>
      <w:sz w:val="22"/>
      <w:lang w:eastAsia="en-US" w:bidi="en-US"/>
    </w:rPr>
  </w:style>
  <w:style w:type="paragraph" w:styleId="21">
    <w:name w:val="toc 3"/>
    <w:basedOn w:val="1"/>
    <w:next w:val="1"/>
    <w:qFormat/>
    <w:uiPriority w:val="0"/>
    <w:pPr>
      <w:snapToGrid w:val="0"/>
      <w:spacing w:line="360" w:lineRule="auto"/>
      <w:ind w:left="400" w:leftChars="400"/>
      <w:jc w:val="left"/>
    </w:pPr>
    <w:rPr>
      <w:sz w:val="24"/>
      <w:szCs w:val="20"/>
    </w:rPr>
  </w:style>
  <w:style w:type="paragraph" w:styleId="22">
    <w:name w:val="Plain Text"/>
    <w:basedOn w:val="1"/>
    <w:next w:val="1"/>
    <w:qFormat/>
    <w:uiPriority w:val="0"/>
    <w:rPr>
      <w:rFonts w:ascii="宋体"/>
      <w:kern w:val="0"/>
      <w:sz w:val="20"/>
      <w:szCs w:val="20"/>
    </w:rPr>
  </w:style>
  <w:style w:type="paragraph" w:styleId="23">
    <w:name w:val="Date"/>
    <w:basedOn w:val="1"/>
    <w:next w:val="1"/>
    <w:qFormat/>
    <w:uiPriority w:val="0"/>
    <w:rPr>
      <w:kern w:val="0"/>
      <w:sz w:val="20"/>
      <w:szCs w:val="20"/>
    </w:rPr>
  </w:style>
  <w:style w:type="paragraph" w:styleId="24">
    <w:name w:val="Body Text Indent 2"/>
    <w:basedOn w:val="1"/>
    <w:qFormat/>
    <w:uiPriority w:val="0"/>
    <w:pPr>
      <w:spacing w:line="400" w:lineRule="exact"/>
      <w:ind w:left="425"/>
    </w:pPr>
    <w:rPr>
      <w:color w:val="000000"/>
      <w:kern w:val="0"/>
      <w:sz w:val="24"/>
      <w:szCs w:val="20"/>
    </w:rPr>
  </w:style>
  <w:style w:type="paragraph" w:styleId="25">
    <w:name w:val="endnote text"/>
    <w:basedOn w:val="1"/>
    <w:qFormat/>
    <w:uiPriority w:val="0"/>
    <w:pPr>
      <w:snapToGrid w:val="0"/>
      <w:jc w:val="left"/>
    </w:pPr>
    <w:rPr>
      <w:kern w:val="0"/>
      <w:sz w:val="20"/>
      <w:szCs w:val="20"/>
    </w:rPr>
  </w:style>
  <w:style w:type="paragraph" w:styleId="26">
    <w:name w:val="Balloon Text"/>
    <w:basedOn w:val="1"/>
    <w:qFormat/>
    <w:uiPriority w:val="0"/>
    <w:rPr>
      <w:kern w:val="0"/>
      <w:sz w:val="18"/>
      <w:szCs w:val="18"/>
    </w:rPr>
  </w:style>
  <w:style w:type="paragraph" w:styleId="27">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28">
    <w:name w:val="envelope return"/>
    <w:basedOn w:val="1"/>
    <w:qFormat/>
    <w:uiPriority w:val="0"/>
    <w:pPr>
      <w:snapToGrid w:val="0"/>
    </w:pPr>
    <w:rPr>
      <w:rFonts w:ascii="Arial" w:hAnsi="Arial"/>
      <w:szCs w:val="24"/>
    </w:rPr>
  </w:style>
  <w:style w:type="paragraph" w:styleId="2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0">
    <w:name w:val="toc 1"/>
    <w:basedOn w:val="1"/>
    <w:next w:val="1"/>
    <w:qFormat/>
    <w:uiPriority w:val="0"/>
    <w:pPr>
      <w:tabs>
        <w:tab w:val="right" w:leader="dot" w:pos="9060"/>
      </w:tabs>
      <w:adjustRightInd w:val="0"/>
      <w:snapToGrid w:val="0"/>
      <w:spacing w:line="360" w:lineRule="auto"/>
      <w:jc w:val="left"/>
      <w:textAlignment w:val="baseline"/>
    </w:pPr>
    <w:rPr>
      <w:rFonts w:ascii="宋体"/>
      <w:caps/>
      <w:kern w:val="0"/>
      <w:sz w:val="24"/>
      <w:szCs w:val="32"/>
    </w:rPr>
  </w:style>
  <w:style w:type="paragraph" w:styleId="31">
    <w:name w:val="List Number 5"/>
    <w:basedOn w:val="1"/>
    <w:qFormat/>
    <w:uiPriority w:val="0"/>
    <w:pPr>
      <w:numPr>
        <w:ilvl w:val="0"/>
        <w:numId w:val="1"/>
      </w:numPr>
    </w:pPr>
  </w:style>
  <w:style w:type="paragraph" w:styleId="32">
    <w:name w:val="footnote text"/>
    <w:basedOn w:val="1"/>
    <w:qFormat/>
    <w:uiPriority w:val="0"/>
    <w:pPr>
      <w:snapToGrid w:val="0"/>
      <w:spacing w:line="360" w:lineRule="auto"/>
      <w:ind w:firstLine="218" w:firstLineChars="218"/>
      <w:jc w:val="left"/>
    </w:pPr>
    <w:rPr>
      <w:rFonts w:ascii="宋体"/>
      <w:kern w:val="0"/>
      <w:sz w:val="18"/>
      <w:szCs w:val="18"/>
    </w:rPr>
  </w:style>
  <w:style w:type="paragraph" w:styleId="33">
    <w:name w:val="Body Text Indent 3"/>
    <w:basedOn w:val="1"/>
    <w:qFormat/>
    <w:uiPriority w:val="0"/>
    <w:pPr>
      <w:tabs>
        <w:tab w:val="left" w:pos="0"/>
      </w:tabs>
      <w:spacing w:line="400" w:lineRule="exact"/>
      <w:ind w:left="263" w:leftChars="228" w:hanging="35" w:hangingChars="35"/>
    </w:pPr>
    <w:rPr>
      <w:color w:val="000000"/>
      <w:kern w:val="0"/>
      <w:sz w:val="24"/>
      <w:szCs w:val="20"/>
    </w:rPr>
  </w:style>
  <w:style w:type="paragraph" w:styleId="34">
    <w:name w:val="toc 2"/>
    <w:basedOn w:val="1"/>
    <w:next w:val="1"/>
    <w:qFormat/>
    <w:uiPriority w:val="0"/>
    <w:pPr>
      <w:tabs>
        <w:tab w:val="right" w:leader="dot" w:pos="9060"/>
      </w:tabs>
      <w:snapToGrid w:val="0"/>
      <w:spacing w:line="360" w:lineRule="auto"/>
      <w:ind w:left="200" w:leftChars="200"/>
      <w:jc w:val="left"/>
    </w:pPr>
    <w:rPr>
      <w:sz w:val="24"/>
      <w:szCs w:val="24"/>
    </w:rPr>
  </w:style>
  <w:style w:type="paragraph" w:styleId="35">
    <w:name w:val="Body Text 2"/>
    <w:basedOn w:val="1"/>
    <w:qFormat/>
    <w:uiPriority w:val="0"/>
    <w:rPr>
      <w:rFonts w:ascii="宋体"/>
      <w:kern w:val="0"/>
      <w:sz w:val="20"/>
      <w:szCs w:val="24"/>
      <w:u w:val="single"/>
    </w:rPr>
  </w:style>
  <w:style w:type="paragraph" w:styleId="36">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Times New Roman" w:eastAsia="宋体" w:cs="宋体"/>
      <w:sz w:val="24"/>
      <w:szCs w:val="24"/>
      <w:lang w:val="en-US" w:eastAsia="zh-CN" w:bidi="ar-SA"/>
    </w:rPr>
  </w:style>
  <w:style w:type="paragraph" w:styleId="37">
    <w:name w:val="Normal (Web)"/>
    <w:basedOn w:val="1"/>
    <w:qFormat/>
    <w:uiPriority w:val="0"/>
    <w:rPr>
      <w:sz w:val="24"/>
    </w:rPr>
  </w:style>
  <w:style w:type="paragraph" w:styleId="38">
    <w:name w:val="List Continue 3"/>
    <w:basedOn w:val="1"/>
    <w:qFormat/>
    <w:uiPriority w:val="0"/>
    <w:pPr>
      <w:spacing w:after="120"/>
      <w:ind w:left="1260" w:leftChars="600"/>
    </w:pPr>
    <w:rPr>
      <w:rFonts w:ascii="Calibri" w:hAnsi="Calibri"/>
      <w:szCs w:val="24"/>
    </w:rPr>
  </w:style>
  <w:style w:type="paragraph" w:styleId="39">
    <w:name w:val="index 1"/>
    <w:basedOn w:val="1"/>
    <w:next w:val="1"/>
    <w:qFormat/>
    <w:uiPriority w:val="0"/>
    <w:rPr>
      <w:rFonts w:eastAsia="仿宋_GB2312"/>
      <w:sz w:val="28"/>
      <w:szCs w:val="20"/>
    </w:rPr>
  </w:style>
  <w:style w:type="paragraph" w:styleId="40">
    <w:name w:val="annotation subject"/>
    <w:basedOn w:val="16"/>
    <w:next w:val="16"/>
    <w:qFormat/>
    <w:uiPriority w:val="0"/>
    <w:rPr>
      <w:b/>
      <w:bCs/>
    </w:rPr>
  </w:style>
  <w:style w:type="paragraph" w:styleId="41">
    <w:name w:val="Body Text First Indent 2"/>
    <w:basedOn w:val="19"/>
    <w:qFormat/>
    <w:uiPriority w:val="0"/>
    <w:pPr>
      <w:spacing w:after="120"/>
      <w:ind w:left="200" w:leftChars="200" w:firstLine="200" w:firstLineChars="200"/>
    </w:pPr>
    <w:rPr>
      <w:rFonts w:ascii="Calibri" w:hAnsi="Calibri"/>
      <w:color w:val="0D0D0D"/>
      <w:sz w:val="21"/>
      <w:szCs w:val="24"/>
      <w:lang w:eastAsia="en-US"/>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rPr>
  </w:style>
  <w:style w:type="character" w:styleId="46">
    <w:name w:val="endnote reference"/>
    <w:qFormat/>
    <w:uiPriority w:val="0"/>
    <w:rPr>
      <w:vertAlign w:val="superscript"/>
    </w:rPr>
  </w:style>
  <w:style w:type="character" w:styleId="47">
    <w:name w:val="page number"/>
    <w:qFormat/>
    <w:uiPriority w:val="0"/>
    <w:rPr>
      <w:rFonts w:cs="Times New Roman"/>
    </w:rPr>
  </w:style>
  <w:style w:type="character" w:styleId="48">
    <w:name w:val="FollowedHyperlink"/>
    <w:qFormat/>
    <w:uiPriority w:val="0"/>
    <w:rPr>
      <w:color w:val="954F72"/>
      <w:u w:val="single"/>
    </w:rPr>
  </w:style>
  <w:style w:type="character" w:styleId="49">
    <w:name w:val="Hyperlink"/>
    <w:qFormat/>
    <w:uiPriority w:val="0"/>
    <w:rPr>
      <w:color w:val="0000FF"/>
      <w:u w:val="singl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标题 1 字符1"/>
    <w:basedOn w:val="53"/>
    <w:link w:val="3"/>
    <w:qFormat/>
    <w:uiPriority w:val="0"/>
    <w:rPr>
      <w:rFonts w:ascii="Arial" w:hAnsi="Arial" w:eastAsia="宋体" w:cs="Times New Roman"/>
      <w:kern w:val="44"/>
      <w:sz w:val="28"/>
      <w:szCs w:val="28"/>
      <w:lang w:val="en-US" w:eastAsia="zh-CN" w:bidi="ar-SA"/>
    </w:rPr>
  </w:style>
  <w:style w:type="character" w:customStyle="1" w:styleId="53">
    <w:name w:val="标题 字符1"/>
    <w:basedOn w:val="44"/>
    <w:link w:val="4"/>
    <w:qFormat/>
    <w:uiPriority w:val="0"/>
    <w:rPr>
      <w:rFonts w:ascii="Arial" w:hAnsi="Arial" w:eastAsia="宋体" w:cs="Times New Roman"/>
      <w:b/>
      <w:kern w:val="0"/>
      <w:sz w:val="44"/>
      <w:szCs w:val="20"/>
      <w:lang w:val="en-US" w:eastAsia="zh-CN" w:bidi="ar-SA"/>
    </w:rPr>
  </w:style>
  <w:style w:type="paragraph" w:customStyle="1" w:styleId="54">
    <w:name w:val="样式1"/>
    <w:basedOn w:val="19"/>
    <w:next w:val="20"/>
    <w:qFormat/>
    <w:uiPriority w:val="0"/>
  </w:style>
  <w:style w:type="paragraph" w:customStyle="1" w:styleId="5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文一"/>
    <w:basedOn w:val="1"/>
    <w:next w:val="1"/>
    <w:qFormat/>
    <w:uiPriority w:val="0"/>
    <w:pPr>
      <w:topLinePunct/>
      <w:adjustRightInd w:val="0"/>
      <w:snapToGrid w:val="0"/>
      <w:spacing w:line="360" w:lineRule="auto"/>
      <w:ind w:firstLine="200" w:firstLineChars="200"/>
    </w:pPr>
    <w:rPr>
      <w:spacing w:val="4"/>
      <w:kern w:val="0"/>
      <w:sz w:val="24"/>
      <w:szCs w:val="24"/>
    </w:rPr>
  </w:style>
  <w:style w:type="character" w:customStyle="1" w:styleId="57">
    <w:name w:val="纯文本 字符"/>
    <w:qFormat/>
    <w:uiPriority w:val="0"/>
    <w:rPr>
      <w:rFonts w:ascii="等线" w:hAnsi="等线" w:cs="Courier New"/>
    </w:rPr>
  </w:style>
  <w:style w:type="character" w:customStyle="1" w:styleId="58">
    <w:name w:val="批注文字 字符"/>
    <w:qFormat/>
    <w:uiPriority w:val="0"/>
    <w:rPr>
      <w:rFonts w:ascii="Calibri" w:hAnsi="Calibri" w:eastAsia="宋体" w:cs="Times New Roman"/>
    </w:rPr>
  </w:style>
  <w:style w:type="character" w:customStyle="1" w:styleId="59">
    <w:name w:val="标题 5 字符"/>
    <w:qFormat/>
    <w:uiPriority w:val="0"/>
    <w:rPr>
      <w:rFonts w:ascii="Calibri" w:hAnsi="Calibri" w:eastAsia="宋体" w:cs="Times New Roman"/>
      <w:b/>
      <w:bCs/>
      <w:sz w:val="28"/>
      <w:szCs w:val="28"/>
    </w:rPr>
  </w:style>
  <w:style w:type="paragraph" w:customStyle="1" w:styleId="60">
    <w:name w:val="_Style 48"/>
    <w:basedOn w:val="2"/>
    <w:next w:val="5"/>
    <w:qFormat/>
    <w:uiPriority w:val="0"/>
    <w:pPr>
      <w:ind w:firstLine="420"/>
    </w:pPr>
  </w:style>
  <w:style w:type="character" w:customStyle="1" w:styleId="61">
    <w:name w:val="正文文本缩进 字符"/>
    <w:qFormat/>
    <w:uiPriority w:val="0"/>
    <w:rPr>
      <w:rFonts w:ascii="Calibri" w:hAnsi="Calibri" w:eastAsia="宋体" w:cs="Times New Roman"/>
    </w:rPr>
  </w:style>
  <w:style w:type="character" w:customStyle="1" w:styleId="62">
    <w:name w:val="文档结构图 字符"/>
    <w:qFormat/>
    <w:uiPriority w:val="0"/>
    <w:rPr>
      <w:rFonts w:ascii="Microsoft YaHei UI" w:hAnsi="Microsoft YaHei UI" w:eastAsia="Microsoft YaHei UI" w:cs="Times New Roman"/>
      <w:sz w:val="18"/>
      <w:szCs w:val="18"/>
    </w:rPr>
  </w:style>
  <w:style w:type="character" w:customStyle="1" w:styleId="63">
    <w:name w:val="标题 2 字符"/>
    <w:qFormat/>
    <w:uiPriority w:val="0"/>
    <w:rPr>
      <w:rFonts w:ascii="等线 Light" w:eastAsia="等线 Light" w:cs="Times New Roman"/>
      <w:b/>
      <w:bCs/>
      <w:sz w:val="32"/>
      <w:szCs w:val="32"/>
    </w:rPr>
  </w:style>
  <w:style w:type="character" w:customStyle="1" w:styleId="64">
    <w:name w:val="正文文本缩进 3 字符"/>
    <w:qFormat/>
    <w:uiPriority w:val="0"/>
    <w:rPr>
      <w:rFonts w:ascii="Calibri" w:hAnsi="Calibri" w:eastAsia="宋体" w:cs="Times New Roman"/>
      <w:sz w:val="16"/>
      <w:szCs w:val="16"/>
    </w:rPr>
  </w:style>
  <w:style w:type="character" w:customStyle="1" w:styleId="65">
    <w:name w:val="正文首行缩进 字符"/>
    <w:qFormat/>
    <w:uiPriority w:val="0"/>
  </w:style>
  <w:style w:type="character" w:customStyle="1" w:styleId="66">
    <w:name w:val="日期 字符"/>
    <w:qFormat/>
    <w:uiPriority w:val="0"/>
    <w:rPr>
      <w:rFonts w:ascii="Calibri" w:hAnsi="Calibri" w:eastAsia="宋体" w:cs="Times New Roman"/>
    </w:rPr>
  </w:style>
  <w:style w:type="character" w:customStyle="1" w:styleId="67">
    <w:name w:val="批注主题 字符"/>
    <w:qFormat/>
    <w:uiPriority w:val="0"/>
    <w:rPr>
      <w:rFonts w:ascii="Calibri" w:hAnsi="Calibri" w:eastAsia="宋体" w:cs="Times New Roman"/>
      <w:b/>
      <w:bCs/>
    </w:rPr>
  </w:style>
  <w:style w:type="character" w:customStyle="1" w:styleId="68">
    <w:name w:val="页脚 字符"/>
    <w:qFormat/>
    <w:uiPriority w:val="0"/>
    <w:rPr>
      <w:rFonts w:ascii="Calibri" w:hAnsi="Calibri" w:eastAsia="宋体" w:cs="Times New Roman"/>
      <w:sz w:val="18"/>
      <w:szCs w:val="18"/>
    </w:rPr>
  </w:style>
  <w:style w:type="character" w:customStyle="1" w:styleId="69">
    <w:name w:val="尾注文本 字符"/>
    <w:qFormat/>
    <w:uiPriority w:val="0"/>
    <w:rPr>
      <w:rFonts w:ascii="Calibri" w:hAnsi="Calibri" w:eastAsia="宋体" w:cs="Times New Roman"/>
    </w:rPr>
  </w:style>
  <w:style w:type="character" w:customStyle="1" w:styleId="70">
    <w:name w:val="正文文本 字符"/>
    <w:qFormat/>
    <w:uiPriority w:val="0"/>
    <w:rPr>
      <w:rFonts w:ascii="Calibri" w:hAnsi="Calibri" w:eastAsia="宋体" w:cs="Times New Roman"/>
    </w:rPr>
  </w:style>
  <w:style w:type="character" w:customStyle="1" w:styleId="71">
    <w:name w:val="标题 8 字符"/>
    <w:qFormat/>
    <w:uiPriority w:val="0"/>
    <w:rPr>
      <w:rFonts w:ascii="等线 Light" w:eastAsia="等线 Light" w:cs="Times New Roman"/>
      <w:sz w:val="24"/>
      <w:szCs w:val="24"/>
    </w:rPr>
  </w:style>
  <w:style w:type="character" w:customStyle="1" w:styleId="72">
    <w:name w:val="正文文本 2 字符"/>
    <w:qFormat/>
    <w:uiPriority w:val="0"/>
    <w:rPr>
      <w:rFonts w:ascii="Calibri" w:hAnsi="Calibri" w:eastAsia="宋体" w:cs="Times New Roman"/>
    </w:rPr>
  </w:style>
  <w:style w:type="character" w:customStyle="1" w:styleId="73">
    <w:name w:val="标题 9 字符"/>
    <w:qFormat/>
    <w:uiPriority w:val="0"/>
    <w:rPr>
      <w:rFonts w:ascii="等线 Light" w:eastAsia="等线 Light" w:cs="Times New Roman"/>
      <w:szCs w:val="21"/>
    </w:rPr>
  </w:style>
  <w:style w:type="character" w:customStyle="1" w:styleId="74">
    <w:name w:val="标题 4 字符"/>
    <w:qFormat/>
    <w:uiPriority w:val="0"/>
    <w:rPr>
      <w:rFonts w:ascii="等线 Light" w:eastAsia="等线 Light" w:cs="Times New Roman"/>
      <w:b/>
      <w:bCs/>
      <w:sz w:val="28"/>
      <w:szCs w:val="28"/>
    </w:rPr>
  </w:style>
  <w:style w:type="character" w:customStyle="1" w:styleId="75">
    <w:name w:val="页眉 字符"/>
    <w:qFormat/>
    <w:uiPriority w:val="0"/>
    <w:rPr>
      <w:rFonts w:ascii="Calibri" w:hAnsi="Calibri" w:eastAsia="宋体" w:cs="Times New Roman"/>
      <w:sz w:val="18"/>
      <w:szCs w:val="18"/>
    </w:rPr>
  </w:style>
  <w:style w:type="character" w:customStyle="1" w:styleId="76">
    <w:name w:val="标题 3 字符"/>
    <w:qFormat/>
    <w:uiPriority w:val="0"/>
    <w:rPr>
      <w:rFonts w:ascii="Calibri" w:hAnsi="Calibri" w:eastAsia="宋体" w:cs="Times New Roman"/>
      <w:b/>
      <w:bCs/>
      <w:sz w:val="32"/>
      <w:szCs w:val="32"/>
    </w:rPr>
  </w:style>
  <w:style w:type="character" w:customStyle="1" w:styleId="77">
    <w:name w:val="正文文本缩进 2 字符"/>
    <w:qFormat/>
    <w:uiPriority w:val="0"/>
    <w:rPr>
      <w:rFonts w:ascii="Calibri" w:hAnsi="Calibri" w:eastAsia="宋体" w:cs="Times New Roman"/>
    </w:rPr>
  </w:style>
  <w:style w:type="character" w:customStyle="1" w:styleId="78">
    <w:name w:val="批注框文本 字符"/>
    <w:qFormat/>
    <w:uiPriority w:val="0"/>
    <w:rPr>
      <w:rFonts w:ascii="Calibri" w:hAnsi="Calibri" w:eastAsia="宋体" w:cs="Times New Roman"/>
      <w:sz w:val="18"/>
      <w:szCs w:val="18"/>
    </w:rPr>
  </w:style>
  <w:style w:type="character" w:customStyle="1" w:styleId="79">
    <w:name w:val="标题 1 字符"/>
    <w:qFormat/>
    <w:uiPriority w:val="0"/>
    <w:rPr>
      <w:rFonts w:ascii="Calibri" w:hAnsi="Calibri" w:eastAsia="宋体" w:cs="Times New Roman"/>
      <w:b/>
      <w:bCs/>
      <w:kern w:val="44"/>
      <w:sz w:val="44"/>
      <w:szCs w:val="44"/>
    </w:rPr>
  </w:style>
  <w:style w:type="character" w:customStyle="1" w:styleId="80">
    <w:name w:val="NormalCharacter"/>
    <w:qFormat/>
    <w:uiPriority w:val="0"/>
    <w:rPr>
      <w:rFonts w:ascii="Calibri" w:hAnsi="Calibri" w:eastAsia="宋体" w:cs="Times New Roman"/>
      <w:kern w:val="2"/>
      <w:sz w:val="21"/>
      <w:szCs w:val="22"/>
      <w:lang w:val="en-US" w:eastAsia="zh-CN" w:bidi="ar-SA"/>
    </w:rPr>
  </w:style>
  <w:style w:type="character" w:customStyle="1" w:styleId="81">
    <w:name w:val="脚注文本 字符"/>
    <w:qFormat/>
    <w:uiPriority w:val="0"/>
    <w:rPr>
      <w:rFonts w:ascii="Calibri" w:hAnsi="Calibri" w:eastAsia="宋体" w:cs="Times New Roman"/>
      <w:sz w:val="18"/>
      <w:szCs w:val="18"/>
    </w:rPr>
  </w:style>
  <w:style w:type="character" w:customStyle="1" w:styleId="82">
    <w:name w:val="标题 6 字符"/>
    <w:qFormat/>
    <w:uiPriority w:val="0"/>
    <w:rPr>
      <w:rFonts w:ascii="等线 Light" w:eastAsia="等线 Light" w:cs="Times New Roman"/>
      <w:b/>
      <w:bCs/>
      <w:sz w:val="24"/>
      <w:szCs w:val="24"/>
    </w:rPr>
  </w:style>
  <w:style w:type="character" w:customStyle="1" w:styleId="83">
    <w:name w:val="标题 字符"/>
    <w:qFormat/>
    <w:uiPriority w:val="0"/>
    <w:rPr>
      <w:rFonts w:ascii="等线 Light" w:eastAsia="等线 Light" w:cs="Times New Roman"/>
      <w:b/>
      <w:bCs/>
      <w:sz w:val="32"/>
      <w:szCs w:val="32"/>
    </w:rPr>
  </w:style>
  <w:style w:type="character" w:customStyle="1" w:styleId="84">
    <w:name w:val="标题 7 字符"/>
    <w:qFormat/>
    <w:uiPriority w:val="0"/>
    <w:rPr>
      <w:rFonts w:ascii="Calibri" w:hAnsi="Calibri" w:eastAsia="宋体" w:cs="Times New Roman"/>
      <w:b/>
      <w:bCs/>
      <w:sz w:val="24"/>
      <w:szCs w:val="24"/>
    </w:rPr>
  </w:style>
  <w:style w:type="paragraph" w:customStyle="1" w:styleId="85">
    <w:name w:val="TOC 标题1"/>
    <w:basedOn w:val="3"/>
    <w:next w:val="1"/>
    <w:qFormat/>
    <w:uiPriority w:val="0"/>
    <w:pPr>
      <w:widowControl/>
      <w:spacing w:before="480" w:after="0" w:line="276" w:lineRule="auto"/>
      <w:outlineLvl w:val="9"/>
    </w:pPr>
    <w:rPr>
      <w:rFonts w:ascii="Cambria" w:hAnsi="Cambria"/>
      <w:color w:val="365F91"/>
      <w:kern w:val="0"/>
    </w:rPr>
  </w:style>
  <w:style w:type="paragraph" w:customStyle="1" w:styleId="86">
    <w:name w:val="Char Char Char Char"/>
    <w:basedOn w:val="1"/>
    <w:next w:val="1"/>
    <w:qFormat/>
    <w:uiPriority w:val="0"/>
    <w:rPr>
      <w:sz w:val="30"/>
      <w:szCs w:val="24"/>
    </w:rPr>
  </w:style>
  <w:style w:type="paragraph" w:customStyle="1" w:styleId="87">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8">
    <w:name w:val="发文落款"/>
    <w:basedOn w:val="87"/>
    <w:qFormat/>
    <w:uiPriority w:val="0"/>
    <w:pPr>
      <w:ind w:left="4094" w:right="607" w:firstLine="0"/>
      <w:jc w:val="center"/>
    </w:pPr>
  </w:style>
  <w:style w:type="paragraph" w:customStyle="1" w:styleId="89">
    <w:name w:val="公文标题"/>
    <w:basedOn w:val="7"/>
    <w:qFormat/>
    <w:uiPriority w:val="0"/>
    <w:pPr>
      <w:keepNext/>
      <w:keepLines/>
      <w:widowControl w:val="0"/>
      <w:spacing w:before="0" w:beforeAutospacing="0" w:after="0" w:afterAutospacing="0"/>
      <w:ind w:left="1469" w:right="1542"/>
    </w:pPr>
    <w:rPr>
      <w:b/>
      <w:kern w:val="2"/>
      <w:sz w:val="44"/>
      <w:szCs w:val="21"/>
    </w:rPr>
  </w:style>
  <w:style w:type="paragraph" w:customStyle="1" w:styleId="90">
    <w:name w:val="样式 宋体 小四 首行缩进:  0.93 厘米 段前: 11.15 磅 段后: 11.15 磅1"/>
    <w:qFormat/>
    <w:uiPriority w:val="0"/>
    <w:pPr>
      <w:widowControl w:val="0"/>
      <w:adjustRightInd w:val="0"/>
      <w:snapToGrid w:val="0"/>
      <w:ind w:left="200" w:leftChars="200"/>
      <w:jc w:val="both"/>
    </w:pPr>
    <w:rPr>
      <w:rFonts w:ascii="宋体" w:hAnsi="Times New Roman" w:eastAsia="宋体" w:cs="宋体"/>
      <w:kern w:val="2"/>
      <w:sz w:val="24"/>
      <w:lang w:val="en-US" w:eastAsia="zh-CN" w:bidi="ar-SA"/>
    </w:rPr>
  </w:style>
  <w:style w:type="paragraph" w:customStyle="1" w:styleId="91">
    <w:name w:val="列出段落3"/>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92">
    <w:name w:val="章节二"/>
    <w:basedOn w:val="1"/>
    <w:next w:val="1"/>
    <w:qFormat/>
    <w:uiPriority w:val="0"/>
    <w:pPr>
      <w:topLinePunct/>
      <w:adjustRightInd w:val="0"/>
      <w:snapToGrid w:val="0"/>
      <w:spacing w:before="50" w:beforeLines="50"/>
      <w:jc w:val="center"/>
      <w:outlineLvl w:val="1"/>
    </w:pPr>
    <w:rPr>
      <w:rFonts w:eastAsia="黑体"/>
      <w:b/>
      <w:spacing w:val="4"/>
      <w:kern w:val="0"/>
      <w:sz w:val="30"/>
      <w:szCs w:val="30"/>
    </w:rPr>
  </w:style>
  <w:style w:type="paragraph" w:customStyle="1" w:styleId="93">
    <w:name w:val="列出段落1"/>
    <w:basedOn w:val="1"/>
    <w:qFormat/>
    <w:uiPriority w:val="0"/>
    <w:pPr>
      <w:widowControl/>
      <w:adjustRightInd w:val="0"/>
      <w:snapToGrid w:val="0"/>
      <w:ind w:firstLine="420"/>
      <w:jc w:val="left"/>
    </w:pPr>
    <w:rPr>
      <w:rFonts w:ascii="Calibri" w:hAnsi="Calibri" w:eastAsia="PMingLiU"/>
      <w:snapToGrid w:val="0"/>
      <w:kern w:val="0"/>
      <w:sz w:val="22"/>
      <w:lang w:val="en-GB" w:eastAsia="en-US"/>
    </w:rPr>
  </w:style>
  <w:style w:type="paragraph" w:customStyle="1" w:styleId="94">
    <w:name w:val="1"/>
    <w:basedOn w:val="1"/>
    <w:next w:val="1"/>
    <w:qFormat/>
    <w:uiPriority w:val="0"/>
  </w:style>
  <w:style w:type="paragraph" w:customStyle="1" w:styleId="95">
    <w:name w:val="leo 样式"/>
    <w:qFormat/>
    <w:uiPriority w:val="0"/>
    <w:pPr>
      <w:widowControl w:val="0"/>
      <w:snapToGrid w:val="0"/>
      <w:spacing w:line="360" w:lineRule="auto"/>
      <w:jc w:val="both"/>
    </w:pPr>
    <w:rPr>
      <w:rFonts w:ascii="仿宋_GB2312" w:hAnsi="Times New Roman" w:eastAsia="仿宋_GB2312" w:cs="Times New Roman"/>
      <w:bCs/>
      <w:sz w:val="28"/>
      <w:szCs w:val="28"/>
      <w:lang w:val="en-US" w:eastAsia="zh-CN" w:bidi="ar-SA"/>
    </w:rPr>
  </w:style>
  <w:style w:type="paragraph" w:customStyle="1" w:styleId="96">
    <w:name w:val="纯文本1"/>
    <w:qFormat/>
    <w:uiPriority w:val="0"/>
    <w:pPr>
      <w:widowControl w:val="0"/>
      <w:jc w:val="both"/>
    </w:pPr>
    <w:rPr>
      <w:rFonts w:ascii="宋体" w:hAnsi="Times New Roman" w:eastAsia="宋体" w:cs="Courier New"/>
      <w:kern w:val="2"/>
      <w:sz w:val="21"/>
      <w:szCs w:val="21"/>
      <w:lang w:val="en-US" w:eastAsia="zh-CN" w:bidi="ar-SA"/>
    </w:rPr>
  </w:style>
  <w:style w:type="paragraph" w:customStyle="1" w:styleId="97">
    <w:name w:val="表头"/>
    <w:basedOn w:val="1"/>
    <w:qFormat/>
    <w:uiPriority w:val="0"/>
    <w:pPr>
      <w:spacing w:line="360" w:lineRule="auto"/>
      <w:jc w:val="center"/>
    </w:pPr>
    <w:rPr>
      <w:rFonts w:ascii="黑体" w:eastAsia="黑体"/>
      <w:kern w:val="0"/>
      <w:sz w:val="24"/>
      <w:szCs w:val="20"/>
    </w:rPr>
  </w:style>
  <w:style w:type="paragraph" w:customStyle="1" w:styleId="98">
    <w:name w:val="修订1"/>
    <w:qFormat/>
    <w:uiPriority w:val="0"/>
    <w:rPr>
      <w:rFonts w:ascii="Times New Roman" w:hAnsi="Times New Roman" w:eastAsia="宋体" w:cs="Times New Roman"/>
      <w:kern w:val="2"/>
      <w:sz w:val="21"/>
      <w:lang w:val="en-US" w:eastAsia="zh-CN" w:bidi="ar-SA"/>
    </w:rPr>
  </w:style>
  <w:style w:type="paragraph" w:customStyle="1" w:styleId="99">
    <w:name w:val="列出段落2"/>
    <w:basedOn w:val="1"/>
    <w:qFormat/>
    <w:uiPriority w:val="0"/>
    <w:pPr>
      <w:ind w:firstLine="200" w:firstLineChars="200"/>
    </w:pPr>
    <w:rPr>
      <w:szCs w:val="20"/>
    </w:rPr>
  </w:style>
  <w:style w:type="paragraph" w:customStyle="1" w:styleId="100">
    <w:name w:val="公文抬头"/>
    <w:basedOn w:val="10"/>
    <w:qFormat/>
    <w:uiPriority w:val="0"/>
    <w:pPr>
      <w:ind w:firstLine="0"/>
    </w:pPr>
    <w:rPr>
      <w:rFonts w:ascii="仿宋_GB2312" w:eastAsia="仿宋_GB2312"/>
      <w:sz w:val="30"/>
      <w:szCs w:val="24"/>
    </w:rPr>
  </w:style>
  <w:style w:type="paragraph" w:customStyle="1" w:styleId="101">
    <w:name w:val="文二"/>
    <w:basedOn w:val="1"/>
    <w:qFormat/>
    <w:uiPriority w:val="0"/>
    <w:pPr>
      <w:jc w:val="left"/>
    </w:pPr>
    <w:rPr>
      <w:rFonts w:ascii="宋体"/>
      <w:szCs w:val="21"/>
    </w:rPr>
  </w:style>
  <w:style w:type="paragraph" w:customStyle="1" w:styleId="102">
    <w:name w:val="_Style 49"/>
    <w:basedOn w:val="2"/>
    <w:next w:val="5"/>
    <w:qFormat/>
    <w:uiPriority w:val="0"/>
    <w:pPr>
      <w:ind w:firstLine="420"/>
    </w:pPr>
  </w:style>
  <w:style w:type="paragraph" w:customStyle="1" w:styleId="103">
    <w:name w:val="正题"/>
    <w:basedOn w:val="56"/>
    <w:next w:val="56"/>
    <w:qFormat/>
    <w:uiPriority w:val="0"/>
    <w:pPr>
      <w:ind w:firstLine="0" w:firstLineChars="0"/>
      <w:jc w:val="center"/>
    </w:pPr>
    <w:rPr>
      <w:rFonts w:eastAsia="黑体"/>
      <w:b/>
      <w:sz w:val="36"/>
      <w:szCs w:val="36"/>
    </w:rPr>
  </w:style>
  <w:style w:type="paragraph" w:customStyle="1" w:styleId="10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5">
    <w:name w:val="Table Paragraph"/>
    <w:qFormat/>
    <w:uiPriority w:val="0"/>
    <w:pPr>
      <w:widowControl w:val="0"/>
      <w:jc w:val="both"/>
    </w:pPr>
    <w:rPr>
      <w:rFonts w:ascii="宋体" w:hAnsi="Times New Roman" w:eastAsia="宋体" w:cs="宋体"/>
      <w:kern w:val="2"/>
      <w:sz w:val="21"/>
      <w:szCs w:val="22"/>
      <w:lang w:val="en-US" w:eastAsia="zh-CN" w:bidi="ar-SA"/>
    </w:rPr>
  </w:style>
  <w:style w:type="paragraph" w:customStyle="1" w:styleId="106">
    <w:name w:val="Char"/>
    <w:basedOn w:val="1"/>
    <w:qFormat/>
    <w:uiPriority w:val="0"/>
    <w:rPr>
      <w:rFonts w:ascii="Tahoma" w:hAnsi="Tahoma"/>
      <w:sz w:val="24"/>
      <w:szCs w:val="20"/>
    </w:rPr>
  </w:style>
  <w:style w:type="paragraph" w:customStyle="1" w:styleId="107">
    <w:name w:val="Char Char Char1 Char"/>
    <w:basedOn w:val="15"/>
    <w:qFormat/>
    <w:uiPriority w:val="0"/>
    <w:rPr>
      <w:rFonts w:ascii="Tahoma" w:hAnsi="Tahoma"/>
      <w:sz w:val="24"/>
      <w:szCs w:val="24"/>
    </w:rPr>
  </w:style>
  <w:style w:type="paragraph" w:customStyle="1" w:styleId="108">
    <w:name w:val="样式 23 10 磅"/>
    <w:qFormat/>
    <w:uiPriority w:val="0"/>
    <w:pPr>
      <w:widowControl w:val="0"/>
      <w:jc w:val="both"/>
    </w:pPr>
    <w:rPr>
      <w:rFonts w:ascii="宋体" w:hAnsi="宋体" w:eastAsia="楷体_GB2312" w:cs="宋体"/>
      <w:kern w:val="2"/>
      <w:sz w:val="21"/>
      <w:szCs w:val="21"/>
      <w:lang w:val="en-US" w:eastAsia="zh-CN" w:bidi="ar-SA"/>
    </w:rPr>
  </w:style>
  <w:style w:type="paragraph" w:customStyle="1" w:styleId="109">
    <w:name w:val="Char1"/>
    <w:basedOn w:val="1"/>
    <w:qFormat/>
    <w:uiPriority w:val="0"/>
    <w:pPr>
      <w:ind w:left="567" w:hanging="279"/>
    </w:pPr>
    <w:rPr>
      <w:sz w:val="24"/>
      <w:szCs w:val="24"/>
    </w:rPr>
  </w:style>
  <w:style w:type="paragraph" w:customStyle="1" w:styleId="110">
    <w:name w:val="章节三"/>
    <w:basedOn w:val="56"/>
    <w:next w:val="1"/>
    <w:qFormat/>
    <w:uiPriority w:val="0"/>
    <w:pPr>
      <w:spacing w:before="50" w:beforeLines="50" w:after="50" w:afterLines="50" w:line="240" w:lineRule="auto"/>
      <w:ind w:firstLine="0" w:firstLineChars="0"/>
      <w:jc w:val="left"/>
      <w:outlineLvl w:val="2"/>
    </w:pPr>
    <w:rPr>
      <w:rFonts w:ascii="黑体" w:eastAsia="黑体"/>
      <w:b/>
    </w:rPr>
  </w:style>
  <w:style w:type="paragraph" w:customStyle="1" w:styleId="111">
    <w:name w:val="_Style 4"/>
    <w:basedOn w:val="1"/>
    <w:qFormat/>
    <w:uiPriority w:val="0"/>
    <w:pPr>
      <w:ind w:firstLine="200" w:firstLineChars="200"/>
    </w:pPr>
    <w:rPr>
      <w:szCs w:val="20"/>
    </w:rPr>
  </w:style>
  <w:style w:type="paragraph" w:customStyle="1" w:styleId="112">
    <w:name w:val="列出段落21"/>
    <w:basedOn w:val="1"/>
    <w:qFormat/>
    <w:uiPriority w:val="0"/>
    <w:pPr>
      <w:ind w:firstLine="200" w:firstLineChars="200"/>
    </w:pPr>
  </w:style>
  <w:style w:type="paragraph" w:customStyle="1" w:styleId="113">
    <w:name w:val="样式 10 磅"/>
    <w:qFormat/>
    <w:uiPriority w:val="0"/>
    <w:pPr>
      <w:jc w:val="both"/>
      <w:textAlignment w:val="baseline"/>
    </w:pPr>
    <w:rPr>
      <w:rFonts w:ascii="宋体" w:hAnsi="Times New Roman" w:eastAsia="宋体" w:cs="Times New Roman"/>
      <w:kern w:val="2"/>
      <w:sz w:val="21"/>
      <w:szCs w:val="22"/>
      <w:lang w:val="en-US" w:eastAsia="zh-CN" w:bidi="ar-SA"/>
    </w:rPr>
  </w:style>
  <w:style w:type="character" w:customStyle="1" w:styleId="114">
    <w:name w:val="font21"/>
    <w:basedOn w:val="44"/>
    <w:qFormat/>
    <w:uiPriority w:val="0"/>
    <w:rPr>
      <w:rFonts w:ascii="微软雅黑" w:eastAsia="微软雅黑" w:cs="微软雅黑"/>
      <w:color w:val="000000"/>
      <w:sz w:val="22"/>
      <w:szCs w:val="22"/>
      <w:u w:val="none"/>
    </w:rPr>
  </w:style>
  <w:style w:type="paragraph" w:customStyle="1" w:styleId="115">
    <w:name w:val="样式 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
    <w:name w:val="列出段落11"/>
    <w:basedOn w:val="1"/>
    <w:qFormat/>
    <w:uiPriority w:val="0"/>
    <w:pPr>
      <w:ind w:firstLine="200" w:firstLineChars="200"/>
    </w:pPr>
  </w:style>
  <w:style w:type="paragraph" w:customStyle="1" w:styleId="117">
    <w:name w:val="_Style 3"/>
    <w:qFormat/>
    <w:uiPriority w:val="0"/>
    <w:pPr>
      <w:widowControl w:val="0"/>
      <w:jc w:val="both"/>
    </w:pPr>
    <w:rPr>
      <w:rFonts w:ascii="等线" w:hAnsi="等线" w:eastAsia="等线" w:cs="Times New Roman"/>
      <w:kern w:val="2"/>
      <w:sz w:val="21"/>
      <w:szCs w:val="22"/>
      <w:lang w:val="en-US" w:eastAsia="zh-CN" w:bidi="ar-SA"/>
    </w:rPr>
  </w:style>
  <w:style w:type="paragraph" w:customStyle="1" w:styleId="118">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119">
    <w:name w:val="PageNumber"/>
    <w:qFormat/>
    <w:uiPriority w:val="0"/>
  </w:style>
  <w:style w:type="paragraph" w:styleId="120">
    <w:name w:val="List Paragraph"/>
    <w:basedOn w:val="1"/>
    <w:qFormat/>
    <w:uiPriority w:val="34"/>
    <w:pPr>
      <w:ind w:firstLine="420" w:firstLineChars="200"/>
    </w:pPr>
  </w:style>
  <w:style w:type="paragraph" w:customStyle="1" w:styleId="121">
    <w:name w:val="7表中"/>
    <w:basedOn w:val="1"/>
    <w:qFormat/>
    <w:uiPriority w:val="0"/>
    <w:pPr>
      <w:spacing w:line="360" w:lineRule="auto"/>
      <w:jc w:val="center"/>
    </w:pPr>
    <w:rPr>
      <w:rFonts w:ascii="Calibri" w:hAnsi="Calibri"/>
      <w:szCs w:val="21"/>
    </w:rPr>
  </w:style>
  <w:style w:type="paragraph" w:customStyle="1" w:styleId="122">
    <w:name w:val="6表左"/>
    <w:basedOn w:val="1"/>
    <w:qFormat/>
    <w:uiPriority w:val="0"/>
    <w:pPr>
      <w:spacing w:line="360" w:lineRule="auto"/>
      <w:jc w:val="left"/>
    </w:pPr>
    <w:rPr>
      <w:rFonts w:ascii="Calibri" w:hAnsi="Calibri"/>
      <w:szCs w:val="21"/>
    </w:rPr>
  </w:style>
  <w:style w:type="paragraph" w:styleId="123">
    <w:name w:val="No Spacing"/>
    <w:qFormat/>
    <w:uiPriority w:val="1"/>
    <w:pPr>
      <w:widowControl w:val="0"/>
      <w:jc w:val="both"/>
    </w:pPr>
    <w:rPr>
      <w:rFonts w:ascii="Times New Roman" w:hAnsi="Times New Roman" w:eastAsia="等线" w:cs="Times New Roman"/>
      <w:kern w:val="2"/>
      <w:sz w:val="21"/>
      <w:szCs w:val="22"/>
      <w:lang w:val="en-US" w:eastAsia="zh-CN" w:bidi="ar-SA"/>
    </w:rPr>
  </w:style>
  <w:style w:type="paragraph" w:customStyle="1" w:styleId="124">
    <w:name w:val="样式 宋体 行距: 1.5 倍行距"/>
    <w:basedOn w:val="1"/>
    <w:qFormat/>
    <w:uiPriority w:val="0"/>
    <w:pPr>
      <w:jc w:val="center"/>
    </w:pPr>
    <w:rPr>
      <w:b/>
      <w:szCs w:val="20"/>
    </w:rPr>
  </w:style>
  <w:style w:type="paragraph" w:customStyle="1" w:styleId="125">
    <w:name w:val="Normal_0_0"/>
    <w:next w:val="126"/>
    <w:qFormat/>
    <w:uiPriority w:val="0"/>
    <w:rPr>
      <w:rFonts w:ascii="宋体" w:hAnsi="宋体" w:eastAsia="宋体" w:cs="宋体"/>
      <w:sz w:val="24"/>
      <w:szCs w:val="24"/>
      <w:lang w:val="en-US" w:eastAsia="zh-CN" w:bidi="ar-SA"/>
    </w:rPr>
  </w:style>
  <w:style w:type="paragraph" w:customStyle="1" w:styleId="126">
    <w:name w:val="Normal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27">
    <w:name w:val="批注文字 字符1"/>
    <w:basedOn w:val="44"/>
    <w:link w:val="16"/>
    <w:qFormat/>
    <w:uiPriority w:val="0"/>
    <w:rPr>
      <w:rFonts w:ascii="宋体"/>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94</Pages>
  <Words>545</Words>
  <Characters>576</Characters>
  <Lines>453</Lines>
  <Paragraphs>127</Paragraphs>
  <TotalTime>84</TotalTime>
  <ScaleCrop>false</ScaleCrop>
  <LinksUpToDate>false</LinksUpToDate>
  <CharactersWithSpaces>626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2025-08-25T01:35:00Z</dcterms:created>
  <dc:creator>管理员</dc:creator>
  <cp:lastModifiedBy>GKCY</cp:lastModifiedBy>
  <cp:lastPrinted>2025-03-14T05:10:00Z</cp:lastPrinted>
  <dcterms:modified xsi:type="dcterms:W3CDTF">2025-10-20T09:16:07Z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65B9846593574B79A2AB0D1AD9E43D52_13</vt:lpwstr>
  </property>
  <property fmtid="{D5CDD505-2E9C-101B-9397-08002B2CF9AE}" pid="4" name="commondata">
    <vt:lpwstr>eyJoZGlkIjoiNDcxNjdiZTdjOTc2MTkwNWM3NDg3YmYxMTBjZDU5ODgifQ==</vt:lpwstr>
  </property>
  <property fmtid="{D5CDD505-2E9C-101B-9397-08002B2CF9AE}" pid="5" name="KSOTemplateDocerSaveRecord">
    <vt:lpwstr>eyJoZGlkIjoiNmU3YjI0ZDM2NzBkNzMxZTAwODBhODgzYWJhOGNhMzciLCJ1c2VySWQiOiIyNTE3MTIzNDAifQ==</vt:lpwstr>
  </property>
</Properties>
</file>