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B592">
      <w:pPr>
        <w:pStyle w:val="27"/>
        <w:snapToGrid w:val="0"/>
        <w:spacing w:line="360" w:lineRule="auto"/>
        <w:ind w:right="25" w:rightChars="12"/>
        <w:jc w:val="center"/>
        <w:rPr>
          <w:rFonts w:hint="eastAsia" w:cs="宋体"/>
          <w:b/>
          <w:color w:val="auto"/>
          <w:sz w:val="48"/>
          <w:szCs w:val="48"/>
          <w:highlight w:val="none"/>
          <w:u w:val="none"/>
        </w:rPr>
      </w:pPr>
    </w:p>
    <w:p w14:paraId="23AAF9FD">
      <w:pPr>
        <w:snapToGrid w:val="0"/>
        <w:spacing w:line="360" w:lineRule="auto"/>
        <w:jc w:val="center"/>
        <w:rPr>
          <w:rFonts w:hint="eastAsia" w:cs="宋体"/>
          <w:b/>
          <w:color w:val="auto"/>
          <w:sz w:val="48"/>
          <w:szCs w:val="48"/>
          <w:highlight w:val="none"/>
          <w:u w:val="none"/>
        </w:rPr>
      </w:pPr>
      <w:r>
        <w:rPr>
          <w:rFonts w:hint="eastAsia" w:cs="宋体"/>
          <w:b/>
          <w:color w:val="auto"/>
          <w:sz w:val="48"/>
          <w:szCs w:val="48"/>
          <w:highlight w:val="none"/>
          <w:u w:val="none"/>
        </w:rPr>
        <w:t>智达新能源产业化生产基地二期</w:t>
      </w:r>
    </w:p>
    <w:p w14:paraId="32F2EA0A">
      <w:pPr>
        <w:snapToGrid w:val="0"/>
        <w:spacing w:line="360" w:lineRule="auto"/>
        <w:jc w:val="center"/>
        <w:rPr>
          <w:rFonts w:ascii="宋体" w:hAnsi="宋体" w:cs="宋体"/>
          <w:color w:val="auto"/>
          <w:sz w:val="36"/>
          <w:szCs w:val="36"/>
          <w:highlight w:val="none"/>
          <w:u w:val="single"/>
        </w:rPr>
      </w:pPr>
      <w:r>
        <w:rPr>
          <w:rFonts w:hint="eastAsia" w:cs="宋体"/>
          <w:b/>
          <w:color w:val="auto"/>
          <w:sz w:val="48"/>
          <w:szCs w:val="48"/>
          <w:highlight w:val="none"/>
          <w:u w:val="none"/>
        </w:rPr>
        <w:t>施工总承包</w:t>
      </w:r>
    </w:p>
    <w:p w14:paraId="0A0FFC08">
      <w:pPr>
        <w:snapToGrid w:val="0"/>
        <w:spacing w:line="360" w:lineRule="auto"/>
        <w:jc w:val="center"/>
        <w:rPr>
          <w:rFonts w:ascii="宋体" w:hAnsi="宋体" w:cs="宋体"/>
          <w:color w:val="auto"/>
          <w:sz w:val="32"/>
          <w:szCs w:val="32"/>
          <w:highlight w:val="none"/>
          <w:u w:val="single"/>
        </w:rPr>
      </w:pPr>
    </w:p>
    <w:p w14:paraId="07C933F8">
      <w:pPr>
        <w:pStyle w:val="18"/>
        <w:snapToGrid w:val="0"/>
        <w:spacing w:line="360" w:lineRule="auto"/>
        <w:rPr>
          <w:rFonts w:hAnsi="宋体" w:cs="宋体"/>
          <w:color w:val="auto"/>
          <w:sz w:val="36"/>
          <w:szCs w:val="36"/>
          <w:highlight w:val="none"/>
          <w:u w:val="single"/>
        </w:rPr>
      </w:pPr>
    </w:p>
    <w:p w14:paraId="66AFE26A">
      <w:pPr>
        <w:pStyle w:val="18"/>
        <w:snapToGrid w:val="0"/>
        <w:spacing w:line="360" w:lineRule="auto"/>
        <w:rPr>
          <w:rFonts w:hAnsi="宋体" w:cs="宋体"/>
          <w:color w:val="auto"/>
          <w:sz w:val="36"/>
          <w:szCs w:val="36"/>
          <w:highlight w:val="none"/>
          <w:u w:val="single"/>
        </w:rPr>
      </w:pPr>
    </w:p>
    <w:p w14:paraId="4DA6FAC0">
      <w:pPr>
        <w:spacing w:line="300" w:lineRule="auto"/>
        <w:jc w:val="center"/>
        <w:rPr>
          <w:rFonts w:ascii="宋体" w:hAnsi="宋体" w:cs="宋体"/>
          <w:b/>
          <w:bCs/>
          <w:shadow/>
          <w:color w:val="auto"/>
          <w:spacing w:val="26"/>
          <w:sz w:val="96"/>
          <w:szCs w:val="96"/>
          <w:highlight w:val="none"/>
        </w:rPr>
      </w:pPr>
      <w:r>
        <w:rPr>
          <w:rFonts w:hint="eastAsia" w:ascii="宋体" w:hAnsi="宋体" w:cs="宋体"/>
          <w:b/>
          <w:bCs/>
          <w:shadow/>
          <w:color w:val="auto"/>
          <w:spacing w:val="26"/>
          <w:sz w:val="96"/>
          <w:szCs w:val="96"/>
          <w:highlight w:val="none"/>
        </w:rPr>
        <w:t>招标文件</w:t>
      </w:r>
    </w:p>
    <w:p w14:paraId="766E3D5A">
      <w:pPr>
        <w:snapToGrid w:val="0"/>
        <w:spacing w:line="360" w:lineRule="auto"/>
        <w:jc w:val="center"/>
        <w:rPr>
          <w:rFonts w:ascii="宋体" w:hAnsi="宋体" w:cs="宋体"/>
          <w:color w:val="auto"/>
          <w:sz w:val="32"/>
          <w:szCs w:val="32"/>
          <w:highlight w:val="none"/>
        </w:rPr>
      </w:pPr>
    </w:p>
    <w:p w14:paraId="63829101">
      <w:pPr>
        <w:snapToGrid w:val="0"/>
        <w:spacing w:line="360" w:lineRule="auto"/>
        <w:ind w:firstLine="2560" w:firstLineChars="800"/>
        <w:rPr>
          <w:rFonts w:ascii="宋体" w:hAnsi="宋体" w:cs="宋体"/>
          <w:color w:val="auto"/>
          <w:sz w:val="32"/>
          <w:szCs w:val="32"/>
          <w:highlight w:val="none"/>
        </w:rPr>
      </w:pPr>
    </w:p>
    <w:p w14:paraId="42687881">
      <w:pPr>
        <w:rPr>
          <w:rFonts w:ascii="宋体" w:hAnsi="宋体" w:cs="宋体"/>
          <w:color w:val="auto"/>
          <w:sz w:val="32"/>
          <w:szCs w:val="32"/>
          <w:highlight w:val="none"/>
        </w:rPr>
      </w:pPr>
    </w:p>
    <w:p w14:paraId="0315E9AD">
      <w:pPr>
        <w:rPr>
          <w:rStyle w:val="38"/>
          <w:rFonts w:ascii="宋体" w:hAnsi="宋体" w:cs="宋体"/>
          <w:b/>
          <w:bCs/>
          <w:color w:val="auto"/>
          <w:szCs w:val="21"/>
          <w:highlight w:val="none"/>
          <w:u w:val="none"/>
        </w:rPr>
      </w:pPr>
    </w:p>
    <w:p w14:paraId="4973730E">
      <w:pPr>
        <w:snapToGrid w:val="0"/>
        <w:spacing w:line="360" w:lineRule="auto"/>
        <w:ind w:firstLine="1200" w:firstLineChars="400"/>
        <w:rPr>
          <w:rFonts w:ascii="宋体" w:hAnsi="宋体" w:cs="宋体"/>
          <w:color w:val="auto"/>
          <w:sz w:val="30"/>
          <w:szCs w:val="30"/>
          <w:highlight w:val="none"/>
        </w:rPr>
      </w:pPr>
    </w:p>
    <w:p w14:paraId="2B1F597C">
      <w:pPr>
        <w:pStyle w:val="18"/>
        <w:snapToGrid w:val="0"/>
        <w:spacing w:line="360" w:lineRule="auto"/>
        <w:rPr>
          <w:rFonts w:hAnsi="宋体" w:cs="宋体"/>
          <w:color w:val="auto"/>
          <w:highlight w:val="none"/>
        </w:rPr>
      </w:pPr>
    </w:p>
    <w:p w14:paraId="0791BC8A">
      <w:pPr>
        <w:pStyle w:val="18"/>
        <w:snapToGrid w:val="0"/>
        <w:spacing w:line="360" w:lineRule="auto"/>
        <w:rPr>
          <w:rFonts w:hAnsi="宋体" w:cs="宋体"/>
          <w:color w:val="auto"/>
          <w:sz w:val="32"/>
          <w:szCs w:val="32"/>
          <w:highlight w:val="none"/>
        </w:rPr>
      </w:pPr>
    </w:p>
    <w:p w14:paraId="6100FD26">
      <w:pPr>
        <w:pStyle w:val="18"/>
        <w:snapToGrid w:val="0"/>
        <w:spacing w:line="360" w:lineRule="auto"/>
        <w:rPr>
          <w:rFonts w:hAnsi="宋体" w:cs="宋体"/>
          <w:color w:val="auto"/>
          <w:sz w:val="32"/>
          <w:szCs w:val="32"/>
          <w:highlight w:val="none"/>
        </w:rPr>
      </w:pPr>
    </w:p>
    <w:p w14:paraId="4DC8F202">
      <w:pPr>
        <w:pStyle w:val="18"/>
        <w:snapToGrid w:val="0"/>
        <w:spacing w:line="360" w:lineRule="auto"/>
        <w:rPr>
          <w:rFonts w:hAnsi="宋体" w:cs="宋体"/>
          <w:color w:val="auto"/>
          <w:sz w:val="32"/>
          <w:szCs w:val="32"/>
          <w:highlight w:val="none"/>
        </w:rPr>
      </w:pPr>
    </w:p>
    <w:p w14:paraId="79B8F562">
      <w:pPr>
        <w:snapToGrid w:val="0"/>
        <w:spacing w:line="360" w:lineRule="auto"/>
        <w:ind w:firstLine="1089" w:firstLineChars="363"/>
        <w:rPr>
          <w:rFonts w:hint="eastAsia" w:ascii="宋体" w:hAnsi="宋体" w:cs="宋体"/>
          <w:color w:val="auto"/>
          <w:sz w:val="30"/>
          <w:szCs w:val="30"/>
          <w:highlight w:val="none"/>
        </w:rPr>
      </w:pPr>
      <w:r>
        <w:rPr>
          <w:rFonts w:hint="eastAsia" w:ascii="宋体" w:hAnsi="宋体" w:cs="宋体"/>
          <w:color w:val="auto"/>
          <w:sz w:val="30"/>
          <w:szCs w:val="30"/>
          <w:highlight w:val="none"/>
        </w:rPr>
        <w:t>招标单位：广州智达新能源有限公司</w:t>
      </w:r>
    </w:p>
    <w:p w14:paraId="55522066">
      <w:pPr>
        <w:snapToGrid w:val="0"/>
        <w:spacing w:line="360" w:lineRule="auto"/>
        <w:ind w:firstLine="1089" w:firstLineChars="363"/>
        <w:rPr>
          <w:rFonts w:hint="eastAsia" w:ascii="宋体" w:hAnsi="宋体" w:cs="宋体"/>
          <w:color w:val="auto"/>
          <w:sz w:val="30"/>
          <w:szCs w:val="30"/>
          <w:highlight w:val="none"/>
        </w:rPr>
      </w:pPr>
      <w:r>
        <w:rPr>
          <w:rFonts w:hint="eastAsia" w:ascii="宋体" w:hAnsi="宋体" w:cs="宋体"/>
          <w:color w:val="auto"/>
          <w:sz w:val="30"/>
          <w:szCs w:val="30"/>
          <w:highlight w:val="none"/>
        </w:rPr>
        <w:t>代建单位：广州开发区投资控股有限公司</w:t>
      </w:r>
    </w:p>
    <w:p w14:paraId="0268A3FF">
      <w:pPr>
        <w:snapToGrid w:val="0"/>
        <w:spacing w:line="360" w:lineRule="auto"/>
        <w:ind w:firstLine="1089" w:firstLineChars="36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广东重工建设监理有限公司</w:t>
      </w:r>
    </w:p>
    <w:p w14:paraId="62248141">
      <w:pPr>
        <w:snapToGrid w:val="0"/>
        <w:spacing w:line="360" w:lineRule="auto"/>
        <w:ind w:firstLine="1089" w:firstLineChars="363"/>
        <w:rPr>
          <w:rFonts w:ascii="宋体" w:hAnsi="宋体" w:cs="宋体"/>
          <w:color w:val="auto"/>
          <w:sz w:val="30"/>
          <w:szCs w:val="30"/>
          <w:highlight w:val="none"/>
          <w:u w:val="single"/>
        </w:rPr>
      </w:pPr>
      <w:r>
        <w:rPr>
          <w:rFonts w:hint="eastAsia" w:ascii="宋体" w:hAnsi="宋体" w:cs="宋体"/>
          <w:color w:val="auto"/>
          <w:sz w:val="30"/>
          <w:szCs w:val="30"/>
          <w:highlight w:val="none"/>
        </w:rPr>
        <w:t>日    期：2025年</w:t>
      </w:r>
      <w:r>
        <w:rPr>
          <w:rFonts w:hint="eastAsia" w:ascii="宋体" w:hAnsi="宋体" w:cs="宋体"/>
          <w:color w:val="auto"/>
          <w:sz w:val="30"/>
          <w:szCs w:val="30"/>
          <w:highlight w:val="none"/>
          <w:lang w:val="en-US" w:eastAsia="zh-CN"/>
        </w:rPr>
        <w:t>10</w:t>
      </w:r>
      <w:r>
        <w:rPr>
          <w:rFonts w:hint="eastAsia" w:ascii="宋体" w:hAnsi="宋体" w:cs="宋体"/>
          <w:color w:val="auto"/>
          <w:sz w:val="30"/>
          <w:szCs w:val="30"/>
          <w:highlight w:val="none"/>
        </w:rPr>
        <w:t>月</w:t>
      </w:r>
    </w:p>
    <w:p w14:paraId="05A5AAEF">
      <w:pPr>
        <w:pStyle w:val="2"/>
        <w:spacing w:line="240" w:lineRule="auto"/>
        <w:ind w:left="0" w:leftChars="0"/>
        <w:jc w:val="both"/>
        <w:rPr>
          <w:color w:val="auto"/>
          <w:sz w:val="21"/>
          <w:szCs w:val="21"/>
          <w:highlight w:val="none"/>
        </w:rPr>
      </w:pPr>
    </w:p>
    <w:p w14:paraId="79332656">
      <w:pPr>
        <w:snapToGrid w:val="0"/>
        <w:rPr>
          <w:rStyle w:val="38"/>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14:paraId="5E98BBA0">
      <w:pPr>
        <w:snapToGrid w:val="0"/>
        <w:rPr>
          <w:rStyle w:val="38"/>
          <w:rFonts w:ascii="宋体" w:hAnsi="宋体" w:cs="宋体"/>
          <w:b/>
          <w:bCs/>
          <w:color w:val="auto"/>
          <w:szCs w:val="21"/>
          <w:highlight w:val="none"/>
          <w:u w:val="none"/>
        </w:rPr>
      </w:pPr>
    </w:p>
    <w:p w14:paraId="70209CD7">
      <w:pPr>
        <w:snapToGrid w:val="0"/>
        <w:spacing w:line="360" w:lineRule="auto"/>
        <w:jc w:val="center"/>
        <w:rPr>
          <w:rStyle w:val="38"/>
          <w:rFonts w:ascii="宋体" w:hAnsi="宋体" w:cs="宋体"/>
          <w:b/>
          <w:bCs/>
          <w:color w:val="auto"/>
          <w:sz w:val="36"/>
          <w:szCs w:val="36"/>
          <w:highlight w:val="none"/>
        </w:rPr>
      </w:pPr>
      <w:r>
        <w:rPr>
          <w:rStyle w:val="38"/>
          <w:rFonts w:hint="eastAsia" w:ascii="宋体" w:hAnsi="宋体" w:cs="宋体"/>
          <w:b/>
          <w:bCs/>
          <w:color w:val="auto"/>
          <w:sz w:val="36"/>
          <w:szCs w:val="36"/>
          <w:highlight w:val="none"/>
          <w:u w:val="none"/>
        </w:rPr>
        <w:t>目  录</w:t>
      </w:r>
    </w:p>
    <w:p w14:paraId="2E0B7A04">
      <w:pPr>
        <w:snapToGrid w:val="0"/>
        <w:spacing w:line="360" w:lineRule="auto"/>
        <w:jc w:val="center"/>
        <w:rPr>
          <w:rFonts w:ascii="宋体" w:hAnsi="宋体" w:cs="宋体"/>
          <w:b/>
          <w:caps/>
          <w:color w:val="auto"/>
          <w:kern w:val="0"/>
          <w:sz w:val="36"/>
          <w:szCs w:val="36"/>
          <w:highlight w:val="none"/>
        </w:rPr>
      </w:pPr>
    </w:p>
    <w:p w14:paraId="4BA6C73C">
      <w:pPr>
        <w:pStyle w:val="24"/>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14:paraId="6510E908">
      <w:pPr>
        <w:pStyle w:val="2"/>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F715F6">
      <w:pPr>
        <w:pStyle w:val="2"/>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4025DE">
      <w:pPr>
        <w:pStyle w:val="2"/>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46FE40">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385688">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1F847F8">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1A7E3F">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6988A4">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60102">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37</w:t>
      </w:r>
      <w:r>
        <w:rPr>
          <w:rFonts w:hint="eastAsia" w:cs="宋体"/>
          <w:color w:val="auto"/>
          <w:highlight w:val="none"/>
        </w:rPr>
        <w:fldChar w:fldCharType="end"/>
      </w:r>
      <w:r>
        <w:rPr>
          <w:rFonts w:hint="eastAsia" w:cs="宋体"/>
          <w:color w:val="auto"/>
          <w:highlight w:val="none"/>
        </w:rPr>
        <w:fldChar w:fldCharType="end"/>
      </w:r>
    </w:p>
    <w:p w14:paraId="115F06D4">
      <w:pPr>
        <w:pStyle w:val="2"/>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ECF6394">
      <w:pPr>
        <w:pStyle w:val="2"/>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04CA07">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EA47A2">
      <w:pPr>
        <w:pStyle w:val="17"/>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43DB12">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71</w:t>
      </w:r>
      <w:r>
        <w:rPr>
          <w:rFonts w:hint="eastAsia" w:cs="宋体"/>
          <w:color w:val="auto"/>
          <w:highlight w:val="none"/>
        </w:rPr>
        <w:fldChar w:fldCharType="end"/>
      </w:r>
      <w:r>
        <w:rPr>
          <w:rFonts w:hint="eastAsia" w:cs="宋体"/>
          <w:color w:val="auto"/>
          <w:highlight w:val="none"/>
        </w:rPr>
        <w:fldChar w:fldCharType="end"/>
      </w:r>
    </w:p>
    <w:p w14:paraId="0B168004">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78</w:t>
      </w:r>
      <w:r>
        <w:rPr>
          <w:rFonts w:hint="eastAsia" w:cs="宋体"/>
          <w:color w:val="auto"/>
          <w:highlight w:val="none"/>
        </w:rPr>
        <w:fldChar w:fldCharType="end"/>
      </w:r>
      <w:r>
        <w:rPr>
          <w:rFonts w:hint="eastAsia" w:cs="宋体"/>
          <w:color w:val="auto"/>
          <w:highlight w:val="none"/>
        </w:rPr>
        <w:fldChar w:fldCharType="end"/>
      </w:r>
    </w:p>
    <w:p w14:paraId="7A9BF5A7">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96</w:t>
      </w:r>
      <w:r>
        <w:rPr>
          <w:rFonts w:hint="eastAsia" w:cs="宋体"/>
          <w:color w:val="auto"/>
          <w:highlight w:val="none"/>
        </w:rPr>
        <w:fldChar w:fldCharType="end"/>
      </w:r>
      <w:r>
        <w:rPr>
          <w:rFonts w:hint="eastAsia" w:cs="宋体"/>
          <w:color w:val="auto"/>
          <w:highlight w:val="none"/>
        </w:rPr>
        <w:fldChar w:fldCharType="end"/>
      </w:r>
    </w:p>
    <w:p w14:paraId="0E0FAAB6">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101</w:t>
      </w:r>
      <w:r>
        <w:rPr>
          <w:rFonts w:hint="eastAsia" w:cs="宋体"/>
          <w:color w:val="auto"/>
          <w:highlight w:val="none"/>
        </w:rPr>
        <w:fldChar w:fldCharType="end"/>
      </w:r>
      <w:r>
        <w:rPr>
          <w:rFonts w:hint="eastAsia" w:cs="宋体"/>
          <w:color w:val="auto"/>
          <w:highlight w:val="none"/>
        </w:rPr>
        <w:fldChar w:fldCharType="end"/>
      </w:r>
    </w:p>
    <w:p w14:paraId="5C96FD63">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102</w:t>
      </w:r>
      <w:r>
        <w:rPr>
          <w:rFonts w:hint="eastAsia" w:cs="宋体"/>
          <w:color w:val="auto"/>
          <w:highlight w:val="none"/>
        </w:rPr>
        <w:fldChar w:fldCharType="end"/>
      </w:r>
      <w:r>
        <w:rPr>
          <w:rFonts w:hint="eastAsia" w:cs="宋体"/>
          <w:color w:val="auto"/>
          <w:highlight w:val="none"/>
        </w:rPr>
        <w:fldChar w:fldCharType="end"/>
      </w:r>
    </w:p>
    <w:p w14:paraId="49F1EE7B">
      <w:pPr>
        <w:pStyle w:val="2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103</w:t>
      </w:r>
      <w:r>
        <w:rPr>
          <w:rFonts w:hint="eastAsia" w:cs="宋体"/>
          <w:color w:val="auto"/>
          <w:highlight w:val="none"/>
        </w:rPr>
        <w:fldChar w:fldCharType="end"/>
      </w:r>
      <w:r>
        <w:rPr>
          <w:rFonts w:hint="eastAsia" w:cs="宋体"/>
          <w:color w:val="auto"/>
          <w:highlight w:val="none"/>
        </w:rPr>
        <w:fldChar w:fldCharType="end"/>
      </w:r>
    </w:p>
    <w:p w14:paraId="368A0A30">
      <w:pPr>
        <w:pStyle w:val="31"/>
        <w:rPr>
          <w:rFonts w:ascii="宋体" w:hAnsi="宋体" w:cs="宋体"/>
          <w:color w:val="auto"/>
          <w:highlight w:val="none"/>
        </w:rPr>
      </w:pPr>
      <w:r>
        <w:rPr>
          <w:rFonts w:hint="eastAsia" w:ascii="宋体" w:hAnsi="宋体" w:cs="宋体"/>
          <w:color w:val="auto"/>
          <w:szCs w:val="24"/>
          <w:highlight w:val="none"/>
        </w:rPr>
        <w:fldChar w:fldCharType="end"/>
      </w:r>
    </w:p>
    <w:p w14:paraId="062476A0">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BF51F9D">
      <w:pPr>
        <w:pStyle w:val="3"/>
        <w:snapToGrid w:val="0"/>
        <w:spacing w:after="0"/>
        <w:jc w:val="center"/>
        <w:rPr>
          <w:rFonts w:ascii="宋体" w:hAnsi="宋体" w:cs="宋体"/>
          <w:b/>
          <w:color w:val="auto"/>
          <w:sz w:val="32"/>
          <w:szCs w:val="32"/>
          <w:highlight w:val="none"/>
        </w:rPr>
      </w:pPr>
      <w:bookmarkStart w:id="0" w:name="_Toc6280"/>
      <w:r>
        <w:rPr>
          <w:rFonts w:hint="eastAsia" w:ascii="宋体" w:hAnsi="宋体" w:cs="宋体"/>
          <w:b/>
          <w:color w:val="auto"/>
          <w:sz w:val="32"/>
          <w:szCs w:val="32"/>
          <w:highlight w:val="none"/>
        </w:rPr>
        <w:t>第一章  投标须知</w:t>
      </w:r>
      <w:bookmarkEnd w:id="0"/>
    </w:p>
    <w:p w14:paraId="384BB926">
      <w:pPr>
        <w:pStyle w:val="4"/>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14:paraId="3D27B7DB">
      <w:pPr>
        <w:pStyle w:val="12"/>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498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914"/>
        <w:gridCol w:w="1823"/>
        <w:gridCol w:w="5899"/>
      </w:tblGrid>
      <w:tr w14:paraId="018652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6" w:type="dxa"/>
            <w:tcBorders>
              <w:top w:val="double" w:color="auto" w:sz="4" w:space="0"/>
              <w:left w:val="double" w:color="auto" w:sz="4" w:space="0"/>
            </w:tcBorders>
            <w:noWrap/>
            <w:vAlign w:val="center"/>
          </w:tcPr>
          <w:p w14:paraId="1D161C54">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noWrap/>
            <w:vAlign w:val="center"/>
          </w:tcPr>
          <w:p w14:paraId="19238AF1">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noWrap/>
            <w:vAlign w:val="center"/>
          </w:tcPr>
          <w:p w14:paraId="48559F8A">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899" w:type="dxa"/>
            <w:tcBorders>
              <w:top w:val="double" w:color="auto" w:sz="4" w:space="0"/>
              <w:right w:val="double" w:color="auto" w:sz="4" w:space="0"/>
            </w:tcBorders>
            <w:noWrap/>
            <w:vAlign w:val="center"/>
          </w:tcPr>
          <w:p w14:paraId="23D79BB1">
            <w:pPr>
              <w:pStyle w:val="19"/>
              <w:snapToGrid w:val="0"/>
              <w:spacing w:line="288" w:lineRule="auto"/>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492B7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686" w:type="dxa"/>
            <w:tcBorders>
              <w:left w:val="double" w:color="auto" w:sz="4" w:space="0"/>
            </w:tcBorders>
            <w:noWrap/>
            <w:vAlign w:val="center"/>
          </w:tcPr>
          <w:p w14:paraId="17D09E6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14" w:type="dxa"/>
            <w:noWrap/>
            <w:vAlign w:val="center"/>
          </w:tcPr>
          <w:p w14:paraId="6AA000B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23" w:type="dxa"/>
            <w:noWrap/>
            <w:vAlign w:val="center"/>
          </w:tcPr>
          <w:p w14:paraId="7A7711A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定义</w:t>
            </w:r>
          </w:p>
        </w:tc>
        <w:tc>
          <w:tcPr>
            <w:tcW w:w="5899" w:type="dxa"/>
            <w:tcBorders>
              <w:right w:val="double" w:color="auto" w:sz="4" w:space="0"/>
            </w:tcBorders>
            <w:noWrap/>
            <w:vAlign w:val="center"/>
          </w:tcPr>
          <w:p w14:paraId="4675AA86">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广州智达新能源有限公司</w:t>
            </w:r>
          </w:p>
          <w:p w14:paraId="35498ED6">
            <w:pPr>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代建单位：</w:t>
            </w:r>
            <w:r>
              <w:rPr>
                <w:rFonts w:hint="eastAsia" w:ascii="宋体" w:hAnsi="宋体" w:cs="宋体"/>
                <w:color w:val="auto"/>
                <w:szCs w:val="21"/>
                <w:highlight w:val="none"/>
                <w:u w:val="single"/>
              </w:rPr>
              <w:t>广州开发区投资控股有限公司</w:t>
            </w:r>
          </w:p>
          <w:p w14:paraId="62B8B357">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广东重工建设监理有限公司</w:t>
            </w:r>
          </w:p>
          <w:p w14:paraId="6CC35C7C">
            <w:pPr>
              <w:snapToGrid w:val="0"/>
              <w:spacing w:line="288"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机械工业第九设计研究院股份有限公司</w:t>
            </w:r>
          </w:p>
          <w:p w14:paraId="512C531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广州宏达工程顾问集团有限公司 </w:t>
            </w:r>
          </w:p>
          <w:p w14:paraId="2868CB9A">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tc>
      </w:tr>
      <w:tr w14:paraId="09A3D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0A2AEA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14" w:type="dxa"/>
            <w:noWrap/>
            <w:vAlign w:val="center"/>
          </w:tcPr>
          <w:p w14:paraId="419ADA9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6E92DC9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899" w:type="dxa"/>
            <w:tcBorders>
              <w:right w:val="double" w:color="auto" w:sz="4" w:space="0"/>
            </w:tcBorders>
            <w:noWrap/>
            <w:vAlign w:val="center"/>
          </w:tcPr>
          <w:p w14:paraId="2F35C681">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智达新能源产业化生产基地二期施工总承包</w:t>
            </w:r>
          </w:p>
        </w:tc>
      </w:tr>
      <w:tr w14:paraId="1FE17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0A8D55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914" w:type="dxa"/>
            <w:noWrap/>
            <w:vAlign w:val="center"/>
          </w:tcPr>
          <w:p w14:paraId="258F2CC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6B5F6AA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899" w:type="dxa"/>
            <w:tcBorders>
              <w:right w:val="double" w:color="auto" w:sz="4" w:space="0"/>
            </w:tcBorders>
            <w:noWrap/>
            <w:vAlign w:val="center"/>
          </w:tcPr>
          <w:p w14:paraId="522A707A">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广州市黄埔区</w:t>
            </w:r>
          </w:p>
        </w:tc>
      </w:tr>
      <w:tr w14:paraId="5D743A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1DB82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14" w:type="dxa"/>
            <w:noWrap/>
            <w:vAlign w:val="center"/>
          </w:tcPr>
          <w:p w14:paraId="1FC39871">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AEF60C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5899" w:type="dxa"/>
            <w:tcBorders>
              <w:right w:val="double" w:color="auto" w:sz="4" w:space="0"/>
            </w:tcBorders>
            <w:noWrap/>
            <w:vAlign w:val="center"/>
          </w:tcPr>
          <w:p w14:paraId="61BDC2C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4E6DAF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86" w:type="dxa"/>
            <w:tcBorders>
              <w:left w:val="double" w:color="auto" w:sz="4" w:space="0"/>
            </w:tcBorders>
            <w:noWrap/>
            <w:vAlign w:val="center"/>
          </w:tcPr>
          <w:p w14:paraId="021EEC7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14" w:type="dxa"/>
            <w:noWrap/>
            <w:vAlign w:val="center"/>
          </w:tcPr>
          <w:p w14:paraId="60BF4B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6CBDD1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5899" w:type="dxa"/>
            <w:tcBorders>
              <w:right w:val="double" w:color="auto" w:sz="4" w:space="0"/>
            </w:tcBorders>
            <w:noWrap/>
            <w:vAlign w:val="center"/>
          </w:tcPr>
          <w:p w14:paraId="0C041770">
            <w:pPr>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本项目采用图纸固定总价包干计价。包工、包料、包质量、包安全生产、包文明施工、包工期、包承包范围内工程验收通过、包移交、包结算和资料整理归档、包承包人应当购买的保险、包竣工图编制（须满足规划等各专项验收要求）、包总承包管理和现场整体组织、包专业协调及配合等、协助报批报建等。具体详见合同的要求。</w:t>
            </w:r>
          </w:p>
        </w:tc>
      </w:tr>
      <w:tr w14:paraId="3D404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86" w:type="dxa"/>
            <w:tcBorders>
              <w:left w:val="double" w:color="auto" w:sz="4" w:space="0"/>
            </w:tcBorders>
            <w:noWrap/>
            <w:vAlign w:val="center"/>
          </w:tcPr>
          <w:p w14:paraId="5A7402B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914" w:type="dxa"/>
            <w:noWrap/>
            <w:vAlign w:val="center"/>
          </w:tcPr>
          <w:p w14:paraId="779771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2AB6503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899" w:type="dxa"/>
            <w:tcBorders>
              <w:right w:val="double" w:color="auto" w:sz="4" w:space="0"/>
            </w:tcBorders>
            <w:noWrap/>
            <w:vAlign w:val="center"/>
          </w:tcPr>
          <w:p w14:paraId="277C0B8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一次竣工验收达到国家或行业质量检验评定的合格标准。</w:t>
            </w:r>
          </w:p>
          <w:p w14:paraId="4ED2C81A">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注：本工程正式签署合同时，质量标准按中标人投标文件承诺质量标准。</w:t>
            </w:r>
          </w:p>
        </w:tc>
      </w:tr>
      <w:tr w14:paraId="68524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A1EB12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914" w:type="dxa"/>
            <w:noWrap/>
            <w:vAlign w:val="center"/>
          </w:tcPr>
          <w:p w14:paraId="448604F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224CE26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899" w:type="dxa"/>
            <w:tcBorders>
              <w:right w:val="double" w:color="auto" w:sz="4" w:space="0"/>
            </w:tcBorders>
            <w:noWrap/>
            <w:vAlign w:val="center"/>
          </w:tcPr>
          <w:p w14:paraId="6200AE89">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1ACC3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86" w:type="dxa"/>
            <w:tcBorders>
              <w:left w:val="double" w:color="auto" w:sz="4" w:space="0"/>
            </w:tcBorders>
            <w:noWrap/>
            <w:vAlign w:val="center"/>
          </w:tcPr>
          <w:p w14:paraId="28A5772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914" w:type="dxa"/>
            <w:noWrap/>
            <w:vAlign w:val="center"/>
          </w:tcPr>
          <w:p w14:paraId="0D2D5B3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AA243C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工期要求</w:t>
            </w:r>
          </w:p>
        </w:tc>
        <w:tc>
          <w:tcPr>
            <w:tcW w:w="5899" w:type="dxa"/>
            <w:tcBorders>
              <w:right w:val="double" w:color="auto" w:sz="4" w:space="0"/>
            </w:tcBorders>
            <w:noWrap/>
            <w:vAlign w:val="center"/>
          </w:tcPr>
          <w:p w14:paraId="0C8B921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12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日计划开工，计划</w:t>
            </w:r>
            <w:r>
              <w:rPr>
                <w:rFonts w:hint="eastAsia" w:ascii="宋体" w:hAnsi="宋体" w:cs="宋体"/>
                <w:color w:val="auto"/>
                <w:szCs w:val="21"/>
                <w:highlight w:val="none"/>
                <w:lang w:val="en-US" w:eastAsia="zh-CN"/>
              </w:rPr>
              <w:t>竣工日期：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日，施工总期：</w:t>
            </w:r>
            <w:r>
              <w:rPr>
                <w:rFonts w:hint="eastAsia" w:ascii="宋体" w:hAnsi="宋体" w:cs="宋体"/>
                <w:color w:val="auto"/>
                <w:szCs w:val="21"/>
                <w:highlight w:val="none"/>
                <w:u w:val="single"/>
                <w:lang w:val="en-US" w:eastAsia="zh-CN"/>
              </w:rPr>
              <w:t xml:space="preserve"> </w:t>
            </w:r>
            <w:r>
              <w:rPr>
                <w:rFonts w:hint="eastAsia" w:ascii="宋体" w:hAnsi="宋体" w:cs="宋体"/>
                <w:b/>
                <w:color w:val="auto"/>
                <w:szCs w:val="21"/>
                <w:highlight w:val="none"/>
                <w:u w:val="single"/>
                <w:lang w:val="en-US" w:eastAsia="zh-CN"/>
              </w:rPr>
              <w:t xml:space="preserve">272 </w:t>
            </w:r>
            <w:r>
              <w:rPr>
                <w:rFonts w:hint="eastAsia" w:ascii="宋体" w:hAnsi="宋体" w:cs="宋体"/>
                <w:b/>
                <w:color w:val="auto"/>
                <w:szCs w:val="21"/>
                <w:highlight w:val="none"/>
              </w:rPr>
              <w:t>日历天</w:t>
            </w:r>
            <w:r>
              <w:rPr>
                <w:rFonts w:hint="eastAsia" w:ascii="宋体" w:hAnsi="宋体" w:cs="宋体"/>
                <w:color w:val="auto"/>
                <w:szCs w:val="21"/>
                <w:highlight w:val="none"/>
              </w:rPr>
              <w:t>。</w:t>
            </w:r>
          </w:p>
          <w:p w14:paraId="08B48B3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注：本工程正式签署合同时，施工工期按中标投标文件承诺工期。</w:t>
            </w:r>
          </w:p>
        </w:tc>
      </w:tr>
      <w:tr w14:paraId="5A47E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D4BD9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914" w:type="dxa"/>
            <w:noWrap/>
            <w:vAlign w:val="center"/>
          </w:tcPr>
          <w:p w14:paraId="67B2809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823" w:type="dxa"/>
            <w:noWrap/>
            <w:vAlign w:val="center"/>
          </w:tcPr>
          <w:p w14:paraId="3E0AC07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5899" w:type="dxa"/>
            <w:tcBorders>
              <w:right w:val="double" w:color="auto" w:sz="4" w:space="0"/>
            </w:tcBorders>
            <w:noWrap/>
            <w:vAlign w:val="center"/>
          </w:tcPr>
          <w:p w14:paraId="27CDF21E">
            <w:pPr>
              <w:snapToGrid w:val="0"/>
              <w:spacing w:line="288" w:lineRule="auto"/>
              <w:rPr>
                <w:rFonts w:ascii="宋体" w:hAnsi="宋体" w:cs="宋体"/>
                <w:color w:val="auto"/>
                <w:szCs w:val="21"/>
                <w:highlight w:val="none"/>
                <w:u w:val="single"/>
              </w:rPr>
            </w:pPr>
            <w:r>
              <w:rPr>
                <w:rFonts w:hint="eastAsia" w:ascii="宋体" w:hAnsi="宋体" w:cs="宋体"/>
                <w:color w:val="auto"/>
                <w:szCs w:val="21"/>
                <w:u w:val="single"/>
                <w:shd w:val="clear" w:color="auto" w:fill="FFFFFF"/>
              </w:rPr>
              <w:t>企业</w:t>
            </w:r>
            <w:r>
              <w:rPr>
                <w:rFonts w:hint="eastAsia" w:ascii="宋体" w:hAnsi="宋体" w:cs="宋体"/>
                <w:color w:val="auto"/>
                <w:szCs w:val="21"/>
                <w:highlight w:val="none"/>
                <w:u w:val="single"/>
              </w:rPr>
              <w:t>自筹资金</w:t>
            </w:r>
          </w:p>
        </w:tc>
      </w:tr>
      <w:tr w14:paraId="2848D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EE94F9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914" w:type="dxa"/>
            <w:noWrap/>
            <w:vAlign w:val="center"/>
          </w:tcPr>
          <w:p w14:paraId="2E921B3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4.1</w:t>
            </w:r>
          </w:p>
        </w:tc>
        <w:tc>
          <w:tcPr>
            <w:tcW w:w="1823" w:type="dxa"/>
            <w:noWrap/>
            <w:vAlign w:val="center"/>
          </w:tcPr>
          <w:p w14:paraId="3AEFD85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99" w:type="dxa"/>
            <w:tcBorders>
              <w:right w:val="double" w:color="auto" w:sz="4" w:space="0"/>
            </w:tcBorders>
            <w:noWrap/>
            <w:vAlign w:val="center"/>
          </w:tcPr>
          <w:p w14:paraId="0284A69B">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13AFA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86" w:type="dxa"/>
            <w:tcBorders>
              <w:left w:val="double" w:color="auto" w:sz="4" w:space="0"/>
            </w:tcBorders>
            <w:noWrap/>
            <w:vAlign w:val="center"/>
          </w:tcPr>
          <w:p w14:paraId="33EB34F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914" w:type="dxa"/>
            <w:noWrap/>
            <w:vAlign w:val="center"/>
          </w:tcPr>
          <w:p w14:paraId="05F9A2DB">
            <w:pPr>
              <w:snapToGrid w:val="0"/>
              <w:spacing w:line="288" w:lineRule="auto"/>
              <w:ind w:firstLine="458"/>
              <w:jc w:val="center"/>
              <w:rPr>
                <w:rFonts w:ascii="宋体" w:hAnsi="宋体" w:cs="宋体"/>
                <w:color w:val="auto"/>
                <w:szCs w:val="21"/>
                <w:highlight w:val="none"/>
              </w:rPr>
            </w:pPr>
          </w:p>
        </w:tc>
        <w:tc>
          <w:tcPr>
            <w:tcW w:w="1823" w:type="dxa"/>
            <w:noWrap/>
            <w:vAlign w:val="center"/>
          </w:tcPr>
          <w:p w14:paraId="59555BD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99" w:type="dxa"/>
            <w:tcBorders>
              <w:right w:val="double" w:color="auto" w:sz="4" w:space="0"/>
            </w:tcBorders>
            <w:noWrap/>
            <w:vAlign w:val="center"/>
          </w:tcPr>
          <w:p w14:paraId="26E75C7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7FBBB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2A349C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914" w:type="dxa"/>
            <w:noWrap/>
            <w:vAlign w:val="center"/>
          </w:tcPr>
          <w:p w14:paraId="7C77947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823" w:type="dxa"/>
            <w:noWrap/>
            <w:vAlign w:val="center"/>
          </w:tcPr>
          <w:p w14:paraId="60BE0EC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99" w:type="dxa"/>
            <w:tcBorders>
              <w:right w:val="double" w:color="auto" w:sz="4" w:space="0"/>
            </w:tcBorders>
            <w:noWrap/>
            <w:vAlign w:val="center"/>
          </w:tcPr>
          <w:p w14:paraId="3F36B959">
            <w:pPr>
              <w:snapToGrid w:val="0"/>
              <w:spacing w:line="288" w:lineRule="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none"/>
              </w:rPr>
              <w:t>。</w:t>
            </w:r>
            <w:bookmarkEnd w:id="2"/>
          </w:p>
        </w:tc>
      </w:tr>
      <w:tr w14:paraId="68276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684FC5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914" w:type="dxa"/>
            <w:noWrap/>
            <w:vAlign w:val="center"/>
          </w:tcPr>
          <w:p w14:paraId="5A1C4F9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15.1</w:t>
            </w:r>
          </w:p>
        </w:tc>
        <w:tc>
          <w:tcPr>
            <w:tcW w:w="1823" w:type="dxa"/>
            <w:noWrap/>
            <w:vAlign w:val="center"/>
          </w:tcPr>
          <w:p w14:paraId="4A44A0B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899" w:type="dxa"/>
            <w:tcBorders>
              <w:right w:val="double" w:color="auto" w:sz="4" w:space="0"/>
            </w:tcBorders>
            <w:noWrap/>
            <w:vAlign w:val="center"/>
          </w:tcPr>
          <w:p w14:paraId="4974B46C">
            <w:pPr>
              <w:snapToGrid w:val="0"/>
              <w:spacing w:line="288" w:lineRule="auto"/>
              <w:rPr>
                <w:rFonts w:ascii="宋体" w:hAnsi="宋体" w:cs="宋体"/>
                <w:color w:val="auto"/>
                <w:szCs w:val="21"/>
                <w:highlight w:val="none"/>
                <w:u w:val="single"/>
              </w:rPr>
            </w:pPr>
            <w:r>
              <w:rPr>
                <w:rFonts w:ascii="宋体" w:hAnsi="宋体" w:cs="宋体"/>
                <w:b/>
                <w:color w:val="auto"/>
                <w:szCs w:val="21"/>
                <w:highlight w:val="none"/>
                <w:u w:val="single"/>
              </w:rPr>
              <w:t>90</w:t>
            </w:r>
            <w:r>
              <w:rPr>
                <w:rFonts w:hint="eastAsia" w:ascii="宋体" w:hAnsi="宋体" w:cs="宋体"/>
                <w:b/>
                <w:color w:val="auto"/>
                <w:szCs w:val="21"/>
                <w:highlight w:val="none"/>
              </w:rPr>
              <w:t>日历天</w:t>
            </w:r>
            <w:r>
              <w:rPr>
                <w:rFonts w:hint="eastAsia" w:ascii="宋体" w:hAnsi="宋体" w:cs="宋体"/>
                <w:color w:val="auto"/>
                <w:szCs w:val="21"/>
                <w:highlight w:val="none"/>
              </w:rPr>
              <w:t>。（从投标截止之日计起）。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5F715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4F992FB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914" w:type="dxa"/>
            <w:noWrap/>
            <w:vAlign w:val="center"/>
          </w:tcPr>
          <w:p w14:paraId="0EDBD04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16.1</w:t>
            </w:r>
          </w:p>
        </w:tc>
        <w:tc>
          <w:tcPr>
            <w:tcW w:w="1823" w:type="dxa"/>
            <w:noWrap/>
            <w:vAlign w:val="center"/>
          </w:tcPr>
          <w:p w14:paraId="2416C42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899" w:type="dxa"/>
            <w:tcBorders>
              <w:right w:val="double" w:color="auto" w:sz="4" w:space="0"/>
            </w:tcBorders>
            <w:noWrap/>
            <w:vAlign w:val="center"/>
          </w:tcPr>
          <w:p w14:paraId="79C0635E">
            <w:pPr>
              <w:pStyle w:val="12"/>
              <w:ind w:firstLine="0"/>
              <w:rPr>
                <w:rFonts w:hint="eastAsia" w:ascii="宋体" w:hAnsi="宋体" w:cs="宋体"/>
                <w:bCs/>
                <w:color w:val="auto"/>
                <w:sz w:val="21"/>
                <w:szCs w:val="21"/>
              </w:rPr>
            </w:pPr>
            <w:r>
              <w:rPr>
                <w:rFonts w:hint="eastAsia" w:ascii="宋体" w:hAnsi="宋体" w:cs="宋体"/>
                <w:bCs/>
                <w:color w:val="auto"/>
                <w:sz w:val="21"/>
                <w:szCs w:val="21"/>
              </w:rPr>
              <w:t>是否要求投标人递交投标保证金：</w:t>
            </w:r>
          </w:p>
          <w:p w14:paraId="0777448C">
            <w:pPr>
              <w:pStyle w:val="12"/>
              <w:ind w:firstLine="0"/>
              <w:rPr>
                <w:rFonts w:hint="eastAsia" w:ascii="宋体" w:hAnsi="宋体" w:cs="宋体"/>
                <w:bCs/>
                <w:color w:val="auto"/>
                <w:sz w:val="21"/>
                <w:szCs w:val="21"/>
                <w:highlight w:val="none"/>
              </w:rPr>
            </w:pPr>
            <w:r>
              <w:rPr>
                <w:rFonts w:hint="eastAsia" w:ascii="宋体" w:hAnsi="宋体" w:cs="宋体"/>
                <w:bCs/>
                <w:color w:val="auto"/>
                <w:sz w:val="21"/>
                <w:szCs w:val="21"/>
              </w:rPr>
              <w:t>■要求，投标保</w:t>
            </w:r>
            <w:r>
              <w:rPr>
                <w:rFonts w:hint="eastAsia" w:ascii="宋体" w:hAnsi="宋体" w:cs="宋体"/>
                <w:bCs/>
                <w:color w:val="auto"/>
                <w:sz w:val="21"/>
                <w:szCs w:val="21"/>
                <w:highlight w:val="none"/>
              </w:rPr>
              <w:t>证金金额：人民币</w:t>
            </w:r>
            <w:r>
              <w:rPr>
                <w:rFonts w:hint="eastAsia" w:ascii="宋体" w:hAnsi="宋体" w:cs="宋体"/>
                <w:bCs/>
                <w:color w:val="auto"/>
                <w:sz w:val="21"/>
                <w:szCs w:val="21"/>
                <w:highlight w:val="none"/>
                <w:u w:val="single"/>
                <w:lang w:val="en-US" w:eastAsia="zh-CN"/>
              </w:rPr>
              <w:t>5</w:t>
            </w:r>
            <w:r>
              <w:rPr>
                <w:rFonts w:hint="eastAsia" w:ascii="宋体" w:hAnsi="宋体" w:cs="宋体"/>
                <w:bCs/>
                <w:color w:val="auto"/>
                <w:sz w:val="21"/>
                <w:szCs w:val="21"/>
                <w:highlight w:val="none"/>
                <w:u w:val="single"/>
              </w:rPr>
              <w:t>0</w:t>
            </w:r>
            <w:r>
              <w:rPr>
                <w:rFonts w:hint="eastAsia" w:ascii="宋体" w:hAnsi="宋体" w:cs="宋体"/>
                <w:bCs/>
                <w:color w:val="auto"/>
                <w:sz w:val="21"/>
                <w:szCs w:val="21"/>
                <w:highlight w:val="none"/>
              </w:rPr>
              <w:t>万元。</w:t>
            </w:r>
          </w:p>
          <w:p w14:paraId="543A776B">
            <w:pPr>
              <w:pStyle w:val="12"/>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投标保证金缴纳时间：在递交投标文件截止时间之前。</w:t>
            </w:r>
          </w:p>
          <w:p w14:paraId="02CE7924">
            <w:pPr>
              <w:pStyle w:val="12"/>
              <w:rPr>
                <w:rFonts w:hint="eastAsia" w:ascii="宋体" w:hAnsi="宋体" w:cs="宋体"/>
                <w:bCs/>
                <w:color w:val="auto"/>
                <w:sz w:val="21"/>
                <w:szCs w:val="21"/>
              </w:rPr>
            </w:pPr>
            <w:r>
              <w:rPr>
                <w:rFonts w:hint="eastAsia" w:ascii="宋体" w:hAnsi="宋体" w:cs="宋体"/>
                <w:bCs/>
                <w:color w:val="auto"/>
                <w:sz w:val="21"/>
                <w:szCs w:val="21"/>
                <w:highlight w:val="none"/>
              </w:rPr>
              <w:t>投标保证金有效期：与投标有效</w:t>
            </w:r>
            <w:r>
              <w:rPr>
                <w:rFonts w:hint="eastAsia" w:ascii="宋体" w:hAnsi="宋体" w:cs="宋体"/>
                <w:bCs/>
                <w:color w:val="auto"/>
                <w:sz w:val="21"/>
                <w:szCs w:val="21"/>
              </w:rPr>
              <w:t>期一致。</w:t>
            </w:r>
          </w:p>
          <w:p w14:paraId="13281737">
            <w:pPr>
              <w:pStyle w:val="12"/>
              <w:rPr>
                <w:rFonts w:hint="eastAsia" w:ascii="宋体" w:hAnsi="宋体" w:cs="宋体"/>
                <w:bCs/>
                <w:color w:val="auto"/>
                <w:sz w:val="21"/>
                <w:szCs w:val="21"/>
              </w:rPr>
            </w:pPr>
            <w:r>
              <w:rPr>
                <w:rFonts w:hint="eastAsia" w:ascii="宋体" w:hAnsi="宋体" w:cs="宋体"/>
                <w:bCs/>
                <w:color w:val="auto"/>
                <w:sz w:val="21"/>
                <w:szCs w:val="21"/>
              </w:rPr>
              <w:t>投标保证金的形式：投标保证金可采用现金、支票、银行保函、保证保险、专业工程担保公司担保等方式缴纳，须在递交投标文件截止时间前完成缴纳。</w:t>
            </w:r>
          </w:p>
          <w:p w14:paraId="0DBFF643">
            <w:pPr>
              <w:pStyle w:val="12"/>
              <w:rPr>
                <w:rFonts w:hint="eastAsia" w:ascii="宋体" w:hAnsi="宋体" w:cs="宋体"/>
                <w:bCs/>
                <w:color w:val="auto"/>
                <w:sz w:val="21"/>
                <w:szCs w:val="21"/>
              </w:rPr>
            </w:pPr>
            <w:r>
              <w:rPr>
                <w:rFonts w:hint="eastAsia" w:ascii="宋体" w:hAnsi="宋体" w:cs="宋体"/>
                <w:bCs/>
                <w:color w:val="auto"/>
                <w:sz w:val="21"/>
                <w:szCs w:val="21"/>
              </w:rPr>
              <w:t>1、如采用现金或者支票形式提交的，投标保证金从投标人基本账户递交，由广州交易集团有限公司代收。具体操作要求详见广州交易集团有限公司（广州公共资源交易中心）有关指引，递交事宜请自行咨询交易中心(咨询电话：020-28866000)；请各投标人在投标文件递交截止时间前按上述金额递交至广州交易集团有限公司，到账情况以开标时广州交易集团有限公司（广州公共资源交易中心）数据库查询的信息为准。</w:t>
            </w:r>
          </w:p>
          <w:p w14:paraId="18D0206D">
            <w:pPr>
              <w:pStyle w:val="12"/>
              <w:rPr>
                <w:rFonts w:hint="eastAsia" w:ascii="宋体" w:hAnsi="宋体" w:cs="宋体"/>
                <w:bCs/>
                <w:color w:val="auto"/>
                <w:sz w:val="21"/>
                <w:szCs w:val="21"/>
              </w:rPr>
            </w:pPr>
            <w:r>
              <w:rPr>
                <w:rFonts w:hint="eastAsia" w:ascii="宋体" w:hAnsi="宋体" w:cs="宋体"/>
                <w:bCs/>
                <w:color w:val="auto"/>
                <w:sz w:val="21"/>
                <w:szCs w:val="21"/>
              </w:rPr>
              <w:t>收款单位：广州交易集团有限公司</w:t>
            </w:r>
          </w:p>
          <w:p w14:paraId="6CE7EB3D">
            <w:pPr>
              <w:pStyle w:val="12"/>
              <w:rPr>
                <w:rFonts w:hint="eastAsia" w:ascii="宋体" w:hAnsi="宋体" w:cs="宋体"/>
                <w:bCs/>
                <w:color w:val="auto"/>
                <w:sz w:val="21"/>
                <w:szCs w:val="21"/>
              </w:rPr>
            </w:pPr>
            <w:r>
              <w:rPr>
                <w:rFonts w:hint="eastAsia" w:ascii="宋体" w:hAnsi="宋体" w:cs="宋体"/>
                <w:bCs/>
                <w:color w:val="auto"/>
                <w:sz w:val="21"/>
                <w:szCs w:val="21"/>
              </w:rPr>
              <w:t>开户银行：中国建设银行广州天润路支行</w:t>
            </w:r>
          </w:p>
          <w:p w14:paraId="728CE7C8">
            <w:pPr>
              <w:pStyle w:val="12"/>
              <w:rPr>
                <w:rFonts w:hint="eastAsia" w:ascii="宋体" w:hAnsi="宋体" w:cs="宋体"/>
                <w:bCs/>
                <w:color w:val="auto"/>
                <w:sz w:val="21"/>
                <w:szCs w:val="21"/>
              </w:rPr>
            </w:pPr>
            <w:r>
              <w:rPr>
                <w:rFonts w:hint="eastAsia" w:ascii="宋体" w:hAnsi="宋体" w:cs="宋体"/>
                <w:bCs/>
                <w:color w:val="auto"/>
                <w:sz w:val="21"/>
                <w:szCs w:val="21"/>
              </w:rPr>
              <w:t>银行账号：44001583404059333333；</w:t>
            </w:r>
          </w:p>
          <w:p w14:paraId="3A203377">
            <w:pPr>
              <w:pStyle w:val="12"/>
              <w:rPr>
                <w:rFonts w:hint="eastAsia" w:ascii="宋体" w:hAnsi="宋体" w:cs="宋体"/>
                <w:bCs/>
                <w:color w:val="auto"/>
                <w:sz w:val="21"/>
                <w:szCs w:val="21"/>
              </w:rPr>
            </w:pPr>
            <w:r>
              <w:rPr>
                <w:rFonts w:hint="eastAsia" w:ascii="宋体" w:hAnsi="宋体" w:cs="宋体"/>
                <w:bCs/>
                <w:color w:val="auto"/>
                <w:sz w:val="21"/>
                <w:szCs w:val="21"/>
              </w:rPr>
              <w:t>2、如采用非电子形式的银行保函、担保或保证保险或专业工程担保公司担保等形式提交投标保证金的形式提交的，银行保函、或保证保险或专业工程担保公司担保需开具给招标人（受益人也必须是招标人）且有效期不少于投标有效期。在开标前不强制要求投标人提交纸质原件，但投标人应在投标文件中提交非电子形式的银行保函、担保或保证保险或专业工程担保公司担保等形式的原件扫描件并加盖投标单位电子印章。合格的中标候选人在中标候选人公示前提交纸质原件给招标人，若投标有效期延长的，银行保函（或担保、或保证保险、或专业担保公司担保）有效期应相应延长，且延长后的有效期应满足前述要求。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w:t>
            </w:r>
            <w:r>
              <w:rPr>
                <w:rFonts w:hint="eastAsia" w:ascii="宋体" w:hAnsi="宋体" w:cs="宋体"/>
                <w:bCs/>
                <w:color w:val="auto"/>
                <w:sz w:val="21"/>
                <w:szCs w:val="21"/>
                <w:u w:val="single"/>
              </w:rPr>
              <w:t>或U盘</w:t>
            </w:r>
            <w:r>
              <w:rPr>
                <w:rFonts w:hint="eastAsia" w:ascii="宋体" w:hAnsi="宋体" w:cs="宋体"/>
                <w:bCs/>
                <w:color w:val="auto"/>
                <w:sz w:val="21"/>
                <w:szCs w:val="21"/>
              </w:rPr>
              <w:t>的时间及地点）。</w:t>
            </w:r>
          </w:p>
          <w:p w14:paraId="6949B044">
            <w:pPr>
              <w:pStyle w:val="12"/>
              <w:rPr>
                <w:rFonts w:hint="eastAsia" w:ascii="宋体" w:hAnsi="宋体" w:cs="宋体"/>
                <w:bCs/>
                <w:color w:val="auto"/>
                <w:sz w:val="21"/>
                <w:szCs w:val="21"/>
              </w:rPr>
            </w:pPr>
            <w:r>
              <w:rPr>
                <w:rFonts w:hint="eastAsia" w:ascii="宋体" w:hAnsi="宋体" w:cs="宋体"/>
                <w:bCs/>
                <w:color w:val="auto"/>
                <w:sz w:val="21"/>
                <w:szCs w:val="21"/>
              </w:rPr>
              <w:t>3、如采用电子形式的保函、保证保险或担保提交投标保证金的，详见广州交易集团有限公司（广州公共资源交易中心）的相关操作指引为准。</w:t>
            </w:r>
          </w:p>
          <w:p w14:paraId="31D128DA">
            <w:pPr>
              <w:snapToGrid w:val="0"/>
              <w:spacing w:line="288" w:lineRule="auto"/>
              <w:rPr>
                <w:rFonts w:ascii="宋体" w:hAnsi="宋体" w:cs="宋体"/>
                <w:color w:val="auto"/>
                <w:szCs w:val="21"/>
                <w:highlight w:val="none"/>
                <w:u w:val="single"/>
              </w:rPr>
            </w:pPr>
            <w:r>
              <w:rPr>
                <w:rFonts w:hint="eastAsia" w:ascii="宋体" w:hAnsi="宋体" w:cs="宋体"/>
                <w:color w:val="auto"/>
                <w:sz w:val="21"/>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r>
              <w:rPr>
                <w:rFonts w:hint="eastAsia" w:ascii="宋体" w:hAnsi="宋体" w:cs="宋体"/>
                <w:color w:val="auto"/>
                <w:sz w:val="16"/>
                <w:szCs w:val="18"/>
              </w:rPr>
              <w:t>。</w:t>
            </w:r>
          </w:p>
        </w:tc>
      </w:tr>
      <w:tr w14:paraId="670F4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C5DD93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914" w:type="dxa"/>
            <w:noWrap/>
            <w:vAlign w:val="center"/>
          </w:tcPr>
          <w:p w14:paraId="6584D2E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823" w:type="dxa"/>
            <w:noWrap/>
            <w:vAlign w:val="center"/>
          </w:tcPr>
          <w:p w14:paraId="7395F5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899" w:type="dxa"/>
            <w:tcBorders>
              <w:right w:val="double" w:color="auto" w:sz="4" w:space="0"/>
            </w:tcBorders>
            <w:noWrap/>
            <w:vAlign w:val="center"/>
          </w:tcPr>
          <w:p w14:paraId="4E229C5B">
            <w:pPr>
              <w:pStyle w:val="19"/>
              <w:snapToGrid w:val="0"/>
              <w:spacing w:line="288" w:lineRule="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2797C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08F4DF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914" w:type="dxa"/>
            <w:noWrap/>
            <w:vAlign w:val="center"/>
          </w:tcPr>
          <w:p w14:paraId="0FC47DF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823" w:type="dxa"/>
            <w:noWrap/>
            <w:vAlign w:val="center"/>
          </w:tcPr>
          <w:p w14:paraId="0DFC46F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投标答疑</w:t>
            </w:r>
          </w:p>
        </w:tc>
        <w:tc>
          <w:tcPr>
            <w:tcW w:w="5899" w:type="dxa"/>
            <w:tcBorders>
              <w:right w:val="double" w:color="auto" w:sz="4" w:space="0"/>
            </w:tcBorders>
            <w:noWrap/>
            <w:vAlign w:val="center"/>
          </w:tcPr>
          <w:p w14:paraId="06F09384">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14:paraId="44BFED7C">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3EE83733">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14:paraId="5A635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04F6DCF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914" w:type="dxa"/>
            <w:noWrap/>
            <w:vAlign w:val="center"/>
          </w:tcPr>
          <w:p w14:paraId="2A19F7C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20BC7F81">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99" w:type="dxa"/>
            <w:tcBorders>
              <w:right w:val="double" w:color="auto" w:sz="4" w:space="0"/>
            </w:tcBorders>
            <w:noWrap/>
            <w:vAlign w:val="center"/>
          </w:tcPr>
          <w:p w14:paraId="5FB23883">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5A879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095BD2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914" w:type="dxa"/>
            <w:noWrap/>
            <w:vAlign w:val="center"/>
          </w:tcPr>
          <w:p w14:paraId="0AE8389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0CD12E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899" w:type="dxa"/>
            <w:tcBorders>
              <w:right w:val="double" w:color="auto" w:sz="4" w:space="0"/>
            </w:tcBorders>
            <w:noWrap/>
            <w:vAlign w:val="center"/>
          </w:tcPr>
          <w:p w14:paraId="7E1E957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4373D356">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78CF2BCD">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706A3993">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w:t>
            </w:r>
          </w:p>
          <w:p w14:paraId="349DE528">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14:paraId="580BF919">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14:paraId="01CC2AB2">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40E99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0EEA62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914" w:type="dxa"/>
            <w:noWrap/>
            <w:vAlign w:val="center"/>
          </w:tcPr>
          <w:p w14:paraId="692C5E1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23" w:type="dxa"/>
            <w:noWrap/>
            <w:vAlign w:val="center"/>
          </w:tcPr>
          <w:p w14:paraId="6DC093BD">
            <w:pPr>
              <w:pStyle w:val="31"/>
              <w:snapToGrid w:val="0"/>
              <w:spacing w:after="0" w:line="288" w:lineRule="auto"/>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评标办法采用评定分离</w:t>
            </w:r>
          </w:p>
        </w:tc>
        <w:tc>
          <w:tcPr>
            <w:tcW w:w="5899" w:type="dxa"/>
            <w:tcBorders>
              <w:right w:val="double" w:color="auto" w:sz="4" w:space="0"/>
            </w:tcBorders>
            <w:noWrap/>
            <w:vAlign w:val="center"/>
          </w:tcPr>
          <w:p w14:paraId="7E3C695C">
            <w:pPr>
              <w:snapToGrid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采用评定分离评标定标办法：</w:t>
            </w:r>
          </w:p>
          <w:p w14:paraId="101E365D">
            <w:pPr>
              <w:snapToGrid w:val="0"/>
              <w:spacing w:line="288"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评标采用“有限数量制评审法”推荐合格中标候选人</w:t>
            </w:r>
            <w:r>
              <w:rPr>
                <w:rFonts w:hint="eastAsia" w:ascii="宋体" w:hAnsi="宋体" w:cs="宋体"/>
                <w:color w:val="auto"/>
                <w:szCs w:val="21"/>
                <w:highlight w:val="none"/>
                <w:lang w:eastAsia="zh-CN"/>
              </w:rPr>
              <w:t>。</w:t>
            </w:r>
          </w:p>
          <w:p w14:paraId="1E69ADF3">
            <w:pPr>
              <w:snapToGrid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评标选用：选取方法七（适合综合评分法四，技术标与经济标同时开启）</w:t>
            </w:r>
          </w:p>
          <w:p w14:paraId="7F6B5ED6">
            <w:pPr>
              <w:snapToGrid w:val="0"/>
              <w:spacing w:line="288" w:lineRule="auto"/>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技术分（100分）=企业资信（</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0分）＋项目组织管理机构能力（</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0分）＋</w:t>
            </w:r>
            <w:r>
              <w:rPr>
                <w:rFonts w:hint="eastAsia" w:ascii="宋体" w:hAnsi="宋体" w:cs="宋体"/>
                <w:color w:val="auto"/>
                <w:szCs w:val="21"/>
                <w:highlight w:val="none"/>
                <w:lang w:val="en-US" w:eastAsia="zh-CN"/>
              </w:rPr>
              <w:t>施工组织设计</w:t>
            </w:r>
            <w:r>
              <w:rPr>
                <w:rFonts w:hint="eastAsia" w:ascii="宋体" w:hAnsi="宋体" w:cs="宋体"/>
                <w:color w:val="auto"/>
                <w:szCs w:val="21"/>
                <w:highlight w:val="none"/>
              </w:rPr>
              <w:t>（</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0分）</w:t>
            </w:r>
          </w:p>
          <w:p w14:paraId="109DA176">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highlight w:val="none"/>
                <w:u w:val="none"/>
              </w:rPr>
            </w:pPr>
            <w:r>
              <w:rPr>
                <w:rFonts w:hint="eastAsia" w:ascii="宋体" w:hAnsi="宋体" w:eastAsia="宋体" w:cs="宋体"/>
                <w:color w:val="auto"/>
                <w:sz w:val="21"/>
                <w:szCs w:val="21"/>
                <w:highlight w:val="none"/>
                <w:u w:val="none"/>
              </w:rPr>
              <w:t>总得分=技术分×技术分权重（</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0%）+经济分×经济分权重（</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0%）</w:t>
            </w:r>
          </w:p>
          <w:p w14:paraId="3A4F3888">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1.推荐</w:t>
            </w:r>
            <w:r>
              <w:rPr>
                <w:rFonts w:hint="eastAsia" w:ascii="宋体" w:hAnsi="宋体" w:cs="宋体"/>
                <w:b/>
                <w:bCs/>
                <w:color w:val="auto"/>
                <w:kern w:val="2"/>
                <w:sz w:val="21"/>
                <w:szCs w:val="21"/>
                <w:highlight w:val="none"/>
              </w:rPr>
              <w:t>3-</w:t>
            </w:r>
            <w:r>
              <w:rPr>
                <w:rFonts w:hint="eastAsia" w:ascii="宋体" w:hAnsi="宋体" w:cs="宋体"/>
                <w:b/>
                <w:bCs/>
                <w:color w:val="auto"/>
                <w:kern w:val="2"/>
                <w:sz w:val="21"/>
                <w:szCs w:val="21"/>
                <w:highlight w:val="none"/>
                <w:lang w:val="en-US" w:eastAsia="zh-CN"/>
              </w:rPr>
              <w:t>8</w:t>
            </w:r>
            <w:r>
              <w:rPr>
                <w:rFonts w:hint="eastAsia" w:ascii="宋体" w:hAnsi="宋体" w:cs="宋体"/>
                <w:b/>
                <w:bCs/>
                <w:color w:val="auto"/>
                <w:kern w:val="2"/>
                <w:sz w:val="21"/>
                <w:szCs w:val="21"/>
                <w:highlight w:val="none"/>
              </w:rPr>
              <w:t>名</w:t>
            </w:r>
            <w:r>
              <w:rPr>
                <w:rFonts w:hint="eastAsia" w:ascii="宋体" w:hAnsi="宋体" w:cs="宋体"/>
                <w:color w:val="auto"/>
                <w:kern w:val="2"/>
                <w:sz w:val="21"/>
                <w:szCs w:val="21"/>
                <w:highlight w:val="none"/>
              </w:rPr>
              <w:t>合格中标候选人，推荐方式如下：</w:t>
            </w:r>
          </w:p>
          <w:p w14:paraId="58491481">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（1）对于投标报价低于成本警示价的投标人：</w:t>
            </w:r>
          </w:p>
          <w:p w14:paraId="12F30BFB">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不参加经济标评审，但需参加技术标详细评审及经济标有效性审查。评标委员会根据</w:t>
            </w:r>
            <w:r>
              <w:rPr>
                <w:rFonts w:hint="eastAsia" w:ascii="宋体" w:hAnsi="宋体" w:cs="宋体"/>
                <w:b/>
                <w:bCs/>
                <w:color w:val="auto"/>
                <w:kern w:val="2"/>
                <w:sz w:val="21"/>
                <w:szCs w:val="21"/>
                <w:highlight w:val="none"/>
              </w:rPr>
              <w:t>技术分</w:t>
            </w:r>
            <w:r>
              <w:rPr>
                <w:rFonts w:hint="eastAsia" w:ascii="宋体" w:hAnsi="宋体" w:cs="宋体"/>
                <w:color w:val="auto"/>
                <w:kern w:val="2"/>
                <w:sz w:val="21"/>
                <w:szCs w:val="21"/>
                <w:highlight w:val="none"/>
              </w:rPr>
              <w:t>排序，推荐通过经济标有效性审查的前</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名投标人为合格中标候选人进入定标阶段。</w:t>
            </w:r>
          </w:p>
          <w:p w14:paraId="36D55FAA">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（2）对于投标报价不低于成本警示价的投标人推荐方式：</w:t>
            </w:r>
          </w:p>
          <w:p w14:paraId="71780FF9">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需参加技术标、经济标详细评审。评标委员会根据</w:t>
            </w:r>
            <w:r>
              <w:rPr>
                <w:rFonts w:hint="eastAsia" w:ascii="宋体" w:hAnsi="宋体" w:cs="宋体"/>
                <w:b/>
                <w:bCs/>
                <w:color w:val="auto"/>
                <w:kern w:val="2"/>
                <w:sz w:val="21"/>
                <w:szCs w:val="21"/>
                <w:highlight w:val="none"/>
              </w:rPr>
              <w:t>总得分</w:t>
            </w:r>
            <w:r>
              <w:rPr>
                <w:rFonts w:hint="eastAsia" w:ascii="宋体" w:hAnsi="宋体" w:cs="宋体"/>
                <w:color w:val="auto"/>
                <w:kern w:val="2"/>
                <w:sz w:val="21"/>
                <w:szCs w:val="21"/>
                <w:highlight w:val="none"/>
              </w:rPr>
              <w:t>排序，推荐前</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名投标人为合格中标候选人进入定标阶段。（若通过详细评审的投标人不足</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名，则通过详细评审的投标人投标人直接推荐为中标候选人）。</w:t>
            </w:r>
          </w:p>
          <w:p w14:paraId="023988D4">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2.当合格中标候选人小于3名时，招标人应重新招标。</w:t>
            </w:r>
          </w:p>
          <w:p w14:paraId="1C9C7F61">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合格中标候选人不排序，按统一社会信用代码后4位（除校验码外）大小排位，如统一社会信用代码后4位出现字母情况的，字母以“0”进行代替大小排位；如出现后4位（除校验码外）大小一致的，则随机排位。】</w:t>
            </w:r>
          </w:p>
          <w:p w14:paraId="5271042F">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rPr>
              <w:t>定标采用</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评分法</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确认中标人。</w:t>
            </w:r>
          </w:p>
          <w:p w14:paraId="191DABE9">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定标因素为：（1）</w:t>
            </w:r>
            <w:r>
              <w:rPr>
                <w:rFonts w:hint="eastAsia" w:ascii="宋体" w:hAnsi="宋体" w:cs="宋体"/>
                <w:color w:val="auto"/>
                <w:kern w:val="2"/>
                <w:sz w:val="21"/>
                <w:szCs w:val="21"/>
                <w:highlight w:val="none"/>
                <w:lang w:val="en-US" w:eastAsia="zh-CN"/>
              </w:rPr>
              <w:t>方案因素、（2）</w:t>
            </w:r>
            <w:r>
              <w:rPr>
                <w:rFonts w:hint="eastAsia" w:ascii="宋体" w:hAnsi="宋体" w:cs="宋体"/>
                <w:color w:val="auto"/>
                <w:kern w:val="2"/>
                <w:sz w:val="21"/>
                <w:szCs w:val="21"/>
                <w:highlight w:val="none"/>
              </w:rPr>
              <w:t>答辩因素</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价格因素</w:t>
            </w:r>
            <w:r>
              <w:rPr>
                <w:rFonts w:hint="eastAsia" w:ascii="宋体" w:hAnsi="宋体" w:cs="宋体"/>
                <w:color w:val="auto"/>
                <w:kern w:val="2"/>
                <w:sz w:val="21"/>
                <w:szCs w:val="21"/>
                <w:highlight w:val="none"/>
                <w:lang w:eastAsia="zh-CN"/>
              </w:rPr>
              <w:t>；具体要求详见第二章开标、评标及定标办法</w:t>
            </w:r>
          </w:p>
        </w:tc>
      </w:tr>
      <w:tr w14:paraId="2E58F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6" w:type="dxa"/>
            <w:tcBorders>
              <w:left w:val="double" w:color="auto" w:sz="4" w:space="0"/>
            </w:tcBorders>
            <w:noWrap/>
            <w:vAlign w:val="center"/>
          </w:tcPr>
          <w:p w14:paraId="1B8802F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914" w:type="dxa"/>
            <w:noWrap/>
            <w:vAlign w:val="center"/>
          </w:tcPr>
          <w:p w14:paraId="04B74AE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823" w:type="dxa"/>
            <w:noWrap/>
            <w:vAlign w:val="center"/>
          </w:tcPr>
          <w:p w14:paraId="1926C7D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899" w:type="dxa"/>
            <w:tcBorders>
              <w:right w:val="double" w:color="auto" w:sz="4" w:space="0"/>
            </w:tcBorders>
            <w:noWrap/>
            <w:vAlign w:val="center"/>
          </w:tcPr>
          <w:p w14:paraId="2E150730">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14:paraId="7935A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86" w:type="dxa"/>
            <w:tcBorders>
              <w:left w:val="double" w:color="auto" w:sz="4" w:space="0"/>
            </w:tcBorders>
            <w:noWrap/>
            <w:vAlign w:val="center"/>
          </w:tcPr>
          <w:p w14:paraId="0449D15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914" w:type="dxa"/>
            <w:noWrap/>
            <w:vAlign w:val="center"/>
          </w:tcPr>
          <w:p w14:paraId="6E4511B4">
            <w:pPr>
              <w:snapToGrid w:val="0"/>
              <w:spacing w:line="288" w:lineRule="auto"/>
              <w:jc w:val="center"/>
              <w:rPr>
                <w:rFonts w:ascii="宋体" w:hAnsi="宋体" w:cs="宋体"/>
                <w:color w:val="auto"/>
                <w:szCs w:val="21"/>
                <w:highlight w:val="none"/>
              </w:rPr>
            </w:pPr>
          </w:p>
        </w:tc>
        <w:tc>
          <w:tcPr>
            <w:tcW w:w="1823" w:type="dxa"/>
            <w:noWrap/>
            <w:vAlign w:val="center"/>
          </w:tcPr>
          <w:p w14:paraId="1189C06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899" w:type="dxa"/>
            <w:tcBorders>
              <w:right w:val="double" w:color="auto" w:sz="4" w:space="0"/>
            </w:tcBorders>
            <w:noWrap/>
            <w:vAlign w:val="center"/>
          </w:tcPr>
          <w:p w14:paraId="68E3EA6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460994136</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61</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14:paraId="069312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86" w:type="dxa"/>
            <w:tcBorders>
              <w:left w:val="double" w:color="auto" w:sz="4" w:space="0"/>
            </w:tcBorders>
            <w:noWrap/>
            <w:vAlign w:val="center"/>
          </w:tcPr>
          <w:p w14:paraId="78597CC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914" w:type="dxa"/>
            <w:noWrap/>
            <w:vAlign w:val="center"/>
          </w:tcPr>
          <w:p w14:paraId="18106FB8">
            <w:pPr>
              <w:snapToGrid w:val="0"/>
              <w:spacing w:line="288" w:lineRule="auto"/>
              <w:jc w:val="center"/>
              <w:rPr>
                <w:rFonts w:ascii="宋体" w:hAnsi="宋体" w:cs="宋体"/>
                <w:color w:val="auto"/>
                <w:szCs w:val="21"/>
                <w:highlight w:val="none"/>
              </w:rPr>
            </w:pPr>
          </w:p>
        </w:tc>
        <w:tc>
          <w:tcPr>
            <w:tcW w:w="1823" w:type="dxa"/>
            <w:noWrap/>
            <w:vAlign w:val="center"/>
          </w:tcPr>
          <w:p w14:paraId="06B07AD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非竞争费用</w:t>
            </w:r>
          </w:p>
        </w:tc>
        <w:tc>
          <w:tcPr>
            <w:tcW w:w="5899" w:type="dxa"/>
            <w:tcBorders>
              <w:right w:val="double" w:color="auto" w:sz="4" w:space="0"/>
            </w:tcBorders>
            <w:noWrap/>
            <w:vAlign w:val="center"/>
          </w:tcPr>
          <w:p w14:paraId="78A2E938">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本项目不含税不可竞争的安全生产措施费（元）：</w:t>
            </w:r>
            <w:r>
              <w:rPr>
                <w:rFonts w:hint="eastAsia" w:ascii="宋体" w:hAnsi="宋体" w:cs="宋体"/>
                <w:color w:val="auto"/>
                <w:szCs w:val="21"/>
                <w:highlight w:val="none"/>
                <w:u w:val="single"/>
              </w:rPr>
              <w:t>11818058.45</w:t>
            </w:r>
            <w:r>
              <w:rPr>
                <w:rFonts w:hint="eastAsia" w:ascii="宋体" w:hAnsi="宋体" w:cs="宋体"/>
                <w:b w:val="0"/>
                <w:bCs/>
                <w:color w:val="auto"/>
                <w:szCs w:val="21"/>
                <w:highlight w:val="none"/>
              </w:rPr>
              <w:t>元</w:t>
            </w:r>
            <w:r>
              <w:rPr>
                <w:rFonts w:hint="eastAsia" w:ascii="宋体" w:hAnsi="宋体" w:cs="宋体"/>
                <w:color w:val="auto"/>
                <w:szCs w:val="21"/>
                <w:highlight w:val="none"/>
              </w:rPr>
              <w:t>（详见最高投标限价公布函），暂列金额为</w:t>
            </w:r>
            <w:r>
              <w:rPr>
                <w:rFonts w:hint="eastAsia" w:ascii="宋体" w:hAnsi="宋体" w:cs="宋体"/>
                <w:color w:val="auto"/>
                <w:szCs w:val="21"/>
                <w:highlight w:val="none"/>
                <w:u w:val="single"/>
                <w:lang w:val="en-US" w:eastAsia="zh-CN"/>
              </w:rPr>
              <w:t xml:space="preserve">5670268.75 </w:t>
            </w:r>
            <w:r>
              <w:rPr>
                <w:rFonts w:hint="eastAsia" w:ascii="宋体" w:hAnsi="宋体" w:cs="宋体"/>
                <w:b w:val="0"/>
                <w:bCs/>
                <w:color w:val="auto"/>
                <w:szCs w:val="21"/>
                <w:highlight w:val="none"/>
              </w:rPr>
              <w:t>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14:paraId="6B2C6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78F41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914" w:type="dxa"/>
            <w:noWrap/>
            <w:vAlign w:val="center"/>
          </w:tcPr>
          <w:p w14:paraId="40B67F2E">
            <w:pPr>
              <w:snapToGrid w:val="0"/>
              <w:spacing w:line="288" w:lineRule="auto"/>
              <w:jc w:val="center"/>
              <w:rPr>
                <w:rFonts w:ascii="宋体" w:hAnsi="宋体" w:cs="宋体"/>
                <w:color w:val="auto"/>
                <w:szCs w:val="21"/>
                <w:highlight w:val="none"/>
              </w:rPr>
            </w:pPr>
          </w:p>
        </w:tc>
        <w:tc>
          <w:tcPr>
            <w:tcW w:w="1823" w:type="dxa"/>
            <w:noWrap/>
            <w:vAlign w:val="center"/>
          </w:tcPr>
          <w:p w14:paraId="32A1A209">
            <w:pPr>
              <w:pStyle w:val="31"/>
              <w:snapToGrid w:val="0"/>
              <w:spacing w:after="0" w:line="288" w:lineRule="auto"/>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99" w:type="dxa"/>
            <w:tcBorders>
              <w:right w:val="double" w:color="auto" w:sz="4" w:space="0"/>
            </w:tcBorders>
            <w:noWrap/>
            <w:vAlign w:val="center"/>
          </w:tcPr>
          <w:p w14:paraId="42B99BD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64627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B6A32E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914" w:type="dxa"/>
            <w:noWrap/>
            <w:vAlign w:val="center"/>
          </w:tcPr>
          <w:p w14:paraId="0B5578E0">
            <w:pPr>
              <w:snapToGrid w:val="0"/>
              <w:spacing w:line="288" w:lineRule="auto"/>
              <w:jc w:val="center"/>
              <w:rPr>
                <w:rFonts w:ascii="宋体" w:hAnsi="宋体" w:cs="宋体"/>
                <w:color w:val="auto"/>
                <w:szCs w:val="21"/>
                <w:highlight w:val="none"/>
              </w:rPr>
            </w:pPr>
          </w:p>
        </w:tc>
        <w:tc>
          <w:tcPr>
            <w:tcW w:w="1823" w:type="dxa"/>
            <w:noWrap/>
            <w:vAlign w:val="center"/>
          </w:tcPr>
          <w:p w14:paraId="0516C7CE">
            <w:pPr>
              <w:snapToGrid w:val="0"/>
              <w:spacing w:line="288" w:lineRule="auto"/>
              <w:jc w:val="center"/>
              <w:rPr>
                <w:rFonts w:ascii="宋体" w:hAnsi="宋体" w:cs="宋体"/>
                <w:strike/>
                <w:dstrike w:val="0"/>
                <w:color w:val="auto"/>
                <w:szCs w:val="21"/>
                <w:highlight w:val="none"/>
              </w:rPr>
            </w:pPr>
            <w:r>
              <w:rPr>
                <w:rFonts w:hint="eastAsia" w:ascii="宋体" w:hAnsi="宋体" w:cs="宋体"/>
                <w:strike/>
                <w:dstrike w:val="0"/>
                <w:color w:val="auto"/>
                <w:szCs w:val="21"/>
                <w:highlight w:val="none"/>
              </w:rPr>
              <w:t>计算评标参考价的等分点值</w:t>
            </w:r>
          </w:p>
        </w:tc>
        <w:tc>
          <w:tcPr>
            <w:tcW w:w="5899" w:type="dxa"/>
            <w:tcBorders>
              <w:right w:val="double" w:color="auto" w:sz="4" w:space="0"/>
            </w:tcBorders>
            <w:noWrap/>
            <w:vAlign w:val="center"/>
          </w:tcPr>
          <w:p w14:paraId="0190FDCF">
            <w:pPr>
              <w:snapToGrid w:val="0"/>
              <w:spacing w:line="288" w:lineRule="auto"/>
              <w:rPr>
                <w:rFonts w:ascii="宋体" w:hAnsi="宋体" w:cs="宋体"/>
                <w:strike/>
                <w:dstrike w:val="0"/>
                <w:color w:val="auto"/>
                <w:szCs w:val="21"/>
                <w:highlight w:val="none"/>
              </w:rPr>
            </w:pPr>
            <w:r>
              <w:rPr>
                <w:rFonts w:hint="eastAsia" w:ascii="宋体" w:hAnsi="宋体" w:eastAsia="宋体" w:cs="宋体"/>
                <w:strike/>
                <w:dstrike w:val="0"/>
                <w:color w:val="auto"/>
                <w:kern w:val="2"/>
                <w:sz w:val="21"/>
                <w:szCs w:val="21"/>
                <w:highlight w:val="none"/>
                <w:lang w:val="en-US" w:eastAsia="zh-CN" w:bidi="ar"/>
              </w:rPr>
              <w:t>计算评标参考价的等分点值X在开标前从[0,100]的整数中随机抽取。</w:t>
            </w:r>
          </w:p>
        </w:tc>
      </w:tr>
      <w:tr w14:paraId="79971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3614BB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914" w:type="dxa"/>
            <w:noWrap/>
            <w:vAlign w:val="center"/>
          </w:tcPr>
          <w:p w14:paraId="583D10A1">
            <w:pPr>
              <w:snapToGrid w:val="0"/>
              <w:spacing w:line="288" w:lineRule="auto"/>
              <w:ind w:firstLine="458"/>
              <w:rPr>
                <w:rFonts w:ascii="宋体" w:hAnsi="宋体" w:cs="宋体"/>
                <w:color w:val="auto"/>
                <w:szCs w:val="21"/>
                <w:highlight w:val="none"/>
              </w:rPr>
            </w:pPr>
          </w:p>
        </w:tc>
        <w:tc>
          <w:tcPr>
            <w:tcW w:w="1823" w:type="dxa"/>
            <w:noWrap/>
            <w:vAlign w:val="center"/>
          </w:tcPr>
          <w:p w14:paraId="1D16729B">
            <w:pPr>
              <w:snapToGrid w:val="0"/>
              <w:spacing w:line="288" w:lineRule="auto"/>
              <w:jc w:val="center"/>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899" w:type="dxa"/>
            <w:tcBorders>
              <w:right w:val="double" w:color="auto" w:sz="4" w:space="0"/>
            </w:tcBorders>
            <w:noWrap/>
            <w:vAlign w:val="center"/>
          </w:tcPr>
          <w:p w14:paraId="7AF6E0C8">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98A1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686" w:type="dxa"/>
            <w:tcBorders>
              <w:left w:val="double" w:color="auto" w:sz="4" w:space="0"/>
            </w:tcBorders>
            <w:noWrap/>
            <w:vAlign w:val="center"/>
          </w:tcPr>
          <w:p w14:paraId="3FD0238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914" w:type="dxa"/>
            <w:noWrap/>
            <w:vAlign w:val="center"/>
          </w:tcPr>
          <w:p w14:paraId="53E87368">
            <w:pPr>
              <w:snapToGrid w:val="0"/>
              <w:spacing w:line="288" w:lineRule="auto"/>
              <w:jc w:val="center"/>
              <w:rPr>
                <w:rFonts w:ascii="宋体" w:hAnsi="宋体" w:cs="宋体"/>
                <w:color w:val="auto"/>
                <w:szCs w:val="21"/>
                <w:highlight w:val="none"/>
              </w:rPr>
            </w:pPr>
          </w:p>
        </w:tc>
        <w:tc>
          <w:tcPr>
            <w:tcW w:w="1823" w:type="dxa"/>
            <w:noWrap/>
            <w:vAlign w:val="center"/>
          </w:tcPr>
          <w:p w14:paraId="7D67EDD6">
            <w:pPr>
              <w:snapToGrid w:val="0"/>
              <w:spacing w:line="288"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工程</w:t>
            </w:r>
            <w:r>
              <w:rPr>
                <w:rFonts w:hint="eastAsia" w:ascii="宋体" w:hAnsi="宋体" w:cs="宋体"/>
                <w:color w:val="auto"/>
                <w:szCs w:val="21"/>
                <w:highlight w:val="none"/>
                <w:lang w:eastAsia="zh-CN"/>
              </w:rPr>
              <w:t>成本警示价</w:t>
            </w:r>
          </w:p>
        </w:tc>
        <w:tc>
          <w:tcPr>
            <w:tcW w:w="5899" w:type="dxa"/>
            <w:tcBorders>
              <w:right w:val="double" w:color="auto" w:sz="4" w:space="0"/>
            </w:tcBorders>
            <w:noWrap/>
            <w:vAlign w:val="center"/>
          </w:tcPr>
          <w:p w14:paraId="793C0204">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按为</w:t>
            </w:r>
            <w:r>
              <w:rPr>
                <w:rFonts w:hint="eastAsia" w:ascii="宋体" w:hAnsi="宋体" w:cs="宋体"/>
                <w:b/>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391845016.12</w:t>
            </w:r>
            <w:r>
              <w:rPr>
                <w:rFonts w:hint="eastAsia" w:ascii="宋体" w:hAnsi="宋体" w:cs="宋体"/>
                <w:b w:val="0"/>
                <w:bCs/>
                <w:color w:val="auto"/>
                <w:szCs w:val="21"/>
                <w:highlight w:val="none"/>
              </w:rPr>
              <w:t>元</w:t>
            </w:r>
            <w:r>
              <w:rPr>
                <w:rFonts w:hint="eastAsia" w:ascii="宋体" w:hAnsi="宋体" w:cs="宋体"/>
                <w:color w:val="auto"/>
                <w:szCs w:val="21"/>
                <w:highlight w:val="none"/>
              </w:rPr>
              <w:t>。对低于该警</w:t>
            </w:r>
            <w:r>
              <w:rPr>
                <w:rFonts w:hint="eastAsia" w:ascii="宋体" w:hAnsi="宋体" w:cs="宋体"/>
                <w:color w:val="auto"/>
                <w:szCs w:val="21"/>
                <w:highlight w:val="none"/>
                <w:lang w:val="en-US" w:eastAsia="zh-CN"/>
              </w:rPr>
              <w:t>示</w:t>
            </w:r>
            <w:r>
              <w:rPr>
                <w:rFonts w:hint="eastAsia" w:ascii="宋体" w:hAnsi="宋体" w:cs="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AB0A093">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w:t>
            </w:r>
            <w:r>
              <w:rPr>
                <w:rFonts w:hint="eastAsia" w:ascii="宋体" w:hAnsi="宋体" w:cs="宋体"/>
                <w:color w:val="auto"/>
                <w:szCs w:val="21"/>
                <w:highlight w:val="none"/>
                <w:lang w:val="en-US" w:eastAsia="zh-CN"/>
              </w:rPr>
              <w:t>示</w:t>
            </w:r>
            <w:r>
              <w:rPr>
                <w:rFonts w:hint="eastAsia" w:ascii="宋体" w:hAnsi="宋体" w:cs="宋体"/>
                <w:color w:val="auto"/>
                <w:szCs w:val="21"/>
                <w:highlight w:val="none"/>
              </w:rPr>
              <w:t>价由招标人决定。</w:t>
            </w:r>
          </w:p>
        </w:tc>
      </w:tr>
      <w:tr w14:paraId="28494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471708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914" w:type="dxa"/>
            <w:noWrap/>
            <w:vAlign w:val="center"/>
          </w:tcPr>
          <w:p w14:paraId="7FFB14F5">
            <w:pPr>
              <w:snapToGrid w:val="0"/>
              <w:spacing w:line="288" w:lineRule="auto"/>
              <w:jc w:val="center"/>
              <w:rPr>
                <w:rFonts w:ascii="宋体" w:hAnsi="宋体" w:cs="宋体"/>
                <w:color w:val="auto"/>
                <w:szCs w:val="21"/>
                <w:highlight w:val="none"/>
              </w:rPr>
            </w:pPr>
          </w:p>
        </w:tc>
        <w:tc>
          <w:tcPr>
            <w:tcW w:w="1823" w:type="dxa"/>
            <w:noWrap/>
            <w:vAlign w:val="center"/>
          </w:tcPr>
          <w:p w14:paraId="1D1A0BE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899" w:type="dxa"/>
            <w:tcBorders>
              <w:right w:val="double" w:color="auto" w:sz="4" w:space="0"/>
            </w:tcBorders>
            <w:noWrap/>
            <w:vAlign w:val="center"/>
          </w:tcPr>
          <w:p w14:paraId="034BC61E">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本款不适用。</w:t>
            </w:r>
          </w:p>
        </w:tc>
      </w:tr>
      <w:tr w14:paraId="07AB6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restart"/>
            <w:tcBorders>
              <w:left w:val="double" w:color="auto" w:sz="4" w:space="0"/>
            </w:tcBorders>
            <w:noWrap/>
            <w:vAlign w:val="center"/>
          </w:tcPr>
          <w:p w14:paraId="38380C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noWrap/>
            <w:vAlign w:val="center"/>
          </w:tcPr>
          <w:p w14:paraId="25258AEF">
            <w:pPr>
              <w:snapToGrid w:val="0"/>
              <w:spacing w:line="288" w:lineRule="auto"/>
              <w:jc w:val="center"/>
              <w:rPr>
                <w:rFonts w:ascii="宋体" w:hAnsi="宋体" w:cs="宋体"/>
                <w:color w:val="auto"/>
                <w:szCs w:val="21"/>
                <w:highlight w:val="none"/>
              </w:rPr>
            </w:pPr>
          </w:p>
        </w:tc>
        <w:tc>
          <w:tcPr>
            <w:tcW w:w="1823" w:type="dxa"/>
            <w:noWrap/>
            <w:vAlign w:val="center"/>
          </w:tcPr>
          <w:p w14:paraId="5BEA593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899" w:type="dxa"/>
            <w:tcBorders>
              <w:right w:val="double" w:color="auto" w:sz="4" w:space="0"/>
            </w:tcBorders>
            <w:noWrap/>
            <w:vAlign w:val="center"/>
          </w:tcPr>
          <w:p w14:paraId="74ABBA4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p w14:paraId="1EE0798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招标代理机构应严格按照《广东省政务服务和数据管理局关于印发广东省综合评标评审专家库评标专家劳务报酬管理办法的通知》（粤政数〔2025〕11 号）的规定向评标专家支付酬金，不得额外支付费用。评标专家对符合《广东省政务服务和数据管理局关于印发广东省综合评标评审专家库评标专家劳务报酬管理办法的通知》（粤政数〔2025〕11 号）的规定计取的专家报酬不得有异议。</w:t>
            </w:r>
          </w:p>
        </w:tc>
      </w:tr>
      <w:tr w14:paraId="414AA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continue"/>
            <w:tcBorders>
              <w:left w:val="double" w:color="auto" w:sz="4" w:space="0"/>
            </w:tcBorders>
            <w:noWrap/>
            <w:vAlign w:val="center"/>
          </w:tcPr>
          <w:p w14:paraId="7603CA16">
            <w:pPr>
              <w:snapToGrid w:val="0"/>
              <w:spacing w:line="288" w:lineRule="auto"/>
              <w:jc w:val="center"/>
              <w:rPr>
                <w:rFonts w:ascii="宋体" w:hAnsi="宋体" w:cs="宋体"/>
                <w:color w:val="auto"/>
                <w:szCs w:val="21"/>
                <w:highlight w:val="none"/>
              </w:rPr>
            </w:pPr>
          </w:p>
        </w:tc>
        <w:tc>
          <w:tcPr>
            <w:tcW w:w="914" w:type="dxa"/>
            <w:vMerge w:val="continue"/>
            <w:noWrap/>
            <w:vAlign w:val="center"/>
          </w:tcPr>
          <w:p w14:paraId="23477E6B">
            <w:pPr>
              <w:snapToGrid w:val="0"/>
              <w:spacing w:line="288" w:lineRule="auto"/>
              <w:jc w:val="center"/>
              <w:rPr>
                <w:rFonts w:ascii="宋体" w:hAnsi="宋体" w:cs="宋体"/>
                <w:color w:val="auto"/>
                <w:szCs w:val="21"/>
                <w:highlight w:val="none"/>
              </w:rPr>
            </w:pPr>
          </w:p>
        </w:tc>
        <w:tc>
          <w:tcPr>
            <w:tcW w:w="1823" w:type="dxa"/>
            <w:noWrap/>
            <w:vAlign w:val="center"/>
          </w:tcPr>
          <w:p w14:paraId="59A2C0BC">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899" w:type="dxa"/>
            <w:tcBorders>
              <w:right w:val="double" w:color="auto" w:sz="4" w:space="0"/>
            </w:tcBorders>
            <w:noWrap/>
            <w:vAlign w:val="center"/>
          </w:tcPr>
          <w:p w14:paraId="20A1A9D2">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定标委员会由招标人依法组建</w:t>
            </w:r>
            <w:r>
              <w:rPr>
                <w:rFonts w:hint="eastAsia" w:ascii="宋体" w:hAnsi="宋体" w:cs="宋体"/>
                <w:color w:val="auto"/>
                <w:szCs w:val="21"/>
                <w:highlight w:val="none"/>
                <w:u w:val="single"/>
                <w:lang w:eastAsia="zh-CN"/>
              </w:rPr>
              <w:t>。</w:t>
            </w:r>
          </w:p>
        </w:tc>
      </w:tr>
      <w:tr w14:paraId="2D6B2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continue"/>
            <w:tcBorders>
              <w:left w:val="double" w:color="auto" w:sz="4" w:space="0"/>
            </w:tcBorders>
            <w:noWrap/>
            <w:vAlign w:val="center"/>
          </w:tcPr>
          <w:p w14:paraId="544EF73A">
            <w:pPr>
              <w:snapToGrid w:val="0"/>
              <w:spacing w:line="288" w:lineRule="auto"/>
              <w:jc w:val="center"/>
              <w:rPr>
                <w:rFonts w:ascii="宋体" w:hAnsi="宋体" w:cs="宋体"/>
                <w:color w:val="auto"/>
                <w:szCs w:val="21"/>
                <w:highlight w:val="none"/>
              </w:rPr>
            </w:pPr>
          </w:p>
        </w:tc>
        <w:tc>
          <w:tcPr>
            <w:tcW w:w="914" w:type="dxa"/>
            <w:vMerge w:val="continue"/>
            <w:noWrap/>
            <w:vAlign w:val="center"/>
          </w:tcPr>
          <w:p w14:paraId="3BD6F698">
            <w:pPr>
              <w:snapToGrid w:val="0"/>
              <w:spacing w:line="288" w:lineRule="auto"/>
              <w:jc w:val="center"/>
              <w:rPr>
                <w:rFonts w:ascii="宋体" w:hAnsi="宋体" w:cs="宋体"/>
                <w:color w:val="auto"/>
                <w:szCs w:val="21"/>
                <w:highlight w:val="none"/>
              </w:rPr>
            </w:pPr>
          </w:p>
        </w:tc>
        <w:tc>
          <w:tcPr>
            <w:tcW w:w="1823" w:type="dxa"/>
            <w:noWrap/>
            <w:vAlign w:val="center"/>
          </w:tcPr>
          <w:p w14:paraId="0284E912">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监督小组人数</w:t>
            </w:r>
          </w:p>
        </w:tc>
        <w:tc>
          <w:tcPr>
            <w:tcW w:w="5899" w:type="dxa"/>
            <w:tcBorders>
              <w:right w:val="double" w:color="auto" w:sz="4" w:space="0"/>
            </w:tcBorders>
            <w:noWrap/>
            <w:vAlign w:val="center"/>
          </w:tcPr>
          <w:p w14:paraId="76B6A4EE">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定标监督小组由招标人组建，人数为2人。</w:t>
            </w:r>
          </w:p>
        </w:tc>
      </w:tr>
      <w:tr w14:paraId="02217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86" w:type="dxa"/>
            <w:tcBorders>
              <w:left w:val="double" w:color="auto" w:sz="4" w:space="0"/>
            </w:tcBorders>
            <w:noWrap/>
            <w:vAlign w:val="center"/>
          </w:tcPr>
          <w:p w14:paraId="63B818E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w:t>
            </w:r>
          </w:p>
        </w:tc>
        <w:tc>
          <w:tcPr>
            <w:tcW w:w="914" w:type="dxa"/>
            <w:noWrap/>
            <w:vAlign w:val="center"/>
          </w:tcPr>
          <w:p w14:paraId="1EC1577A">
            <w:pPr>
              <w:snapToGrid w:val="0"/>
              <w:spacing w:line="288" w:lineRule="auto"/>
              <w:jc w:val="center"/>
              <w:rPr>
                <w:rFonts w:ascii="宋体" w:hAnsi="宋体" w:cs="宋体"/>
                <w:color w:val="auto"/>
                <w:szCs w:val="21"/>
                <w:highlight w:val="none"/>
              </w:rPr>
            </w:pPr>
          </w:p>
        </w:tc>
        <w:tc>
          <w:tcPr>
            <w:tcW w:w="1823" w:type="dxa"/>
            <w:noWrap/>
            <w:vAlign w:val="center"/>
          </w:tcPr>
          <w:p w14:paraId="4C2005B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99" w:type="dxa"/>
            <w:tcBorders>
              <w:right w:val="double" w:color="auto" w:sz="4" w:space="0"/>
            </w:tcBorders>
            <w:noWrap/>
            <w:vAlign w:val="center"/>
          </w:tcPr>
          <w:p w14:paraId="506C437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本工程不设综合诚信评价得分。</w:t>
            </w:r>
          </w:p>
        </w:tc>
      </w:tr>
      <w:tr w14:paraId="54BF8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E0CC14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914" w:type="dxa"/>
            <w:noWrap/>
            <w:vAlign w:val="center"/>
          </w:tcPr>
          <w:p w14:paraId="34B2A30F">
            <w:pPr>
              <w:snapToGrid w:val="0"/>
              <w:spacing w:line="288" w:lineRule="auto"/>
              <w:ind w:firstLine="458"/>
              <w:rPr>
                <w:rFonts w:ascii="宋体" w:hAnsi="宋体" w:cs="宋体"/>
                <w:color w:val="auto"/>
                <w:szCs w:val="21"/>
                <w:highlight w:val="none"/>
              </w:rPr>
            </w:pPr>
          </w:p>
        </w:tc>
        <w:tc>
          <w:tcPr>
            <w:tcW w:w="1823" w:type="dxa"/>
            <w:noWrap/>
            <w:vAlign w:val="center"/>
          </w:tcPr>
          <w:p w14:paraId="6AED1D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99" w:type="dxa"/>
            <w:tcBorders>
              <w:right w:val="double" w:color="auto" w:sz="4" w:space="0"/>
            </w:tcBorders>
            <w:noWrap/>
            <w:vAlign w:val="center"/>
          </w:tcPr>
          <w:p w14:paraId="22A5B170">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7427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8F11C9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914" w:type="dxa"/>
            <w:noWrap/>
            <w:vAlign w:val="center"/>
          </w:tcPr>
          <w:p w14:paraId="3B1620B1">
            <w:pPr>
              <w:snapToGrid w:val="0"/>
              <w:spacing w:line="288" w:lineRule="auto"/>
              <w:ind w:firstLine="458"/>
              <w:rPr>
                <w:rFonts w:ascii="宋体" w:hAnsi="宋体" w:cs="宋体"/>
                <w:color w:val="auto"/>
                <w:szCs w:val="21"/>
                <w:highlight w:val="none"/>
              </w:rPr>
            </w:pPr>
          </w:p>
        </w:tc>
        <w:tc>
          <w:tcPr>
            <w:tcW w:w="1823" w:type="dxa"/>
            <w:noWrap/>
            <w:vAlign w:val="center"/>
          </w:tcPr>
          <w:p w14:paraId="62CA0F65">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99" w:type="dxa"/>
            <w:tcBorders>
              <w:right w:val="double" w:color="auto" w:sz="4" w:space="0"/>
            </w:tcBorders>
            <w:noWrap/>
            <w:vAlign w:val="center"/>
          </w:tcPr>
          <w:p w14:paraId="5772395B">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5931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777C78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914" w:type="dxa"/>
            <w:noWrap/>
            <w:vAlign w:val="center"/>
          </w:tcPr>
          <w:p w14:paraId="45B1ABB8">
            <w:pPr>
              <w:snapToGrid w:val="0"/>
              <w:spacing w:line="288" w:lineRule="auto"/>
              <w:ind w:firstLine="458"/>
              <w:rPr>
                <w:rFonts w:ascii="宋体" w:hAnsi="宋体" w:cs="宋体"/>
                <w:color w:val="auto"/>
                <w:szCs w:val="21"/>
                <w:highlight w:val="none"/>
              </w:rPr>
            </w:pPr>
          </w:p>
        </w:tc>
        <w:tc>
          <w:tcPr>
            <w:tcW w:w="1823" w:type="dxa"/>
            <w:noWrap/>
            <w:vAlign w:val="center"/>
          </w:tcPr>
          <w:p w14:paraId="03B7DE2B">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99" w:type="dxa"/>
            <w:tcBorders>
              <w:right w:val="double" w:color="auto" w:sz="4" w:space="0"/>
            </w:tcBorders>
            <w:noWrap/>
            <w:vAlign w:val="center"/>
          </w:tcPr>
          <w:p w14:paraId="48622C27">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7B16F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86" w:type="dxa"/>
            <w:tcBorders>
              <w:left w:val="double" w:color="auto" w:sz="4" w:space="0"/>
            </w:tcBorders>
            <w:noWrap/>
            <w:vAlign w:val="center"/>
          </w:tcPr>
          <w:p w14:paraId="485F336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914" w:type="dxa"/>
            <w:noWrap/>
            <w:vAlign w:val="center"/>
          </w:tcPr>
          <w:p w14:paraId="1333044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noWrap/>
            <w:vAlign w:val="center"/>
          </w:tcPr>
          <w:p w14:paraId="6120FA0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99" w:type="dxa"/>
            <w:tcBorders>
              <w:right w:val="double" w:color="auto" w:sz="4" w:space="0"/>
            </w:tcBorders>
            <w:noWrap/>
            <w:vAlign w:val="center"/>
          </w:tcPr>
          <w:p w14:paraId="08F85A4D">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3AA1F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226E31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914" w:type="dxa"/>
            <w:noWrap/>
            <w:vAlign w:val="center"/>
          </w:tcPr>
          <w:p w14:paraId="45066182">
            <w:pPr>
              <w:snapToGrid w:val="0"/>
              <w:spacing w:line="288" w:lineRule="auto"/>
              <w:jc w:val="center"/>
              <w:rPr>
                <w:rFonts w:ascii="宋体" w:hAnsi="宋体" w:cs="宋体"/>
                <w:color w:val="auto"/>
                <w:szCs w:val="21"/>
                <w:highlight w:val="none"/>
              </w:rPr>
            </w:pPr>
          </w:p>
        </w:tc>
        <w:tc>
          <w:tcPr>
            <w:tcW w:w="1823" w:type="dxa"/>
            <w:noWrap/>
            <w:vAlign w:val="center"/>
          </w:tcPr>
          <w:p w14:paraId="3B645A2D">
            <w:pPr>
              <w:snapToGrid w:val="0"/>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899" w:type="dxa"/>
            <w:tcBorders>
              <w:right w:val="double" w:color="auto" w:sz="4" w:space="0"/>
            </w:tcBorders>
            <w:noWrap/>
            <w:vAlign w:val="center"/>
          </w:tcPr>
          <w:p w14:paraId="2CFD19F1">
            <w:pPr>
              <w:snapToGrid w:val="0"/>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A9B2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0884A05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914" w:type="dxa"/>
            <w:noWrap/>
            <w:vAlign w:val="center"/>
          </w:tcPr>
          <w:p w14:paraId="69E5BBAC">
            <w:pPr>
              <w:snapToGrid w:val="0"/>
              <w:spacing w:line="288" w:lineRule="auto"/>
              <w:jc w:val="center"/>
              <w:rPr>
                <w:rFonts w:ascii="宋体" w:hAnsi="宋体" w:cs="宋体"/>
                <w:color w:val="auto"/>
                <w:szCs w:val="21"/>
                <w:highlight w:val="none"/>
              </w:rPr>
            </w:pPr>
          </w:p>
        </w:tc>
        <w:tc>
          <w:tcPr>
            <w:tcW w:w="1823" w:type="dxa"/>
            <w:noWrap/>
            <w:vAlign w:val="center"/>
          </w:tcPr>
          <w:p w14:paraId="449DB086">
            <w:pPr>
              <w:snapToGrid w:val="0"/>
              <w:spacing w:line="288"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99" w:type="dxa"/>
            <w:tcBorders>
              <w:right w:val="double" w:color="auto" w:sz="4" w:space="0"/>
            </w:tcBorders>
            <w:noWrap/>
            <w:vAlign w:val="center"/>
          </w:tcPr>
          <w:p w14:paraId="6FD541A4">
            <w:pPr>
              <w:snapToGrid w:val="0"/>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14:paraId="4E15F884">
            <w:pPr>
              <w:snapToGrid w:val="0"/>
              <w:spacing w:line="288" w:lineRule="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14:paraId="5AEC6D28">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分包内容要求：</w:t>
            </w:r>
            <w:r>
              <w:rPr>
                <w:rFonts w:hint="eastAsia" w:ascii="宋体" w:hAnsi="宋体" w:cs="宋体"/>
                <w:color w:val="auto"/>
                <w:szCs w:val="21"/>
                <w:highlight w:val="none"/>
                <w:u w:val="single"/>
              </w:rPr>
              <w:t>经监理工程师及发包人同意后可依法分包。</w:t>
            </w:r>
          </w:p>
          <w:p w14:paraId="40FC5200">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分包金额要求：</w:t>
            </w:r>
            <w:r>
              <w:rPr>
                <w:rFonts w:hint="eastAsia" w:ascii="宋体" w:hAnsi="宋体" w:cs="宋体"/>
                <w:color w:val="auto"/>
                <w:szCs w:val="21"/>
                <w:highlight w:val="none"/>
                <w:u w:val="single"/>
              </w:rPr>
              <w:t>无</w:t>
            </w:r>
          </w:p>
          <w:p w14:paraId="14601865">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对分包人的资质要求：</w:t>
            </w:r>
            <w:r>
              <w:rPr>
                <w:rFonts w:hint="eastAsia" w:ascii="宋体" w:hAnsi="宋体" w:cs="宋体"/>
                <w:color w:val="auto"/>
                <w:szCs w:val="21"/>
                <w:highlight w:val="none"/>
                <w:u w:val="single"/>
              </w:rPr>
              <w:t>符合有关法律法规和文件规定，并不得再次分包。</w:t>
            </w:r>
          </w:p>
          <w:p w14:paraId="7744C921">
            <w:pPr>
              <w:snapToGrid w:val="0"/>
              <w:spacing w:line="288" w:lineRule="auto"/>
              <w:rPr>
                <w:rFonts w:ascii="宋体" w:hAnsi="宋体" w:cs="宋体"/>
                <w:color w:val="auto"/>
                <w:kern w:val="0"/>
                <w:szCs w:val="21"/>
                <w:highlight w:val="none"/>
                <w:lang w:val="zh-CN"/>
              </w:rPr>
            </w:pPr>
            <w:r>
              <w:rPr>
                <w:rFonts w:hint="eastAsia" w:ascii="宋体" w:hAnsi="宋体" w:cs="宋体"/>
                <w:color w:val="auto"/>
                <w:szCs w:val="21"/>
                <w:highlight w:val="none"/>
              </w:rPr>
              <w:t>对分包人的其他要求：</w:t>
            </w:r>
            <w:r>
              <w:rPr>
                <w:rFonts w:hint="eastAsia" w:ascii="宋体" w:hAnsi="宋体" w:cs="宋体"/>
                <w:color w:val="auto"/>
                <w:szCs w:val="21"/>
                <w:highlight w:val="none"/>
                <w:u w:val="single"/>
              </w:rPr>
              <w:t>无。</w:t>
            </w:r>
          </w:p>
        </w:tc>
      </w:tr>
      <w:tr w14:paraId="4F35C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F2A452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14" w:type="dxa"/>
            <w:noWrap/>
            <w:vAlign w:val="center"/>
          </w:tcPr>
          <w:p w14:paraId="5CCB051E">
            <w:pPr>
              <w:snapToGrid w:val="0"/>
              <w:spacing w:line="288" w:lineRule="auto"/>
              <w:jc w:val="center"/>
              <w:rPr>
                <w:rFonts w:ascii="宋体" w:hAnsi="宋体" w:cs="宋体"/>
                <w:color w:val="auto"/>
                <w:szCs w:val="21"/>
                <w:highlight w:val="none"/>
              </w:rPr>
            </w:pPr>
          </w:p>
        </w:tc>
        <w:tc>
          <w:tcPr>
            <w:tcW w:w="1823" w:type="dxa"/>
            <w:noWrap/>
            <w:vAlign w:val="center"/>
          </w:tcPr>
          <w:p w14:paraId="5014A1B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899" w:type="dxa"/>
            <w:tcBorders>
              <w:right w:val="double" w:color="auto" w:sz="4" w:space="0"/>
            </w:tcBorders>
            <w:noWrap/>
            <w:vAlign w:val="center"/>
          </w:tcPr>
          <w:p w14:paraId="71FF3060">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14:paraId="249DD57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57D0F93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CB2CA8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3、补救方案</w:t>
            </w:r>
          </w:p>
          <w:p w14:paraId="2D29053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1243035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EB91CE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318A0B1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57C5884A">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3D5B5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686" w:type="dxa"/>
            <w:tcBorders>
              <w:left w:val="double" w:color="auto" w:sz="4" w:space="0"/>
            </w:tcBorders>
            <w:noWrap/>
            <w:vAlign w:val="center"/>
          </w:tcPr>
          <w:p w14:paraId="62CB9BF4">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noWrap/>
            <w:vAlign w:val="center"/>
          </w:tcPr>
          <w:p w14:paraId="018B4571">
            <w:pPr>
              <w:snapToGrid w:val="0"/>
              <w:spacing w:line="288" w:lineRule="auto"/>
              <w:jc w:val="center"/>
              <w:rPr>
                <w:rFonts w:ascii="宋体" w:hAnsi="宋体" w:cs="宋体"/>
                <w:color w:val="auto"/>
                <w:szCs w:val="21"/>
                <w:highlight w:val="none"/>
              </w:rPr>
            </w:pPr>
          </w:p>
        </w:tc>
        <w:tc>
          <w:tcPr>
            <w:tcW w:w="1823" w:type="dxa"/>
            <w:noWrap/>
            <w:vAlign w:val="center"/>
          </w:tcPr>
          <w:p w14:paraId="48F920AC">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899" w:type="dxa"/>
            <w:tcBorders>
              <w:right w:val="double" w:color="auto" w:sz="4" w:space="0"/>
            </w:tcBorders>
            <w:noWrap/>
            <w:vAlign w:val="center"/>
          </w:tcPr>
          <w:p w14:paraId="24D1203C">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713CBCA9">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6A1F9DFB">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3、投标人代表未凭法定代表人证明书（原件）、授权委托书原件（仅限于非法定代表人）、本人身份证原件、委托投标的还应提供授权委托人</w:t>
            </w:r>
            <w:r>
              <w:rPr>
                <w:rFonts w:hint="eastAsia" w:ascii="宋体" w:hAnsi="宋体" w:cs="宋体"/>
                <w:b w:val="0"/>
                <w:bCs/>
                <w:color w:val="auto"/>
                <w:szCs w:val="21"/>
                <w:highlight w:val="none"/>
                <w:u w:val="single"/>
              </w:rPr>
              <w:t>2025年</w:t>
            </w:r>
            <w:r>
              <w:rPr>
                <w:rFonts w:hint="eastAsia" w:ascii="宋体" w:hAnsi="宋体" w:cs="宋体"/>
                <w:b w:val="0"/>
                <w:bCs/>
                <w:color w:val="auto"/>
                <w:szCs w:val="21"/>
                <w:highlight w:val="none"/>
                <w:u w:val="single"/>
                <w:lang w:val="en-US" w:eastAsia="zh-CN"/>
              </w:rPr>
              <w:t>09</w:t>
            </w:r>
            <w:r>
              <w:rPr>
                <w:rFonts w:hint="eastAsia" w:ascii="宋体" w:hAnsi="宋体" w:cs="宋体"/>
                <w:b w:val="0"/>
                <w:bCs/>
                <w:color w:val="auto"/>
                <w:szCs w:val="21"/>
                <w:highlight w:val="none"/>
                <w:u w:val="single"/>
                <w:lang w:eastAsia="zh-CN"/>
              </w:rPr>
              <w:t>月或</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在本公司缴纳社保的有效社保证明递交投标文件备用光盘的。</w:t>
            </w:r>
          </w:p>
        </w:tc>
      </w:tr>
      <w:tr w14:paraId="02C83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686" w:type="dxa"/>
            <w:tcBorders>
              <w:left w:val="double" w:color="auto" w:sz="4" w:space="0"/>
            </w:tcBorders>
            <w:noWrap/>
            <w:vAlign w:val="center"/>
          </w:tcPr>
          <w:p w14:paraId="735B2E0A">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noWrap/>
            <w:vAlign w:val="center"/>
          </w:tcPr>
          <w:p w14:paraId="75B71192">
            <w:pPr>
              <w:snapToGrid w:val="0"/>
              <w:spacing w:line="288" w:lineRule="auto"/>
              <w:jc w:val="center"/>
              <w:rPr>
                <w:rFonts w:ascii="宋体" w:hAnsi="宋体" w:cs="宋体"/>
                <w:color w:val="auto"/>
                <w:szCs w:val="21"/>
                <w:highlight w:val="none"/>
              </w:rPr>
            </w:pPr>
          </w:p>
        </w:tc>
        <w:tc>
          <w:tcPr>
            <w:tcW w:w="1823" w:type="dxa"/>
            <w:noWrap/>
            <w:vAlign w:val="center"/>
          </w:tcPr>
          <w:p w14:paraId="7DFF15D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899" w:type="dxa"/>
            <w:tcBorders>
              <w:right w:val="double" w:color="auto" w:sz="4" w:space="0"/>
            </w:tcBorders>
            <w:noWrap/>
            <w:vAlign w:val="center"/>
          </w:tcPr>
          <w:p w14:paraId="0BE5A161">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14:paraId="3DA6DA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53FAADB">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noWrap/>
            <w:vAlign w:val="center"/>
          </w:tcPr>
          <w:p w14:paraId="24127F81">
            <w:pPr>
              <w:snapToGrid w:val="0"/>
              <w:spacing w:line="288" w:lineRule="auto"/>
              <w:jc w:val="center"/>
              <w:rPr>
                <w:rFonts w:ascii="宋体" w:hAnsi="宋体" w:cs="宋体"/>
                <w:color w:val="auto"/>
                <w:szCs w:val="21"/>
                <w:highlight w:val="none"/>
              </w:rPr>
            </w:pPr>
          </w:p>
        </w:tc>
        <w:tc>
          <w:tcPr>
            <w:tcW w:w="1823" w:type="dxa"/>
            <w:noWrap/>
            <w:vAlign w:val="center"/>
          </w:tcPr>
          <w:p w14:paraId="478956A6">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899" w:type="dxa"/>
            <w:tcBorders>
              <w:right w:val="double" w:color="auto" w:sz="4" w:space="0"/>
            </w:tcBorders>
            <w:noWrap/>
            <w:vAlign w:val="center"/>
          </w:tcPr>
          <w:p w14:paraId="2A1BC3D6">
            <w:pPr>
              <w:snapToGrid w:val="0"/>
              <w:spacing w:line="288" w:lineRule="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3E302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686" w:type="dxa"/>
            <w:tcBorders>
              <w:left w:val="double" w:color="auto" w:sz="4" w:space="0"/>
            </w:tcBorders>
            <w:noWrap/>
            <w:vAlign w:val="center"/>
          </w:tcPr>
          <w:p w14:paraId="4992A3EF">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noWrap/>
            <w:vAlign w:val="center"/>
          </w:tcPr>
          <w:p w14:paraId="1904FF8D">
            <w:pPr>
              <w:snapToGrid w:val="0"/>
              <w:spacing w:line="288" w:lineRule="auto"/>
              <w:jc w:val="center"/>
              <w:rPr>
                <w:rFonts w:ascii="宋体" w:hAnsi="宋体" w:cs="宋体"/>
                <w:color w:val="auto"/>
                <w:szCs w:val="21"/>
                <w:highlight w:val="none"/>
              </w:rPr>
            </w:pPr>
          </w:p>
        </w:tc>
        <w:tc>
          <w:tcPr>
            <w:tcW w:w="1823" w:type="dxa"/>
            <w:noWrap/>
            <w:vAlign w:val="center"/>
          </w:tcPr>
          <w:p w14:paraId="74EA7294">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899" w:type="dxa"/>
            <w:tcBorders>
              <w:right w:val="double" w:color="auto" w:sz="4" w:space="0"/>
            </w:tcBorders>
            <w:noWrap/>
            <w:vAlign w:val="center"/>
          </w:tcPr>
          <w:p w14:paraId="0B502EF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164B2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86" w:type="dxa"/>
            <w:tcBorders>
              <w:left w:val="double" w:color="auto" w:sz="4" w:space="0"/>
            </w:tcBorders>
            <w:noWrap/>
            <w:vAlign w:val="center"/>
          </w:tcPr>
          <w:p w14:paraId="503D1020">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41</w:t>
            </w:r>
          </w:p>
        </w:tc>
        <w:tc>
          <w:tcPr>
            <w:tcW w:w="914" w:type="dxa"/>
            <w:noWrap/>
            <w:vAlign w:val="center"/>
          </w:tcPr>
          <w:p w14:paraId="64BB6943">
            <w:pPr>
              <w:snapToGrid w:val="0"/>
              <w:spacing w:line="288" w:lineRule="auto"/>
              <w:jc w:val="center"/>
              <w:rPr>
                <w:rFonts w:ascii="宋体" w:hAnsi="宋体" w:cs="宋体"/>
                <w:color w:val="auto"/>
                <w:szCs w:val="21"/>
                <w:highlight w:val="none"/>
              </w:rPr>
            </w:pPr>
          </w:p>
        </w:tc>
        <w:tc>
          <w:tcPr>
            <w:tcW w:w="1823" w:type="dxa"/>
            <w:noWrap/>
            <w:vAlign w:val="center"/>
          </w:tcPr>
          <w:p w14:paraId="5FE415F4">
            <w:pPr>
              <w:snapToGrid w:val="0"/>
              <w:spacing w:line="240" w:lineRule="auto"/>
              <w:rPr>
                <w:rFonts w:ascii="宋体" w:hAnsi="宋体" w:cs="宋体"/>
                <w:color w:val="auto"/>
                <w:szCs w:val="21"/>
                <w:highlight w:val="none"/>
                <w:u w:val="single"/>
              </w:rPr>
            </w:pPr>
            <w:r>
              <w:rPr>
                <w:rFonts w:hint="eastAsia" w:ascii="宋体" w:hAnsi="宋体" w:cs="宋体"/>
                <w:color w:val="auto"/>
                <w:kern w:val="0"/>
                <w:szCs w:val="21"/>
                <w:highlight w:val="none"/>
              </w:rPr>
              <w:t>招标人对中标人参与“百千万工程”的具体要求</w:t>
            </w:r>
          </w:p>
        </w:tc>
        <w:tc>
          <w:tcPr>
            <w:tcW w:w="5899" w:type="dxa"/>
            <w:tcBorders>
              <w:right w:val="double" w:color="auto" w:sz="4" w:space="0"/>
            </w:tcBorders>
            <w:noWrap/>
            <w:vAlign w:val="center"/>
          </w:tcPr>
          <w:p w14:paraId="4DEF0DFC">
            <w:pPr>
              <w:spacing w:line="288" w:lineRule="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w:t>
            </w:r>
          </w:p>
        </w:tc>
      </w:tr>
      <w:tr w14:paraId="37A02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shd w:val="clear" w:color="auto" w:fill="auto"/>
            <w:noWrap/>
            <w:vAlign w:val="center"/>
          </w:tcPr>
          <w:p w14:paraId="18F73134">
            <w:pPr>
              <w:snapToGrid w:val="0"/>
              <w:spacing w:line="288"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42</w:t>
            </w:r>
          </w:p>
        </w:tc>
        <w:tc>
          <w:tcPr>
            <w:tcW w:w="914" w:type="dxa"/>
            <w:shd w:val="clear" w:color="auto" w:fill="auto"/>
            <w:noWrap/>
            <w:vAlign w:val="center"/>
          </w:tcPr>
          <w:p w14:paraId="77C484FB">
            <w:pPr>
              <w:snapToGrid w:val="0"/>
              <w:spacing w:line="288" w:lineRule="auto"/>
              <w:jc w:val="center"/>
              <w:rPr>
                <w:rFonts w:ascii="宋体" w:hAnsi="宋体" w:eastAsia="宋体" w:cs="宋体"/>
                <w:color w:val="auto"/>
                <w:kern w:val="2"/>
                <w:sz w:val="21"/>
                <w:szCs w:val="21"/>
                <w:highlight w:val="none"/>
                <w:lang w:val="en-US" w:eastAsia="zh-CN" w:bidi="ar-SA"/>
              </w:rPr>
            </w:pPr>
          </w:p>
        </w:tc>
        <w:tc>
          <w:tcPr>
            <w:tcW w:w="1823" w:type="dxa"/>
            <w:shd w:val="clear" w:color="auto" w:fill="auto"/>
            <w:noWrap/>
            <w:vAlign w:val="center"/>
          </w:tcPr>
          <w:p w14:paraId="4982FA82">
            <w:pPr>
              <w:snapToGrid w:val="0"/>
              <w:spacing w:line="288"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color w:val="auto"/>
                <w:kern w:val="0"/>
                <w:szCs w:val="21"/>
                <w:highlight w:val="none"/>
                <w:u w:val="single"/>
              </w:rPr>
              <w:t>是否授权评标委员会确定中标人</w:t>
            </w:r>
          </w:p>
        </w:tc>
        <w:tc>
          <w:tcPr>
            <w:tcW w:w="5899" w:type="dxa"/>
            <w:tcBorders>
              <w:right w:val="double" w:color="auto" w:sz="4" w:space="0"/>
            </w:tcBorders>
            <w:shd w:val="clear" w:color="auto" w:fill="auto"/>
            <w:noWrap/>
            <w:vAlign w:val="center"/>
          </w:tcPr>
          <w:p w14:paraId="24566220">
            <w:pPr>
              <w:snapToGrid w:val="0"/>
              <w:spacing w:line="288" w:lineRule="auto"/>
              <w:rPr>
                <w:rFonts w:hint="eastAsia" w:ascii="宋体" w:hAnsi="宋体" w:eastAsia="宋体" w:cs="宋体"/>
                <w:b/>
                <w:color w:val="auto"/>
                <w:kern w:val="2"/>
                <w:sz w:val="21"/>
                <w:szCs w:val="21"/>
                <w:highlight w:val="none"/>
                <w:u w:val="single"/>
                <w:lang w:val="en-US" w:eastAsia="zh-CN" w:bidi="ar-SA"/>
              </w:rPr>
            </w:pPr>
            <w:r>
              <w:rPr>
                <w:rFonts w:hint="eastAsia" w:ascii="宋体" w:hAnsi="宋体" w:cs="宋体"/>
                <w:bCs/>
                <w:color w:val="auto"/>
                <w:szCs w:val="21"/>
                <w:highlight w:val="none"/>
                <w:u w:val="single"/>
              </w:rPr>
              <w:t>否</w:t>
            </w:r>
          </w:p>
        </w:tc>
      </w:tr>
      <w:tr w14:paraId="269C5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bottom w:val="double" w:color="auto" w:sz="4" w:space="0"/>
            </w:tcBorders>
            <w:shd w:val="clear" w:color="auto" w:fill="auto"/>
            <w:noWrap/>
            <w:vAlign w:val="center"/>
          </w:tcPr>
          <w:p w14:paraId="2C16889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lang w:val="en-US" w:eastAsia="zh-CN"/>
              </w:rPr>
              <w:t>43</w:t>
            </w:r>
          </w:p>
        </w:tc>
        <w:tc>
          <w:tcPr>
            <w:tcW w:w="914" w:type="dxa"/>
            <w:tcBorders>
              <w:bottom w:val="double" w:color="auto" w:sz="4" w:space="0"/>
            </w:tcBorders>
            <w:shd w:val="clear" w:color="auto" w:fill="auto"/>
            <w:noWrap/>
            <w:vAlign w:val="center"/>
          </w:tcPr>
          <w:p w14:paraId="707F755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eastAsia="宋体" w:cs="宋体"/>
                <w:color w:val="auto"/>
                <w:kern w:val="2"/>
                <w:sz w:val="21"/>
                <w:szCs w:val="21"/>
                <w:highlight w:val="none"/>
                <w:lang w:val="en-US" w:eastAsia="zh-CN" w:bidi="ar-SA"/>
              </w:rPr>
            </w:pPr>
          </w:p>
        </w:tc>
        <w:tc>
          <w:tcPr>
            <w:tcW w:w="1823" w:type="dxa"/>
            <w:tcBorders>
              <w:bottom w:val="double" w:color="auto" w:sz="4" w:space="0"/>
            </w:tcBorders>
            <w:shd w:val="clear" w:color="auto" w:fill="auto"/>
            <w:noWrap/>
            <w:vAlign w:val="center"/>
          </w:tcPr>
          <w:p w14:paraId="546E5C0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val="0"/>
                <w:bCs w:val="0"/>
                <w:color w:val="auto"/>
                <w:kern w:val="0"/>
                <w:sz w:val="21"/>
                <w:szCs w:val="21"/>
                <w:highlight w:val="none"/>
                <w:u w:val="single"/>
                <w:lang w:val="en-US" w:eastAsia="zh-CN" w:bidi="ar-SA"/>
              </w:rPr>
            </w:pPr>
          </w:p>
        </w:tc>
        <w:tc>
          <w:tcPr>
            <w:tcW w:w="5899" w:type="dxa"/>
            <w:tcBorders>
              <w:bottom w:val="double" w:color="auto" w:sz="4" w:space="0"/>
              <w:right w:val="double" w:color="auto" w:sz="4" w:space="0"/>
            </w:tcBorders>
            <w:shd w:val="clear" w:color="auto" w:fill="auto"/>
            <w:noWrap/>
            <w:vAlign w:val="center"/>
          </w:tcPr>
          <w:p w14:paraId="7B04079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color w:val="auto"/>
                <w:sz w:val="21"/>
                <w:szCs w:val="21"/>
                <w:highlight w:val="none"/>
                <w:u w:val="single"/>
              </w:rPr>
            </w:pPr>
            <w:r>
              <w:rPr>
                <w:rFonts w:hint="eastAsia" w:ascii="宋体" w:hAnsi="宋体" w:cs="宋体"/>
                <w:b w:val="0"/>
                <w:bCs/>
                <w:color w:val="auto"/>
                <w:sz w:val="21"/>
                <w:szCs w:val="21"/>
                <w:highlight w:val="none"/>
                <w:u w:val="single"/>
              </w:rPr>
              <w:t>请各投标单位在投标系统上传投标文件时，要把资审文件、技术文件、经济文件等内容，分别上传至投标系统内对应的文件夹中，不要上传到定标文件夹中。定标文件夹中只上传定标文件。</w:t>
            </w:r>
          </w:p>
          <w:p w14:paraId="5034076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cs="宋体"/>
                <w:b w:val="0"/>
                <w:bCs/>
                <w:color w:val="auto"/>
                <w:sz w:val="21"/>
                <w:szCs w:val="21"/>
                <w:highlight w:val="none"/>
                <w:u w:val="single"/>
              </w:rPr>
              <w:t>注:投标单位提交的定标文件在评标阶段不对评标委员会公开，由交易中心系统对定标文件进行加密处理</w:t>
            </w:r>
            <w:r>
              <w:rPr>
                <w:rFonts w:hint="eastAsia" w:ascii="宋体" w:hAnsi="宋体" w:cs="宋体"/>
                <w:b w:val="0"/>
                <w:bCs/>
                <w:color w:val="auto"/>
                <w:sz w:val="21"/>
                <w:szCs w:val="21"/>
                <w:highlight w:val="none"/>
                <w:u w:val="single"/>
                <w:lang w:eastAsia="zh-CN"/>
              </w:rPr>
              <w:t>；</w:t>
            </w:r>
            <w:r>
              <w:rPr>
                <w:rFonts w:hint="eastAsia" w:ascii="宋体" w:hAnsi="宋体" w:cs="宋体"/>
                <w:b w:val="0"/>
                <w:bCs/>
                <w:color w:val="auto"/>
                <w:sz w:val="21"/>
                <w:szCs w:val="21"/>
                <w:highlight w:val="none"/>
                <w:u w:val="single"/>
              </w:rPr>
              <w:t>评标委员会不对定标文件进行评审，因投标人未按招标文件要求提供规定的资料，而未能通过资格审查(或技术标有效性审查或经济标有效性审查)或影响评分的后果由投标人自行承担。</w:t>
            </w:r>
          </w:p>
        </w:tc>
      </w:tr>
    </w:tbl>
    <w:p w14:paraId="5A4992C0">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14:paraId="1AAB4017">
      <w:pPr>
        <w:pStyle w:val="4"/>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14:paraId="40CB1E8B">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"http://zfcj.gz.gov.cn/）下载查阅。" </w:instrText>
      </w:r>
      <w:r>
        <w:rPr>
          <w:color w:val="auto"/>
          <w:highlight w:val="none"/>
        </w:rPr>
        <w:fldChar w:fldCharType="separate"/>
      </w:r>
      <w:r>
        <w:rPr>
          <w:rStyle w:val="38"/>
          <w:rFonts w:hint="eastAsia" w:ascii="宋体" w:hAnsi="宋体" w:cs="宋体"/>
          <w:b/>
          <w:color w:val="auto"/>
          <w:szCs w:val="21"/>
          <w:highlight w:val="none"/>
          <w:u w:val="none"/>
        </w:rPr>
        <w:t>http://zfcj.gz.gov.cn/）下载查阅。</w:t>
      </w:r>
      <w:r>
        <w:rPr>
          <w:rStyle w:val="38"/>
          <w:rFonts w:hint="eastAsia" w:ascii="宋体" w:hAnsi="宋体" w:cs="宋体"/>
          <w:b/>
          <w:color w:val="auto"/>
          <w:szCs w:val="21"/>
          <w:highlight w:val="none"/>
          <w:u w:val="none"/>
        </w:rPr>
        <w:fldChar w:fldCharType="end"/>
      </w:r>
    </w:p>
    <w:p w14:paraId="6637BE7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14:paraId="0F9543ED">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2.5</w:t>
      </w:r>
      <w:r>
        <w:rPr>
          <w:rFonts w:hint="eastAsia" w:ascii="宋体" w:hAnsi="宋体" w:cs="宋体"/>
          <w:b/>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1667B99">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6F91D968">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76AF828">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投标人不进行踏勘的，视为已熟知现场条件，自行承担相关风险</w:t>
      </w:r>
      <w:r>
        <w:rPr>
          <w:rFonts w:hint="eastAsia" w:ascii="宋体" w:hAnsi="宋体" w:cs="宋体"/>
          <w:b/>
          <w:bCs/>
          <w:color w:val="auto"/>
          <w:szCs w:val="21"/>
          <w:highlight w:val="none"/>
        </w:rPr>
        <w:t>。</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b/>
          <w:bCs/>
          <w:color w:val="auto"/>
          <w:szCs w:val="21"/>
          <w:highlight w:val="none"/>
          <w:u w:val="single"/>
        </w:rPr>
        <w:t>招标人不受理因投标人缺乏对现场条件的了解或掌握而提出的任何索赔。考察现场的费用由投标人自己承担。</w:t>
      </w:r>
    </w:p>
    <w:p w14:paraId="7D364C86">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22E3FB26">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7959C8E6">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eastAsia="宋体" w:cs="宋体"/>
          <w:bCs/>
          <w:color w:val="auto"/>
          <w:sz w:val="21"/>
          <w:szCs w:val="21"/>
          <w:highlight w:val="none"/>
          <w:u w:val="single"/>
        </w:rPr>
        <w:t>投标人若对招标文件（包括招标图纸</w:t>
      </w:r>
      <w:r>
        <w:rPr>
          <w:rFonts w:hint="eastAsia" w:ascii="宋体" w:hAnsi="宋体" w:eastAsia="宋体" w:cs="宋体"/>
          <w:b/>
          <w:bCs w:val="0"/>
          <w:color w:val="auto"/>
          <w:sz w:val="21"/>
          <w:szCs w:val="21"/>
          <w:highlight w:val="none"/>
          <w:u w:val="single"/>
        </w:rPr>
        <w:t>、清单、最高投标限价</w:t>
      </w:r>
      <w:r>
        <w:rPr>
          <w:rFonts w:hint="eastAsia"/>
          <w:b/>
          <w:bCs w:val="0"/>
          <w:color w:val="auto"/>
          <w:highlight w:val="none"/>
          <w:lang w:eastAsia="zh-CN"/>
        </w:rPr>
        <w:t>、</w:t>
      </w:r>
      <w:r>
        <w:rPr>
          <w:rFonts w:hint="eastAsia"/>
          <w:b/>
          <w:bCs w:val="0"/>
          <w:color w:val="auto"/>
          <w:highlight w:val="none"/>
          <w:lang w:val="en-US" w:eastAsia="zh-CN"/>
        </w:rPr>
        <w:t>合同条款</w:t>
      </w:r>
      <w:r>
        <w:rPr>
          <w:rFonts w:hint="eastAsia" w:ascii="宋体" w:hAnsi="宋体" w:eastAsia="宋体" w:cs="宋体"/>
          <w:bCs/>
          <w:color w:val="auto"/>
          <w:sz w:val="21"/>
          <w:szCs w:val="21"/>
          <w:highlight w:val="none"/>
          <w:u w:val="single"/>
        </w:rPr>
        <w:t>）中有疑问，</w:t>
      </w:r>
      <w:r>
        <w:rPr>
          <w:rFonts w:hint="eastAsia" w:ascii="宋体" w:hAnsi="宋体" w:eastAsia="宋体" w:cs="宋体"/>
          <w:bCs/>
          <w:color w:val="auto"/>
          <w:sz w:val="21"/>
          <w:szCs w:val="21"/>
          <w:highlight w:val="none"/>
          <w:u w:val="none"/>
        </w:rPr>
        <w:t>可以</w:t>
      </w:r>
      <w:r>
        <w:rPr>
          <w:rFonts w:hint="eastAsia" w:ascii="宋体" w:hAnsi="宋体" w:eastAsia="宋体" w:cs="宋体"/>
          <w:b/>
          <w:bCs w:val="0"/>
          <w:color w:val="auto"/>
          <w:sz w:val="21"/>
          <w:szCs w:val="21"/>
          <w:highlight w:val="none"/>
          <w:u w:val="single"/>
        </w:rPr>
        <w:t>网上答疑方式</w:t>
      </w:r>
      <w:r>
        <w:rPr>
          <w:rFonts w:hint="eastAsia" w:ascii="宋体" w:hAnsi="宋体" w:cs="宋体"/>
          <w:b w:val="0"/>
          <w:bCs/>
          <w:color w:val="auto"/>
          <w:sz w:val="21"/>
          <w:szCs w:val="21"/>
          <w:highlight w:val="none"/>
          <w:u w:val="none"/>
          <w:lang w:val="en-US" w:eastAsia="zh-CN"/>
        </w:rPr>
        <w:t>通过</w:t>
      </w:r>
      <w:r>
        <w:rPr>
          <w:rFonts w:hint="eastAsia" w:ascii="宋体" w:hAnsi="宋体" w:cs="宋体"/>
          <w:b/>
          <w:bCs w:val="0"/>
          <w:color w:val="auto"/>
          <w:sz w:val="21"/>
          <w:szCs w:val="21"/>
          <w:highlight w:val="none"/>
          <w:u w:val="single"/>
          <w:lang w:val="en-US" w:eastAsia="zh-CN"/>
        </w:rPr>
        <w:t>广州交易集团有限公司（广州公共资源交易中心）</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16"/>
          <w:highlight w:val="none"/>
        </w:rPr>
        <w:t>给招标人或招标代理人</w:t>
      </w:r>
      <w:r>
        <w:rPr>
          <w:rFonts w:hint="eastAsia" w:ascii="宋体" w:hAnsi="宋体"/>
          <w:color w:val="auto"/>
          <w:sz w:val="21"/>
          <w:szCs w:val="16"/>
          <w:highlight w:val="none"/>
          <w:lang w:eastAsia="zh-CN"/>
        </w:rPr>
        <w:t>，</w:t>
      </w:r>
      <w:r>
        <w:rPr>
          <w:rFonts w:hint="eastAsia" w:ascii="宋体" w:hAnsi="宋体" w:eastAsia="宋体" w:cs="宋体"/>
          <w:bCs/>
          <w:color w:val="auto"/>
          <w:sz w:val="21"/>
          <w:szCs w:val="21"/>
          <w:highlight w:val="none"/>
          <w:u w:val="single"/>
        </w:rPr>
        <w:t>详见本须知前附表第1</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项。</w:t>
      </w:r>
      <w:r>
        <w:rPr>
          <w:rFonts w:hint="eastAsia" w:ascii="宋体" w:hAnsi="宋体" w:eastAsia="宋体" w:cs="宋体"/>
          <w:b/>
          <w:bCs w:val="0"/>
          <w:color w:val="auto"/>
          <w:sz w:val="21"/>
          <w:szCs w:val="21"/>
          <w:highlight w:val="none"/>
          <w:u w:val="single"/>
        </w:rPr>
        <w:t>招标人或招标代理人将于本须知前附表第1</w:t>
      </w:r>
      <w:r>
        <w:rPr>
          <w:rFonts w:hint="eastAsia" w:ascii="宋体" w:hAnsi="宋体" w:eastAsia="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rPr>
        <w:t>项指定的地点（交易平台）和时间对疑问进行答复</w:t>
      </w:r>
      <w:r>
        <w:rPr>
          <w:rFonts w:hint="eastAsia" w:ascii="宋体" w:hAnsi="宋体" w:eastAsia="宋体" w:cs="宋体"/>
          <w:b/>
          <w:bCs w:val="0"/>
          <w:color w:val="auto"/>
          <w:sz w:val="21"/>
          <w:szCs w:val="21"/>
          <w:highlight w:val="none"/>
          <w:u w:val="single"/>
          <w:lang w:eastAsia="zh-CN"/>
        </w:rPr>
        <w:t>。</w:t>
      </w:r>
    </w:p>
    <w:p w14:paraId="3FE7F12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14413413">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2A490617">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eastAsia="宋体" w:cs="宋体"/>
          <w:color w:val="auto"/>
          <w:sz w:val="21"/>
          <w:szCs w:val="21"/>
          <w:highlight w:val="none"/>
        </w:rPr>
        <w:t>8.2招标答疑会会议纪要将在提交投标文件截止时间15日前</w:t>
      </w:r>
      <w:r>
        <w:rPr>
          <w:rFonts w:hint="eastAsia" w:ascii="宋体" w:hAnsi="宋体" w:eastAsia="宋体" w:cs="宋体"/>
          <w:color w:val="auto"/>
          <w:sz w:val="21"/>
          <w:szCs w:val="21"/>
          <w:highlight w:val="none"/>
          <w:u w:val="single"/>
        </w:rPr>
        <w:t>在</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b w:val="0"/>
          <w:bCs w:val="0"/>
          <w:color w:val="auto"/>
          <w:sz w:val="21"/>
          <w:szCs w:val="21"/>
          <w:highlight w:val="none"/>
          <w:u w:val="none"/>
        </w:rPr>
        <w:t>交易平台</w:t>
      </w:r>
      <w:r>
        <w:rPr>
          <w:rFonts w:hint="eastAsia" w:ascii="宋体" w:hAnsi="宋体" w:cs="宋体"/>
          <w:b/>
          <w:bCs/>
          <w:color w:val="auto"/>
          <w:sz w:val="21"/>
          <w:szCs w:val="21"/>
          <w:highlight w:val="none"/>
          <w:u w:val="none"/>
        </w:rPr>
        <w:t>“</w:t>
      </w:r>
      <w:r>
        <w:rPr>
          <w:rFonts w:hint="eastAsia" w:ascii="宋体" w:hAnsi="宋体" w:cs="宋体"/>
          <w:b/>
          <w:bCs/>
          <w:color w:val="auto"/>
          <w:sz w:val="21"/>
          <w:szCs w:val="21"/>
          <w:highlight w:val="none"/>
          <w:u w:val="single"/>
        </w:rPr>
        <w:t>项目查询</w:t>
      </w:r>
      <w:r>
        <w:rPr>
          <w:rFonts w:ascii="宋体" w:hAnsi="宋体" w:cs="宋体"/>
          <w:b/>
          <w:bCs/>
          <w:color w:val="auto"/>
          <w:sz w:val="21"/>
          <w:szCs w:val="21"/>
          <w:highlight w:val="none"/>
          <w:u w:val="single"/>
        </w:rPr>
        <w:t>(日程安排、答疑纪要)</w:t>
      </w:r>
      <w:r>
        <w:rPr>
          <w:rFonts w:hint="eastAsia" w:ascii="宋体" w:hAnsi="宋体" w:cs="宋体"/>
          <w:b/>
          <w:bCs/>
          <w:color w:val="auto"/>
          <w:sz w:val="21"/>
          <w:szCs w:val="21"/>
          <w:highlight w:val="none"/>
          <w:u w:val="single"/>
        </w:rPr>
        <w:t>”</w:t>
      </w:r>
      <w:r>
        <w:rPr>
          <w:rFonts w:hint="eastAsia" w:ascii="宋体" w:hAnsi="宋体" w:eastAsia="宋体" w:cs="宋体"/>
          <w:color w:val="auto"/>
          <w:sz w:val="21"/>
          <w:szCs w:val="21"/>
          <w:highlight w:val="none"/>
        </w:rPr>
        <w:t>专区公开发布。答疑纪要一经</w:t>
      </w:r>
      <w:r>
        <w:rPr>
          <w:rFonts w:hint="eastAsia" w:ascii="宋体" w:hAnsi="宋体" w:eastAsia="宋体" w:cs="宋体"/>
          <w:b/>
          <w:bCs/>
          <w:color w:val="auto"/>
          <w:sz w:val="21"/>
          <w:szCs w:val="21"/>
          <w:highlight w:val="none"/>
          <w:u w:val="single"/>
        </w:rPr>
        <w:t>在广州交易集团有限公司（广州公共资源交易中心）</w:t>
      </w:r>
      <w:r>
        <w:rPr>
          <w:rFonts w:hint="eastAsia" w:ascii="宋体" w:hAnsi="宋体" w:eastAsia="宋体" w:cs="宋体"/>
          <w:color w:val="auto"/>
          <w:sz w:val="21"/>
          <w:szCs w:val="21"/>
          <w:highlight w:val="none"/>
          <w:u w:val="none"/>
        </w:rPr>
        <w:t>交易平台</w:t>
      </w:r>
      <w:r>
        <w:rPr>
          <w:rFonts w:hint="eastAsia" w:ascii="宋体" w:hAnsi="宋体" w:eastAsia="宋体" w:cs="宋体"/>
          <w:color w:val="auto"/>
          <w:sz w:val="21"/>
          <w:szCs w:val="21"/>
          <w:highlight w:val="none"/>
        </w:rPr>
        <w:t>发布，视作已发放给所有投标人。</w:t>
      </w:r>
    </w:p>
    <w:p w14:paraId="4E341B79">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14:paraId="21C1B336">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639F65DD">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eastAsia="宋体" w:cs="宋体"/>
          <w:color w:val="auto"/>
          <w:szCs w:val="21"/>
          <w:highlight w:val="none"/>
        </w:rPr>
        <w:t>8.4若</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与招标文件有矛盾时，以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网站最后发布的</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为准。</w:t>
      </w:r>
    </w:p>
    <w:p w14:paraId="2A666B1A">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14:paraId="27E7D03F">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Cs w:val="21"/>
          <w:highlight w:val="none"/>
          <w:u w:val="single"/>
        </w:rPr>
        <w:t xml:space="preserve">        </w:t>
      </w:r>
      <w:r>
        <w:rPr>
          <w:rFonts w:hint="eastAsia" w:ascii="宋体" w:hAnsi="宋体" w:cs="宋体"/>
          <w:color w:val="auto"/>
          <w:szCs w:val="21"/>
          <w:highlight w:val="none"/>
        </w:rPr>
        <w:t>交易平台上网发布时间作为送达时间。</w:t>
      </w:r>
    </w:p>
    <w:p w14:paraId="6CA484E1">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w:t>
      </w:r>
      <w:r>
        <w:rPr>
          <w:rFonts w:hint="eastAsia" w:ascii="宋体" w:hAnsi="宋体" w:eastAsia="宋体" w:cs="宋体"/>
          <w:color w:val="auto"/>
          <w:szCs w:val="21"/>
          <w:highlight w:val="none"/>
        </w:rPr>
        <w:t>招标文件的澄清或修改</w:t>
      </w:r>
      <w:r>
        <w:rPr>
          <w:rFonts w:hint="eastAsia" w:ascii="宋体" w:hAnsi="宋体" w:eastAsia="宋体" w:cs="宋体"/>
          <w:color w:val="auto"/>
          <w:szCs w:val="21"/>
          <w:highlight w:val="none"/>
          <w:u w:val="none"/>
        </w:rPr>
        <w:t>将在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项目查询(日程安排、答疑纪要)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专区公开发布。答疑纪要一经在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交易平台上网发布时间作为送达时间。</w:t>
      </w:r>
    </w:p>
    <w:p w14:paraId="6A68D75E">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14:paraId="1CC69F6E">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49AEDBD">
      <w:pPr>
        <w:keepNext w:val="0"/>
        <w:keepLines w:val="0"/>
        <w:pageBreakBefore w:val="0"/>
        <w:widowControl w:val="0"/>
        <w:pBdr>
          <w:bottom w:val="single" w:color="auto" w:sz="6" w:space="1"/>
        </w:pBdr>
        <w:shd w:val="clear" w:color="auto" w:fill="auto"/>
        <w:wordWrap/>
        <w:topLinePunct w:val="0"/>
        <w:autoSpaceDE/>
        <w:autoSpaceDN/>
        <w:bidi w:val="0"/>
        <w:spacing w:line="360" w:lineRule="auto"/>
        <w:ind w:right="0"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w:t>
      </w:r>
      <w:r>
        <w:rPr>
          <w:rFonts w:hint="eastAsia" w:ascii="宋体" w:hAnsi="宋体" w:eastAsia="宋体" w:cs="宋体"/>
          <w:color w:val="auto"/>
          <w:szCs w:val="21"/>
          <w:highlight w:val="none"/>
        </w:rPr>
        <w:t>招标文件的澄清或修改均</w:t>
      </w:r>
      <w:r>
        <w:rPr>
          <w:rFonts w:hint="eastAsia" w:ascii="宋体" w:hAnsi="宋体" w:eastAsia="宋体" w:cs="宋体"/>
          <w:color w:val="auto"/>
          <w:sz w:val="21"/>
          <w:szCs w:val="21"/>
          <w:highlight w:val="none"/>
        </w:rPr>
        <w:t>以</w:t>
      </w:r>
      <w:r>
        <w:rPr>
          <w:rFonts w:hint="eastAsia" w:ascii="宋体" w:hAnsi="宋体" w:eastAsia="宋体" w:cs="宋体"/>
          <w:b/>
          <w:bCs w:val="0"/>
          <w:color w:val="auto"/>
          <w:szCs w:val="21"/>
          <w:highlight w:val="none"/>
          <w:u w:val="single"/>
        </w:rPr>
        <w:t>广州交易集团有限公司（广州公共资源交易中心）网站“网上答疑”专区公开发布</w:t>
      </w:r>
      <w:r>
        <w:rPr>
          <w:rFonts w:hint="eastAsia" w:ascii="宋体" w:hAnsi="宋体" w:eastAsia="宋体" w:cs="宋体"/>
          <w:b/>
          <w:color w:val="auto"/>
          <w:szCs w:val="21"/>
          <w:highlight w:val="none"/>
          <w:u w:val="single"/>
        </w:rPr>
        <w:t>答疑内容为准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当招标文件的澄清、修改、补充等在同一内容的表述不一致时，以</w:t>
      </w:r>
      <w:r>
        <w:rPr>
          <w:rFonts w:hint="eastAsia" w:ascii="宋体" w:hAnsi="宋体" w:eastAsia="宋体" w:cs="宋体"/>
          <w:b/>
          <w:bCs/>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最后发出的文件为准。</w:t>
      </w:r>
    </w:p>
    <w:p w14:paraId="31AB1E2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11.1</w:t>
      </w:r>
      <w:r>
        <w:rPr>
          <w:rFonts w:hint="eastAsia" w:ascii="宋体" w:hAnsi="宋体" w:cs="宋体"/>
          <w:b/>
          <w:color w:val="auto"/>
          <w:szCs w:val="21"/>
          <w:highlight w:val="none"/>
        </w:rPr>
        <w:t xml:space="preserve">             修改类型：修改</w:t>
      </w:r>
    </w:p>
    <w:p w14:paraId="6A9CAD52">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11.1 投标文件由技术部分（含资格审查文件）和经济部分二部分投标文件组成。</w:t>
      </w:r>
    </w:p>
    <w:p w14:paraId="3BE9C7EA">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11.1 投标文件由技术部分（含资格审查文件）</w:t>
      </w:r>
      <w:r>
        <w:rPr>
          <w:rFonts w:hint="eastAsia" w:ascii="宋体" w:hAnsi="宋体" w:cs="宋体"/>
          <w:b/>
          <w:bCs/>
          <w:color w:val="auto"/>
          <w:szCs w:val="21"/>
          <w:highlight w:val="none"/>
          <w:u w:val="single"/>
        </w:rPr>
        <w:t>、经济部分和</w:t>
      </w:r>
      <w:bookmarkStart w:id="82" w:name="_GoBack"/>
      <w:r>
        <w:rPr>
          <w:rFonts w:hint="eastAsia" w:ascii="宋体" w:hAnsi="宋体" w:cs="宋体"/>
          <w:b/>
          <w:bCs/>
          <w:color w:val="auto"/>
          <w:szCs w:val="21"/>
          <w:highlight w:val="none"/>
          <w:u w:val="single"/>
        </w:rPr>
        <w:t>定标文件</w:t>
      </w:r>
      <w:bookmarkEnd w:id="82"/>
      <w:r>
        <w:rPr>
          <w:rFonts w:hint="eastAsia" w:ascii="宋体" w:hAnsi="宋体" w:cs="宋体"/>
          <w:b/>
          <w:bCs/>
          <w:color w:val="auto"/>
          <w:szCs w:val="21"/>
          <w:highlight w:val="none"/>
          <w:u w:val="single"/>
        </w:rPr>
        <w:t>三部分</w:t>
      </w:r>
      <w:r>
        <w:rPr>
          <w:rFonts w:hint="eastAsia" w:ascii="宋体" w:hAnsi="宋体" w:cs="宋体"/>
          <w:color w:val="auto"/>
          <w:szCs w:val="21"/>
          <w:highlight w:val="none"/>
        </w:rPr>
        <w:t>投标文件组成。</w:t>
      </w:r>
    </w:p>
    <w:p w14:paraId="3D6F7B59">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14:paraId="6E9FDF4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14:paraId="5667B16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76B0853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5C7E66C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5C7D5CC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1317F08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5DB9DE6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194B0A0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47B5EFF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18CA614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19601A0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AB3626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2222306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3FF2E22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0973FA3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516437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6DE2EF9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075335E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7F998B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2582C56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D2D823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28DCAF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7466F0D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49D1E4F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347855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32B47A28">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14:paraId="697B1E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3A17373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BEDDDB8">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44776BB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p>
    <w:p w14:paraId="414287EC">
      <w:pPr>
        <w:adjustRightInd w:val="0"/>
        <w:snapToGri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b/>
          <w:bCs/>
          <w:color w:val="auto"/>
          <w:szCs w:val="21"/>
          <w:highlight w:val="none"/>
          <w:u w:val="single"/>
        </w:rPr>
        <w:t>（除注明原件外，均为清晰扫描件（网页截图）即可）</w:t>
      </w:r>
      <w:r>
        <w:rPr>
          <w:rFonts w:hint="eastAsia" w:ascii="宋体" w:hAnsi="宋体" w:cs="宋体"/>
          <w:color w:val="auto"/>
          <w:szCs w:val="21"/>
          <w:highlight w:val="none"/>
        </w:rPr>
        <w:t>：</w:t>
      </w:r>
    </w:p>
    <w:p w14:paraId="2742AF8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14:paraId="454AC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11.2.2 资格审查文件：</w:t>
      </w:r>
    </w:p>
    <w:p w14:paraId="397195F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
          <w:bCs w:val="0"/>
          <w:color w:val="auto"/>
          <w:szCs w:val="21"/>
          <w:highlight w:val="none"/>
          <w:u w:val="single"/>
        </w:rPr>
        <w:t>扫描件（须按招标公告附件内容及格式要求编制）；</w:t>
      </w:r>
    </w:p>
    <w:p w14:paraId="247FC52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
          <w:bCs w:val="0"/>
          <w:color w:val="auto"/>
          <w:szCs w:val="21"/>
          <w:highlight w:val="none"/>
          <w:u w:val="single"/>
        </w:rPr>
        <w:t>扫描件；委托投标的还应提供授权委托人2025年</w:t>
      </w:r>
      <w:r>
        <w:rPr>
          <w:rFonts w:hint="eastAsia" w:ascii="宋体" w:hAnsi="宋体" w:cs="宋体"/>
          <w:b/>
          <w:bCs w:val="0"/>
          <w:color w:val="auto"/>
          <w:szCs w:val="21"/>
          <w:highlight w:val="none"/>
          <w:u w:val="single"/>
          <w:lang w:val="en-US" w:eastAsia="zh-CN"/>
        </w:rPr>
        <w:t>09</w:t>
      </w:r>
      <w:r>
        <w:rPr>
          <w:rFonts w:hint="eastAsia" w:ascii="宋体" w:hAnsi="宋体" w:cs="宋体"/>
          <w:b/>
          <w:bCs w:val="0"/>
          <w:color w:val="auto"/>
          <w:szCs w:val="21"/>
          <w:highlight w:val="none"/>
          <w:u w:val="single"/>
          <w:lang w:eastAsia="zh-CN"/>
        </w:rPr>
        <w:t>月或</w:t>
      </w:r>
      <w:r>
        <w:rPr>
          <w:rFonts w:hint="eastAsia" w:ascii="宋体" w:hAnsi="宋体" w:cs="宋体"/>
          <w:b/>
          <w:bCs w:val="0"/>
          <w:color w:val="auto"/>
          <w:szCs w:val="21"/>
          <w:highlight w:val="none"/>
          <w:u w:val="single"/>
          <w:lang w:val="en-US" w:eastAsia="zh-CN"/>
        </w:rPr>
        <w:t>10</w:t>
      </w:r>
      <w:r>
        <w:rPr>
          <w:rFonts w:hint="eastAsia" w:ascii="宋体" w:hAnsi="宋体" w:cs="宋体"/>
          <w:b/>
          <w:bCs w:val="0"/>
          <w:color w:val="auto"/>
          <w:szCs w:val="21"/>
          <w:highlight w:val="none"/>
          <w:u w:val="single"/>
          <w:lang w:eastAsia="zh-CN"/>
        </w:rPr>
        <w:t>月</w:t>
      </w:r>
      <w:r>
        <w:rPr>
          <w:rFonts w:hint="eastAsia" w:ascii="宋体" w:hAnsi="宋体" w:cs="宋体"/>
          <w:b/>
          <w:bCs w:val="0"/>
          <w:color w:val="auto"/>
          <w:szCs w:val="21"/>
          <w:highlight w:val="none"/>
          <w:u w:val="single"/>
        </w:rPr>
        <w:t>在本公司缴纳社保的有效社保证明；</w:t>
      </w:r>
    </w:p>
    <w:p w14:paraId="0EF6CAC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3162D3F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r>
        <w:rPr>
          <w:rFonts w:hint="eastAsia" w:ascii="宋体" w:hAnsi="宋体" w:cs="宋体"/>
          <w:b/>
          <w:bCs w:val="0"/>
          <w:color w:val="auto"/>
          <w:szCs w:val="21"/>
          <w:highlight w:val="none"/>
          <w:u w:val="single"/>
        </w:rPr>
        <w:t>或符合招标公告规定的相关证明材料（如有）；</w:t>
      </w:r>
    </w:p>
    <w:p w14:paraId="4C9FE69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172A4BF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7A44FD9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01CE6EA">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（8）拟委派技术负责人的</w:t>
      </w:r>
      <w:r>
        <w:rPr>
          <w:rFonts w:hint="eastAsia" w:ascii="宋体" w:hAnsi="宋体" w:cs="宋体"/>
          <w:b/>
          <w:bCs w:val="0"/>
          <w:color w:val="auto"/>
          <w:szCs w:val="21"/>
          <w:highlight w:val="none"/>
          <w:u w:val="single"/>
        </w:rPr>
        <w:t>职称证书扫描件或电子证照；</w:t>
      </w:r>
    </w:p>
    <w:p w14:paraId="68033BFC">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（9）拟委派项目负责人的有效期内的建造师证书扫描件或电子证书；</w:t>
      </w:r>
    </w:p>
    <w:p w14:paraId="304E977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（10）项目负责人在有效期内的安全生产考核合格证（B类）或建筑施工企业项目负责人安全生产考核合格证书扫描件或电子证书；</w:t>
      </w:r>
    </w:p>
    <w:p w14:paraId="2D5AFB9D">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
          <w:bCs w:val="0"/>
          <w:color w:val="auto"/>
          <w:szCs w:val="21"/>
          <w:highlight w:val="none"/>
          <w:u w:val="single"/>
        </w:rPr>
        <w:t>（C3）</w:t>
      </w:r>
      <w:r>
        <w:rPr>
          <w:rFonts w:hint="eastAsia" w:ascii="宋体" w:hAnsi="宋体" w:cs="宋体"/>
          <w:bCs/>
          <w:color w:val="auto"/>
          <w:szCs w:val="21"/>
          <w:highlight w:val="none"/>
        </w:rPr>
        <w:t>扫描件或电子证书；</w:t>
      </w:r>
    </w:p>
    <w:p w14:paraId="6B5EEE56">
      <w:pPr>
        <w:wordWrap w:val="0"/>
        <w:adjustRightInd w:val="0"/>
        <w:snapToGrid w:val="0"/>
        <w:spacing w:line="360" w:lineRule="auto"/>
        <w:ind w:firstLine="422" w:firstLineChars="200"/>
        <w:rPr>
          <w:rFonts w:ascii="宋体" w:hAnsi="宋体" w:cs="宋体"/>
          <w:b/>
          <w:bCs w:val="0"/>
          <w:color w:val="auto"/>
          <w:szCs w:val="21"/>
          <w:highlight w:val="none"/>
        </w:rPr>
      </w:pPr>
      <w:r>
        <w:rPr>
          <w:rFonts w:hint="eastAsia" w:ascii="宋体" w:hAnsi="宋体" w:cs="宋体"/>
          <w:b/>
          <w:bCs w:val="0"/>
          <w:color w:val="auto"/>
          <w:szCs w:val="21"/>
          <w:highlight w:val="none"/>
          <w:u w:val="single"/>
        </w:rPr>
        <w:t>（12）资格审查前，投标人须在广州市住房和城乡建设局建立企业信用档案，拟担任本工程项目负责人、专职安全员须是</w:t>
      </w:r>
      <w:r>
        <w:rPr>
          <w:rFonts w:hint="eastAsia" w:ascii="宋体" w:hAnsi="宋体" w:cs="宋体"/>
          <w:b/>
          <w:bCs w:val="0"/>
          <w:color w:val="auto"/>
          <w:szCs w:val="21"/>
          <w:highlight w:val="none"/>
          <w:u w:val="single"/>
          <w:lang w:val="en-US" w:eastAsia="zh-CN"/>
        </w:rPr>
        <w:t>投标人</w:t>
      </w:r>
      <w:r>
        <w:rPr>
          <w:rFonts w:hint="eastAsia" w:ascii="宋体" w:hAnsi="宋体" w:cs="宋体"/>
          <w:b/>
          <w:bCs w:val="0"/>
          <w:color w:val="auto"/>
          <w:szCs w:val="21"/>
          <w:highlight w:val="none"/>
          <w:u w:val="single"/>
        </w:rPr>
        <w:t>企业信用档案中的在册人员。</w:t>
      </w:r>
    </w:p>
    <w:p w14:paraId="3C81BC70">
      <w:pPr>
        <w:adjustRightInd w:val="0"/>
        <w:snapToGrid w:val="0"/>
        <w:spacing w:line="360" w:lineRule="auto"/>
        <w:ind w:firstLine="422" w:firstLineChars="200"/>
        <w:rPr>
          <w:rFonts w:ascii="宋体" w:hAnsi="宋体" w:cs="宋体"/>
          <w:b/>
          <w:bCs w:val="0"/>
          <w:color w:val="auto"/>
          <w:szCs w:val="21"/>
          <w:highlight w:val="none"/>
          <w:u w:val="single"/>
        </w:rPr>
      </w:pPr>
      <w:r>
        <w:rPr>
          <w:rFonts w:hint="eastAsia" w:ascii="宋体" w:hAnsi="宋体" w:cs="宋体"/>
          <w:b/>
          <w:bCs w:val="0"/>
          <w:color w:val="auto"/>
          <w:szCs w:val="21"/>
          <w:highlight w:val="none"/>
          <w:u w:val="single"/>
        </w:rPr>
        <w:t>（13）投标人未出现以下情形：与其他投标人的单位负责人为同一人或者存在控股、管理关系的【按《投标人声明》第九条内容进行评审】。如不同投标申请人出现单位负责人为同一人或者存在控股、管理关系的情形，则均按不符合投标人合格条件处理。</w:t>
      </w:r>
    </w:p>
    <w:p w14:paraId="3BEEC985">
      <w:pPr>
        <w:adjustRightInd w:val="0"/>
        <w:snapToGrid w:val="0"/>
        <w:spacing w:line="360" w:lineRule="auto"/>
        <w:ind w:firstLine="422" w:firstLineChars="200"/>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u w:val="single"/>
        </w:rPr>
        <w:t>（1</w:t>
      </w:r>
      <w:r>
        <w:rPr>
          <w:rFonts w:hint="eastAsia" w:ascii="宋体" w:hAnsi="宋体" w:cs="宋体"/>
          <w:b/>
          <w:bCs w:val="0"/>
          <w:color w:val="auto"/>
          <w:szCs w:val="21"/>
          <w:highlight w:val="none"/>
          <w:u w:val="single"/>
          <w:lang w:val="en-US" w:eastAsia="zh-CN"/>
        </w:rPr>
        <w:t>4</w:t>
      </w:r>
      <w:r>
        <w:rPr>
          <w:rFonts w:hint="eastAsia" w:ascii="宋体" w:hAnsi="宋体" w:cs="宋体"/>
          <w:b/>
          <w:bCs w:val="0"/>
          <w:color w:val="auto"/>
          <w:szCs w:val="21"/>
          <w:highlight w:val="none"/>
          <w:u w:val="single"/>
        </w:rPr>
        <w:t>）投标人未被列入拖欠农民工工资失信联合惩戒对象名单（投标人无需提供资料，按广州交易集团有限公司（广州公共资源交易中心）交易系统比对的结果进行评审）；</w:t>
      </w:r>
    </w:p>
    <w:p w14:paraId="427FBD19">
      <w:pPr>
        <w:adjustRightInd w:val="0"/>
        <w:snapToGrid w:val="0"/>
        <w:spacing w:line="360" w:lineRule="auto"/>
        <w:ind w:firstLine="422" w:firstLineChars="200"/>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u w:val="single"/>
        </w:rPr>
        <w:t>（1</w:t>
      </w:r>
      <w:r>
        <w:rPr>
          <w:rFonts w:hint="eastAsia" w:ascii="宋体" w:hAnsi="宋体" w:cs="宋体"/>
          <w:b/>
          <w:bCs w:val="0"/>
          <w:color w:val="auto"/>
          <w:szCs w:val="21"/>
          <w:highlight w:val="none"/>
          <w:u w:val="single"/>
          <w:lang w:val="en-US" w:eastAsia="zh-CN"/>
        </w:rPr>
        <w:t>5</w:t>
      </w:r>
      <w:r>
        <w:rPr>
          <w:rFonts w:hint="eastAsia" w:ascii="宋体" w:hAnsi="宋体" w:cs="宋体"/>
          <w:b/>
          <w:bCs w:val="0"/>
          <w:color w:val="auto"/>
          <w:szCs w:val="21"/>
          <w:highlight w:val="none"/>
          <w:u w:val="single"/>
        </w:rPr>
        <w:t>）投标人认为应提供的其他资料（如有）。</w:t>
      </w:r>
    </w:p>
    <w:p w14:paraId="0737CCC3">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注：1.相关电子证书按规定需打印后手写本人签名的，应按照规定手写本人签名后再扫描提交。</w:t>
      </w:r>
    </w:p>
    <w:p w14:paraId="30B7E1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企业信用档案中的在册人员”的要求，投标人无需提供证明材料。</w:t>
      </w:r>
    </w:p>
    <w:p w14:paraId="3DAD1175">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rPr>
        <w:t>3.</w:t>
      </w:r>
      <w:r>
        <w:rPr>
          <w:rFonts w:hint="eastAsia" w:ascii="宋体" w:hAnsi="宋体" w:cs="宋体"/>
          <w:b/>
          <w:bCs/>
          <w:color w:val="auto"/>
          <w:szCs w:val="21"/>
          <w:highlight w:val="none"/>
          <w:u w:val="single"/>
        </w:rPr>
        <w:t>上述第11.2.2（1）—（1</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）条没有要求提交的资料，不作为资格审查不合格的依据。</w:t>
      </w:r>
    </w:p>
    <w:p w14:paraId="1339F029">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4.上述第11.2.2（1</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）条，投标人无需提供资料，按投标截止时间广州交易集团有限公司（广州公共资源交易中心）交易系统比对的结果进行评审。</w:t>
      </w:r>
    </w:p>
    <w:p w14:paraId="6B249C4D">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11.2.3《投标函》《标函承诺书》、《项目负责人驻场承诺书》、《投入项目负责人及专职安全员承诺书》（格式见招标文件第四章）。</w:t>
      </w:r>
    </w:p>
    <w:p w14:paraId="4E856E1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11.2.4《施工项目管理团队人员信息表》《主要人员简历表》（格式见招标文件第四章、投标人需按相应表格备注要求提供相关资料）。</w:t>
      </w:r>
    </w:p>
    <w:p w14:paraId="591BBAE7">
      <w:pPr>
        <w:tabs>
          <w:tab w:val="left" w:pos="1125"/>
        </w:tabs>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u w:val="single"/>
        </w:rPr>
        <w:t>11.2.5</w:t>
      </w:r>
      <w:r>
        <w:rPr>
          <w:rFonts w:hint="eastAsia" w:ascii="宋体" w:hAnsi="宋体" w:eastAsia="宋体" w:cs="宋体"/>
          <w:b/>
          <w:bCs/>
          <w:color w:val="auto"/>
          <w:szCs w:val="21"/>
          <w:highlight w:val="none"/>
          <w:u w:val="single"/>
        </w:rPr>
        <w:t>企业资信证明材料（按招标文件第二章附表《技术标详细审查评分表》要求提交资料。招标文件有规定格式的，需按招标文件格式提供，无格式要求的，格式自拟）。</w:t>
      </w:r>
    </w:p>
    <w:p w14:paraId="202EC6CA">
      <w:pPr>
        <w:tabs>
          <w:tab w:val="left" w:pos="1125"/>
        </w:tabs>
        <w:adjustRightInd w:val="0"/>
        <w:snapToGrid w:val="0"/>
        <w:spacing w:line="360" w:lineRule="auto"/>
        <w:ind w:firstLine="422" w:firstLineChars="200"/>
        <w:rPr>
          <w:rFonts w:ascii="宋体" w:hAnsi="宋体" w:cs="宋体"/>
          <w:b/>
          <w:bCs/>
          <w:strike w:val="0"/>
          <w:dstrike w:val="0"/>
          <w:color w:val="auto"/>
          <w:kern w:val="0"/>
          <w:szCs w:val="21"/>
          <w:highlight w:val="none"/>
          <w:u w:val="single"/>
        </w:rPr>
      </w:pPr>
      <w:r>
        <w:rPr>
          <w:rFonts w:hint="eastAsia" w:ascii="宋体" w:hAnsi="宋体" w:eastAsia="宋体" w:cs="宋体"/>
          <w:b/>
          <w:bCs/>
          <w:strike w:val="0"/>
          <w:dstrike w:val="0"/>
          <w:color w:val="auto"/>
          <w:szCs w:val="21"/>
          <w:highlight w:val="none"/>
          <w:u w:val="single"/>
        </w:rPr>
        <w:t>11.2.</w:t>
      </w:r>
      <w:r>
        <w:rPr>
          <w:rFonts w:hint="eastAsia" w:ascii="宋体" w:hAnsi="宋体" w:eastAsia="宋体" w:cs="宋体"/>
          <w:b/>
          <w:bCs/>
          <w:strike w:val="0"/>
          <w:dstrike w:val="0"/>
          <w:color w:val="auto"/>
          <w:szCs w:val="21"/>
          <w:highlight w:val="none"/>
          <w:u w:val="single"/>
          <w:lang w:val="en-US" w:eastAsia="zh-CN"/>
        </w:rPr>
        <w:t>6</w:t>
      </w:r>
      <w:r>
        <w:rPr>
          <w:rFonts w:hint="eastAsia" w:ascii="宋体" w:hAnsi="宋体" w:cs="宋体"/>
          <w:b/>
          <w:bCs/>
          <w:strike w:val="0"/>
          <w:dstrike w:val="0"/>
          <w:color w:val="auto"/>
          <w:kern w:val="0"/>
          <w:szCs w:val="21"/>
          <w:highlight w:val="none"/>
          <w:u w:val="single"/>
        </w:rPr>
        <w:t>施工组织设计或施工方案。</w:t>
      </w:r>
    </w:p>
    <w:p w14:paraId="0FB81AD9">
      <w:pPr>
        <w:adjustRightInd w:val="0"/>
        <w:snapToGrid w:val="0"/>
        <w:spacing w:line="360" w:lineRule="auto"/>
        <w:ind w:firstLine="422" w:firstLineChars="200"/>
        <w:rPr>
          <w:rFonts w:ascii="宋体" w:hAnsi="宋体" w:cs="宋体"/>
          <w:b/>
          <w:bCs/>
          <w:strike w:val="0"/>
          <w:dstrike w:val="0"/>
          <w:color w:val="auto"/>
          <w:szCs w:val="21"/>
          <w:highlight w:val="none"/>
          <w:u w:val="single"/>
        </w:rPr>
      </w:pPr>
      <w:r>
        <w:rPr>
          <w:rFonts w:hint="eastAsia" w:ascii="宋体" w:hAnsi="宋体" w:cs="宋体"/>
          <w:b/>
          <w:bCs/>
          <w:strike w:val="0"/>
          <w:dstrike w:val="0"/>
          <w:color w:val="auto"/>
          <w:szCs w:val="21"/>
          <w:highlight w:val="none"/>
          <w:u w:val="single"/>
        </w:rPr>
        <w:t>（1）投标人在编制施工组织设计或施工方案时应按照招标人提出的施工现场建筑垃圾源头减量的具体要求以及建筑垃圾综合利用产品的使用要求提供相应措施。</w:t>
      </w:r>
    </w:p>
    <w:p w14:paraId="2A1C8642">
      <w:pPr>
        <w:adjustRightInd w:val="0"/>
        <w:snapToGrid w:val="0"/>
        <w:spacing w:line="360" w:lineRule="auto"/>
        <w:ind w:firstLine="422" w:firstLineChars="200"/>
        <w:rPr>
          <w:rFonts w:ascii="宋体" w:hAnsi="宋体" w:cs="宋体"/>
          <w:b/>
          <w:bCs/>
          <w:strike w:val="0"/>
          <w:dstrike w:val="0"/>
          <w:color w:val="auto"/>
          <w:szCs w:val="21"/>
          <w:highlight w:val="none"/>
          <w:u w:val="single"/>
        </w:rPr>
      </w:pPr>
      <w:r>
        <w:rPr>
          <w:rFonts w:hint="eastAsia" w:ascii="宋体" w:hAnsi="宋体" w:cs="宋体"/>
          <w:b/>
          <w:bCs/>
          <w:strike w:val="0"/>
          <w:dstrike w:val="0"/>
          <w:color w:val="auto"/>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AD20C31">
      <w:pPr>
        <w:tabs>
          <w:tab w:val="left" w:pos="1125"/>
        </w:tabs>
        <w:adjustRightInd w:val="0"/>
        <w:snapToGrid w:val="0"/>
        <w:spacing w:line="360" w:lineRule="auto"/>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11.2.7</w:t>
      </w:r>
      <w:r>
        <w:rPr>
          <w:rFonts w:hint="eastAsia" w:ascii="宋体" w:hAnsi="宋体" w:eastAsia="宋体" w:cs="宋体"/>
          <w:b/>
          <w:bCs/>
          <w:color w:val="auto"/>
          <w:szCs w:val="21"/>
          <w:highlight w:val="none"/>
          <w:u w:val="single"/>
          <w:lang w:val="en-US" w:eastAsia="zh-CN"/>
        </w:rPr>
        <w:t>《拟投入本工程施工的主要机械设备配备表》（格式见招标文件第四章）。</w:t>
      </w:r>
    </w:p>
    <w:p w14:paraId="6834DAE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《危险性较大的分部分项工程安全管理措施》（格式见招标文件第四章）。</w:t>
      </w:r>
    </w:p>
    <w:p w14:paraId="17D7857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《参与编制技术标投标文件人员名单》（格式见招标文件第四章）。</w:t>
      </w:r>
    </w:p>
    <w:p w14:paraId="7A4A9D19">
      <w:pPr>
        <w:pBdr>
          <w:bottom w:val="single" w:color="auto" w:sz="4" w:space="0"/>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投标人认为应提供的其他技术标资料（如有）。</w:t>
      </w:r>
    </w:p>
    <w:p w14:paraId="379EA7F1">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14:paraId="62AC7D33">
      <w:pPr>
        <w:adjustRightInd w:val="0"/>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14:paraId="4B00541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7B5585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40AFE4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14:paraId="2C3D5E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14:paraId="6F793DB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4F6394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B544CE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570E6DF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15ADAF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558C61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3E1433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14:paraId="4339B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651FC23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14:paraId="44941AF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6A56528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2B64666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14:paraId="0CC385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14:paraId="23EE285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2FB5689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4975912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0EAEADA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5F2E6194">
      <w:pP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w:t>
      </w:r>
      <w:r>
        <w:rPr>
          <w:rFonts w:hint="eastAsia" w:ascii="宋体" w:hAnsi="宋体" w:cs="宋体"/>
          <w:b/>
          <w:bCs/>
          <w:color w:val="auto"/>
          <w:szCs w:val="21"/>
          <w:highlight w:val="none"/>
          <w:u w:val="single"/>
        </w:rPr>
        <w:t>投标文件经济部分</w:t>
      </w:r>
      <w:r>
        <w:rPr>
          <w:rFonts w:hint="eastAsia" w:ascii="宋体" w:hAnsi="宋体" w:cs="宋体"/>
          <w:color w:val="auto"/>
          <w:szCs w:val="21"/>
          <w:highlight w:val="none"/>
        </w:rPr>
        <w:t>主要包括下列内容：</w:t>
      </w:r>
    </w:p>
    <w:p w14:paraId="23FE693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
          <w:bCs/>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14:paraId="67DE418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5C6DD9D">
      <w:pPr>
        <w:numPr>
          <w:ilvl w:val="0"/>
          <w:numId w:val="1"/>
        </w:num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14:paraId="58BE6226">
      <w:pPr>
        <w:numPr>
          <w:ilvl w:val="0"/>
          <w:numId w:val="1"/>
        </w:num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14:paraId="1EF9E167">
      <w:pPr>
        <w:numPr>
          <w:ilvl w:val="0"/>
          <w:numId w:val="1"/>
        </w:numPr>
        <w:pBdr>
          <w:bottom w:val="single" w:color="auto" w:sz="6" w:space="1"/>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b/>
          <w:bCs/>
          <w:color w:val="auto"/>
          <w:szCs w:val="21"/>
          <w:highlight w:val="none"/>
        </w:rPr>
        <w:t>；</w:t>
      </w:r>
    </w:p>
    <w:p w14:paraId="6275049B">
      <w:pPr>
        <w:numPr>
          <w:ilvl w:val="0"/>
          <w:numId w:val="1"/>
        </w:numPr>
        <w:pBdr>
          <w:bottom w:val="single" w:color="auto" w:sz="6" w:space="1"/>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其它辅助说明资料（包括但不限于招标文件要求填写的《对投标文件编制的承诺》，格式见招标文件第四章）</w:t>
      </w:r>
      <w:r>
        <w:rPr>
          <w:rFonts w:hint="eastAsia" w:ascii="宋体" w:hAnsi="宋体" w:cs="宋体"/>
          <w:b/>
          <w:bCs/>
          <w:color w:val="auto"/>
          <w:szCs w:val="21"/>
          <w:highlight w:val="none"/>
        </w:rPr>
        <w:t>。</w:t>
      </w:r>
    </w:p>
    <w:p w14:paraId="45A0D8B6">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b/>
          <w:bCs/>
          <w:color w:val="auto"/>
          <w:szCs w:val="21"/>
          <w:highlight w:val="none"/>
          <w:u w:val="single"/>
        </w:rPr>
        <w:t>（格式见招标文件第四章）</w:t>
      </w:r>
      <w:r>
        <w:rPr>
          <w:rFonts w:hint="eastAsia" w:ascii="宋体" w:hAnsi="宋体" w:cs="宋体"/>
          <w:color w:val="auto"/>
          <w:szCs w:val="21"/>
          <w:highlight w:val="none"/>
        </w:rPr>
        <w:t>。</w:t>
      </w:r>
    </w:p>
    <w:p w14:paraId="7D56A8E6">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2B9B1FBC">
      <w:pPr>
        <w:pBdr>
          <w:bottom w:val="single" w:color="auto" w:sz="6" w:space="1"/>
        </w:pBdr>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b/>
          <w:bCs/>
          <w:color w:val="auto"/>
          <w:szCs w:val="21"/>
          <w:highlight w:val="none"/>
          <w:u w:val="single"/>
        </w:rPr>
        <w:t>投标人认为应提供的其他经济标资料（如有）。</w:t>
      </w:r>
    </w:p>
    <w:p w14:paraId="72F38832">
      <w:pPr>
        <w:adjustRightInd w:val="0"/>
        <w:spacing w:line="360" w:lineRule="auto"/>
        <w:ind w:firstLine="422" w:firstLineChars="200"/>
        <w:textAlignment w:val="baseline"/>
        <w:rPr>
          <w:rFonts w:hint="eastAsia" w:ascii="宋体" w:hAnsi="宋体" w:cs="宋体"/>
          <w:b/>
          <w:color w:val="000000"/>
          <w:szCs w:val="21"/>
          <w:highlight w:val="none"/>
        </w:rPr>
      </w:pPr>
      <w:r>
        <w:rPr>
          <w:rFonts w:hint="eastAsia" w:ascii="宋体" w:hAnsi="宋体" w:cs="宋体"/>
          <w:b/>
          <w:color w:val="000000"/>
          <w:szCs w:val="21"/>
          <w:highlight w:val="none"/>
        </w:rPr>
        <w:t>条款号：11.4                        修改类型：增加</w:t>
      </w:r>
    </w:p>
    <w:p w14:paraId="1D68609E">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u w:val="single"/>
        </w:rPr>
      </w:pPr>
      <w:r>
        <w:rPr>
          <w:rFonts w:hint="eastAsia" w:ascii="宋体" w:hAnsi="宋体" w:cs="宋体"/>
          <w:b/>
          <w:color w:val="000000"/>
          <w:szCs w:val="21"/>
          <w:highlight w:val="none"/>
        </w:rPr>
        <w:t>现文：</w:t>
      </w:r>
      <w:r>
        <w:rPr>
          <w:rFonts w:hint="eastAsia" w:ascii="宋体" w:hAnsi="宋体" w:cs="宋体"/>
          <w:b/>
          <w:bCs/>
          <w:color w:val="000000"/>
          <w:szCs w:val="21"/>
          <w:highlight w:val="none"/>
          <w:u w:val="single"/>
        </w:rPr>
        <w:t>11.4定标文件主要包括下列内容：</w:t>
      </w:r>
    </w:p>
    <w:p w14:paraId="25A788C1">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u w:val="single"/>
        </w:rPr>
        <w:t>11.4.1投标人认为应提供的其他定标资料（如有）。</w:t>
      </w:r>
    </w:p>
    <w:p w14:paraId="55B4C48C">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u w:val="single"/>
        </w:rPr>
        <w:t>注：定标文件的递交时间和形式由投标人按照投标须知前附表第18项所规定的时间及本须知第18条的相关要求执行。</w:t>
      </w:r>
    </w:p>
    <w:p w14:paraId="6834D5BE">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14:paraId="16B11249">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3382EA2D">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14:paraId="12990677">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b/>
          <w:bCs/>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对投标文件加盖电子印章。投标文件中需个人签字或盖章的，应加盖个人电子印章或在线下完成后原件扫描上传。按照</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4AACE6D1">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14:paraId="3B425D33">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6CBE628D">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EB8DDF">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64D6972">
      <w:pPr>
        <w:pBdr>
          <w:bottom w:val="single" w:color="auto" w:sz="6" w:space="1"/>
        </w:pBdr>
        <w:adjustRightInd w:val="0"/>
        <w:snapToGrid w:val="0"/>
        <w:spacing w:line="360" w:lineRule="auto"/>
        <w:ind w:firstLine="422" w:firstLineChars="200"/>
        <w:textAlignment w:val="baseline"/>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
          <w:bCs w:val="0"/>
          <w:color w:val="auto"/>
          <w:szCs w:val="21"/>
          <w:highlight w:val="none"/>
          <w:u w:val="single"/>
        </w:rPr>
        <w:t>广州交易集团有限公司（广州公共资源交易中心）网站最新指引。请各投标</w:t>
      </w:r>
      <w:r>
        <w:rPr>
          <w:rFonts w:hint="eastAsia" w:ascii="宋体" w:hAnsi="宋体" w:cs="宋体"/>
          <w:b/>
          <w:color w:val="auto"/>
          <w:szCs w:val="21"/>
          <w:highlight w:val="none"/>
          <w:u w:val="single"/>
        </w:rPr>
        <w:t>单位在投标系统上传投标文件时，要把资审文件、技术文件、经济文件等内容，分别上传至投标系统内对应的文件夹中，不要上传到定标文件夹中。定标文件夹中只上传定标文件。</w:t>
      </w:r>
      <w:r>
        <w:rPr>
          <w:rFonts w:ascii="宋体" w:hAnsi="宋体" w:cs="宋体"/>
          <w:b/>
          <w:color w:val="auto"/>
          <w:szCs w:val="21"/>
          <w:highlight w:val="none"/>
          <w:u w:val="single"/>
        </w:rPr>
        <w:t xml:space="preserve"> </w:t>
      </w:r>
    </w:p>
    <w:p w14:paraId="68E468CE">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u w:val="single"/>
        </w:rPr>
        <w:t>注</w:t>
      </w:r>
      <w:r>
        <w:rPr>
          <w:rFonts w:ascii="宋体" w:hAnsi="宋体" w:cs="宋体"/>
          <w:b/>
          <w:color w:val="auto"/>
          <w:szCs w:val="21"/>
          <w:highlight w:val="none"/>
          <w:u w:val="single"/>
        </w:rPr>
        <w:t>:投标单位提交的定标文件在评标阶段不对评标委员会公开，由交易中心系统对定标文件进行加密处理</w:t>
      </w:r>
      <w:r>
        <w:rPr>
          <w:rFonts w:hint="eastAsia" w:ascii="宋体" w:hAnsi="宋体" w:cs="宋体"/>
          <w:b/>
          <w:color w:val="auto"/>
          <w:szCs w:val="21"/>
          <w:highlight w:val="none"/>
          <w:u w:val="single"/>
        </w:rPr>
        <w:t>；评标委员会不对定标文件进行评审，因投标人未按招标文件要求提供规定的资料，而未能通过资格审查</w:t>
      </w:r>
      <w:r>
        <w:rPr>
          <w:rFonts w:ascii="宋体" w:hAnsi="宋体" w:cs="宋体"/>
          <w:b/>
          <w:color w:val="auto"/>
          <w:szCs w:val="21"/>
          <w:highlight w:val="none"/>
          <w:u w:val="single"/>
        </w:rPr>
        <w:t>(或技术标有效性审查或经济标有效性审查)或影响评分的后果由投标人自行承担。</w:t>
      </w:r>
    </w:p>
    <w:p w14:paraId="66692ED0">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7B6AEB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2C60F00E">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12886DA9">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b/>
          <w:bCs/>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506E9E2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14:paraId="58AF9812">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B0C5E7C">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b/>
          <w:bCs/>
          <w:color w:val="auto"/>
          <w:szCs w:val="21"/>
          <w:highlight w:val="none"/>
          <w:u w:val="single"/>
        </w:rPr>
        <w:t>提供的招标图纸（包括有关于本项目招标的相关资料）</w:t>
      </w:r>
      <w:r>
        <w:rPr>
          <w:rFonts w:hint="eastAsia" w:ascii="宋体" w:hAnsi="宋体" w:cs="宋体"/>
          <w:color w:val="auto"/>
          <w:szCs w:val="21"/>
          <w:highlight w:val="none"/>
          <w:u w:val="single"/>
        </w:rPr>
        <w:t>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F02D00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7006294B">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6B8B955">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b/>
          <w:bCs/>
          <w:color w:val="auto"/>
          <w:szCs w:val="21"/>
          <w:highlight w:val="none"/>
          <w:u w:val="single"/>
        </w:rPr>
        <w:t>和措施项目费（措施项目费必须单列，没有单独列出的，视为已经包含在投标报价中）。</w:t>
      </w:r>
    </w:p>
    <w:p w14:paraId="59A9FB5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14:paraId="6F2A599C">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4370FDF">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106C9A0E">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4148A55">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68F2FFF">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60D31D66">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13.5变更结算方式按招标文件及施工合同相关规定执行。</w:t>
      </w:r>
    </w:p>
    <w:p w14:paraId="12390FC1">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14:paraId="74AE6137">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B193AD4">
      <w:pPr>
        <w:pBdr>
          <w:bottom w:val="single" w:color="auto" w:sz="6" w:space="1"/>
        </w:pBdr>
        <w:adjustRightInd w:val="0"/>
        <w:snapToGrid w:val="0"/>
        <w:spacing w:line="360" w:lineRule="auto"/>
        <w:ind w:firstLine="422" w:firstLineChars="200"/>
        <w:rPr>
          <w:rFonts w:ascii="宋体" w:hAnsi="宋体" w:cs="宋体"/>
          <w:color w:val="auto"/>
          <w:sz w:val="21"/>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w:t>
      </w:r>
      <w:r>
        <w:rPr>
          <w:rFonts w:hint="eastAsia" w:ascii="宋体" w:hAnsi="宋体" w:cs="宋体"/>
          <w:color w:val="auto"/>
          <w:sz w:val="21"/>
          <w:szCs w:val="21"/>
          <w:highlight w:val="none"/>
        </w:rPr>
        <w:t>在工程实施中，暂列金额、暂估价所包含的工作范围和图纸、标准深化固定后，按照工程专业、设备、材料类别等分类汇总的金额，达到法定招标范围标准的</w:t>
      </w:r>
      <w:r>
        <w:rPr>
          <w:rFonts w:hint="eastAsia" w:ascii="宋体" w:hAnsi="宋体" w:cs="宋体"/>
          <w:b/>
          <w:bCs/>
          <w:color w:val="auto"/>
          <w:sz w:val="21"/>
          <w:szCs w:val="21"/>
          <w:highlight w:val="none"/>
          <w:u w:val="single"/>
        </w:rPr>
        <w:t>应由招标人招标确定承包人和承包价格。</w:t>
      </w:r>
    </w:p>
    <w:p w14:paraId="1E4151FC">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6C16A592">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3169DDD">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b/>
          <w:bCs/>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0FD53D7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14:paraId="60F8F50F">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6EB81B7">
      <w:pPr>
        <w:pBdr>
          <w:bottom w:val="single" w:color="auto" w:sz="4" w:space="0"/>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eastAsia="宋体" w:cs="宋体"/>
          <w:szCs w:val="21"/>
        </w:rPr>
        <w:t>本工程施工采用的主要</w:t>
      </w:r>
      <w:r>
        <w:rPr>
          <w:rFonts w:hint="eastAsia" w:ascii="宋体" w:hAnsi="宋体" w:eastAsia="宋体" w:cs="宋体"/>
          <w:szCs w:val="21"/>
          <w:highlight w:val="none"/>
        </w:rPr>
        <w:t>材料推荐选用《主要材料推荐品牌表》同等档次品牌（或厂家）或选用相当于该档次（或以上）的产品。所有材</w:t>
      </w:r>
      <w:r>
        <w:rPr>
          <w:rFonts w:hint="eastAsia" w:ascii="宋体" w:hAnsi="宋体" w:eastAsia="宋体" w:cs="宋体"/>
          <w:szCs w:val="21"/>
        </w:rPr>
        <w:t>料品牌选择均须报发包人、监理工程师确认，且经检验合格后方能使用。主要材料品牌详见招标文件附件，投标人在投标文件中可不附主要材料供应商及品牌。</w:t>
      </w:r>
    </w:p>
    <w:p w14:paraId="409CE27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14:paraId="6EBD61EA">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6CCDDA2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修改类型：增加</w:t>
      </w:r>
    </w:p>
    <w:p w14:paraId="666175C4">
      <w:pPr>
        <w:pBdr>
          <w:bottom w:val="single" w:color="auto" w:sz="4" w:space="0"/>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1</w:t>
      </w:r>
      <w:r>
        <w:rPr>
          <w:rFonts w:hint="eastAsia" w:ascii="宋体" w:hAnsi="宋体" w:cs="宋体"/>
          <w:b/>
          <w:bCs/>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278B60E8">
      <w:pPr>
        <w:pBdr>
          <w:top w:val="single" w:color="auto" w:sz="4" w:space="1"/>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                             修改类型：增加</w:t>
      </w:r>
    </w:p>
    <w:p w14:paraId="77D2905F">
      <w:pPr>
        <w:pBdr>
          <w:top w:val="single" w:color="auto" w:sz="4" w:space="1"/>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2A421459">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修改类型：增加</w:t>
      </w:r>
    </w:p>
    <w:p w14:paraId="04CB3444">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21AC71E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修改类型：增加</w:t>
      </w:r>
    </w:p>
    <w:p w14:paraId="7ADF61F6">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中标人应使用绿色生产达标企业生产的混凝土，若不遵守承诺，自愿按不履行合同约定处理。</w:t>
      </w:r>
    </w:p>
    <w:p w14:paraId="3EB5F051">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修改类型：增加</w:t>
      </w:r>
    </w:p>
    <w:p w14:paraId="43E9D7F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中标人应按有关规定协助建设业主完成公共排水设施竣工图纸备案工作。</w:t>
      </w:r>
    </w:p>
    <w:p w14:paraId="121BD03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条款号：15.2                               修改类型：修改</w:t>
      </w:r>
    </w:p>
    <w:p w14:paraId="466D9447">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9E6C3B9">
      <w:pPr>
        <w:pBdr>
          <w:bottom w:val="single" w:color="auto" w:sz="6" w:space="1"/>
        </w:pBdr>
        <w:adjustRightInd w:val="0"/>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b/>
          <w:bCs/>
          <w:color w:val="auto"/>
          <w:szCs w:val="21"/>
          <w:highlight w:val="none"/>
          <w:u w:val="single"/>
        </w:rPr>
        <w:t>投标人可以拒绝招标人这种要求。同意延长投标有效期的投标人既不能要求也不允许修改其投标文件。</w:t>
      </w:r>
    </w:p>
    <w:p w14:paraId="6FD156D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条款号：16.5.3                      修改类型：修改</w:t>
      </w:r>
    </w:p>
    <w:p w14:paraId="588B4FBF">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p>
    <w:p w14:paraId="2A540805">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26FE9710">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090436F5">
      <w:pPr>
        <w:pBdr>
          <w:bottom w:val="single" w:color="auto" w:sz="6" w:space="1"/>
        </w:pBd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14:paraId="79897650">
      <w:pPr>
        <w:pBdr>
          <w:bottom w:val="single" w:color="auto" w:sz="6" w:space="1"/>
        </w:pBdr>
        <w:spacing w:line="360" w:lineRule="auto"/>
        <w:ind w:firstLine="422" w:firstLineChars="200"/>
        <w:rPr>
          <w:rFonts w:hint="eastAsia"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strike/>
          <w:color w:val="auto"/>
          <w:szCs w:val="21"/>
          <w:highlight w:val="none"/>
        </w:rPr>
        <w:t>16.5.3按招标文件要求免于提供投标保证金的投标人存在16.4条款所列情形，且未按招标人要求补交投标保证金的；</w:t>
      </w:r>
    </w:p>
    <w:p w14:paraId="5A141E14">
      <w:pPr>
        <w:pBdr>
          <w:bottom w:val="single" w:color="auto" w:sz="6" w:space="1"/>
        </w:pBd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16.5.3按招标文件要求免于提供投标保证金的投标人存在16.4条款所列情形的。</w:t>
      </w:r>
    </w:p>
    <w:p w14:paraId="4DEB3C58">
      <w:pPr>
        <w:pStyle w:val="31"/>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                修改类型：修改</w:t>
      </w:r>
    </w:p>
    <w:p w14:paraId="7EB380D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p>
    <w:p w14:paraId="62A6D6C6">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投标人应采用单位数字证书，对投标文件加盖电子印章。投标文件中需个人签字或盖章的，应加盖个人电子印章或在线下完成后原件扫描上传。按照交易平台关于全流程电子化项目的相关指南进行操作。详见：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w:t>
      </w:r>
    </w:p>
    <w:p w14:paraId="39FA289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14:paraId="197142C7">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17.1投标人应采用单位数字证书，对投标文件加盖电子印章。投标文件中需个人签字或盖章的，应加盖个人电子印章或在线下完成后原件扫描上传。按照</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19802BF1">
      <w:pPr>
        <w:pBdr>
          <w:bottom w:val="single" w:color="auto" w:sz="4" w:space="0"/>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1C385D73">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18.                          </w:t>
      </w:r>
      <w:r>
        <w:rPr>
          <w:rFonts w:hint="eastAsia" w:ascii="宋体" w:hAnsi="宋体" w:cs="宋体"/>
          <w:b/>
          <w:color w:val="auto"/>
          <w:szCs w:val="21"/>
          <w:highlight w:val="none"/>
        </w:rPr>
        <w:t>修改类型：修改</w:t>
      </w:r>
    </w:p>
    <w:p w14:paraId="63E145D7">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color w:val="auto"/>
          <w:szCs w:val="21"/>
          <w:highlight w:val="none"/>
        </w:rPr>
        <w:t>原文：18．投标文件的密封和标记</w:t>
      </w:r>
    </w:p>
    <w:p w14:paraId="5B1EBCB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45E8B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020EDF74">
      <w:pPr>
        <w:pBdr>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现文：18．投标文件的密封和标记</w:t>
      </w:r>
    </w:p>
    <w:p w14:paraId="6A264F5D">
      <w:pPr>
        <w:pBdr>
          <w:bottom w:val="single" w:color="auto" w:sz="6" w:space="1"/>
        </w:pBdr>
        <w:adjustRightInd w:val="0"/>
        <w:snapToGri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6794B3CC">
      <w:pPr>
        <w:pBdr>
          <w:bottom w:val="single" w:color="auto" w:sz="6" w:space="1"/>
        </w:pBd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18.2未按要求加密的投标文件，</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bCs/>
          <w:color w:val="auto"/>
          <w:szCs w:val="21"/>
          <w:highlight w:val="none"/>
        </w:rPr>
        <w:t>交易平台将予以拒收。</w:t>
      </w:r>
    </w:p>
    <w:p w14:paraId="6BAFBD2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条款号：19</w:t>
      </w:r>
      <w:r>
        <w:rPr>
          <w:rFonts w:hint="eastAsia" w:ascii="宋体" w:hAnsi="宋体" w:cs="宋体"/>
          <w:b/>
          <w:bCs/>
          <w:color w:val="auto"/>
          <w:szCs w:val="21"/>
          <w:highlight w:val="none"/>
        </w:rPr>
        <w:t>.</w:t>
      </w:r>
      <w:r>
        <w:rPr>
          <w:rFonts w:hint="eastAsia" w:ascii="宋体" w:hAnsi="宋体" w:cs="宋体"/>
          <w:b/>
          <w:color w:val="auto"/>
          <w:szCs w:val="21"/>
          <w:highlight w:val="none"/>
        </w:rPr>
        <w:t xml:space="preserve">                         修改类型：修改</w:t>
      </w:r>
    </w:p>
    <w:p w14:paraId="36D76CB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14:paraId="5677872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交易平台递交电子投标文件。</w:t>
      </w:r>
    </w:p>
    <w:p w14:paraId="7C356FD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19.2投标人完成电子投标文件上传后，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p>
    <w:p w14:paraId="05836A4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22C8DFC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19.4 投标截止前，招标人拒绝接收符合条件的投标文件，投标人可向招标投标监督机构投诉。</w:t>
      </w:r>
    </w:p>
    <w:p w14:paraId="099F5CE9">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19.5如技术标和经济标先后分别开启，</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14:paraId="3CAF2D6A">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现文：19.</w:t>
      </w:r>
      <w:r>
        <w:rPr>
          <w:rFonts w:hint="eastAsia" w:ascii="宋体" w:hAnsi="宋体" w:cs="宋体"/>
          <w:b/>
          <w:bCs w:val="0"/>
          <w:color w:val="auto"/>
          <w:szCs w:val="21"/>
          <w:highlight w:val="none"/>
          <w:u w:val="single"/>
        </w:rPr>
        <w:t>投标登记和</w:t>
      </w:r>
      <w:r>
        <w:rPr>
          <w:rFonts w:hint="eastAsia" w:ascii="宋体" w:hAnsi="宋体" w:cs="宋体"/>
          <w:b/>
          <w:color w:val="auto"/>
          <w:szCs w:val="21"/>
          <w:highlight w:val="none"/>
        </w:rPr>
        <w:t>投标文件的递交和接收</w:t>
      </w:r>
    </w:p>
    <w:p w14:paraId="5D77CDD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14:paraId="2C89607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14:paraId="78D69C3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4E0B15E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19.4投标截止前，招标人拒绝接收符合条件的投标文件，投标人可向招标投标监督机构投诉。</w:t>
      </w:r>
    </w:p>
    <w:p w14:paraId="43602563">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w:t>
      </w:r>
      <w:r>
        <w:rPr>
          <w:rFonts w:hint="eastAsia" w:ascii="宋体" w:hAnsi="宋体" w:cs="宋体"/>
          <w:b/>
          <w:bCs/>
          <w:color w:val="auto"/>
          <w:szCs w:val="21"/>
          <w:highlight w:val="none"/>
          <w:u w:val="single"/>
        </w:rPr>
        <w:t>广州交易集团有限公司（广州公共资源交易中心）交易平台将按招标文件规定的时间同时开启技术标（含资格审查文件）和经济标文件。</w:t>
      </w:r>
    </w:p>
    <w:p w14:paraId="148C7A1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14:paraId="6D5FF5E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7939ECA8">
      <w:pPr>
        <w:pBdr>
          <w:bottom w:val="single" w:color="auto" w:sz="6" w:space="1"/>
        </w:pBdr>
        <w:adjustRightInd w:val="0"/>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b/>
          <w:bCs/>
          <w:color w:val="auto"/>
          <w:szCs w:val="21"/>
          <w:highlight w:val="none"/>
          <w:u w:val="single"/>
        </w:rPr>
        <w:t>到投标截止时间止，招标人收到的投标文件少于3家的，招标人将重新组织招标。</w:t>
      </w:r>
    </w:p>
    <w:p w14:paraId="22910B8E">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14:paraId="0633740F">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64968B93">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3733D609">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条款号：24                         修改类型：修改</w:t>
      </w:r>
    </w:p>
    <w:p w14:paraId="2818248A">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原文：24．评标过程的保密</w:t>
      </w:r>
    </w:p>
    <w:p w14:paraId="1F8BC979">
      <w:pP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24.1开标后，直至中标公示为止，凡属于对投标文件的审查、澄清、评价和比较有关的资料以及中标候选人的推荐情况，与评标有关的其他任何情况均严格保密。</w:t>
      </w:r>
    </w:p>
    <w:p w14:paraId="69B30099">
      <w:pP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color w:val="auto"/>
          <w:szCs w:val="21"/>
          <w:highlight w:val="none"/>
        </w:rPr>
        <w:t>24.2在投标文件的评审和比较、中标候选人推荐以及授予合同的过程中，投标人向招标人和评标委员会施加不公正影响的任何行为，都将会导致其投标被拒绝。</w:t>
      </w:r>
    </w:p>
    <w:p w14:paraId="71445E3E">
      <w:pPr>
        <w:pBdr>
          <w:bottom w:val="single" w:color="auto" w:sz="6" w:space="1"/>
        </w:pBdr>
        <w:adjustRightInd w:val="0"/>
        <w:snapToGrid w:val="0"/>
        <w:spacing w:line="360" w:lineRule="auto"/>
        <w:ind w:firstLine="527" w:firstLineChars="250"/>
        <w:textAlignment w:val="baseline"/>
        <w:rPr>
          <w:rFonts w:ascii="宋体" w:hAnsi="宋体" w:cs="宋体"/>
          <w:b/>
          <w:color w:val="auto"/>
          <w:szCs w:val="21"/>
          <w:highlight w:val="none"/>
        </w:rPr>
      </w:pPr>
      <w:r>
        <w:rPr>
          <w:rFonts w:hint="eastAsia" w:ascii="宋体" w:hAnsi="宋体" w:cs="宋体"/>
          <w:b/>
          <w:color w:val="auto"/>
          <w:szCs w:val="21"/>
          <w:highlight w:val="none"/>
        </w:rPr>
        <w:t>现文：24．评标过程的保密</w:t>
      </w:r>
    </w:p>
    <w:p w14:paraId="01FCEF04">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24.1开标后，直至</w:t>
      </w:r>
      <w:r>
        <w:rPr>
          <w:rFonts w:hint="eastAsia" w:ascii="宋体" w:hAnsi="宋体" w:cs="宋体"/>
          <w:b/>
          <w:bCs/>
          <w:color w:val="auto"/>
          <w:szCs w:val="21"/>
          <w:highlight w:val="none"/>
          <w:u w:val="single"/>
        </w:rPr>
        <w:t>合格的中标候选人</w:t>
      </w:r>
      <w:r>
        <w:rPr>
          <w:rFonts w:hint="eastAsia" w:ascii="宋体" w:hAnsi="宋体" w:cs="宋体"/>
          <w:color w:val="auto"/>
          <w:szCs w:val="21"/>
          <w:highlight w:val="none"/>
        </w:rPr>
        <w:t>公示为止，凡属于对投标文件的审查、澄清、评价和比较有关的资料以及</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中标候选人的推荐情况，与评标有关的其他任何情况均严格保密。</w:t>
      </w:r>
    </w:p>
    <w:p w14:paraId="1C9167B7">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24.2在投标文件的评审和比较、</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中标候选人推荐</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color w:val="auto"/>
          <w:szCs w:val="21"/>
          <w:highlight w:val="none"/>
        </w:rPr>
        <w:t>以及授予合同的过程中，投标人向招标人和评标委员会</w:t>
      </w:r>
      <w:r>
        <w:rPr>
          <w:rFonts w:hint="eastAsia" w:ascii="宋体" w:hAnsi="宋体" w:cs="宋体"/>
          <w:b/>
          <w:bCs/>
          <w:color w:val="auto"/>
          <w:szCs w:val="21"/>
          <w:highlight w:val="none"/>
          <w:u w:val="single"/>
        </w:rPr>
        <w:t>和定标委员会</w:t>
      </w:r>
      <w:r>
        <w:rPr>
          <w:rFonts w:hint="eastAsia" w:ascii="宋体" w:hAnsi="宋体" w:cs="宋体"/>
          <w:color w:val="auto"/>
          <w:szCs w:val="21"/>
          <w:highlight w:val="none"/>
        </w:rPr>
        <w:t>施加不公正影响的任何行为，都将会导致其投标被拒绝。</w:t>
      </w:r>
    </w:p>
    <w:p w14:paraId="50B5F8A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14:paraId="06ADB96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0FA4126D">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s="宋体"/>
          <w:b/>
          <w:bCs/>
          <w:color w:val="auto"/>
          <w:szCs w:val="21"/>
          <w:highlight w:val="none"/>
          <w:u w:val="single"/>
        </w:rPr>
        <w:t>在评标委员会完成评标工作后，</w:t>
      </w:r>
      <w:r>
        <w:rPr>
          <w:rFonts w:hint="eastAsia" w:ascii="宋体" w:hAnsi="宋体" w:cs="宋体"/>
          <w:color w:val="auto"/>
          <w:szCs w:val="21"/>
          <w:highlight w:val="none"/>
        </w:rPr>
        <w:t>招标人将在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交易平台进行，招标人也应通过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交易平台答复线上提交的异议。作出答复前，应当暂停招标投标活动。</w:t>
      </w:r>
    </w:p>
    <w:p w14:paraId="40633E1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14:paraId="20278F08">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45BE6AFC">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中标候选人后，招标人将</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中标候选人的投标文件商务部分文件的所有内容（包括人员、业绩、奖项等资料）在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7852B219">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条款号：28.2                        修改类型：修改</w:t>
      </w:r>
    </w:p>
    <w:p w14:paraId="6C438A2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9D82F3B">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w:t>
      </w:r>
      <w:r>
        <w:rPr>
          <w:rFonts w:hint="eastAsia" w:ascii="宋体" w:hAnsi="宋体" w:cs="宋体"/>
          <w:b/>
          <w:bCs/>
          <w:color w:val="auto"/>
          <w:szCs w:val="21"/>
          <w:highlight w:val="none"/>
          <w:u w:val="single"/>
        </w:rPr>
        <w:t>原中标人依法承担相应法律责任。原中标人给招标人造成的损失，应当对其予以赔偿。</w:t>
      </w:r>
      <w:r>
        <w:rPr>
          <w:rFonts w:hint="eastAsia" w:ascii="宋体" w:hAnsi="宋体" w:cs="宋体"/>
          <w:color w:val="auto"/>
          <w:szCs w:val="21"/>
          <w:highlight w:val="none"/>
        </w:rPr>
        <w:t>原中标人有异议的，可以向人民法院起诉。</w:t>
      </w:r>
    </w:p>
    <w:p w14:paraId="46AB1BA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14:paraId="6A867051">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444E934A">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w:t>
      </w:r>
      <w:r>
        <w:rPr>
          <w:rFonts w:hint="eastAsia" w:ascii="宋体" w:hAnsi="宋体" w:cs="宋体"/>
          <w:b/>
          <w:bCs/>
          <w:color w:val="auto"/>
          <w:szCs w:val="21"/>
          <w:highlight w:val="none"/>
          <w:u w:val="single"/>
        </w:rPr>
        <w:t>账号</w:t>
      </w:r>
      <w:r>
        <w:rPr>
          <w:rFonts w:hint="eastAsia" w:ascii="宋体" w:hAnsi="宋体" w:cs="宋体"/>
          <w:color w:val="auto"/>
          <w:szCs w:val="21"/>
          <w:highlight w:val="none"/>
        </w:rPr>
        <w:t>至完成竣工结算不得变更，否则招标人有权停止工程款项的</w:t>
      </w:r>
      <w:r>
        <w:rPr>
          <w:rFonts w:hint="eastAsia" w:ascii="宋体" w:hAnsi="宋体" w:cs="宋体"/>
          <w:b/>
          <w:bCs/>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14:paraId="0A732113">
      <w:pPr>
        <w:adjustRightInd w:val="0"/>
        <w:snapToGrid w:val="0"/>
        <w:spacing w:line="360" w:lineRule="auto"/>
        <w:ind w:firstLine="413" w:firstLineChars="196"/>
        <w:contextualSpacing/>
        <w:rPr>
          <w:rFonts w:ascii="宋体" w:hAnsi="宋体" w:cs="宋体"/>
          <w:b/>
          <w:color w:val="auto"/>
          <w:szCs w:val="21"/>
          <w:highlight w:val="none"/>
        </w:rPr>
      </w:pPr>
      <w:r>
        <w:rPr>
          <w:rFonts w:hint="eastAsia" w:ascii="宋体" w:hAnsi="宋体" w:cs="宋体"/>
          <w:b/>
          <w:color w:val="auto"/>
          <w:szCs w:val="21"/>
          <w:highlight w:val="none"/>
        </w:rPr>
        <w:t>条款号：28.5                        修改类型：增加</w:t>
      </w:r>
    </w:p>
    <w:p w14:paraId="2FED4A6E">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28.5如本工程委托代建单位（项目建设管理单位），则可由代建单位作为发包人与中标人签订合同。</w:t>
      </w:r>
    </w:p>
    <w:p w14:paraId="0CF557B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14:paraId="3448FECB">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Cs/>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34293BB8">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b/>
          <w:bCs/>
          <w:color w:val="auto"/>
          <w:szCs w:val="21"/>
          <w:highlight w:val="none"/>
          <w:u w:val="single"/>
        </w:rPr>
        <w:t>合同正式签订之日后的30日内</w:t>
      </w:r>
      <w:r>
        <w:rPr>
          <w:rFonts w:hint="eastAsia" w:ascii="宋体" w:hAnsi="宋体" w:cs="宋体"/>
          <w:b/>
          <w:bCs/>
          <w:color w:val="auto"/>
          <w:szCs w:val="21"/>
          <w:highlight w:val="none"/>
        </w:rPr>
        <w:t>，</w:t>
      </w:r>
      <w:r>
        <w:rPr>
          <w:rFonts w:hint="eastAsia" w:ascii="宋体" w:hAnsi="宋体" w:cs="宋体"/>
          <w:color w:val="auto"/>
          <w:szCs w:val="21"/>
          <w:highlight w:val="none"/>
        </w:rPr>
        <w:t>中标人应按本须知前附表第20项的规定向招标人提交履约担保。</w:t>
      </w:r>
    </w:p>
    <w:p w14:paraId="4AB3B15C">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14:paraId="698B8B85">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8921931">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b/>
          <w:bCs/>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w:t>
      </w:r>
      <w:r>
        <w:rPr>
          <w:rFonts w:hint="eastAsia" w:ascii="宋体" w:hAnsi="宋体" w:cs="宋体"/>
          <w:b/>
          <w:bCs/>
          <w:color w:val="auto"/>
          <w:szCs w:val="21"/>
          <w:highlight w:val="none"/>
          <w:u w:val="single"/>
        </w:rPr>
        <w:t>原中标人依法承担相应法律责任。原中标人给招标人造成的损失，还应当予以赔偿</w:t>
      </w:r>
      <w:r>
        <w:rPr>
          <w:rFonts w:hint="eastAsia" w:ascii="宋体" w:hAnsi="宋体" w:cs="宋体"/>
          <w:b/>
          <w:bCs/>
          <w:color w:val="auto"/>
          <w:szCs w:val="21"/>
          <w:highlight w:val="none"/>
        </w:rPr>
        <w:t>。</w:t>
      </w:r>
      <w:r>
        <w:rPr>
          <w:rFonts w:hint="eastAsia" w:ascii="宋体" w:hAnsi="宋体" w:cs="宋体"/>
          <w:color w:val="auto"/>
          <w:szCs w:val="21"/>
          <w:highlight w:val="none"/>
        </w:rPr>
        <w:t>原中标人有异议的，可以向人民法院起诉。</w:t>
      </w:r>
    </w:p>
    <w:p w14:paraId="674DFAD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14:paraId="595CE1E7">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77A2520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b/>
          <w:bCs/>
          <w:color w:val="auto"/>
          <w:szCs w:val="21"/>
          <w:highlight w:val="none"/>
          <w:u w:val="single"/>
        </w:rPr>
        <w:t>且承包人提交履约担保后，合同正式生效。</w:t>
      </w:r>
    </w:p>
    <w:p w14:paraId="55AE3701">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14:paraId="432A5B4C">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14:paraId="7804BDA5">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14:paraId="228B58D4">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中标人应交纳交易服务费，该费用包含在投标价中</w:t>
      </w:r>
      <w:r>
        <w:rPr>
          <w:rFonts w:hint="eastAsia" w:ascii="宋体" w:hAnsi="宋体" w:cs="宋体"/>
          <w:color w:val="auto"/>
          <w:szCs w:val="21"/>
          <w:highlight w:val="none"/>
        </w:rPr>
        <w:t>。</w:t>
      </w:r>
    </w:p>
    <w:p w14:paraId="16724775">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3394CFE6">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47CF83D3">
      <w:pPr>
        <w:rPr>
          <w:color w:val="auto"/>
          <w:highlight w:val="none"/>
        </w:rPr>
      </w:pPr>
    </w:p>
    <w:p w14:paraId="31FE3A93">
      <w:pPr>
        <w:pStyle w:val="4"/>
        <w:snapToGrid w:val="0"/>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31334"/>
      <w:bookmarkStart w:id="5" w:name="_Toc21525492"/>
      <w:r>
        <w:rPr>
          <w:rFonts w:hint="eastAsia" w:ascii="宋体" w:hAnsi="宋体" w:cs="宋体"/>
          <w:color w:val="auto"/>
          <w:sz w:val="32"/>
          <w:szCs w:val="32"/>
          <w:highlight w:val="none"/>
        </w:rPr>
        <w:t>三、投标须知通用条款</w:t>
      </w:r>
      <w:bookmarkEnd w:id="4"/>
      <w:bookmarkEnd w:id="5"/>
    </w:p>
    <w:p w14:paraId="4FF6AABC">
      <w:pPr>
        <w:pStyle w:val="5"/>
        <w:snapToGrid w:val="0"/>
        <w:spacing w:before="0" w:beforeAutospacing="0" w:after="0" w:afterAutospacing="0" w:line="360" w:lineRule="auto"/>
        <w:rPr>
          <w:rFonts w:cs="宋体"/>
          <w:color w:val="auto"/>
          <w:sz w:val="21"/>
          <w:szCs w:val="21"/>
          <w:highlight w:val="none"/>
        </w:rPr>
      </w:pPr>
      <w:bookmarkStart w:id="6" w:name="_Toc12947"/>
      <w:bookmarkStart w:id="7" w:name="_Toc21525493"/>
      <w:r>
        <w:rPr>
          <w:rFonts w:hint="eastAsia" w:cs="宋体"/>
          <w:color w:val="auto"/>
          <w:sz w:val="21"/>
          <w:szCs w:val="21"/>
          <w:highlight w:val="none"/>
        </w:rPr>
        <w:t>（一）总则</w:t>
      </w:r>
      <w:bookmarkEnd w:id="6"/>
      <w:bookmarkEnd w:id="7"/>
    </w:p>
    <w:p w14:paraId="629C46A0">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14:paraId="2829D764">
      <w:pPr>
        <w:pStyle w:val="31"/>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6D7532DE">
      <w:pPr>
        <w:pStyle w:val="31"/>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2B323DF5">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14:paraId="3CA4814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6A0905E2">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5E31F57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720EC65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56C02D6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14:paraId="02D30E7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26D97BA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9E4C85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49D61CD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16F447DF">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14:paraId="4B6DEB4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32E1D2C7">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14:paraId="52C249E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14:paraId="0457B13E">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14:paraId="531D8EC9">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3B9F8E40">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0D69058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1826C6EF">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14:paraId="76B59F56">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1AE796CB">
      <w:pPr>
        <w:pStyle w:val="5"/>
        <w:snapToGrid w:val="0"/>
        <w:spacing w:before="0" w:beforeAutospacing="0" w:after="0" w:afterAutospacing="0" w:line="360" w:lineRule="auto"/>
        <w:rPr>
          <w:rFonts w:cs="宋体"/>
          <w:color w:val="auto"/>
          <w:sz w:val="21"/>
          <w:szCs w:val="21"/>
          <w:highlight w:val="none"/>
        </w:rPr>
      </w:pPr>
      <w:bookmarkStart w:id="8" w:name="_Toc21525494"/>
      <w:bookmarkStart w:id="9" w:name="_Toc32111"/>
      <w:r>
        <w:rPr>
          <w:rFonts w:hint="eastAsia" w:cs="宋体"/>
          <w:color w:val="auto"/>
          <w:sz w:val="21"/>
          <w:szCs w:val="21"/>
          <w:highlight w:val="none"/>
        </w:rPr>
        <w:t>（二）招标文件</w:t>
      </w:r>
      <w:bookmarkEnd w:id="8"/>
      <w:bookmarkEnd w:id="9"/>
    </w:p>
    <w:p w14:paraId="0D7868F3">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14:paraId="257CE198">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7E5CFB34">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36C440FB">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1C3E505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2625663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046F5770">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74C40005">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076DE1F5">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14:paraId="749432D8">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14:paraId="0AFC04A7">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 1 \* GB3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①</w:t>
      </w:r>
      <w:r>
        <w:rPr>
          <w:rFonts w:hint="eastAsia" w:ascii="宋体" w:hAnsi="宋体" w:cs="宋体"/>
          <w:color w:val="auto"/>
          <w:sz w:val="22"/>
          <w:highlight w:val="none"/>
        </w:rPr>
        <w:fldChar w:fldCharType="end"/>
      </w:r>
      <w:r>
        <w:rPr>
          <w:rFonts w:hint="eastAsia" w:ascii="宋体" w:hAnsi="宋体" w:cs="宋体"/>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 2 \* GB3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②</w:t>
      </w:r>
      <w:r>
        <w:rPr>
          <w:rFonts w:hint="eastAsia" w:ascii="宋体" w:hAnsi="宋体" w:cs="宋体"/>
          <w:color w:val="auto"/>
          <w:sz w:val="22"/>
          <w:highlight w:val="none"/>
        </w:rPr>
        <w:fldChar w:fldCharType="end"/>
      </w:r>
      <w:r>
        <w:rPr>
          <w:rFonts w:hint="eastAsia" w:ascii="宋体" w:hAnsi="宋体" w:cs="宋体"/>
          <w:color w:val="auto"/>
          <w:sz w:val="22"/>
          <w:highlight w:val="none"/>
        </w:rPr>
        <w:t>鼓励招标人对施工组织设计或施工方案实行隐藏投标人信息的暗标评审</w:t>
      </w:r>
      <w:r>
        <w:rPr>
          <w:rFonts w:hint="eastAsia" w:ascii="宋体" w:hAnsi="宋体" w:cs="宋体"/>
          <w:color w:val="auto"/>
          <w:sz w:val="21"/>
          <w:szCs w:val="21"/>
          <w:highlight w:val="none"/>
        </w:rPr>
        <w:t>。</w:t>
      </w:r>
    </w:p>
    <w:p w14:paraId="1990630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479D91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5C44DF2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61F1B02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101254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1C5F13B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1E55287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67A076BA">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14:paraId="6C054B3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3F9091AA">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5CCEF14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61D982E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214810E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B3A118A">
      <w:pPr>
        <w:pStyle w:val="5"/>
        <w:snapToGrid w:val="0"/>
        <w:spacing w:before="0" w:beforeAutospacing="0" w:after="0" w:afterAutospacing="0" w:line="360" w:lineRule="auto"/>
        <w:rPr>
          <w:rFonts w:cs="宋体"/>
          <w:color w:val="auto"/>
          <w:sz w:val="21"/>
          <w:szCs w:val="21"/>
          <w:highlight w:val="none"/>
        </w:rPr>
      </w:pPr>
      <w:bookmarkStart w:id="10" w:name="_Toc32542"/>
      <w:bookmarkStart w:id="11" w:name="_Toc21525495"/>
      <w:r>
        <w:rPr>
          <w:rFonts w:hint="eastAsia" w:cs="宋体"/>
          <w:color w:val="auto"/>
          <w:sz w:val="21"/>
          <w:szCs w:val="21"/>
          <w:highlight w:val="none"/>
        </w:rPr>
        <w:t>（三）投标文件的编制</w:t>
      </w:r>
      <w:bookmarkEnd w:id="10"/>
      <w:bookmarkEnd w:id="11"/>
    </w:p>
    <w:p w14:paraId="766FADE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218D0C8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425BD88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6F167C3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18671AD8">
      <w:pPr>
        <w:pStyle w:val="31"/>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14:paraId="6F96C57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35E47C4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6AF7969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4E1776E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04820E9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2CC98E0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20C2DB3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0D0FF62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4F9CC9C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6A64A67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8DD9E8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31B4C4A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188ECF6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63AD7EB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0934653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39B873A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7EC1125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B7B78D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73630EE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74D7E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7E44D8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61003F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00397C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18B8026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2BC31880">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14:paraId="1411134E">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40C23E5">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B1B014E">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28852E1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510258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3D30EE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2A6940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14:paraId="61AA99B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14:paraId="597688A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22BE103E">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91902E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7D413AA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5FDCB572">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46789C91">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724A6A6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14:paraId="37FD1B79">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29CEB20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14:paraId="74924D2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23F9ED01">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70F32F7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14:paraId="733936CB">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14:paraId="41D8D13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45409A9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4C838EC9">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13160A23">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251A815A">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67F9D46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6705BD2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4EBF53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5E1B420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BEA63CE">
      <w:pPr>
        <w:pStyle w:val="31"/>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68C117DD">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60235BC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6045563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C474FB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C8349E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EA18E3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4B00CE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1B147DD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9A3F68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966989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1925E1E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3472417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E0D024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0E8A89D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20C7E9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B91A01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39D537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11B8A8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B152D4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6CCE0B1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306E497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6C69AD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7BA63C6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2CE77B85">
      <w:pPr>
        <w:pStyle w:val="31"/>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56043E6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2314A18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5A815B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476D50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7E0102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2B3EE0F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5587E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33CE9B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76A2B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2F6428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7900FF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569A51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352D5F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47D1A5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5052D5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1D63CB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334D79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600C1D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1AB46A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7064081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6B1E9F9E">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5E8839C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8A60E8">
      <w:pPr>
        <w:pStyle w:val="5"/>
        <w:snapToGrid w:val="0"/>
        <w:spacing w:before="0" w:beforeAutospacing="0" w:after="0" w:afterAutospacing="0" w:line="360" w:lineRule="auto"/>
        <w:rPr>
          <w:rFonts w:cs="宋体"/>
          <w:color w:val="auto"/>
          <w:sz w:val="21"/>
          <w:szCs w:val="21"/>
          <w:highlight w:val="none"/>
        </w:rPr>
      </w:pPr>
      <w:bookmarkStart w:id="12" w:name="_Toc24057"/>
      <w:bookmarkStart w:id="13" w:name="_Toc21525496"/>
      <w:r>
        <w:rPr>
          <w:rFonts w:hint="eastAsia" w:cs="宋体"/>
          <w:color w:val="auto"/>
          <w:sz w:val="21"/>
          <w:szCs w:val="21"/>
          <w:highlight w:val="none"/>
        </w:rPr>
        <w:t>（四）投标文件的提交</w:t>
      </w:r>
      <w:bookmarkEnd w:id="12"/>
      <w:bookmarkEnd w:id="13"/>
    </w:p>
    <w:p w14:paraId="03B7F4A0">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0AA7A56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3AB89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DD2657A">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45DC38E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14:paraId="549FFFF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03D3FA4C">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69AADA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06C198E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2EDC148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6F4BE3C6">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6BD832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2E8B4E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41E7732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14:paraId="55F6D2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4AAD3DB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3A1CE3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64AF1B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29348E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38B2EB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79069A5D">
      <w:pPr>
        <w:pStyle w:val="5"/>
        <w:snapToGrid w:val="0"/>
        <w:spacing w:before="0" w:beforeAutospacing="0" w:after="0" w:afterAutospacing="0" w:line="360" w:lineRule="auto"/>
        <w:rPr>
          <w:rFonts w:cs="宋体"/>
          <w:color w:val="auto"/>
          <w:sz w:val="21"/>
          <w:szCs w:val="21"/>
          <w:highlight w:val="none"/>
        </w:rPr>
      </w:pPr>
      <w:bookmarkStart w:id="14" w:name="_Toc13732"/>
      <w:bookmarkStart w:id="15" w:name="_Toc21525497"/>
      <w:r>
        <w:rPr>
          <w:rFonts w:hint="eastAsia" w:cs="宋体"/>
          <w:color w:val="auto"/>
          <w:sz w:val="21"/>
          <w:szCs w:val="21"/>
          <w:highlight w:val="none"/>
        </w:rPr>
        <w:t>（五）开标、评标、定标及合同签定</w:t>
      </w:r>
      <w:bookmarkEnd w:id="14"/>
      <w:bookmarkEnd w:id="15"/>
    </w:p>
    <w:p w14:paraId="2A9E56E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14:paraId="747959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5F5E5D2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14:paraId="3792FC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65D3E6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58256AB7">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1DBA2A3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0D9E2FF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4A1A4CED">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46116FF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14:paraId="71EF3C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09F1A36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30D7C1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1D71E6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43D854F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5184E3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563D80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3C383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5EE022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24ED87FA">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14:paraId="1B7C01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235A0A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1975D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14:paraId="73E74D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059362B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14:paraId="638A904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67C9811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65B62367">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2B8A5C0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0B61099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A352F8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14:paraId="51837C0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CC7F445">
      <w:pPr>
        <w:rPr>
          <w:color w:val="auto"/>
          <w:highlight w:val="none"/>
        </w:rPr>
      </w:pPr>
    </w:p>
    <w:p w14:paraId="7DFC2D93">
      <w:pPr>
        <w:pStyle w:val="3"/>
        <w:snapToGrid w:val="0"/>
        <w:spacing w:after="0"/>
        <w:jc w:val="center"/>
        <w:rPr>
          <w:rFonts w:ascii="宋体" w:hAnsi="宋体" w:cs="宋体"/>
          <w:b/>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
          <w:color w:val="auto"/>
          <w:sz w:val="32"/>
          <w:szCs w:val="32"/>
          <w:highlight w:val="none"/>
        </w:rPr>
        <w:t>第二章  开标、评标及定标办法</w:t>
      </w:r>
      <w:bookmarkEnd w:id="16"/>
    </w:p>
    <w:p w14:paraId="4DC0AA0A">
      <w:pPr>
        <w:pStyle w:val="4"/>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14:paraId="3CEA9EDF">
      <w:pPr>
        <w:pStyle w:val="31"/>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cs="宋体"/>
          <w:b/>
          <w:color w:val="auto"/>
          <w:sz w:val="21"/>
          <w:szCs w:val="21"/>
          <w:highlight w:val="none"/>
        </w:rPr>
        <w:t>http://zfcj.gz.gov.cn/</w:t>
      </w:r>
      <w:r>
        <w:rPr>
          <w:rStyle w:val="38"/>
          <w:rFonts w:hint="eastAsia" w:ascii="宋体" w:hAnsi="宋体" w:cs="宋体"/>
          <w:b/>
          <w:color w:val="auto"/>
          <w:sz w:val="21"/>
          <w:szCs w:val="21"/>
          <w:highlight w:val="none"/>
          <w:u w:val="none"/>
        </w:rPr>
        <w:t>）下载GZZB2018-3</w:t>
      </w:r>
      <w:r>
        <w:rPr>
          <w:rStyle w:val="38"/>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14:paraId="3D8808AE">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35.11</w:t>
      </w:r>
      <w:r>
        <w:rPr>
          <w:rFonts w:hint="eastAsia" w:ascii="宋体" w:hAnsi="宋体" w:eastAsia="宋体" w:cs="宋体"/>
          <w:b/>
          <w:color w:val="auto"/>
          <w:sz w:val="21"/>
          <w:szCs w:val="21"/>
          <w:highlight w:val="none"/>
        </w:rPr>
        <w:t xml:space="preserve">            修改类型：增加</w:t>
      </w:r>
    </w:p>
    <w:p w14:paraId="2FE2C529">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采用评定分离定标办法</w:t>
      </w:r>
    </w:p>
    <w:p w14:paraId="73E26553">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 xml:space="preserve">1.1 </w:t>
      </w:r>
      <w:r>
        <w:rPr>
          <w:rFonts w:hint="eastAsia" w:ascii="宋体" w:hAnsi="宋体" w:eastAsia="宋体" w:cs="宋体"/>
          <w:b/>
          <w:bCs/>
          <w:color w:val="auto"/>
          <w:sz w:val="21"/>
          <w:szCs w:val="21"/>
          <w:highlight w:val="none"/>
          <w:u w:val="single"/>
        </w:rPr>
        <w:t>评标采用“有限数量制”推荐合格中标候选人。推荐3-</w:t>
      </w:r>
      <w:r>
        <w:rPr>
          <w:rFonts w:hint="eastAsia" w:ascii="宋体" w:hAnsi="宋体"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single"/>
        </w:rPr>
        <w:t>名合格中标候选人，推荐方式如下：</w:t>
      </w:r>
    </w:p>
    <w:p w14:paraId="0415838B">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投标报价低于成本警示价的投标人：</w:t>
      </w:r>
    </w:p>
    <w:p w14:paraId="2C1487C0">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不参加经济标评审，但需参加技术标详细评审及</w:t>
      </w:r>
      <w:r>
        <w:rPr>
          <w:rFonts w:hint="eastAsia" w:ascii="宋体" w:hAnsi="宋体" w:eastAsia="宋体" w:cs="宋体"/>
          <w:b/>
          <w:bCs/>
          <w:color w:val="auto"/>
          <w:sz w:val="21"/>
          <w:szCs w:val="21"/>
          <w:highlight w:val="none"/>
          <w:u w:val="single"/>
        </w:rPr>
        <w:t>经济标有效性审查</w:t>
      </w:r>
      <w:r>
        <w:rPr>
          <w:rFonts w:hint="eastAsia" w:ascii="宋体" w:hAnsi="宋体" w:eastAsia="宋体" w:cs="宋体"/>
          <w:b/>
          <w:bCs/>
          <w:color w:val="auto"/>
          <w:sz w:val="21"/>
          <w:szCs w:val="21"/>
          <w:highlight w:val="none"/>
          <w:u w:val="single"/>
          <w:lang w:eastAsia="zh-CN"/>
        </w:rPr>
        <w:t>。评标委员会根据技术分（100分）=企业资信（30分）＋项目组织管理机构能力（50分）＋施工组织设计（20分）</w:t>
      </w:r>
      <w:r>
        <w:rPr>
          <w:rFonts w:hint="eastAsia" w:ascii="宋体" w:hAnsi="宋体" w:eastAsia="宋体" w:cs="宋体"/>
          <w:b/>
          <w:bCs/>
          <w:color w:val="auto"/>
          <w:sz w:val="21"/>
          <w:szCs w:val="21"/>
          <w:highlight w:val="none"/>
          <w:u w:val="single"/>
          <w:lang w:val="en-US" w:eastAsia="zh-CN"/>
        </w:rPr>
        <w:t>排序，推荐</w:t>
      </w:r>
      <w:r>
        <w:rPr>
          <w:rFonts w:hint="eastAsia" w:ascii="宋体" w:hAnsi="宋体" w:eastAsia="宋体" w:cs="宋体"/>
          <w:b/>
          <w:bCs/>
          <w:color w:val="auto"/>
          <w:sz w:val="21"/>
          <w:szCs w:val="21"/>
          <w:highlight w:val="none"/>
          <w:u w:val="single"/>
        </w:rPr>
        <w:t>通过经济标有效性审查</w:t>
      </w:r>
      <w:r>
        <w:rPr>
          <w:rFonts w:hint="eastAsia" w:ascii="宋体" w:hAnsi="宋体" w:eastAsia="宋体" w:cs="宋体"/>
          <w:b/>
          <w:bCs/>
          <w:color w:val="auto"/>
          <w:sz w:val="21"/>
          <w:szCs w:val="21"/>
          <w:highlight w:val="none"/>
          <w:u w:val="single"/>
          <w:lang w:eastAsia="zh-CN"/>
        </w:rPr>
        <w:t>的前</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val="en-US" w:eastAsia="zh-CN"/>
        </w:rPr>
        <w:t>名</w:t>
      </w:r>
      <w:r>
        <w:rPr>
          <w:rFonts w:hint="eastAsia" w:ascii="宋体" w:hAnsi="宋体" w:eastAsia="宋体" w:cs="宋体"/>
          <w:b/>
          <w:bCs/>
          <w:color w:val="auto"/>
          <w:sz w:val="21"/>
          <w:szCs w:val="21"/>
          <w:highlight w:val="none"/>
          <w:u w:val="single"/>
        </w:rPr>
        <w:t>投标人为合格中标候选人进入定标阶段</w:t>
      </w:r>
      <w:r>
        <w:rPr>
          <w:rFonts w:hint="eastAsia" w:ascii="宋体" w:hAnsi="宋体" w:eastAsia="宋体" w:cs="宋体"/>
          <w:b/>
          <w:bCs/>
          <w:color w:val="auto"/>
          <w:sz w:val="21"/>
          <w:szCs w:val="21"/>
          <w:highlight w:val="none"/>
          <w:u w:val="single"/>
          <w:lang w:eastAsia="zh-CN"/>
        </w:rPr>
        <w:t>。</w:t>
      </w:r>
    </w:p>
    <w:p w14:paraId="177B1D78">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投标报价不低于成本警示价的投标人推荐方式：</w:t>
      </w:r>
    </w:p>
    <w:p w14:paraId="133A5CDE">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需参加技术标、经济标详细评审。评标委员会根据总得分=技术分</w:t>
      </w:r>
      <w:r>
        <w:rPr>
          <w:rFonts w:hint="eastAsia" w:ascii="宋体" w:hAnsi="宋体" w:cs="宋体"/>
          <w:b/>
          <w:bCs/>
          <w:color w:val="auto"/>
          <w:sz w:val="21"/>
          <w:szCs w:val="21"/>
          <w:highlight w:val="none"/>
          <w:u w:val="single"/>
          <w:lang w:val="en-US" w:eastAsia="zh-CN"/>
        </w:rPr>
        <w:t>[企业资信（30分）＋项目组织管理机构能力（50分）＋施工组织设计（20分）</w:t>
      </w:r>
      <w:r>
        <w:rPr>
          <w:rFonts w:hint="eastAsia" w:ascii="宋体" w:hAnsi="宋体" w:eastAsia="宋体" w:cs="宋体"/>
          <w:b/>
          <w:bCs/>
          <w:color w:val="auto"/>
          <w:sz w:val="21"/>
          <w:szCs w:val="21"/>
          <w:highlight w:val="none"/>
          <w:u w:val="single"/>
          <w:lang w:val="en-US" w:eastAsia="zh-CN"/>
        </w:rPr>
        <w:t>]×技术分权重（40%）+经济分×经济分权重（60%）排序，推荐前</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lang w:val="en-US" w:eastAsia="zh-CN"/>
        </w:rPr>
        <w:t>名投标人为合格中标候选人进入定标阶段。（若通过详细评审的投标人不足</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lang w:val="en-US" w:eastAsia="zh-CN"/>
        </w:rPr>
        <w:t>名，则通过详细评审的投标人投标人直接推荐为中标候选人）。</w:t>
      </w:r>
    </w:p>
    <w:p w14:paraId="440D9D1A">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1.2当合格中标候选人小于3名时，招标人应重新招标。</w:t>
      </w:r>
    </w:p>
    <w:p w14:paraId="60633779">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w:t>
      </w:r>
    </w:p>
    <w:p w14:paraId="6141B41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1.3</w:t>
      </w:r>
      <w:r>
        <w:rPr>
          <w:rFonts w:hint="eastAsia" w:ascii="宋体" w:hAnsi="宋体" w:eastAsia="宋体" w:cs="宋体"/>
          <w:b/>
          <w:bCs/>
          <w:color w:val="auto"/>
          <w:sz w:val="21"/>
          <w:szCs w:val="21"/>
          <w:highlight w:val="none"/>
          <w:u w:val="single"/>
        </w:rPr>
        <w:t>定标采用</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评分法</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，定标委员会从评标委员会推荐的合格中标候选人中，依据</w:t>
      </w:r>
      <w:r>
        <w:rPr>
          <w:rFonts w:hint="eastAsia" w:ascii="宋体" w:hAnsi="宋体" w:cs="宋体"/>
          <w:b/>
          <w:bCs/>
          <w:color w:val="auto"/>
          <w:sz w:val="21"/>
          <w:szCs w:val="21"/>
          <w:highlight w:val="none"/>
          <w:u w:val="single"/>
          <w:lang w:val="en-US" w:eastAsia="zh-CN"/>
        </w:rPr>
        <w:t>评分法</w:t>
      </w:r>
      <w:r>
        <w:rPr>
          <w:rFonts w:hint="eastAsia" w:ascii="宋体" w:hAnsi="宋体" w:eastAsia="宋体" w:cs="宋体"/>
          <w:b/>
          <w:bCs/>
          <w:color w:val="auto"/>
          <w:sz w:val="21"/>
          <w:szCs w:val="21"/>
          <w:highlight w:val="none"/>
          <w:u w:val="single"/>
        </w:rPr>
        <w:t>选出</w:t>
      </w:r>
      <w:r>
        <w:rPr>
          <w:rFonts w:hint="eastAsia" w:ascii="宋体" w:hAnsi="宋体" w:cs="宋体"/>
          <w:b/>
          <w:bCs/>
          <w:color w:val="auto"/>
          <w:sz w:val="21"/>
          <w:szCs w:val="21"/>
          <w:highlight w:val="none"/>
          <w:u w:val="single"/>
          <w:lang w:val="en-US" w:eastAsia="zh-CN"/>
        </w:rPr>
        <w:t>的评分最高的</w:t>
      </w:r>
      <w:r>
        <w:rPr>
          <w:rFonts w:hint="eastAsia" w:ascii="宋体" w:hAnsi="宋体" w:eastAsia="宋体" w:cs="宋体"/>
          <w:b/>
          <w:bCs/>
          <w:color w:val="auto"/>
          <w:sz w:val="21"/>
          <w:szCs w:val="21"/>
          <w:highlight w:val="none"/>
          <w:u w:val="single"/>
        </w:rPr>
        <w:t>候选人，确定为中标人。定标采用“（1）方案因素</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（2）答辩因素</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（3）价格因素”评定法，</w:t>
      </w:r>
      <w:r>
        <w:rPr>
          <w:rFonts w:hint="eastAsia" w:ascii="宋体" w:hAnsi="宋体" w:cs="宋体"/>
          <w:b/>
          <w:bCs/>
          <w:color w:val="auto"/>
          <w:sz w:val="21"/>
          <w:szCs w:val="21"/>
          <w:highlight w:val="none"/>
          <w:u w:val="single"/>
          <w:lang w:val="en-US" w:eastAsia="zh-CN"/>
        </w:rPr>
        <w:t>具体详见</w:t>
      </w:r>
      <w:r>
        <w:rPr>
          <w:rFonts w:hint="eastAsia" w:ascii="宋体" w:hAnsi="宋体" w:eastAsia="宋体" w:cs="宋体"/>
          <w:b/>
          <w:bCs/>
          <w:color w:val="auto"/>
          <w:sz w:val="21"/>
          <w:szCs w:val="21"/>
          <w:highlight w:val="none"/>
          <w:u w:val="single"/>
          <w:lang w:val="en-US" w:eastAsia="zh-CN"/>
        </w:rPr>
        <w:t>定标因素表。</w:t>
      </w:r>
    </w:p>
    <w:p w14:paraId="61F7083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lang w:val="en-US" w:eastAsia="zh-CN"/>
        </w:rPr>
        <w:t>注：若合格中标候选人总得分相同且影响定标排序的，以</w:t>
      </w:r>
      <w:r>
        <w:rPr>
          <w:rFonts w:hint="eastAsia" w:ascii="宋体" w:hAnsi="宋体" w:eastAsia="宋体" w:cs="宋体"/>
          <w:b/>
          <w:bCs/>
          <w:color w:val="auto"/>
          <w:sz w:val="21"/>
          <w:szCs w:val="21"/>
          <w:highlight w:val="none"/>
          <w:u w:val="single"/>
        </w:rPr>
        <w:t>方案因素</w:t>
      </w:r>
      <w:r>
        <w:rPr>
          <w:rFonts w:hint="eastAsia" w:ascii="宋体" w:hAnsi="宋体" w:eastAsia="宋体" w:cs="宋体"/>
          <w:b/>
          <w:bCs/>
          <w:color w:val="auto"/>
          <w:sz w:val="21"/>
          <w:szCs w:val="21"/>
          <w:highlight w:val="none"/>
          <w:u w:val="single"/>
          <w:lang w:val="en-US" w:eastAsia="zh-CN"/>
        </w:rPr>
        <w:t>得分高的排前；若</w:t>
      </w:r>
      <w:r>
        <w:rPr>
          <w:rFonts w:hint="eastAsia" w:ascii="宋体" w:hAnsi="宋体" w:eastAsia="宋体" w:cs="宋体"/>
          <w:b/>
          <w:bCs/>
          <w:color w:val="auto"/>
          <w:sz w:val="21"/>
          <w:szCs w:val="21"/>
          <w:highlight w:val="none"/>
          <w:u w:val="single"/>
        </w:rPr>
        <w:t>方案因素</w:t>
      </w:r>
      <w:r>
        <w:rPr>
          <w:rFonts w:hint="eastAsia" w:ascii="宋体" w:hAnsi="宋体" w:eastAsia="宋体" w:cs="宋体"/>
          <w:b/>
          <w:bCs/>
          <w:color w:val="auto"/>
          <w:sz w:val="21"/>
          <w:szCs w:val="21"/>
          <w:highlight w:val="none"/>
          <w:u w:val="single"/>
          <w:lang w:val="en-US" w:eastAsia="zh-CN"/>
        </w:rPr>
        <w:t>得分相同的，以答辩因素得分高的排前；若答辩因素得分相同的，以价格因素得分高的排前，若价格因素得分仍相同的，由定标委员会投票确定排序</w:t>
      </w:r>
      <w:r>
        <w:rPr>
          <w:rFonts w:hint="eastAsia" w:ascii="宋体" w:hAnsi="宋体" w:eastAsia="宋体" w:cs="宋体"/>
          <w:b/>
          <w:bCs/>
          <w:strike w:val="0"/>
          <w:dstrike w:val="0"/>
          <w:color w:val="auto"/>
          <w:kern w:val="0"/>
          <w:sz w:val="21"/>
          <w:szCs w:val="21"/>
          <w:highlight w:val="none"/>
          <w:u w:val="single"/>
          <w:lang w:val="en-US" w:eastAsia="zh-CN"/>
        </w:rPr>
        <w:t>。</w:t>
      </w:r>
    </w:p>
    <w:p w14:paraId="65BE255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14:paraId="3765C947">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19DF8C64">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b/>
          <w:bCs/>
          <w:color w:val="auto"/>
          <w:szCs w:val="21"/>
          <w:highlight w:val="none"/>
        </w:rPr>
        <w:t>。</w:t>
      </w:r>
    </w:p>
    <w:p w14:paraId="25F3574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14:paraId="4857AF82">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strike/>
          <w:dstrike w:val="0"/>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05A95DC6">
      <w:pPr>
        <w:pStyle w:val="12"/>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428025A3">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544BB510">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36.4若递交投标文件的投标人不足3家，则重新组织招标。</w:t>
      </w:r>
    </w:p>
    <w:p w14:paraId="678A87A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14:paraId="2D9FD11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6F4F591">
      <w:pPr>
        <w:pBdr>
          <w:bottom w:val="single" w:color="auto" w:sz="6" w:space="1"/>
        </w:pBdr>
        <w:snapToGrid w:val="0"/>
        <w:spacing w:line="360" w:lineRule="auto"/>
        <w:ind w:firstLine="527" w:firstLineChars="25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b/>
          <w:bCs/>
          <w:color w:val="auto"/>
          <w:szCs w:val="21"/>
          <w:highlight w:val="none"/>
          <w:u w:val="single"/>
        </w:rPr>
        <w:t>公布招标项目名称、投标人名称、投标报价、工期及其他内容</w:t>
      </w:r>
      <w:r>
        <w:rPr>
          <w:rFonts w:hint="eastAsia" w:ascii="宋体" w:hAnsi="宋体" w:cs="宋体"/>
          <w:b/>
          <w:bCs/>
          <w:color w:val="auto"/>
          <w:szCs w:val="21"/>
          <w:highlight w:val="none"/>
        </w:rPr>
        <w:t>；</w:t>
      </w:r>
    </w:p>
    <w:p w14:paraId="63CFEF64">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条款号：36.5.3                          修改类型：修改</w:t>
      </w:r>
    </w:p>
    <w:p w14:paraId="3092AA78">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4F0BF30C">
      <w:pPr>
        <w:pBdr>
          <w:bottom w:val="single" w:color="auto" w:sz="6" w:space="1"/>
        </w:pBdr>
        <w:snapToGrid w:val="0"/>
        <w:spacing w:line="360" w:lineRule="auto"/>
        <w:ind w:firstLine="424" w:firstLineChars="201"/>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b/>
          <w:bCs/>
          <w:color w:val="auto"/>
          <w:szCs w:val="21"/>
          <w:highlight w:val="none"/>
          <w:u w:val="single"/>
        </w:rPr>
        <w:t>若投标人不参加开标会的，或不签字确认的，视同该投标人认可开标结果；</w:t>
      </w:r>
    </w:p>
    <w:p w14:paraId="2555ADB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37.2</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281AFA6">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37.2评标委员会在开始评标前，应了解评标专家的职责及守则，认真阅读附表七《评标委员会成员声明》的内容并签名，签字后方可进行评标；</w:t>
      </w:r>
    </w:p>
    <w:p w14:paraId="653DD03E">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37.2</w:t>
      </w:r>
      <w:r>
        <w:rPr>
          <w:rFonts w:hint="eastAsia" w:ascii="宋体" w:hAnsi="宋体" w:eastAsia="宋体" w:cs="宋体"/>
          <w:b/>
          <w:bCs/>
          <w:color w:val="auto"/>
          <w:szCs w:val="21"/>
          <w:highlight w:val="none"/>
        </w:rPr>
        <w:t>评标委员会在开始评标前，应了解评标专家的职责及守则，认真阅读《评标委员会成员声明》的内容并签名，签字后方可进行评标；</w:t>
      </w:r>
    </w:p>
    <w:p w14:paraId="2D5166C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条款号：37.3.2                            修改类型：修改</w:t>
      </w:r>
    </w:p>
    <w:p w14:paraId="1D42F570">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14:paraId="7983DA7B">
      <w:pPr>
        <w:pBdr>
          <w:bottom w:val="single" w:color="auto" w:sz="6" w:space="1"/>
        </w:pBdr>
        <w:snapToGrid w:val="0"/>
        <w:spacing w:line="360" w:lineRule="auto"/>
        <w:ind w:firstLine="472" w:firstLineChars="224"/>
        <w:rPr>
          <w:rFonts w:ascii="宋体" w:hAnsi="宋体" w:cs="宋体"/>
          <w:b/>
          <w:bCs w:val="0"/>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37.</w:t>
      </w:r>
      <w:r>
        <w:rPr>
          <w:rFonts w:hint="eastAsia" w:ascii="宋体" w:hAnsi="宋体" w:cs="宋体"/>
          <w:color w:val="auto"/>
          <w:szCs w:val="21"/>
          <w:highlight w:val="none"/>
        </w:rPr>
        <w:t>3.</w:t>
      </w:r>
      <w:r>
        <w:rPr>
          <w:rFonts w:hint="eastAsia" w:ascii="宋体" w:hAnsi="宋体" w:cs="宋体"/>
          <w:bCs/>
          <w:color w:val="auto"/>
          <w:szCs w:val="21"/>
          <w:highlight w:val="none"/>
        </w:rPr>
        <w:t>2</w:t>
      </w:r>
      <w:r>
        <w:rPr>
          <w:rFonts w:hint="eastAsia" w:ascii="宋体" w:hAnsi="宋体" w:cs="宋体"/>
          <w:b/>
          <w:bCs w:val="0"/>
          <w:color w:val="auto"/>
          <w:szCs w:val="21"/>
          <w:highlight w:val="none"/>
          <w:u w:val="single"/>
        </w:rPr>
        <w:t>向招标人报告评审意见，按投标须知前附表第19项规定推荐合格中标候选人。</w:t>
      </w:r>
    </w:p>
    <w:p w14:paraId="2594E68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条款号：37.5                              修改类型：修改</w:t>
      </w:r>
    </w:p>
    <w:p w14:paraId="55C999D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14:paraId="4638CB6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37.5评标结束后，评标委员会递交</w:t>
      </w:r>
      <w:r>
        <w:rPr>
          <w:rFonts w:hint="eastAsia" w:ascii="宋体" w:hAnsi="宋体" w:cs="宋体"/>
          <w:b/>
          <w:bCs/>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b/>
          <w:bCs/>
          <w:color w:val="auto"/>
          <w:szCs w:val="21"/>
          <w:highlight w:val="none"/>
          <w:u w:val="single"/>
        </w:rPr>
        <w:t>进入定标阶段</w:t>
      </w:r>
      <w:r>
        <w:rPr>
          <w:rFonts w:hint="eastAsia" w:ascii="宋体" w:hAnsi="宋体" w:cs="宋体"/>
          <w:color w:val="auto"/>
          <w:szCs w:val="21"/>
          <w:highlight w:val="none"/>
        </w:rPr>
        <w:t>。</w:t>
      </w:r>
    </w:p>
    <w:p w14:paraId="53E5512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14:paraId="3F7E050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69F1A9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b/>
          <w:bCs/>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107205D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条款号：38.5                              修改类型：修改</w:t>
      </w:r>
    </w:p>
    <w:p w14:paraId="0AF8B66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02F833A">
      <w:pPr>
        <w:pBdr>
          <w:bottom w:val="single" w:color="auto" w:sz="6" w:space="1"/>
        </w:pBdr>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38.5投标人如在本项目中存在串通投标、弄虚作假、行贿情形且在评标</w:t>
      </w:r>
      <w:r>
        <w:rPr>
          <w:rFonts w:hint="eastAsia" w:ascii="宋体" w:hAnsi="宋体" w:cs="宋体"/>
          <w:b/>
          <w:bCs/>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b/>
          <w:bCs/>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54677630">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                               修改类型：修改</w:t>
      </w:r>
    </w:p>
    <w:p w14:paraId="44C0E58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39．定标</w:t>
      </w:r>
    </w:p>
    <w:p w14:paraId="4C3258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74F00E3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29A156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8B6E85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9F959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088F0325">
      <w:pPr>
        <w:pBdr>
          <w:bottom w:val="single" w:color="auto" w:sz="6" w:space="1"/>
        </w:pBdr>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b/>
          <w:bCs/>
          <w:color w:val="auto"/>
          <w:szCs w:val="21"/>
          <w:highlight w:val="none"/>
          <w:u w:val="single"/>
        </w:rPr>
        <w:t>定标详细规定条款详见本章43.定标</w:t>
      </w:r>
      <w:r>
        <w:rPr>
          <w:rFonts w:hint="eastAsia" w:ascii="宋体" w:hAnsi="宋体" w:cs="宋体"/>
          <w:b/>
          <w:bCs/>
          <w:color w:val="auto"/>
          <w:szCs w:val="21"/>
          <w:highlight w:val="none"/>
        </w:rPr>
        <w:t>。</w:t>
      </w:r>
    </w:p>
    <w:p w14:paraId="3ED3ECDA">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         注：</w:t>
      </w:r>
      <w:r>
        <w:rPr>
          <w:rFonts w:hint="eastAsia" w:ascii="宋体" w:hAnsi="宋体" w:cs="宋体"/>
          <w:b/>
          <w:color w:val="auto"/>
          <w:szCs w:val="21"/>
          <w:highlight w:val="none"/>
        </w:rPr>
        <w:t>修改类型：修改</w:t>
      </w:r>
    </w:p>
    <w:p w14:paraId="62B03C5F">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14:paraId="391B75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14:paraId="5785D73E">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14:paraId="4CF2B26F">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14:paraId="025C6F3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14:paraId="387219B8">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69BA457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14:paraId="1968D3A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666556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14:paraId="3917D0C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2F63D7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14:paraId="725B25C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788877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14:paraId="67FE66D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8EF40B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14:paraId="208EDAE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481ABCE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修改类型：修改</w:t>
      </w:r>
    </w:p>
    <w:p w14:paraId="3BB1F82C">
      <w:pPr>
        <w:pBdr>
          <w:bottom w:val="single" w:color="auto" w:sz="6" w:space="1"/>
        </w:pBdr>
        <w:snapToGrid w:val="0"/>
        <w:spacing w:line="360" w:lineRule="auto"/>
        <w:ind w:firstLine="472" w:firstLineChars="224"/>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0D922C5B">
      <w:pPr>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修改类型：删除</w:t>
      </w:r>
    </w:p>
    <w:p w14:paraId="65165BF7">
      <w:pPr>
        <w:pBdr>
          <w:bottom w:val="single" w:color="auto" w:sz="6" w:space="1"/>
        </w:pBd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45A6043D">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评定分离评标定标办法</w:t>
      </w:r>
      <w:r>
        <w:rPr>
          <w:rFonts w:hint="eastAsia" w:ascii="宋体" w:hAnsi="宋体" w:cs="宋体"/>
          <w:color w:val="auto"/>
          <w:szCs w:val="21"/>
          <w:highlight w:val="none"/>
        </w:rPr>
        <w:t>。</w:t>
      </w:r>
    </w:p>
    <w:p w14:paraId="045D300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14:paraId="7390CDF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40.开标和评标程序：</w:t>
      </w:r>
    </w:p>
    <w:p w14:paraId="7B03560F">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40.1技术标（含资格审查文件）与经济标投标文件同时公开开标；</w:t>
      </w:r>
    </w:p>
    <w:p w14:paraId="730CC79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40.2由评标委员会对所有已公开开标的投标人进行资格审查；</w:t>
      </w:r>
    </w:p>
    <w:p w14:paraId="6E72D3EC">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40.3技术标投标文件有效性审查；</w:t>
      </w:r>
    </w:p>
    <w:p w14:paraId="7A61C153">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40.4技术标详细审查评分；</w:t>
      </w:r>
    </w:p>
    <w:p w14:paraId="1DFA94E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40.5经济标详细审查评分； </w:t>
      </w:r>
    </w:p>
    <w:p w14:paraId="5F350FE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40.6评标委员会按照投标人总得分由高至低排序；</w:t>
      </w:r>
    </w:p>
    <w:p w14:paraId="2DD4CF01">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40.7经济标投标文件有效性审查；</w:t>
      </w:r>
    </w:p>
    <w:p w14:paraId="0CCA475D">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40.8评标委员会按排序向招标人推荐中标候选人名单，并递交资格审查报告及评标报告。</w:t>
      </w:r>
    </w:p>
    <w:p w14:paraId="435231F9">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40.开标和评标程序：</w:t>
      </w:r>
    </w:p>
    <w:p w14:paraId="38BF6FDB">
      <w:pPr>
        <w:pBdr>
          <w:bottom w:val="single" w:color="auto" w:sz="6" w:space="1"/>
        </w:pBdr>
        <w:snapToGrid w:val="0"/>
        <w:spacing w:line="360" w:lineRule="auto"/>
        <w:ind w:firstLine="472" w:firstLineChars="224"/>
        <w:rPr>
          <w:rFonts w:hint="eastAsia" w:ascii="宋体" w:hAnsi="宋体"/>
          <w:b/>
          <w:bCs w:val="0"/>
          <w:color w:val="000000"/>
          <w:szCs w:val="21"/>
          <w:highlight w:val="none"/>
          <w:u w:val="single"/>
          <w:lang w:eastAsia="zh-CN"/>
        </w:rPr>
      </w:pPr>
      <w:r>
        <w:rPr>
          <w:rFonts w:hint="eastAsia" w:ascii="宋体" w:hAnsi="宋体" w:cs="宋体"/>
          <w:b/>
          <w:bCs w:val="0"/>
          <w:color w:val="auto"/>
          <w:szCs w:val="21"/>
          <w:highlight w:val="none"/>
          <w:u w:val="single"/>
        </w:rPr>
        <w:t>40.1</w:t>
      </w:r>
      <w:r>
        <w:rPr>
          <w:rFonts w:hint="eastAsia" w:ascii="宋体" w:hAnsi="宋体"/>
          <w:b/>
          <w:bCs w:val="0"/>
          <w:color w:val="000000"/>
          <w:szCs w:val="21"/>
          <w:highlight w:val="none"/>
          <w:u w:val="single"/>
        </w:rPr>
        <w:t>投标人递交技术标（含资格审查文件）、经济标投标文件和定标文件</w:t>
      </w:r>
      <w:r>
        <w:rPr>
          <w:rFonts w:hint="eastAsia" w:ascii="宋体" w:hAnsi="宋体"/>
          <w:b/>
          <w:bCs w:val="0"/>
          <w:color w:val="000000"/>
          <w:szCs w:val="21"/>
          <w:highlight w:val="none"/>
          <w:u w:val="single"/>
          <w:lang w:eastAsia="zh-CN"/>
        </w:rPr>
        <w:t>；</w:t>
      </w:r>
    </w:p>
    <w:p w14:paraId="6AC3B04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olor w:val="000000"/>
          <w:szCs w:val="21"/>
          <w:highlight w:val="none"/>
        </w:rPr>
        <w:t>40.2</w:t>
      </w:r>
      <w:r>
        <w:rPr>
          <w:rFonts w:hint="eastAsia" w:ascii="宋体" w:hAnsi="宋体" w:cs="宋体"/>
          <w:b w:val="0"/>
          <w:bCs/>
          <w:color w:val="auto"/>
          <w:szCs w:val="21"/>
          <w:highlight w:val="none"/>
        </w:rPr>
        <w:t>技术标（含资格审查文件）与经济标投标文件同时公开开标；</w:t>
      </w:r>
    </w:p>
    <w:p w14:paraId="5ED83E0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Cs/>
          <w:color w:val="auto"/>
          <w:szCs w:val="21"/>
          <w:highlight w:val="none"/>
          <w:u w:val="single"/>
        </w:rPr>
        <w:t>，</w:t>
      </w:r>
      <w:r>
        <w:rPr>
          <w:rFonts w:hint="eastAsia" w:ascii="宋体" w:hAnsi="宋体" w:cs="宋体"/>
          <w:b/>
          <w:bCs w:val="0"/>
          <w:color w:val="auto"/>
          <w:szCs w:val="21"/>
          <w:highlight w:val="none"/>
          <w:u w:val="single"/>
        </w:rPr>
        <w:t>并编写资格审查报告</w:t>
      </w:r>
      <w:r>
        <w:rPr>
          <w:rFonts w:hint="eastAsia" w:ascii="宋体" w:hAnsi="宋体" w:cs="宋体"/>
          <w:bCs/>
          <w:color w:val="auto"/>
          <w:szCs w:val="21"/>
          <w:highlight w:val="none"/>
        </w:rPr>
        <w:t>；</w:t>
      </w:r>
    </w:p>
    <w:p w14:paraId="323641BB">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技术标投标文件有效性审查；</w:t>
      </w:r>
    </w:p>
    <w:p w14:paraId="6AA262EE">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技术标详细审查评分；</w:t>
      </w:r>
    </w:p>
    <w:p w14:paraId="725B001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 xml:space="preserve">经济标详细审查评分； </w:t>
      </w:r>
    </w:p>
    <w:p w14:paraId="7E39892F">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7</w:t>
      </w:r>
      <w:r>
        <w:rPr>
          <w:rFonts w:hint="eastAsia" w:ascii="宋体" w:hAnsi="宋体" w:cs="宋体"/>
          <w:b/>
          <w:bCs w:val="0"/>
          <w:color w:val="auto"/>
          <w:szCs w:val="21"/>
          <w:highlight w:val="none"/>
          <w:u w:val="single"/>
        </w:rPr>
        <w:t>评标委员会汇总投标人得分，</w:t>
      </w:r>
      <w:r>
        <w:rPr>
          <w:rFonts w:hint="eastAsia" w:ascii="宋体" w:hAnsi="宋体" w:cs="宋体"/>
          <w:b w:val="0"/>
          <w:bCs/>
          <w:color w:val="auto"/>
          <w:szCs w:val="21"/>
          <w:highlight w:val="none"/>
        </w:rPr>
        <w:t>评标委员会按照投标人总得分由高至低排序；</w:t>
      </w:r>
    </w:p>
    <w:p w14:paraId="037A787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8</w:t>
      </w:r>
      <w:r>
        <w:rPr>
          <w:rFonts w:hint="eastAsia" w:ascii="宋体" w:hAnsi="宋体" w:cs="宋体"/>
          <w:bCs/>
          <w:color w:val="auto"/>
          <w:szCs w:val="21"/>
          <w:highlight w:val="none"/>
        </w:rPr>
        <w:t>按排序对经济标投标文件进行有效性审查，</w:t>
      </w:r>
      <w:r>
        <w:rPr>
          <w:rFonts w:hint="eastAsia" w:ascii="宋体" w:hAnsi="宋体" w:cs="宋体"/>
          <w:b/>
          <w:bCs/>
          <w:color w:val="auto"/>
          <w:szCs w:val="21"/>
          <w:highlight w:val="none"/>
          <w:u w:val="single"/>
        </w:rPr>
        <w:t>按投标须知前附表第19项规定推荐合格中标候选人</w:t>
      </w:r>
      <w:r>
        <w:rPr>
          <w:rFonts w:hint="eastAsia" w:ascii="宋体" w:hAnsi="宋体" w:cs="宋体"/>
          <w:b/>
          <w:bCs/>
          <w:color w:val="auto"/>
          <w:szCs w:val="21"/>
          <w:highlight w:val="none"/>
        </w:rPr>
        <w:t>；</w:t>
      </w:r>
    </w:p>
    <w:p w14:paraId="18719786">
      <w:pPr>
        <w:pBdr>
          <w:bottom w:val="single" w:color="auto" w:sz="6" w:space="1"/>
        </w:pBdr>
        <w:snapToGrid w:val="0"/>
        <w:spacing w:line="360" w:lineRule="auto"/>
        <w:ind w:firstLine="472" w:firstLineChars="224"/>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rPr>
        <w:t>40.</w:t>
      </w:r>
      <w:r>
        <w:rPr>
          <w:rFonts w:hint="eastAsia" w:ascii="宋体" w:hAnsi="宋体" w:cs="宋体"/>
          <w:b/>
          <w:bCs w:val="0"/>
          <w:color w:val="auto"/>
          <w:szCs w:val="21"/>
          <w:highlight w:val="none"/>
          <w:lang w:val="en-US" w:eastAsia="zh-CN"/>
        </w:rPr>
        <w:t>9</w:t>
      </w:r>
      <w:r>
        <w:rPr>
          <w:rFonts w:hint="eastAsia" w:ascii="宋体" w:hAnsi="宋体" w:cs="宋体"/>
          <w:b/>
          <w:bCs w:val="0"/>
          <w:color w:val="auto"/>
          <w:szCs w:val="21"/>
          <w:highlight w:val="none"/>
          <w:u w:val="single"/>
        </w:rPr>
        <w:t>评标委员会递交资格审查报告和评标报告并依法推荐通过经济标投标文件有效性审查</w:t>
      </w:r>
      <w:r>
        <w:rPr>
          <w:rFonts w:hint="eastAsia" w:ascii="宋体" w:hAnsi="宋体" w:cs="宋体"/>
          <w:b/>
          <w:bCs w:val="0"/>
          <w:color w:val="auto"/>
          <w:szCs w:val="21"/>
          <w:highlight w:val="none"/>
          <w:u w:val="single"/>
          <w:lang w:eastAsia="zh-CN"/>
        </w:rPr>
        <w:t>的</w:t>
      </w:r>
      <w:r>
        <w:rPr>
          <w:rFonts w:hint="eastAsia" w:ascii="宋体" w:hAnsi="宋体" w:cs="宋体"/>
          <w:b/>
          <w:bCs w:val="0"/>
          <w:color w:val="auto"/>
          <w:szCs w:val="21"/>
          <w:highlight w:val="none"/>
          <w:u w:val="single"/>
        </w:rPr>
        <w:t>合格的中标候选人进入定标阶段。</w:t>
      </w:r>
    </w:p>
    <w:p w14:paraId="599D225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56F77B1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10B9273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主持；</w:t>
      </w:r>
    </w:p>
    <w:p w14:paraId="65EA3D03">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14:paraId="299A3FB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14:paraId="55219059">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b/>
          <w:bCs/>
          <w:color w:val="auto"/>
          <w:szCs w:val="21"/>
          <w:highlight w:val="none"/>
          <w:u w:val="single"/>
        </w:rPr>
        <w:t>[包括技术标投标文件（含资格审查文件）、经济标投标文件</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定标文件</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rPr>
        <w:t>至</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16C00174">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条款号：41.2.2                      修改类型：修改</w:t>
      </w:r>
    </w:p>
    <w:p w14:paraId="28D567F7">
      <w:pPr>
        <w:pBdr>
          <w:bottom w:val="single" w:color="auto" w:sz="6" w:space="1"/>
        </w:pBdr>
        <w:snapToGrid w:val="0"/>
        <w:spacing w:line="360" w:lineRule="auto"/>
        <w:ind w:firstLine="472" w:firstLineChars="224"/>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41.2.2开标前，首先由招标人随机抽取确定该工程计算评标参考价的等分点值X。</w:t>
      </w:r>
    </w:p>
    <w:p w14:paraId="0AF1E134">
      <w:pPr>
        <w:pBdr>
          <w:bottom w:val="single" w:color="auto" w:sz="6" w:space="1"/>
        </w:pBdr>
        <w:snapToGrid w:val="0"/>
        <w:spacing w:line="360" w:lineRule="auto"/>
        <w:ind w:firstLine="472" w:firstLineChars="224"/>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41.2.2开标前，首先由招标人</w:t>
      </w:r>
      <w:r>
        <w:rPr>
          <w:rFonts w:hint="eastAsia" w:ascii="宋体" w:hAnsi="宋体" w:cs="宋体"/>
          <w:b/>
          <w:bCs/>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随机抽取确定该工程计算评标参考价的等分点值X。</w:t>
      </w:r>
    </w:p>
    <w:p w14:paraId="084FD791">
      <w:pPr>
        <w:snapToGrid w:val="0"/>
        <w:spacing w:line="360" w:lineRule="auto"/>
        <w:ind w:firstLine="472" w:firstLineChars="224"/>
        <w:rPr>
          <w:rFonts w:ascii="宋体" w:hAnsi="宋体" w:cs="宋体"/>
          <w:b/>
          <w:strike w:val="0"/>
          <w:dstrike w:val="0"/>
          <w:color w:val="auto"/>
          <w:szCs w:val="21"/>
          <w:highlight w:val="none"/>
        </w:rPr>
      </w:pPr>
      <w:r>
        <w:rPr>
          <w:rFonts w:hint="eastAsia" w:ascii="宋体" w:hAnsi="宋体" w:cs="宋体"/>
          <w:b/>
          <w:strike w:val="0"/>
          <w:dstrike w:val="0"/>
          <w:color w:val="auto"/>
          <w:szCs w:val="21"/>
          <w:highlight w:val="none"/>
        </w:rPr>
        <w:t>条款号：41.</w:t>
      </w:r>
      <w:r>
        <w:rPr>
          <w:rFonts w:hint="eastAsia" w:ascii="宋体" w:hAnsi="宋体" w:cs="宋体"/>
          <w:b/>
          <w:strike w:val="0"/>
          <w:dstrike w:val="0"/>
          <w:color w:val="auto"/>
          <w:szCs w:val="21"/>
          <w:highlight w:val="none"/>
          <w:lang w:val="en-US" w:eastAsia="zh-CN"/>
        </w:rPr>
        <w:t>3</w:t>
      </w:r>
      <w:r>
        <w:rPr>
          <w:rFonts w:hint="eastAsia" w:ascii="宋体" w:hAnsi="宋体" w:cs="宋体"/>
          <w:b/>
          <w:strike w:val="0"/>
          <w:dstrike w:val="0"/>
          <w:color w:val="auto"/>
          <w:szCs w:val="21"/>
          <w:highlight w:val="none"/>
        </w:rPr>
        <w:t xml:space="preserve">                             修改类型：修改</w:t>
      </w:r>
    </w:p>
    <w:p w14:paraId="73DF53D4">
      <w:pPr>
        <w:snapToGrid w:val="0"/>
        <w:spacing w:line="360" w:lineRule="auto"/>
        <w:ind w:firstLine="422" w:firstLineChars="200"/>
        <w:rPr>
          <w:rFonts w:ascii="宋体" w:hAnsi="宋体" w:cs="宋体"/>
          <w:strike w:val="0"/>
          <w:dstrike w:val="0"/>
          <w:color w:val="auto"/>
          <w:szCs w:val="21"/>
          <w:highlight w:val="none"/>
        </w:rPr>
      </w:pPr>
      <w:r>
        <w:rPr>
          <w:rFonts w:hint="eastAsia" w:ascii="宋体" w:hAnsi="宋体" w:cs="宋体"/>
          <w:b/>
          <w:strike w:val="0"/>
          <w:dstrike w:val="0"/>
          <w:color w:val="auto"/>
          <w:szCs w:val="21"/>
          <w:highlight w:val="none"/>
        </w:rPr>
        <w:t>原文：</w:t>
      </w:r>
      <w:r>
        <w:rPr>
          <w:rFonts w:hint="eastAsia" w:ascii="宋体" w:hAnsi="宋体" w:cs="宋体"/>
          <w:strike w:val="0"/>
          <w:dstrike w:val="0"/>
          <w:color w:val="auto"/>
          <w:szCs w:val="21"/>
          <w:highlight w:val="none"/>
        </w:rPr>
        <w:t>41.4招标人对开标过程进行记录，并存档备查，投标人在开标记录上签字。</w:t>
      </w:r>
    </w:p>
    <w:p w14:paraId="47167CB6">
      <w:pPr>
        <w:pBdr>
          <w:bottom w:val="single" w:color="auto" w:sz="6" w:space="1"/>
        </w:pBdr>
        <w:snapToGrid w:val="0"/>
        <w:spacing w:line="360" w:lineRule="auto"/>
        <w:ind w:firstLine="422" w:firstLineChars="200"/>
        <w:rPr>
          <w:rFonts w:ascii="宋体" w:hAnsi="宋体" w:cs="宋体"/>
          <w:strike w:val="0"/>
          <w:dstrike w:val="0"/>
          <w:color w:val="auto"/>
          <w:szCs w:val="21"/>
          <w:highlight w:val="none"/>
        </w:rPr>
      </w:pPr>
      <w:r>
        <w:rPr>
          <w:rFonts w:hint="eastAsia" w:ascii="宋体" w:hAnsi="宋体" w:cs="宋体"/>
          <w:b/>
          <w:strike w:val="0"/>
          <w:dstrike w:val="0"/>
          <w:color w:val="auto"/>
          <w:szCs w:val="21"/>
          <w:highlight w:val="none"/>
        </w:rPr>
        <w:t>现文：</w:t>
      </w:r>
      <w:r>
        <w:rPr>
          <w:rFonts w:hint="eastAsia" w:ascii="宋体" w:hAnsi="宋体" w:cs="宋体"/>
          <w:strike w:val="0"/>
          <w:dstrike w:val="0"/>
          <w:color w:val="auto"/>
          <w:szCs w:val="21"/>
          <w:highlight w:val="none"/>
        </w:rPr>
        <w:t>41.</w:t>
      </w:r>
      <w:r>
        <w:rPr>
          <w:rFonts w:ascii="宋体" w:hAnsi="宋体" w:cs="宋体"/>
          <w:strike w:val="0"/>
          <w:dstrike w:val="0"/>
          <w:color w:val="auto"/>
          <w:szCs w:val="21"/>
          <w:highlight w:val="none"/>
        </w:rPr>
        <w:t>4</w:t>
      </w:r>
      <w:r>
        <w:rPr>
          <w:rFonts w:hint="eastAsia" w:ascii="宋体" w:hAnsi="宋体" w:cs="宋体"/>
          <w:strike w:val="0"/>
          <w:dstrike w:val="0"/>
          <w:color w:val="auto"/>
          <w:szCs w:val="21"/>
          <w:highlight w:val="none"/>
        </w:rPr>
        <w:t>招标人</w:t>
      </w:r>
      <w:r>
        <w:rPr>
          <w:rFonts w:hint="eastAsia" w:ascii="宋体" w:hAnsi="宋体" w:cs="宋体"/>
          <w:b/>
          <w:bCs/>
          <w:strike w:val="0"/>
          <w:dstrike w:val="0"/>
          <w:color w:val="auto"/>
          <w:szCs w:val="21"/>
          <w:highlight w:val="none"/>
          <w:u w:val="single"/>
        </w:rPr>
        <w:t>或招标代理机构</w:t>
      </w:r>
      <w:r>
        <w:rPr>
          <w:rFonts w:hint="eastAsia" w:ascii="宋体" w:hAnsi="宋体" w:cs="宋体"/>
          <w:strike w:val="0"/>
          <w:dstrike w:val="0"/>
          <w:color w:val="auto"/>
          <w:szCs w:val="21"/>
          <w:highlight w:val="none"/>
        </w:rPr>
        <w:t>对开标过程进行记录，并存档备查，</w:t>
      </w:r>
      <w:r>
        <w:rPr>
          <w:rFonts w:hint="eastAsia" w:ascii="宋体" w:hAnsi="宋体" w:cs="宋体"/>
          <w:b/>
          <w:bCs/>
          <w:strike w:val="0"/>
          <w:dstrike w:val="0"/>
          <w:color w:val="auto"/>
          <w:szCs w:val="21"/>
          <w:highlight w:val="none"/>
          <w:u w:val="single"/>
        </w:rPr>
        <w:t>参加现场开标会的投标人在</w:t>
      </w:r>
      <w:r>
        <w:rPr>
          <w:rFonts w:hint="eastAsia" w:ascii="宋体" w:hAnsi="宋体" w:cs="宋体"/>
          <w:strike w:val="0"/>
          <w:dstrike w:val="0"/>
          <w:color w:val="auto"/>
          <w:szCs w:val="21"/>
          <w:highlight w:val="none"/>
        </w:rPr>
        <w:t>开标记录上签字。</w:t>
      </w:r>
    </w:p>
    <w:p w14:paraId="53990E15">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条款号：42.2                        修改类型：修改</w:t>
      </w:r>
    </w:p>
    <w:p w14:paraId="122234DB">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40AE7ED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14:paraId="53F1D03C">
      <w:pPr>
        <w:pBdr>
          <w:bottom w:val="single" w:color="auto" w:sz="6" w:space="1"/>
        </w:pBd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7126677B">
      <w:pPr>
        <w:pBdr>
          <w:bottom w:val="single" w:color="auto" w:sz="6" w:space="1"/>
        </w:pBdr>
        <w:snapToGrid w:val="0"/>
        <w:spacing w:line="360" w:lineRule="auto"/>
        <w:ind w:firstLine="422" w:firstLineChars="200"/>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b/>
          <w:bCs/>
          <w:color w:val="000000" w:themeColor="text1"/>
          <w:szCs w:val="21"/>
          <w:highlight w:val="none"/>
          <w:u w:val="single"/>
          <w14:textFill>
            <w14:solidFill>
              <w14:schemeClr w14:val="tx1"/>
            </w14:solidFill>
          </w14:textFill>
        </w:rPr>
        <w:t>一：评标委员会为综合评标委员会，负责资格审查及评标工作。</w:t>
      </w:r>
      <w:r>
        <w:rPr>
          <w:rFonts w:hint="eastAsia" w:ascii="宋体" w:hAnsi="宋体" w:cs="宋体"/>
          <w:b/>
          <w:bCs/>
          <w:color w:val="auto"/>
          <w:szCs w:val="21"/>
          <w:highlight w:val="none"/>
          <w:u w:val="single"/>
        </w:rPr>
        <w:t>评标委员会由技术及经济专业专家组成，均由广东省综合评标评审专家库随机抽取，评标委员会人数为五人以上单数，其中技术方面的专家不得少于成员总数的三分之二。</w:t>
      </w:r>
    </w:p>
    <w:p w14:paraId="5DA8D9A9">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条款号：43.6                        修改类型：修改</w:t>
      </w:r>
    </w:p>
    <w:p w14:paraId="55AD7454">
      <w:pPr>
        <w:widowControl/>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43.6资格审查合格的投标人少于3名的（当N个标段同时招标且不允许兼中时，资格审查合格的投标人少于N+2名），则本项目招标失败。</w:t>
      </w:r>
    </w:p>
    <w:p w14:paraId="1A10EBEE">
      <w:pPr>
        <w:pBdr>
          <w:bottom w:val="single" w:color="auto" w:sz="6" w:space="1"/>
        </w:pBdr>
        <w:snapToGrid w:val="0"/>
        <w:spacing w:line="360" w:lineRule="auto"/>
        <w:ind w:firstLine="472" w:firstLineChars="224"/>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43.6</w:t>
      </w:r>
      <w:r>
        <w:rPr>
          <w:rFonts w:hint="eastAsia" w:ascii="宋体" w:hAnsi="宋体" w:cs="宋体"/>
          <w:b/>
          <w:bCs/>
          <w:color w:val="000000" w:themeColor="text1"/>
          <w:szCs w:val="21"/>
          <w:highlight w:val="none"/>
          <w:u w:val="single"/>
          <w14:textFill>
            <w14:solidFill>
              <w14:schemeClr w14:val="tx1"/>
            </w14:solidFill>
          </w14:textFill>
        </w:rPr>
        <w:t>若满足资格审查合格条件(投标人合格条件)的投标申请人不足3名，则重新招标。</w:t>
      </w:r>
    </w:p>
    <w:p w14:paraId="0E7F06B5">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条款号：44.1                       修改类型：修改</w:t>
      </w:r>
    </w:p>
    <w:p w14:paraId="5FF97781">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A416C25">
      <w:pPr>
        <w:pBdr>
          <w:bottom w:val="single" w:color="auto" w:sz="6" w:space="1"/>
        </w:pBdr>
        <w:snapToGrid w:val="0"/>
        <w:spacing w:line="360" w:lineRule="auto"/>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b/>
          <w:bCs/>
          <w:color w:val="000000" w:themeColor="text1"/>
          <w:szCs w:val="21"/>
          <w:highlight w:val="none"/>
          <w:u w:val="single"/>
          <w14:textFill>
            <w14:solidFill>
              <w14:schemeClr w14:val="tx1"/>
            </w14:solidFill>
          </w14:textFill>
        </w:rPr>
        <w:t>若通过技术标有效性审查的投标人不足三家，则重新招标。</w:t>
      </w:r>
      <w:r>
        <w:rPr>
          <w:rFonts w:hint="eastAsia" w:ascii="宋体" w:hAnsi="宋体" w:cs="宋体"/>
          <w:color w:val="000000" w:themeColor="text1"/>
          <w:szCs w:val="21"/>
          <w:highlight w:val="none"/>
          <w14:textFill>
            <w14:solidFill>
              <w14:schemeClr w14:val="tx1"/>
            </w14:solidFill>
          </w14:textFill>
        </w:rPr>
        <w:t>评委发现投标文件中含义不明确、对同类问题表述不一致、有明显文字和计算错误的，应当要求投标人作必要的澄清、说明后再判定投标人是否通过有效性审查，不得直接否决投标。</w:t>
      </w:r>
    </w:p>
    <w:p w14:paraId="71AEB219">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条款号：45                         修改类型：修改</w:t>
      </w:r>
    </w:p>
    <w:p w14:paraId="057203D8">
      <w:pPr>
        <w:pStyle w:val="31"/>
        <w:tabs>
          <w:tab w:val="left" w:pos="7380"/>
        </w:tabs>
        <w:snapToGrid w:val="0"/>
        <w:spacing w:after="0" w:line="360" w:lineRule="auto"/>
        <w:ind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原文：</w:t>
      </w:r>
      <w:r>
        <w:rPr>
          <w:rFonts w:hint="eastAsia" w:ascii="宋体" w:hAnsi="宋体" w:cs="宋体"/>
          <w:color w:val="000000" w:themeColor="text1"/>
          <w:sz w:val="21"/>
          <w:szCs w:val="21"/>
          <w:highlight w:val="none"/>
          <w14:textFill>
            <w14:solidFill>
              <w14:schemeClr w14:val="tx1"/>
            </w14:solidFill>
          </w14:textFill>
        </w:rPr>
        <w:t>45．经济标评审和得分汇总</w:t>
      </w:r>
    </w:p>
    <w:p w14:paraId="3A7BCFD7">
      <w:pPr>
        <w:pStyle w:val="31"/>
        <w:tabs>
          <w:tab w:val="left" w:pos="7380"/>
        </w:tabs>
        <w:snapToGrid w:val="0"/>
        <w:spacing w:after="0" w:line="360" w:lineRule="auto"/>
        <w:ind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45.1若通过技术标有效性审查的投标人中所有投标报价均大于等于最高投标限价，则本项目招标失败，由招标人依法重新招标。</w:t>
      </w:r>
    </w:p>
    <w:p w14:paraId="683C8C46">
      <w:pPr>
        <w:widowControl/>
        <w:snapToGrid w:val="0"/>
        <w:spacing w:line="360" w:lineRule="auto"/>
        <w:ind w:firstLine="420"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45.2</w:t>
      </w:r>
      <w:r>
        <w:rPr>
          <w:rFonts w:hint="eastAsia" w:ascii="宋体" w:hAnsi="宋体" w:cs="宋体"/>
          <w:b/>
          <w:bCs/>
          <w:color w:val="000000" w:themeColor="text1"/>
          <w:kern w:val="0"/>
          <w:szCs w:val="21"/>
          <w:highlight w:val="none"/>
          <w14:textFill>
            <w14:solidFill>
              <w14:schemeClr w14:val="tx1"/>
            </w14:solidFill>
          </w14:textFill>
        </w:rPr>
        <w:t>区间抽取法</w:t>
      </w:r>
    </w:p>
    <w:p w14:paraId="2513DC2B">
      <w:pPr>
        <w:widowControl/>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A90720">
      <w:pPr>
        <w:widowControl/>
        <w:snapToGrid w:val="0"/>
        <w:spacing w:line="360" w:lineRule="auto"/>
        <w:ind w:firstLine="420" w:firstLineChars="200"/>
        <w:rPr>
          <w:rFonts w:ascii="宋体" w:hAnsi="宋体" w:cs="宋体"/>
          <w:color w:val="000000" w:themeColor="text1"/>
          <w:kern w:val="0"/>
          <w:szCs w:val="21"/>
          <w:highlight w:val="none"/>
          <w:vertAlign w:val="subscript"/>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评标参考价=（Q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低</w:t>
      </w:r>
      <w:r>
        <w:rPr>
          <w:rFonts w:hint="eastAsia" w:ascii="宋体" w:hAnsi="宋体" w:cs="宋体"/>
          <w:color w:val="000000" w:themeColor="text1"/>
          <w:kern w:val="0"/>
          <w:szCs w:val="21"/>
          <w:highlight w:val="none"/>
          <w14:textFill>
            <w14:solidFill>
              <w14:schemeClr w14:val="tx1"/>
            </w14:solidFill>
          </w14:textFill>
        </w:rPr>
        <w:t>）/100*Ｘ+Q</w:t>
      </w:r>
      <w:r>
        <w:rPr>
          <w:rFonts w:hint="eastAsia" w:ascii="宋体" w:hAnsi="宋体" w:cs="宋体"/>
          <w:color w:val="000000" w:themeColor="text1"/>
          <w:kern w:val="0"/>
          <w:szCs w:val="21"/>
          <w:highlight w:val="none"/>
          <w:vertAlign w:val="subscript"/>
          <w14:textFill>
            <w14:solidFill>
              <w14:schemeClr w14:val="tx1"/>
            </w14:solidFill>
          </w14:textFill>
        </w:rPr>
        <w:t>低</w:t>
      </w:r>
    </w:p>
    <w:p w14:paraId="49FA6431">
      <w:pPr>
        <w:widowControl/>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Q</w:t>
      </w:r>
      <w:r>
        <w:rPr>
          <w:rFonts w:hint="eastAsia" w:ascii="宋体" w:hAnsi="宋体" w:cs="宋体"/>
          <w:color w:val="000000" w:themeColor="text1"/>
          <w:szCs w:val="21"/>
          <w:highlight w:val="none"/>
          <w:vertAlign w:val="subscript"/>
          <w14:textFill>
            <w14:solidFill>
              <w14:schemeClr w14:val="tx1"/>
            </w14:solidFill>
          </w14:textFill>
        </w:rPr>
        <w:t>低</w:t>
      </w:r>
      <w:r>
        <w:rPr>
          <w:rFonts w:hint="eastAsia" w:ascii="宋体" w:hAnsi="宋体" w:cs="宋体"/>
          <w:color w:val="000000" w:themeColor="text1"/>
          <w:szCs w:val="21"/>
          <w:highlight w:val="none"/>
          <w14:textFill>
            <w14:solidFill>
              <w14:schemeClr w14:val="tx1"/>
            </w14:solidFill>
          </w14:textFill>
        </w:rPr>
        <w:t>：为达到或超过技术标及格分数线的投标人最低报价与工程成本警示价两者中的较高值；</w:t>
      </w:r>
    </w:p>
    <w:p w14:paraId="5FF2C0A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szCs w:val="21"/>
          <w:highlight w:val="none"/>
          <w14:textFill>
            <w14:solidFill>
              <w14:schemeClr w14:val="tx1"/>
            </w14:solidFill>
          </w14:textFill>
        </w:rPr>
        <w:t>：为最高投标限价</w:t>
      </w:r>
    </w:p>
    <w:p w14:paraId="37EFC05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X:为等分点值，在开标前从[0,100]整数中随机抽取</w:t>
      </w:r>
    </w:p>
    <w:p w14:paraId="260CDFE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当标价等于评标参考价时得100分，标价每高于评标参考价1%，扣1.5分，每低于评标参考价1%，扣1分，扣至0分为止，得出经济分，精确到小数点后两位。</w:t>
      </w:r>
    </w:p>
    <w:p w14:paraId="3CFEA0C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及综合诚信评价分数权重按投标须知前附表的规定执行。总得分四舍五入保留两位小数。</w:t>
      </w:r>
    </w:p>
    <w:p w14:paraId="18175FA8">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现文</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u w:val="single"/>
          <w14:textFill>
            <w14:solidFill>
              <w14:schemeClr w14:val="tx1"/>
            </w14:solidFill>
          </w14:textFill>
        </w:rPr>
        <w:t>45．经济标评审和得分汇总</w:t>
      </w:r>
    </w:p>
    <w:p w14:paraId="510871EB">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45.1若通过技术标有效性审查的投标人中所有投标报价均大于等于最高投标限价，则本项目招标失败，由招标人依法重新招标。</w:t>
      </w:r>
    </w:p>
    <w:p w14:paraId="41E80D9D">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b/>
          <w:bCs/>
          <w:color w:val="000000" w:themeColor="text1"/>
          <w:szCs w:val="21"/>
          <w:highlight w:val="none"/>
          <w:u w:val="single"/>
          <w14:textFill>
            <w14:solidFill>
              <w14:schemeClr w14:val="tx1"/>
            </w14:solidFill>
          </w14:textFill>
        </w:rPr>
        <w:t>投标文件经济标的评分（投标报价低于成本警示价的投标人不参加经济标的评分）</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p>
    <w:p w14:paraId="36EE52BF">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2.1</w:t>
      </w:r>
      <w:r>
        <w:rPr>
          <w:rFonts w:hint="eastAsia" w:ascii="宋体" w:hAnsi="宋体" w:eastAsia="宋体" w:cs="宋体"/>
          <w:b/>
          <w:bCs/>
          <w:color w:val="000000" w:themeColor="text1"/>
          <w:szCs w:val="21"/>
          <w:highlight w:val="none"/>
          <w:u w:val="single"/>
          <w14:textFill>
            <w14:solidFill>
              <w14:schemeClr w14:val="tx1"/>
            </w14:solidFill>
          </w14:textFill>
        </w:rPr>
        <w:t>按以下方法计算评标参考价：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43CDB697">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b/>
          <w:bCs/>
          <w:color w:val="000000" w:themeColor="text1"/>
          <w:szCs w:val="21"/>
          <w:highlight w:val="none"/>
          <w:u w:val="single"/>
          <w14:textFill>
            <w14:solidFill>
              <w14:schemeClr w14:val="tx1"/>
            </w14:solidFill>
          </w14:textFill>
        </w:rPr>
        <w:t>当标价等于评标参考价时得100分，标价每高于评标参考价1%，扣1.5分，每低于评标参考价1%，扣1分，扣至0分为止；得出经济分，精确到小数点后两位。</w:t>
      </w:r>
    </w:p>
    <w:p w14:paraId="27D131C9">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4推荐中标候选人：推荐3-8名合格的中标候选人。</w:t>
      </w:r>
    </w:p>
    <w:p w14:paraId="46DC065A">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（1）对于投标报价低于成本警示价的投标人：</w:t>
      </w:r>
    </w:p>
    <w:p w14:paraId="70020936">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不参加经济标评审，但需参加技术标详细评审及经济标有效性审查。评标委员会根据技术分（100分）=企业资信（30分）＋项目组织管理机构能力（50分）＋施工组织设计（20分）排序，推荐通过经济标有效性审查的前1名投标人为合格中标候选人进入定标阶段。</w:t>
      </w:r>
    </w:p>
    <w:p w14:paraId="0521D1E5">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若技术分相同的投标文件，以投标总报价较低的排前；如仍存在相同情况，则对具有相同情况的投标人，由评标委员会采用记名投票方式，确定投标人的排序。</w:t>
      </w:r>
    </w:p>
    <w:p w14:paraId="39E77EEB">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（2）对于投标报价不低于成本警示价的投标人推荐方式：</w:t>
      </w:r>
    </w:p>
    <w:p w14:paraId="1AD7801D">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需参加技术标详细评审、经济标详细评审。评标委员会根据总得分=技术分</w:t>
      </w:r>
      <w:r>
        <w:rPr>
          <w:rFonts w:hint="eastAsia" w:ascii="宋体" w:hAnsi="宋体" w:cs="宋体"/>
          <w:b/>
          <w:bCs/>
          <w:color w:val="000000" w:themeColor="text1"/>
          <w:szCs w:val="21"/>
          <w:highlight w:val="none"/>
          <w:u w:val="single"/>
          <w:lang w:val="en-US" w:eastAsia="zh-CN"/>
          <w14:textFill>
            <w14:solidFill>
              <w14:schemeClr w14:val="tx1"/>
            </w14:solidFill>
          </w14:textFill>
        </w:rPr>
        <w:t>[企业资信（30分）＋项目组织管理机构能力（50分）＋施工组织设计（20分）]</w:t>
      </w:r>
      <w:r>
        <w:rPr>
          <w:rFonts w:hint="eastAsia" w:ascii="宋体" w:hAnsi="宋体" w:cs="宋体"/>
          <w:b/>
          <w:bCs/>
          <w:color w:val="000000" w:themeColor="text1"/>
          <w:szCs w:val="21"/>
          <w:highlight w:val="none"/>
          <w:u w:val="single"/>
          <w14:textFill>
            <w14:solidFill>
              <w14:schemeClr w14:val="tx1"/>
            </w14:solidFill>
          </w14:textFill>
        </w:rPr>
        <w:t>×技术分权重（40%）+经济分×经济分权重（60%）排序，推荐前7名投标人为合格中标候选人进入定标阶段。（若通过详细评审的投标人不足7名，则通过详细评审的投标人投标人直接推荐为中标候选人）。</w:t>
      </w:r>
    </w:p>
    <w:p w14:paraId="60BF45F9">
      <w:pPr>
        <w:pBdr>
          <w:bottom w:val="single" w:color="auto" w:sz="6" w:space="1"/>
        </w:pBdr>
        <w:snapToGrid w:val="0"/>
        <w:spacing w:line="360" w:lineRule="auto"/>
        <w:ind w:firstLine="472" w:firstLineChars="224"/>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若总得分相同的投标文件，以经济分较高的排前；总得分与经济分均相同的投标文件，以技术分较高的排前；总得分、经济分、技术分均相同的投标文件，以投标总报价较低的排前；如仍存在相同情况，则对具有相同情况的投标人，由评标委员会采用记名投票方式，确定投标人的排序。</w:t>
      </w:r>
    </w:p>
    <w:p w14:paraId="70273AEF">
      <w:pPr>
        <w:pBdr>
          <w:bottom w:val="single" w:color="auto" w:sz="6" w:space="1"/>
        </w:pBdr>
        <w:snapToGrid w:val="0"/>
        <w:spacing w:line="360" w:lineRule="auto"/>
        <w:ind w:firstLine="422" w:firstLineChars="200"/>
        <w:rPr>
          <w:rFonts w:ascii="宋体" w:hAnsi="宋体" w:cs="宋体"/>
          <w:strike/>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注：记名投票方式确定排序的具体操作步骤为：由评标委员会对出现该情况的投标人采取记名投票的方式确定，按得票数从高到低排列先后次序，以得票数高的排前，根据得票数高低确定排序。</w:t>
      </w:r>
    </w:p>
    <w:p w14:paraId="0A8CC71F">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条款号：48                          修改类型：修改</w:t>
      </w:r>
    </w:p>
    <w:p w14:paraId="1BE8E8F1">
      <w:pPr>
        <w:widowControl/>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14:paraId="4E277653">
      <w:pPr>
        <w:keepNext w:val="0"/>
        <w:keepLines w:val="0"/>
        <w:pageBreakBefore w:val="0"/>
        <w:pBdr>
          <w:bottom w:val="single" w:color="auto" w:sz="6" w:space="1"/>
        </w:pBdr>
        <w:shd w:val="clear" w:color="auto" w:fill="auto"/>
        <w:kinsoku/>
        <w:wordWrap/>
        <w:overflowPunct/>
        <w:topLinePunct w:val="0"/>
        <w:autoSpaceDE/>
        <w:autoSpaceDN/>
        <w:bidi w:val="0"/>
        <w:adjustRightInd/>
        <w:spacing w:line="360" w:lineRule="auto"/>
        <w:ind w:firstLine="422" w:firstLineChars="200"/>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48.评标委员会应在通过投标文件经济标有效性审查的投标人中，按步骤45.4确定的投标人</w:t>
      </w:r>
      <w:r>
        <w:rPr>
          <w:rFonts w:hint="eastAsia" w:ascii="宋体" w:hAnsi="宋体" w:cs="宋体"/>
          <w:b/>
          <w:bCs/>
          <w:color w:val="000000" w:themeColor="text1"/>
          <w:szCs w:val="21"/>
          <w:highlight w:val="none"/>
          <w:u w:val="single"/>
          <w14:textFill>
            <w14:solidFill>
              <w14:schemeClr w14:val="tx1"/>
            </w14:solidFill>
          </w14:textFill>
        </w:rPr>
        <w:t>总得分</w:t>
      </w:r>
      <w:r>
        <w:rPr>
          <w:rFonts w:hint="eastAsia" w:ascii="宋体" w:hAnsi="宋体" w:cs="宋体"/>
          <w:color w:val="000000" w:themeColor="text1"/>
          <w:szCs w:val="21"/>
          <w:highlight w:val="none"/>
          <w14:textFill>
            <w14:solidFill>
              <w14:schemeClr w14:val="tx1"/>
            </w14:solidFill>
          </w14:textFill>
        </w:rPr>
        <w:t>排序，</w:t>
      </w:r>
      <w:r>
        <w:rPr>
          <w:rFonts w:hint="eastAsia" w:ascii="宋体" w:hAnsi="宋体" w:eastAsia="宋体" w:cs="宋体"/>
          <w:b/>
          <w:bCs/>
          <w:color w:val="auto"/>
          <w:sz w:val="21"/>
          <w:szCs w:val="21"/>
          <w:highlight w:val="none"/>
          <w:u w:val="single"/>
        </w:rPr>
        <w:t>按投标须知前附表第2</w:t>
      </w:r>
      <w:r>
        <w:rPr>
          <w:rFonts w:hint="eastAsia" w:ascii="宋体" w:hAnsi="宋体" w:eastAsia="宋体" w:cs="宋体"/>
          <w:b/>
          <w:bCs/>
          <w:color w:val="auto"/>
          <w:sz w:val="21"/>
          <w:szCs w:val="21"/>
          <w:highlight w:val="none"/>
          <w:u w:val="single"/>
          <w:lang w:eastAsia="zh-CN"/>
        </w:rPr>
        <w:t>0</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合格中标候选人，进入定标阶段</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并编制评标报告。</w:t>
      </w:r>
    </w:p>
    <w:p w14:paraId="7C31EAB1">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color w:val="000000" w:themeColor="text1"/>
          <w:kern w:val="0"/>
          <w:szCs w:val="21"/>
          <w:highlight w:val="none"/>
          <w14:textFill>
            <w14:solidFill>
              <w14:schemeClr w14:val="tx1"/>
            </w14:solidFill>
          </w14:textFill>
        </w:rPr>
        <w:t>49</w:t>
      </w:r>
      <w:r>
        <w:rPr>
          <w:rFonts w:hint="eastAsia" w:ascii="宋体" w:hAnsi="宋体" w:cs="宋体"/>
          <w:b/>
          <w:color w:val="000000" w:themeColor="text1"/>
          <w:szCs w:val="21"/>
          <w:highlight w:val="none"/>
          <w14:textFill>
            <w14:solidFill>
              <w14:schemeClr w14:val="tx1"/>
            </w14:solidFill>
          </w14:textFill>
        </w:rPr>
        <w:t xml:space="preserve">                          修改类型：修改</w:t>
      </w:r>
    </w:p>
    <w:p w14:paraId="642EDDBD">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49若通过经济标有效性审查的投标人不足三家，应当依法重新招标。（当N个标段同时招标且不允许兼中时，若有效投标人不足N+2家，应当依法重新招标）</w:t>
      </w:r>
    </w:p>
    <w:p w14:paraId="45DBE002">
      <w:pPr>
        <w:pBdr>
          <w:bottom w:val="single" w:color="auto" w:sz="6" w:space="1"/>
        </w:pBdr>
        <w:snapToGrid w:val="0"/>
        <w:spacing w:line="360" w:lineRule="auto"/>
        <w:ind w:firstLine="420" w:firstLineChars="199"/>
        <w:rPr>
          <w:rFonts w:ascii="宋体" w:hAnsi="宋体" w:cs="宋体"/>
          <w:b/>
          <w:bCs/>
          <w:strike/>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：49</w:t>
      </w:r>
      <w:r>
        <w:rPr>
          <w:rFonts w:hint="eastAsia" w:ascii="宋体" w:hAnsi="宋体" w:cs="宋体"/>
          <w:b/>
          <w:bCs/>
          <w:color w:val="000000" w:themeColor="text1"/>
          <w:szCs w:val="21"/>
          <w:highlight w:val="none"/>
          <w:u w:val="single"/>
          <w14:textFill>
            <w14:solidFill>
              <w14:schemeClr w14:val="tx1"/>
            </w14:solidFill>
          </w14:textFill>
        </w:rPr>
        <w:t>若通过经济标有效性审查的投标人不足三家，应当依法重新招标。</w:t>
      </w:r>
    </w:p>
    <w:p w14:paraId="7292558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50</w:t>
      </w:r>
      <w:r>
        <w:rPr>
          <w:rFonts w:hint="eastAsia" w:ascii="宋体" w:hAnsi="宋体" w:cs="宋体"/>
          <w:b/>
          <w:color w:val="auto"/>
          <w:szCs w:val="21"/>
          <w:highlight w:val="none"/>
        </w:rPr>
        <w:t xml:space="preserve">                                修改类型：增加</w:t>
      </w:r>
    </w:p>
    <w:p w14:paraId="613ECC49">
      <w:pPr>
        <w:snapToGrid w:val="0"/>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.定标</w:t>
      </w:r>
    </w:p>
    <w:p w14:paraId="5590BDA0">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如评标委员会推荐的合格中标候选人不足三家，招标人应当依法重新招标，不再进行定标工作。</w:t>
      </w:r>
    </w:p>
    <w:p w14:paraId="5E0F5FC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.1定标时间和地点</w:t>
      </w:r>
    </w:p>
    <w:p w14:paraId="7A029198">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招标人在合格中标候选人公示结束后</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个工作日内在广州交易集团有限公司（广州公共资源交易中心）开展定标工作，招标人按规定程序在投标人须知的时间和地点完成定标工作。</w:t>
      </w:r>
    </w:p>
    <w:p w14:paraId="0C0FA52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.2定标委员会：由招标人组建。</w:t>
      </w:r>
    </w:p>
    <w:p w14:paraId="5695016B">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.3监督小组：由招标人组建。</w:t>
      </w:r>
    </w:p>
    <w:p w14:paraId="0368302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.4定标办法：评分法。</w:t>
      </w:r>
      <w:r>
        <w:rPr>
          <w:rFonts w:hint="eastAsia" w:ascii="宋体" w:hAnsi="宋体" w:eastAsia="宋体" w:cs="宋体"/>
          <w:b/>
          <w:bCs/>
          <w:color w:val="auto"/>
          <w:sz w:val="21"/>
          <w:szCs w:val="21"/>
          <w:highlight w:val="none"/>
          <w:u w:val="single"/>
        </w:rPr>
        <w:t>定标委员会从评标委员会推荐的合格中标候选人中，依据评分法选出</w:t>
      </w:r>
      <w:r>
        <w:rPr>
          <w:rFonts w:hint="eastAsia" w:ascii="宋体" w:hAnsi="宋体" w:cs="宋体"/>
          <w:b/>
          <w:bCs/>
          <w:color w:val="auto"/>
          <w:sz w:val="21"/>
          <w:szCs w:val="21"/>
          <w:highlight w:val="none"/>
          <w:u w:val="single"/>
          <w:lang w:val="en-US" w:eastAsia="zh-CN"/>
        </w:rPr>
        <w:t>的得分最高的</w:t>
      </w:r>
      <w:r>
        <w:rPr>
          <w:rFonts w:hint="eastAsia" w:ascii="宋体" w:hAnsi="宋体" w:eastAsia="宋体" w:cs="宋体"/>
          <w:b/>
          <w:bCs/>
          <w:color w:val="auto"/>
          <w:sz w:val="21"/>
          <w:szCs w:val="21"/>
          <w:highlight w:val="none"/>
          <w:u w:val="single"/>
        </w:rPr>
        <w:t>候选人，确定为中标人。</w:t>
      </w:r>
    </w:p>
    <w:p w14:paraId="573C379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highlight w:val="none"/>
          <w:u w:val="single"/>
          <w:lang w:val="en-US" w:eastAsia="zh-CN"/>
        </w:rPr>
        <w:t>50</w:t>
      </w:r>
      <w:r>
        <w:rPr>
          <w:rFonts w:hint="eastAsia" w:ascii="宋体" w:hAnsi="宋体" w:eastAsia="宋体" w:cs="宋体"/>
          <w:b/>
          <w:bCs/>
          <w:color w:val="auto"/>
          <w:highlight w:val="none"/>
          <w:u w:val="single"/>
        </w:rPr>
        <w:t>.5定标因素：</w:t>
      </w:r>
      <w:r>
        <w:rPr>
          <w:rFonts w:hint="eastAsia" w:ascii="宋体" w:hAnsi="宋体" w:eastAsia="宋体" w:cs="宋体"/>
          <w:b/>
          <w:bCs/>
          <w:color w:val="auto"/>
          <w:szCs w:val="21"/>
          <w:highlight w:val="none"/>
          <w:u w:val="single"/>
        </w:rPr>
        <w:t>本次定标采用“</w:t>
      </w:r>
      <w:r>
        <w:rPr>
          <w:rFonts w:hint="eastAsia" w:ascii="宋体" w:hAnsi="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因素”＋“答辩因素”＋“价格因素”</w:t>
      </w:r>
      <w:r>
        <w:rPr>
          <w:rFonts w:hint="eastAsia" w:ascii="宋体" w:hAnsi="宋体" w:cs="宋体"/>
          <w:b/>
          <w:bCs/>
          <w:color w:val="auto"/>
          <w:szCs w:val="21"/>
          <w:highlight w:val="none"/>
          <w:u w:val="single"/>
          <w:lang w:eastAsia="zh-CN"/>
        </w:rPr>
        <w:t>。</w:t>
      </w:r>
    </w:p>
    <w:p w14:paraId="4FF05AD9">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.6定标程序</w:t>
      </w:r>
    </w:p>
    <w:p w14:paraId="1B6A190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.6.1招标人或其委托的招标代理机构应安排熟悉情况的工作人员在定标会场担任招标项目负责人，按程序组织定标工作：</w:t>
      </w:r>
    </w:p>
    <w:p w14:paraId="091E061F">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发放定标辅助资料：招标文件、评标阶段的评标报告、合格中标候选人提交的投标文件。</w:t>
      </w:r>
    </w:p>
    <w:p w14:paraId="419CE079">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招标项目负责人宣读定标委员会组建情况及成员名单，宣读定标纪律，签订廉政责任书。</w:t>
      </w:r>
    </w:p>
    <w:p w14:paraId="56DA0D9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rPr>
        <w:t>定标工作开始后，定标委员会应推荐一人为定标委员会组长。</w:t>
      </w:r>
    </w:p>
    <w:p w14:paraId="4D38528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定标委员会根据定标辅助资料，在同等条件下，根据定标因素的相对标准按以下方面进行评审</w:t>
      </w:r>
      <w:r>
        <w:rPr>
          <w:rFonts w:hint="eastAsia" w:ascii="宋体" w:hAnsi="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详见</w:t>
      </w:r>
      <w:r>
        <w:rPr>
          <w:rFonts w:hint="eastAsia" w:ascii="宋体" w:hAnsi="宋体" w:eastAsia="宋体" w:cs="宋体"/>
          <w:b/>
          <w:bCs/>
          <w:color w:val="auto"/>
          <w:szCs w:val="21"/>
          <w:highlight w:val="none"/>
          <w:u w:val="single"/>
          <w:lang w:val="en-US" w:eastAsia="zh-CN"/>
        </w:rPr>
        <w:t>附表八</w:t>
      </w:r>
      <w:r>
        <w:rPr>
          <w:rFonts w:hint="eastAsia" w:ascii="宋体" w:hAnsi="宋体" w:eastAsia="宋体" w:cs="宋体"/>
          <w:b/>
          <w:bCs/>
          <w:color w:val="auto"/>
          <w:szCs w:val="21"/>
          <w:highlight w:val="none"/>
          <w:u w:val="single"/>
        </w:rPr>
        <w:t>《定标因素表》</w:t>
      </w:r>
    </w:p>
    <w:p w14:paraId="28E2E750">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en-US" w:eastAsia="zh-CN"/>
        </w:rPr>
        <w:t>定标委员会根据</w:t>
      </w:r>
      <w:r>
        <w:rPr>
          <w:rFonts w:hint="eastAsia" w:ascii="宋体" w:hAnsi="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lang w:val="en-US" w:eastAsia="zh-CN"/>
        </w:rPr>
        <w:t>因素及投标人</w:t>
      </w:r>
      <w:r>
        <w:rPr>
          <w:rFonts w:hint="eastAsia" w:ascii="宋体" w:hAnsi="宋体" w:cs="宋体"/>
          <w:b/>
          <w:bCs/>
          <w:color w:val="auto"/>
          <w:szCs w:val="21"/>
          <w:highlight w:val="none"/>
          <w:u w:val="single"/>
          <w:lang w:val="en-US" w:eastAsia="zh-CN"/>
        </w:rPr>
        <w:t>提供的定标文件</w:t>
      </w:r>
      <w:r>
        <w:rPr>
          <w:rFonts w:hint="eastAsia" w:ascii="宋体" w:hAnsi="宋体" w:eastAsia="宋体" w:cs="宋体"/>
          <w:b/>
          <w:bCs/>
          <w:color w:val="auto"/>
          <w:szCs w:val="21"/>
          <w:highlight w:val="none"/>
          <w:u w:val="single"/>
          <w:lang w:val="en-US" w:eastAsia="zh-CN"/>
        </w:rPr>
        <w:t>情况，对进入定标阶段的合格的中标候选人的答辩情况进行打分。</w:t>
      </w:r>
    </w:p>
    <w:p w14:paraId="23D9062D">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.6.</w:t>
      </w:r>
      <w:r>
        <w:rPr>
          <w:rFonts w:hint="eastAsia" w:ascii="宋体" w:hAnsi="宋体" w:cs="宋体"/>
          <w:b/>
          <w:bCs/>
          <w:color w:val="auto"/>
          <w:szCs w:val="21"/>
          <w:highlight w:val="none"/>
          <w:u w:val="single"/>
          <w:lang w:val="en-US" w:eastAsia="zh-CN"/>
        </w:rPr>
        <w:t>7</w:t>
      </w:r>
      <w:r>
        <w:rPr>
          <w:rFonts w:hint="eastAsia" w:ascii="宋体" w:hAnsi="宋体" w:eastAsia="宋体" w:cs="宋体"/>
          <w:b/>
          <w:bCs/>
          <w:color w:val="auto"/>
          <w:szCs w:val="21"/>
          <w:highlight w:val="none"/>
          <w:u w:val="single"/>
          <w:lang w:val="en-US" w:eastAsia="zh-CN"/>
        </w:rPr>
        <w:t>定标委员会根据</w:t>
      </w:r>
      <w:r>
        <w:rPr>
          <w:rFonts w:hint="eastAsia" w:ascii="宋体" w:hAnsi="宋体" w:cs="宋体"/>
          <w:b/>
          <w:bCs/>
          <w:color w:val="auto"/>
          <w:szCs w:val="21"/>
          <w:highlight w:val="none"/>
          <w:u w:val="single"/>
          <w:lang w:val="en-US" w:eastAsia="zh-CN"/>
        </w:rPr>
        <w:t>答辩</w:t>
      </w:r>
      <w:r>
        <w:rPr>
          <w:rFonts w:hint="eastAsia" w:ascii="宋体" w:hAnsi="宋体" w:eastAsia="宋体" w:cs="宋体"/>
          <w:b/>
          <w:bCs/>
          <w:color w:val="auto"/>
          <w:szCs w:val="21"/>
          <w:highlight w:val="none"/>
          <w:u w:val="single"/>
          <w:lang w:val="en-US" w:eastAsia="zh-CN"/>
        </w:rPr>
        <w:t>因素及投标人拟派的答辩人员答辩情况，对进入定标阶段的合格的中标候选人的</w:t>
      </w:r>
      <w:r>
        <w:rPr>
          <w:rFonts w:hint="eastAsia" w:ascii="宋体" w:hAnsi="宋体" w:cs="宋体"/>
          <w:b/>
          <w:bCs/>
          <w:color w:val="auto"/>
          <w:szCs w:val="21"/>
          <w:highlight w:val="none"/>
          <w:u w:val="single"/>
          <w:lang w:val="en-US" w:eastAsia="zh-CN"/>
        </w:rPr>
        <w:t>方案和</w:t>
      </w:r>
      <w:r>
        <w:rPr>
          <w:rFonts w:hint="eastAsia" w:ascii="宋体" w:hAnsi="宋体" w:eastAsia="宋体" w:cs="宋体"/>
          <w:b/>
          <w:bCs/>
          <w:color w:val="auto"/>
          <w:szCs w:val="21"/>
          <w:highlight w:val="none"/>
          <w:u w:val="single"/>
          <w:lang w:val="en-US" w:eastAsia="zh-CN"/>
        </w:rPr>
        <w:t>答辩情况进行打分。</w:t>
      </w:r>
    </w:p>
    <w:p w14:paraId="3B71A4A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.6.</w:t>
      </w:r>
      <w:r>
        <w:rPr>
          <w:rFonts w:hint="eastAsia" w:ascii="宋体" w:hAnsi="宋体" w:cs="宋体"/>
          <w:b/>
          <w:bCs/>
          <w:color w:val="auto"/>
          <w:szCs w:val="21"/>
          <w:highlight w:val="none"/>
          <w:u w:val="single"/>
          <w:lang w:val="en-US" w:eastAsia="zh-CN"/>
        </w:rPr>
        <w:t>8</w:t>
      </w:r>
      <w:r>
        <w:rPr>
          <w:rFonts w:hint="eastAsia" w:ascii="宋体" w:hAnsi="宋体" w:eastAsia="宋体" w:cs="宋体"/>
          <w:b/>
          <w:bCs/>
          <w:color w:val="auto"/>
          <w:szCs w:val="21"/>
          <w:highlight w:val="none"/>
          <w:u w:val="single"/>
          <w:lang w:val="en-US" w:eastAsia="zh-CN"/>
        </w:rPr>
        <w:t>定标委员会根据价格因素，对进入定标阶段的合格的中标候选人的价格部分进行打分。</w:t>
      </w:r>
    </w:p>
    <w:p w14:paraId="0C78A54D">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.6.</w:t>
      </w:r>
      <w:r>
        <w:rPr>
          <w:rFonts w:hint="eastAsia" w:ascii="宋体" w:hAnsi="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lang w:val="en-US" w:eastAsia="zh-CN"/>
        </w:rPr>
        <w:t>定标委员会根据各评委评分的算术平均值汇总合格的中标候选人定标得分</w:t>
      </w:r>
      <w:r>
        <w:rPr>
          <w:rFonts w:hint="eastAsia" w:ascii="宋体" w:hAnsi="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en-US" w:eastAsia="zh-CN"/>
        </w:rPr>
        <w:t>由高至低排序合格的中标候选人的名次。总得分四舍五入保留两位小数。</w:t>
      </w:r>
    </w:p>
    <w:p w14:paraId="718163DF">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注：若合格中标候选人总得分相同且影响定标排序的，以答辩因素得分高的排前；若答辩因素得分相同的，以价格因素得分高的排前，若价格因素得分仍相同的，由定标委员会投票确定排序。</w:t>
      </w:r>
    </w:p>
    <w:p w14:paraId="70666DF1">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编写定标报告，定标委员会全体确认后签署定标报告。</w:t>
      </w:r>
    </w:p>
    <w:p w14:paraId="6D0CF0E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注：合格中标候选人拟派的项目负责人或技术负责人对拟派管理团队介绍</w:t>
      </w:r>
      <w:r>
        <w:rPr>
          <w:rFonts w:hint="eastAsia" w:ascii="宋体" w:hAnsi="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介绍时间不得超过</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分钟，问答5分钟，评委针对其陈述内容及措施所提的相关问题。</w:t>
      </w:r>
    </w:p>
    <w:p w14:paraId="4D94EE1C">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rPr>
        <w:t>①答辩签到：招标人或招标代理将《定标会议通知》以邮件送达各合格中标候选人，各合格中标候选人收到邮件后需在《定标会议通知》上盖章后回复邮件。各中标候选人拟派的项目负责人或技术负责人携带本单位法定代表人证明书原件、法定代表人授权委托证明书原件，本人身份证原件到达《定标会议通知》通知的开标室进行签到，签到具体时间以《定标会议通知》为准。签到完成后，拟派项目负责人或技术负责人需签署《答辩纪律》、《答辩人员承诺书》等文件(签署的文件以实际下发的为准)。合格中标候选人拟派的项目负责人或技术负责人签到时未能提供本单位法定代表人证明书原件、法定代表人授权委托证明书原件的,或未能在规定的时候内进行签到的，视为放弃答辩。签到时，拟派的项目负责人或技术负责人需将其所有通讯设备调成关机或静音状态交招标代理保管，待其答辩完成后退还。</w:t>
      </w:r>
      <w:r>
        <w:rPr>
          <w:rFonts w:hint="eastAsia" w:ascii="宋体" w:hAnsi="宋体" w:cs="宋体"/>
          <w:b/>
          <w:bCs/>
          <w:color w:val="auto"/>
          <w:szCs w:val="21"/>
          <w:highlight w:val="none"/>
          <w:u w:val="single"/>
          <w:lang w:val="en-US" w:eastAsia="zh-CN"/>
        </w:rPr>
        <w:t>其他详细要求以</w:t>
      </w:r>
      <w:r>
        <w:rPr>
          <w:rFonts w:hint="eastAsia" w:ascii="宋体" w:hAnsi="宋体" w:eastAsia="宋体" w:cs="宋体"/>
          <w:b/>
          <w:bCs/>
          <w:color w:val="auto"/>
          <w:szCs w:val="21"/>
          <w:highlight w:val="none"/>
          <w:u w:val="single"/>
        </w:rPr>
        <w:t>《定标会议通知》</w:t>
      </w:r>
      <w:r>
        <w:rPr>
          <w:rFonts w:hint="eastAsia" w:ascii="宋体" w:hAnsi="宋体" w:cs="宋体"/>
          <w:b/>
          <w:bCs/>
          <w:color w:val="auto"/>
          <w:szCs w:val="21"/>
          <w:highlight w:val="none"/>
          <w:u w:val="single"/>
          <w:lang w:eastAsia="zh-CN"/>
        </w:rPr>
        <w:t>的</w:t>
      </w:r>
      <w:r>
        <w:rPr>
          <w:rFonts w:hint="eastAsia" w:ascii="宋体" w:hAnsi="宋体" w:cs="宋体"/>
          <w:b/>
          <w:bCs/>
          <w:color w:val="auto"/>
          <w:szCs w:val="21"/>
          <w:highlight w:val="none"/>
          <w:u w:val="single"/>
          <w:lang w:val="en-US" w:eastAsia="zh-CN"/>
        </w:rPr>
        <w:t>内容要求为准。</w:t>
      </w:r>
    </w:p>
    <w:p w14:paraId="542AD31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②答辩进场顺序：采用现场答辩形式,按项目负责人或技术负责人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在签到时间截止后，招标代理组织已完成签到的合格中标候选人抽取答辩顺序。</w:t>
      </w:r>
    </w:p>
    <w:p w14:paraId="47CB7D7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③答辩人员的要求：答辩的人员在参加答辩时，应向招标人（招标代理）出示身份证原件，招标人（招标代理）核对确认身份无误后再进行答辩。答辩人员未能出示前述证明文件的不予参加答辩环节。</w:t>
      </w:r>
    </w:p>
    <w:p w14:paraId="23741BE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④答辩的要点与时限：详见《定标因素表》。</w:t>
      </w:r>
    </w:p>
    <w:p w14:paraId="7BD6434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.7招标人应当在定标工作完成后3日内公示中标结果。</w:t>
      </w:r>
    </w:p>
    <w:p w14:paraId="0480A8C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.8</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重新评标或定标的，评标信息（含业绩、奖项等）、定标信息仍以投标截止时投标人的信息为准。因特殊原因需要延长投标有效期，投标人拒绝延长投标有效期的，仍参与评标、定标，但不被推荐为合格中标候选人</w:t>
      </w:r>
      <w:r>
        <w:rPr>
          <w:rFonts w:hint="eastAsia" w:ascii="宋体" w:hAnsi="宋体" w:eastAsia="宋体" w:cs="宋体"/>
          <w:b/>
          <w:bCs/>
          <w:color w:val="auto"/>
          <w:highlight w:val="none"/>
          <w:u w:val="single"/>
        </w:rPr>
        <w:t>。</w:t>
      </w:r>
    </w:p>
    <w:p w14:paraId="0AECD2DB">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在合格中标候选人公示期间或在定标前，如有合格中标候选人放弃中标候选人资格或者被查实存在影响中标候选人资格的违法行为等情形，且合格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val="en-US" w:eastAsia="zh-CN"/>
        </w:rPr>
        <w:t>至少有1名的，招标人不再递补其他合格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可以继续定标或依法重新招标；如没有合格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val="en-US" w:eastAsia="zh-CN"/>
        </w:rPr>
        <w:t>的，则依法重新招标。</w:t>
      </w:r>
    </w:p>
    <w:p w14:paraId="2F77EDE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）如在中标结果公示前出现合格中标候选人放弃其中标候选人资格的情形，招标人可以</w:t>
      </w:r>
      <w:r>
        <w:rPr>
          <w:rFonts w:hint="eastAsia" w:ascii="宋体" w:hAnsi="宋体" w:cs="宋体"/>
          <w:b/>
          <w:bCs/>
          <w:color w:val="auto"/>
          <w:szCs w:val="21"/>
          <w:highlight w:val="none"/>
          <w:u w:val="single"/>
          <w:lang w:val="en-US" w:eastAsia="zh-CN"/>
        </w:rPr>
        <w:t>重新开展定标确定其他</w:t>
      </w:r>
      <w:r>
        <w:rPr>
          <w:rFonts w:hint="eastAsia" w:ascii="宋体" w:hAnsi="宋体" w:eastAsia="宋体" w:cs="宋体"/>
          <w:b/>
          <w:bCs/>
          <w:color w:val="auto"/>
          <w:szCs w:val="21"/>
          <w:highlight w:val="none"/>
          <w:u w:val="single"/>
        </w:rPr>
        <w:t>合格中标候选人为中标人，招标人也可以重新招标。如所有的合格中标候选人均放弃其中标候选人资格的，为招标失败，招标人依法重新招标。</w:t>
      </w:r>
    </w:p>
    <w:p w14:paraId="43060DFE">
      <w:pPr>
        <w:pBdr>
          <w:bottom w:val="single" w:color="auto" w:sz="6" w:space="1"/>
        </w:pBdr>
        <w:snapToGrid w:val="0"/>
        <w:spacing w:line="360" w:lineRule="auto"/>
        <w:ind w:firstLine="422" w:firstLineChars="200"/>
        <w:rPr>
          <w:rFonts w:ascii="宋体" w:hAnsi="宋体" w:cs="宋体"/>
          <w:strike/>
          <w:color w:val="auto"/>
          <w:szCs w:val="21"/>
          <w:highlight w:val="non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中标人，招标人也可以重新招标</w:t>
      </w:r>
      <w:r>
        <w:rPr>
          <w:rFonts w:hint="eastAsia" w:ascii="宋体" w:hAnsi="宋体" w:cs="宋体"/>
          <w:b/>
          <w:bCs/>
          <w:color w:val="auto"/>
          <w:szCs w:val="21"/>
          <w:highlight w:val="none"/>
          <w:u w:val="single"/>
        </w:rPr>
        <w:t>。</w:t>
      </w:r>
    </w:p>
    <w:p w14:paraId="2C653C4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14:paraId="1FB5A1F2">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5256E1F">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33F5D6D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14:paraId="07784322">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E8357A7">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62E1D57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14:paraId="074ABBC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6C004AE8">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01C7158C">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auto"/>
          <w:szCs w:val="21"/>
          <w:highlight w:val="none"/>
        </w:rPr>
        <w:t>条款号：附表四《技术标详细审查评分表》      修改类型：</w:t>
      </w:r>
      <w:r>
        <w:rPr>
          <w:rFonts w:hint="eastAsia" w:ascii="宋体" w:hAnsi="宋体" w:cs="宋体"/>
          <w:b/>
          <w:color w:val="000000" w:themeColor="text1"/>
          <w:szCs w:val="21"/>
          <w:highlight w:val="none"/>
          <w14:textFill>
            <w14:solidFill>
              <w14:schemeClr w14:val="tx1"/>
            </w14:solidFill>
          </w14:textFill>
        </w:rPr>
        <w:t>修改</w:t>
      </w:r>
    </w:p>
    <w:p w14:paraId="1686ABE4">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4092808">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《技术标详细审查评分表》</w:t>
      </w:r>
    </w:p>
    <w:p w14:paraId="512884E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条款号：附表五至附表十三                   修改类型：增加</w:t>
      </w:r>
    </w:p>
    <w:p w14:paraId="4D336245">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现文：具体详见招标文件正文附表。</w:t>
      </w:r>
    </w:p>
    <w:p w14:paraId="2E78BC25">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5A6A84E9">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18" w:name="_Toc5678"/>
      <w:bookmarkStart w:id="19" w:name="_Toc2272556"/>
      <w:bookmarkStart w:id="20" w:name="_Toc21525500"/>
      <w:bookmarkStart w:id="21" w:name="_Toc2272564"/>
      <w:r>
        <w:rPr>
          <w:rFonts w:hint="eastAsia" w:ascii="宋体" w:hAnsi="宋体" w:cs="宋体"/>
          <w:color w:val="auto"/>
          <w:highlight w:val="none"/>
        </w:rPr>
        <w:br w:type="page"/>
      </w:r>
    </w:p>
    <w:p w14:paraId="24659CB9">
      <w:pPr>
        <w:pStyle w:val="4"/>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14:paraId="721A243B">
      <w:pPr>
        <w:pStyle w:val="5"/>
        <w:snapToGrid w:val="0"/>
        <w:spacing w:before="0" w:beforeAutospacing="0" w:after="0" w:afterAutospacing="0" w:line="360" w:lineRule="auto"/>
        <w:ind w:firstLine="542" w:firstLineChars="200"/>
        <w:rPr>
          <w:rFonts w:cs="宋体"/>
          <w:b/>
          <w:bCs/>
          <w:color w:val="auto"/>
          <w:highlight w:val="none"/>
        </w:rPr>
      </w:pPr>
      <w:bookmarkStart w:id="22" w:name="_Toc2272557"/>
      <w:bookmarkStart w:id="23" w:name="_Toc31373"/>
      <w:r>
        <w:rPr>
          <w:rFonts w:hint="eastAsia" w:cs="宋体"/>
          <w:b/>
          <w:bCs/>
          <w:color w:val="auto"/>
          <w:highlight w:val="none"/>
        </w:rPr>
        <w:t>（一）总则</w:t>
      </w:r>
      <w:bookmarkEnd w:id="22"/>
      <w:bookmarkEnd w:id="23"/>
    </w:p>
    <w:p w14:paraId="6CC16BF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35 开标、评标及定标所依据的规则</w:t>
      </w:r>
    </w:p>
    <w:p w14:paraId="2BA176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35.1《中华人民共和国招标投标法》；</w:t>
      </w:r>
    </w:p>
    <w:p w14:paraId="3A7659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14:paraId="097646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14:paraId="510735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14:paraId="0CC0F6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14:paraId="0CFF0FC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14:paraId="2201C0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35.7《财政部工业和信息化部关于印发〈政府采购促进中小企业发展管理办法〉的通知》（财库〔2020〕46号）；</w:t>
      </w:r>
    </w:p>
    <w:p w14:paraId="266AA5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35.8《广东省加强建设工程招标投标监督管理的若干规定》（粤发[2004]4号）；</w:t>
      </w:r>
    </w:p>
    <w:p w14:paraId="3D6001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35.9《广东省政府采购促进中小企业发展实施细则（试行）》；</w:t>
      </w:r>
    </w:p>
    <w:p w14:paraId="2BDD50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35.10《广州市工程建设项目招标投标管理办法》（穗建规字〔2023〕12号）；</w:t>
      </w:r>
    </w:p>
    <w:p w14:paraId="77BE50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529882B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35.12本项目招标文件。</w:t>
      </w:r>
    </w:p>
    <w:p w14:paraId="6A848901">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36．开标</w:t>
      </w:r>
    </w:p>
    <w:p w14:paraId="41F0E0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70C0D0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14:paraId="19164F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5E47AE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7BF86FC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36.5按下列程序进行开标：</w:t>
      </w:r>
    </w:p>
    <w:p w14:paraId="259013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36.5.1在投标截止时间后一小时内，投标人通过交易平台对已递交的电子投标文件进行解密。投标人完成解密后，再由招标人进行解密。解密完成后，公布招标项目名称、投标人名称、投标保证金的递交情况、投标报价、工期及其他内容；</w:t>
      </w:r>
    </w:p>
    <w:p w14:paraId="6A6965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14:paraId="2A9CD8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73F8F7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36.5.4开标结束。</w:t>
      </w:r>
    </w:p>
    <w:p w14:paraId="177780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830D2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14:paraId="37385F0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37．评标</w:t>
      </w:r>
    </w:p>
    <w:p w14:paraId="11DAB8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37.1评标委员会由招标人依法组建。</w:t>
      </w:r>
    </w:p>
    <w:p w14:paraId="6E5F13C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37.2评标委员会在开始评标前，应了解评标专家的职责及守则，认真阅读附表七《评标委员会成员声明》的内容并签名，签字后方可进行评标；</w:t>
      </w:r>
    </w:p>
    <w:p w14:paraId="5EB897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37.3评标委员会的职责及守则：</w:t>
      </w:r>
    </w:p>
    <w:p w14:paraId="64D33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37.3.1根据评标细则，对投标文件进行认真评审，完成评审报告；</w:t>
      </w:r>
    </w:p>
    <w:p w14:paraId="16F3A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37.3.2向招标人报告评审意见，推荐合格的中标候选人。</w:t>
      </w:r>
    </w:p>
    <w:p w14:paraId="2F9AF655">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37.3.3</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1EFC6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37.3.4全体参与评标人员：</w:t>
      </w:r>
    </w:p>
    <w:p w14:paraId="68C3F7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37.3.4.1 必须遵守评标纪律、不得泄密；</w:t>
      </w:r>
    </w:p>
    <w:p w14:paraId="6A2055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37.3.4.2 必须公正、不得循私；</w:t>
      </w:r>
    </w:p>
    <w:p w14:paraId="425AB7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37.3.4.3 必须科学、不得草率；</w:t>
      </w:r>
    </w:p>
    <w:p w14:paraId="3DFCC47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37.3.4.4 必须客观、不得带有成见；</w:t>
      </w:r>
    </w:p>
    <w:p w14:paraId="3A6FB7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37.3.4.5 必须平等、不得强加于人；</w:t>
      </w:r>
    </w:p>
    <w:p w14:paraId="2A7400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37.3.4.6 必须严谨、不得随意马虎。</w:t>
      </w:r>
    </w:p>
    <w:p w14:paraId="0AA607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ADD002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37.5评标结束后，评标委员会递交评标报告并依法推荐中标候选人。</w:t>
      </w:r>
    </w:p>
    <w:p w14:paraId="5914D3C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38．投标文件的澄清</w:t>
      </w:r>
    </w:p>
    <w:p w14:paraId="43DBB8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7D449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0EDF7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14:paraId="07FD89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AAE19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D8F8D89">
      <w:pPr>
        <w:snapToGrid w:val="0"/>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39．定标</w:t>
      </w:r>
    </w:p>
    <w:p w14:paraId="4C6D00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13972F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76F7E9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8BDFE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023F9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23B134FB">
      <w:pPr>
        <w:pStyle w:val="5"/>
        <w:snapToGrid w:val="0"/>
        <w:spacing w:before="0" w:beforeAutospacing="0" w:after="0" w:afterAutospacing="0" w:line="360" w:lineRule="auto"/>
        <w:ind w:firstLine="542" w:firstLineChars="200"/>
        <w:rPr>
          <w:rFonts w:cs="宋体"/>
          <w:b/>
          <w:bCs/>
          <w:color w:val="auto"/>
          <w:highlight w:val="none"/>
        </w:rPr>
      </w:pPr>
      <w:bookmarkStart w:id="24" w:name="_Toc9740"/>
      <w:bookmarkStart w:id="25" w:name="_Toc2272558"/>
      <w:r>
        <w:rPr>
          <w:rFonts w:hint="eastAsia" w:cs="宋体"/>
          <w:b/>
          <w:bCs/>
          <w:color w:val="auto"/>
          <w:highlight w:val="none"/>
        </w:rPr>
        <w:t>（二）开标评标办法程序和细则</w:t>
      </w:r>
      <w:bookmarkEnd w:id="24"/>
      <w:bookmarkEnd w:id="25"/>
    </w:p>
    <w:p w14:paraId="22A94028">
      <w:pPr>
        <w:snapToGrid w:val="0"/>
        <w:spacing w:line="360" w:lineRule="auto"/>
        <w:ind w:firstLine="420" w:firstLineChars="200"/>
        <w:rPr>
          <w:rFonts w:hint="eastAsia"/>
        </w:rPr>
      </w:pPr>
      <w:r>
        <w:rPr>
          <w:rFonts w:hint="eastAsia"/>
        </w:rPr>
        <w:t>可选办法七（适合综合评分法四，技术标与经济标同时开启）</w:t>
      </w:r>
    </w:p>
    <w:bookmarkEnd w:id="20"/>
    <w:bookmarkEnd w:id="21"/>
    <w:p w14:paraId="52B05EEC">
      <w:pPr>
        <w:snapToGrid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40．开标和评标程序</w:t>
      </w:r>
    </w:p>
    <w:p w14:paraId="1A2F3D5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40.1技术标（含资格审查文件）与经济标投标文件同时公开开标；</w:t>
      </w:r>
    </w:p>
    <w:p w14:paraId="125C056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40.2由评标委员会对所有已公开开标的投标人进行资格审查；</w:t>
      </w:r>
    </w:p>
    <w:p w14:paraId="020F4DB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40.3技术标投标文件有效性审查；</w:t>
      </w:r>
    </w:p>
    <w:p w14:paraId="6261377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40.4技术标详细审查评分；</w:t>
      </w:r>
    </w:p>
    <w:p w14:paraId="553B06C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40.5经济标详细审查评分； </w:t>
      </w:r>
    </w:p>
    <w:p w14:paraId="4CADAD65">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40.6评标委员会按照投标人总得分由高至低排序；</w:t>
      </w:r>
    </w:p>
    <w:p w14:paraId="5ADDF6A6">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40.7经济标投标文件有效性审查；</w:t>
      </w:r>
    </w:p>
    <w:p w14:paraId="3C6D714F">
      <w:pPr>
        <w:snapToGrid w:val="0"/>
        <w:spacing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40.8评标委员会按排序向招标人推荐中标候选人名单，并递交资格审查报告及评标报告。</w:t>
      </w:r>
    </w:p>
    <w:p w14:paraId="300B0D53">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41．开标细则</w:t>
      </w:r>
    </w:p>
    <w:p w14:paraId="529DD680">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41.1开标由招标人主持；</w:t>
      </w:r>
    </w:p>
    <w:p w14:paraId="74A3605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 细则</w:t>
      </w:r>
    </w:p>
    <w:p w14:paraId="5984B57A">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41.2.1投标截止期前，各投标人递交投标文件（包括技术标投标文件、经济标投标文件）至</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交易平台。有关投标文件提交的事项详见第一章投标须知。 </w:t>
      </w:r>
    </w:p>
    <w:p w14:paraId="1B18882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41.2.2开标前，首先由招标人随机抽取确定该工程计算评标参考价的等分点值X。</w:t>
      </w:r>
    </w:p>
    <w:p w14:paraId="00B7607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F7488A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41.2.4按36.5.1的规定完成解密后，公布下列内容，并予以记录，记录提交评标委员会评审： </w:t>
      </w:r>
    </w:p>
    <w:p w14:paraId="356BCB78">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9BE634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41.3招标人对开标过程进行记录，并存档备查，投标人在技术标开标记录上签字。</w:t>
      </w:r>
    </w:p>
    <w:p w14:paraId="606E55B4">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41.4 招标人将上述符合要求的投标文件，送至评标委员会进行评审。</w:t>
      </w:r>
    </w:p>
    <w:p w14:paraId="304D5948">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F91EFF4">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42. 资格审查及评标细则</w:t>
      </w:r>
    </w:p>
    <w:p w14:paraId="4C50AA1F">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42.1资格审查及评标均由招标人依法组建的评标委员会负责。</w:t>
      </w:r>
    </w:p>
    <w:p w14:paraId="33F1822B">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42.2评标委员会的组成：方式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02E30D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方式一：评标委员会为综合评标委员会，负责资格审查及评标工作。</w:t>
      </w:r>
    </w:p>
    <w:p w14:paraId="635453CB">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5B6C5C69">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43．投标人资格审查</w:t>
      </w:r>
    </w:p>
    <w:p w14:paraId="02011CDA">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A0C0BE6">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43.2汇总资格审查情况，编写资格审查报告。</w:t>
      </w:r>
    </w:p>
    <w:p w14:paraId="6DB5F78D">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43.3资格审查不合格的投标文件不参加下一阶段的评标，不参与评标参考价的计算。</w:t>
      </w:r>
    </w:p>
    <w:p w14:paraId="0F71BFD7">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DBD4DC3">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14:paraId="3558435C">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43.6资格审查合格的投标人少于3名的（当N个标段同时招标且不允许兼中时，资格审查合格的投标人少于N+2名），则本项目招标失败。</w:t>
      </w:r>
    </w:p>
    <w:p w14:paraId="16344486">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44．技术标评审</w:t>
      </w:r>
    </w:p>
    <w:p w14:paraId="3C73E51C">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9F0D1C0">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14:paraId="714C0F95">
      <w:pPr>
        <w:pStyle w:val="31"/>
        <w:tabs>
          <w:tab w:val="left" w:pos="7380"/>
        </w:tabs>
        <w:snapToGrid w:val="0"/>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45．经济标评审和得分汇总</w:t>
      </w:r>
    </w:p>
    <w:p w14:paraId="00DD990D">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45.1若通过技术标有效性审查的投标人中所有投标报价均大于等于最高投标限价，则本项目招标失败，由招标人依法重新招标。</w:t>
      </w:r>
    </w:p>
    <w:p w14:paraId="6C1B9828">
      <w:pPr>
        <w:widowControl/>
        <w:snapToGrid w:val="0"/>
        <w:spacing w:line="360" w:lineRule="auto"/>
        <w:ind w:firstLine="420"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45.2</w:t>
      </w:r>
      <w:r>
        <w:rPr>
          <w:rFonts w:hint="eastAsia" w:ascii="宋体" w:hAnsi="宋体" w:eastAsia="宋体" w:cs="宋体"/>
          <w:b/>
          <w:bCs/>
          <w:color w:val="000000" w:themeColor="text1"/>
          <w:kern w:val="0"/>
          <w:sz w:val="21"/>
          <w:szCs w:val="21"/>
          <w:highlight w:val="none"/>
          <w14:textFill>
            <w14:solidFill>
              <w14:schemeClr w14:val="tx1"/>
            </w14:solidFill>
          </w14:textFill>
        </w:rPr>
        <w:t>区间抽取法</w:t>
      </w:r>
    </w:p>
    <w:p w14:paraId="5120EFEA">
      <w:pPr>
        <w:widowControl/>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76CFF21">
      <w:pPr>
        <w:widowControl/>
        <w:snapToGrid w:val="0"/>
        <w:spacing w:line="360" w:lineRule="auto"/>
        <w:ind w:firstLine="420" w:firstLineChars="200"/>
        <w:rPr>
          <w:rFonts w:hint="eastAsia" w:ascii="宋体" w:hAnsi="宋体" w:eastAsia="宋体" w:cs="宋体"/>
          <w:color w:val="000000" w:themeColor="text1"/>
          <w:kern w:val="0"/>
          <w:sz w:val="21"/>
          <w:szCs w:val="21"/>
          <w:highlight w:val="none"/>
          <w:vertAlign w:val="subscript"/>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评标参考价=（Q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高</w:t>
      </w:r>
      <w:r>
        <w:rPr>
          <w:rFonts w:hint="eastAsia" w:ascii="宋体" w:hAnsi="宋体" w:eastAsia="宋体" w:cs="宋体"/>
          <w:color w:val="000000" w:themeColor="text1"/>
          <w:kern w:val="0"/>
          <w:sz w:val="21"/>
          <w:szCs w:val="21"/>
          <w:highlight w:val="none"/>
          <w14:textFill>
            <w14:solidFill>
              <w14:schemeClr w14:val="tx1"/>
            </w14:solidFill>
          </w14:textFill>
        </w:rPr>
        <w:t>-Q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低</w:t>
      </w:r>
      <w:r>
        <w:rPr>
          <w:rFonts w:hint="eastAsia" w:ascii="宋体" w:hAnsi="宋体" w:eastAsia="宋体" w:cs="宋体"/>
          <w:color w:val="000000" w:themeColor="text1"/>
          <w:kern w:val="0"/>
          <w:sz w:val="21"/>
          <w:szCs w:val="21"/>
          <w:highlight w:val="none"/>
          <w14:textFill>
            <w14:solidFill>
              <w14:schemeClr w14:val="tx1"/>
            </w14:solidFill>
          </w14:textFill>
        </w:rPr>
        <w:t>）/100*Ｘ+Q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低</w:t>
      </w:r>
    </w:p>
    <w:p w14:paraId="52679F54">
      <w:pPr>
        <w:widowControl/>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Q</w:t>
      </w:r>
      <w:r>
        <w:rPr>
          <w:rFonts w:hint="eastAsia" w:ascii="宋体" w:hAnsi="宋体" w:eastAsia="宋体" w:cs="宋体"/>
          <w:color w:val="000000" w:themeColor="text1"/>
          <w:sz w:val="21"/>
          <w:szCs w:val="21"/>
          <w:highlight w:val="none"/>
          <w:vertAlign w:val="subscript"/>
          <w14:textFill>
            <w14:solidFill>
              <w14:schemeClr w14:val="tx1"/>
            </w14:solidFill>
          </w14:textFill>
        </w:rPr>
        <w:t>低</w:t>
      </w:r>
      <w:r>
        <w:rPr>
          <w:rFonts w:hint="eastAsia" w:ascii="宋体" w:hAnsi="宋体" w:eastAsia="宋体" w:cs="宋体"/>
          <w:color w:val="000000" w:themeColor="text1"/>
          <w:sz w:val="21"/>
          <w:szCs w:val="21"/>
          <w:highlight w:val="none"/>
          <w14:textFill>
            <w14:solidFill>
              <w14:schemeClr w14:val="tx1"/>
            </w14:solidFill>
          </w14:textFill>
        </w:rPr>
        <w:t>：为达到或超过技术标及格分数线的投标人最低报价与工程成本警示价两者中的较高值；</w:t>
      </w:r>
    </w:p>
    <w:p w14:paraId="3712DB9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：为最高投标限价</w:t>
      </w:r>
    </w:p>
    <w:p w14:paraId="7D74F6C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X:为等分点值，在开标前从[0,100]整数中随机抽取</w:t>
      </w:r>
    </w:p>
    <w:p w14:paraId="2D85ACD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45.3</w:t>
      </w:r>
      <w:r>
        <w:rPr>
          <w:rFonts w:hint="eastAsia" w:ascii="宋体" w:hAnsi="宋体" w:eastAsia="宋体" w:cs="宋体"/>
          <w:color w:val="000000" w:themeColor="text1"/>
          <w:sz w:val="21"/>
          <w:szCs w:val="21"/>
          <w:highlight w:val="none"/>
          <w14:textFill>
            <w14:solidFill>
              <w14:schemeClr w14:val="tx1"/>
            </w14:solidFill>
          </w14:textFill>
        </w:rPr>
        <w:t>当标价等于评标参考价时得100分，标价每高于评标参考价1%，扣1.5分，每低于评标参考价1%，扣1分，扣至0分为止，得出经济分，精确到小数点后两位。</w:t>
      </w:r>
    </w:p>
    <w:p w14:paraId="08908C81">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及综合诚信评价分数权重按投标须知前附表的规定执行。总得分四舍五入保留两位小数。</w:t>
      </w:r>
    </w:p>
    <w:p w14:paraId="1ECF9CF2">
      <w:pPr>
        <w:pStyle w:val="31"/>
        <w:tabs>
          <w:tab w:val="left" w:pos="7380"/>
        </w:tabs>
        <w:snapToGrid w:val="0"/>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46.经济标的有效性审查</w:t>
      </w:r>
    </w:p>
    <w:p w14:paraId="4ECA6AA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FC33CB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46.2经济标的算术校核。评标委员会对进行经济标有效性审查的投标文件投标报价按照就低不就高的原则进行算术校核，具体标准如下：</w:t>
      </w:r>
    </w:p>
    <w:p w14:paraId="4DDE7C2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46.2.1如果数字表示的金额和用文字表示的金额不一致时，应以文字表示的金额为准；</w:t>
      </w:r>
    </w:p>
    <w:p w14:paraId="33DDA3A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46.2.2经算术复核的投标人报价与其投标报价不一致时，按就低不就高原则确定其最终报价；</w:t>
      </w:r>
    </w:p>
    <w:p w14:paraId="28D614C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6B629E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46.2.4当合价、金额累加错误时，按就低不就高原则，如果累加修正值小于原累加值，则按累加修正值；如果累加修正值大于原累加值，则按原累加值；</w:t>
      </w:r>
    </w:p>
    <w:p w14:paraId="01F28D4A">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46.2.5如果投标人的有关规费、暂列金额、暂估价、绿色施工安全防护措施费等未按招标文件规定的金额填写的，由评标委员会按照招标文件规定的金额进行修正；</w:t>
      </w:r>
    </w:p>
    <w:p w14:paraId="06F1380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2099104">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46.2.7按就低不就高原则，当修正后报价小于原报价，总价按修正后报价；当修正后报价大于原报价，总价按原报价，并在签订合同时载明在结算价中扣除修正报价与原报价的差额。</w:t>
      </w:r>
    </w:p>
    <w:p w14:paraId="56F4EE68">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46.2.8按上述修正错误的原则及方法调整或修正投标文件的投标报价，调整后的投标报价对投标人起约束作用。如果投标人不接受修正后的报价，则取消其投标资格，并且其投标保证金也将不予退还。</w:t>
      </w:r>
    </w:p>
    <w:p w14:paraId="6E6BCB6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893B69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14:paraId="4545D5EF">
      <w:pPr>
        <w:pStyle w:val="14"/>
        <w:rPr>
          <w:rFonts w:ascii="宋体" w:hAnsi="宋体" w:cs="宋体"/>
          <w:color w:val="auto"/>
          <w:szCs w:val="21"/>
          <w:highlight w:val="none"/>
        </w:rPr>
        <w:sectPr>
          <w:footerReference r:id="rId9" w:type="default"/>
          <w:endnotePr>
            <w:numFmt w:val="decimal"/>
          </w:endnotePr>
          <w:pgSz w:w="11906" w:h="16838"/>
          <w:pgMar w:top="1440" w:right="1383" w:bottom="1440" w:left="1383" w:header="851" w:footer="907" w:gutter="0"/>
          <w:cols w:space="720" w:num="1"/>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49.若通过经济标有效性审查的投标人不足三家，应当依法重新招标。（当N个标段同时招标且不允许兼中时，若有效投标人不足N+2家，应当依法重新招标）</w:t>
      </w:r>
    </w:p>
    <w:p w14:paraId="43BE3012">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附表一</w:t>
      </w:r>
    </w:p>
    <w:p w14:paraId="6DAD03CE">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462BD792">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0B0CDDD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3"/>
        <w:tblW w:w="14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491"/>
        <w:gridCol w:w="1158"/>
      </w:tblGrid>
      <w:tr w14:paraId="0A44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A5425B5">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14:paraId="52B9EA15">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491" w:type="dxa"/>
            <w:tcBorders>
              <w:top w:val="single" w:color="auto" w:sz="4" w:space="0"/>
              <w:left w:val="single" w:color="auto" w:sz="4" w:space="0"/>
              <w:bottom w:val="single" w:color="auto" w:sz="4" w:space="0"/>
              <w:right w:val="single" w:color="auto" w:sz="4" w:space="0"/>
            </w:tcBorders>
            <w:noWrap/>
            <w:vAlign w:val="center"/>
          </w:tcPr>
          <w:p w14:paraId="60453124">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158" w:type="dxa"/>
            <w:tcBorders>
              <w:top w:val="single" w:color="auto" w:sz="4" w:space="0"/>
              <w:left w:val="single" w:color="auto" w:sz="4" w:space="0"/>
              <w:bottom w:val="single" w:color="auto" w:sz="4" w:space="0"/>
              <w:right w:val="single" w:color="auto" w:sz="4" w:space="0"/>
            </w:tcBorders>
            <w:noWrap/>
            <w:vAlign w:val="center"/>
          </w:tcPr>
          <w:p w14:paraId="01F51D2D">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14:paraId="3170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2864673">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14:paraId="7A14750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491" w:type="dxa"/>
            <w:tcBorders>
              <w:top w:val="single" w:color="auto" w:sz="4" w:space="0"/>
              <w:left w:val="single" w:color="auto" w:sz="4" w:space="0"/>
              <w:bottom w:val="single" w:color="auto" w:sz="4" w:space="0"/>
              <w:right w:val="single" w:color="auto" w:sz="4" w:space="0"/>
            </w:tcBorders>
            <w:noWrap/>
            <w:vAlign w:val="center"/>
          </w:tcPr>
          <w:p w14:paraId="40CE52F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、法定代表人证明书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；委托投标的还应提供法人授权委托证明书</w:t>
            </w:r>
            <w:r>
              <w:rPr>
                <w:rFonts w:hint="eastAsia" w:ascii="宋体" w:hAnsi="宋体" w:cs="宋体"/>
                <w:color w:val="auto"/>
                <w:szCs w:val="21"/>
                <w:highlight w:val="none"/>
                <w:u w:val="single"/>
              </w:rPr>
              <w:t>扫描件，及授权委托人</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09</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w:t>
            </w:r>
          </w:p>
        </w:tc>
        <w:tc>
          <w:tcPr>
            <w:tcW w:w="1158" w:type="dxa"/>
            <w:tcBorders>
              <w:top w:val="single" w:color="auto" w:sz="4" w:space="0"/>
              <w:left w:val="single" w:color="auto" w:sz="4" w:space="0"/>
              <w:bottom w:val="single" w:color="auto" w:sz="4" w:space="0"/>
              <w:right w:val="single" w:color="auto" w:sz="4" w:space="0"/>
            </w:tcBorders>
            <w:noWrap/>
            <w:vAlign w:val="center"/>
          </w:tcPr>
          <w:p w14:paraId="20AE02DE">
            <w:pPr>
              <w:snapToGrid w:val="0"/>
              <w:spacing w:line="360" w:lineRule="atLeast"/>
              <w:jc w:val="center"/>
              <w:rPr>
                <w:rFonts w:ascii="宋体" w:hAnsi="宋体" w:cs="宋体"/>
                <w:color w:val="auto"/>
                <w:szCs w:val="21"/>
                <w:highlight w:val="none"/>
              </w:rPr>
            </w:pPr>
          </w:p>
        </w:tc>
      </w:tr>
      <w:tr w14:paraId="24B7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A6629B0">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14:paraId="44018688">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投标人具有独立法人资格，按国家法律经营；</w:t>
            </w:r>
          </w:p>
        </w:tc>
        <w:tc>
          <w:tcPr>
            <w:tcW w:w="6491" w:type="dxa"/>
            <w:tcBorders>
              <w:top w:val="single" w:color="auto" w:sz="4" w:space="0"/>
              <w:left w:val="single" w:color="auto" w:sz="4" w:space="0"/>
              <w:bottom w:val="single" w:color="auto" w:sz="4" w:space="0"/>
              <w:right w:val="single" w:color="auto" w:sz="4" w:space="0"/>
            </w:tcBorders>
            <w:noWrap/>
            <w:vAlign w:val="center"/>
          </w:tcPr>
          <w:p w14:paraId="60AFC5A6">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营业执照扫描</w:t>
            </w:r>
            <w:r>
              <w:rPr>
                <w:rFonts w:hint="eastAsia" w:ascii="宋体" w:hAnsi="宋体" w:cs="宋体"/>
                <w:color w:val="auto"/>
                <w:highlight w:val="none"/>
              </w:rPr>
              <w:t>件或电子证照。</w:t>
            </w:r>
          </w:p>
        </w:tc>
        <w:tc>
          <w:tcPr>
            <w:tcW w:w="1158" w:type="dxa"/>
            <w:tcBorders>
              <w:top w:val="single" w:color="auto" w:sz="4" w:space="0"/>
              <w:left w:val="single" w:color="auto" w:sz="4" w:space="0"/>
              <w:bottom w:val="single" w:color="auto" w:sz="4" w:space="0"/>
              <w:right w:val="single" w:color="auto" w:sz="4" w:space="0"/>
            </w:tcBorders>
            <w:noWrap/>
            <w:vAlign w:val="center"/>
          </w:tcPr>
          <w:p w14:paraId="15EC446B">
            <w:pPr>
              <w:snapToGrid w:val="0"/>
              <w:spacing w:line="360" w:lineRule="atLeast"/>
              <w:jc w:val="center"/>
              <w:rPr>
                <w:rFonts w:ascii="宋体" w:hAnsi="宋体" w:cs="宋体"/>
                <w:color w:val="auto"/>
                <w:szCs w:val="21"/>
                <w:highlight w:val="none"/>
              </w:rPr>
            </w:pPr>
          </w:p>
        </w:tc>
      </w:tr>
      <w:tr w14:paraId="3F18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F96EF5D">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14:paraId="4455003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企业资质证书及安全生产许可证；投标人资质符合公告要求；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7F5D26AF">
            <w:pPr>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rPr>
              <w:t>资质证书扫描件或电子证照，或符合招标公告规定的相关证明材料（如有）；安全生产许可证</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6968CAE4">
            <w:pPr>
              <w:snapToGrid w:val="0"/>
              <w:spacing w:line="360" w:lineRule="atLeast"/>
              <w:jc w:val="center"/>
              <w:rPr>
                <w:rFonts w:ascii="宋体" w:hAnsi="宋体" w:cs="宋体"/>
                <w:color w:val="auto"/>
                <w:szCs w:val="21"/>
                <w:highlight w:val="none"/>
              </w:rPr>
            </w:pPr>
          </w:p>
        </w:tc>
      </w:tr>
      <w:tr w14:paraId="3B2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472DFF8">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14:paraId="6A4AE2F9">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106F80F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使用有效期内的注册建造师注册证书扫描件或电子证照。（注：递交的注册建造师注册证书须符合招标公告第九条第4款注②的规定。）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5277D874">
            <w:pPr>
              <w:snapToGrid w:val="0"/>
              <w:spacing w:line="360" w:lineRule="atLeast"/>
              <w:jc w:val="center"/>
              <w:rPr>
                <w:rFonts w:ascii="宋体" w:hAnsi="宋体" w:cs="宋体"/>
                <w:color w:val="auto"/>
                <w:szCs w:val="21"/>
                <w:highlight w:val="none"/>
              </w:rPr>
            </w:pPr>
          </w:p>
        </w:tc>
      </w:tr>
      <w:tr w14:paraId="395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1C046A7">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14:paraId="3014C989">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6491" w:type="dxa"/>
            <w:tcBorders>
              <w:top w:val="single" w:color="auto" w:sz="4" w:space="0"/>
              <w:left w:val="single" w:color="auto" w:sz="4" w:space="0"/>
              <w:bottom w:val="single" w:color="auto" w:sz="4" w:space="0"/>
              <w:right w:val="single" w:color="auto" w:sz="4" w:space="0"/>
            </w:tcBorders>
            <w:noWrap/>
            <w:vAlign w:val="center"/>
          </w:tcPr>
          <w:p w14:paraId="68134E5D">
            <w:pPr>
              <w:snapToGrid w:val="0"/>
              <w:spacing w:line="360" w:lineRule="atLeast"/>
              <w:jc w:val="left"/>
              <w:rPr>
                <w:rFonts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14:paraId="3BE94C31">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6282D23B">
            <w:pPr>
              <w:snapToGrid w:val="0"/>
              <w:spacing w:line="360" w:lineRule="atLeast"/>
              <w:jc w:val="center"/>
              <w:rPr>
                <w:rFonts w:ascii="宋体" w:hAnsi="宋体" w:cs="宋体"/>
                <w:color w:val="auto"/>
                <w:szCs w:val="21"/>
                <w:highlight w:val="none"/>
              </w:rPr>
            </w:pPr>
          </w:p>
        </w:tc>
      </w:tr>
      <w:tr w14:paraId="1E0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9C6F6BA">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14:paraId="5AA123CC">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78D08043">
            <w:pPr>
              <w:snapToGrid w:val="0"/>
              <w:spacing w:line="360" w:lineRule="atLeast"/>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158" w:type="dxa"/>
            <w:tcBorders>
              <w:top w:val="single" w:color="auto" w:sz="4" w:space="0"/>
              <w:left w:val="single" w:color="auto" w:sz="4" w:space="0"/>
              <w:bottom w:val="single" w:color="auto" w:sz="4" w:space="0"/>
              <w:right w:val="single" w:color="auto" w:sz="4" w:space="0"/>
            </w:tcBorders>
            <w:noWrap/>
            <w:vAlign w:val="center"/>
          </w:tcPr>
          <w:p w14:paraId="1DEAAA24">
            <w:pPr>
              <w:snapToGrid w:val="0"/>
              <w:spacing w:line="360" w:lineRule="atLeast"/>
              <w:jc w:val="center"/>
              <w:rPr>
                <w:rFonts w:ascii="宋体" w:hAnsi="宋体" w:cs="宋体"/>
                <w:color w:val="auto"/>
                <w:szCs w:val="21"/>
                <w:highlight w:val="none"/>
              </w:rPr>
            </w:pPr>
          </w:p>
        </w:tc>
      </w:tr>
      <w:tr w14:paraId="3014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E8E3F7A">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14:paraId="469B855E">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491" w:type="dxa"/>
            <w:tcBorders>
              <w:top w:val="single" w:color="auto" w:sz="4" w:space="0"/>
              <w:left w:val="single" w:color="auto" w:sz="4" w:space="0"/>
              <w:bottom w:val="single" w:color="auto" w:sz="4" w:space="0"/>
              <w:right w:val="single" w:color="auto" w:sz="4" w:space="0"/>
            </w:tcBorders>
            <w:noWrap/>
            <w:vAlign w:val="center"/>
          </w:tcPr>
          <w:p w14:paraId="324BFAA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0174A532">
            <w:pPr>
              <w:snapToGrid w:val="0"/>
              <w:spacing w:line="360" w:lineRule="atLeast"/>
              <w:jc w:val="center"/>
              <w:rPr>
                <w:rFonts w:ascii="宋体" w:hAnsi="宋体" w:cs="宋体"/>
                <w:color w:val="auto"/>
                <w:szCs w:val="21"/>
                <w:highlight w:val="none"/>
              </w:rPr>
            </w:pPr>
          </w:p>
        </w:tc>
      </w:tr>
      <w:tr w14:paraId="1884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84F5EDF">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14:paraId="0838A85E">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2404DBB5">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1E731C2E">
            <w:pPr>
              <w:snapToGrid w:val="0"/>
              <w:spacing w:line="360" w:lineRule="atLeast"/>
              <w:jc w:val="center"/>
              <w:rPr>
                <w:rFonts w:ascii="宋体" w:hAnsi="宋体" w:cs="宋体"/>
                <w:color w:val="auto"/>
                <w:szCs w:val="21"/>
                <w:highlight w:val="none"/>
              </w:rPr>
            </w:pPr>
          </w:p>
        </w:tc>
      </w:tr>
      <w:tr w14:paraId="79AB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2C95E22">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14:paraId="72A82CB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491" w:type="dxa"/>
            <w:tcBorders>
              <w:top w:val="single" w:color="auto" w:sz="4" w:space="0"/>
              <w:left w:val="single" w:color="auto" w:sz="4" w:space="0"/>
              <w:bottom w:val="single" w:color="auto" w:sz="4" w:space="0"/>
              <w:right w:val="single" w:color="auto" w:sz="4" w:space="0"/>
            </w:tcBorders>
            <w:noWrap/>
            <w:vAlign w:val="center"/>
          </w:tcPr>
          <w:p w14:paraId="1CF038B0">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w:t>
            </w:r>
          </w:p>
        </w:tc>
        <w:tc>
          <w:tcPr>
            <w:tcW w:w="1158" w:type="dxa"/>
            <w:tcBorders>
              <w:top w:val="single" w:color="auto" w:sz="4" w:space="0"/>
              <w:left w:val="single" w:color="auto" w:sz="4" w:space="0"/>
              <w:bottom w:val="single" w:color="auto" w:sz="4" w:space="0"/>
              <w:right w:val="single" w:color="auto" w:sz="4" w:space="0"/>
            </w:tcBorders>
            <w:noWrap/>
            <w:vAlign w:val="center"/>
          </w:tcPr>
          <w:p w14:paraId="7599F277">
            <w:pPr>
              <w:snapToGrid w:val="0"/>
              <w:spacing w:line="360" w:lineRule="atLeast"/>
              <w:jc w:val="center"/>
              <w:rPr>
                <w:rFonts w:ascii="宋体" w:hAnsi="宋体" w:cs="宋体"/>
                <w:color w:val="auto"/>
                <w:szCs w:val="21"/>
                <w:highlight w:val="none"/>
              </w:rPr>
            </w:pPr>
          </w:p>
        </w:tc>
      </w:tr>
      <w:tr w14:paraId="1368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8857176">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14:paraId="3739E0B0">
            <w:pPr>
              <w:snapToGrid w:val="0"/>
              <w:spacing w:line="360" w:lineRule="atLeast"/>
              <w:rPr>
                <w:rFonts w:ascii="宋体" w:hAnsi="宋体" w:cs="宋体"/>
                <w:color w:val="auto"/>
                <w:szCs w:val="21"/>
                <w:highlight w:val="none"/>
              </w:rPr>
            </w:pPr>
            <w:r>
              <w:rPr>
                <w:rStyle w:val="41"/>
                <w:rFonts w:hint="default" w:cs="宋体"/>
                <w:color w:val="auto"/>
                <w:sz w:val="21"/>
                <w:szCs w:val="21"/>
                <w:highlight w:val="none"/>
              </w:rPr>
              <w:t>关于联合体投标：本项目</w:t>
            </w:r>
            <w:r>
              <w:rPr>
                <w:rStyle w:val="41"/>
                <w:rFonts w:hint="eastAsia" w:cs="宋体"/>
                <w:color w:val="auto"/>
                <w:sz w:val="21"/>
                <w:szCs w:val="21"/>
                <w:highlight w:val="none"/>
                <w:lang w:val="en-US" w:eastAsia="zh-CN"/>
              </w:rPr>
              <w:t>不</w:t>
            </w:r>
            <w:r>
              <w:rPr>
                <w:rStyle w:val="41"/>
                <w:rFonts w:hint="default" w:cs="宋体"/>
                <w:color w:val="auto"/>
                <w:sz w:val="21"/>
                <w:szCs w:val="21"/>
                <w:highlight w:val="none"/>
              </w:rPr>
              <w:t>接受联合体投标；</w:t>
            </w:r>
          </w:p>
        </w:tc>
        <w:tc>
          <w:tcPr>
            <w:tcW w:w="6491" w:type="dxa"/>
            <w:tcBorders>
              <w:top w:val="single" w:color="auto" w:sz="4" w:space="0"/>
              <w:left w:val="single" w:color="auto" w:sz="4" w:space="0"/>
              <w:bottom w:val="single" w:color="auto" w:sz="4" w:space="0"/>
              <w:right w:val="single" w:color="auto" w:sz="4" w:space="0"/>
            </w:tcBorders>
            <w:noWrap/>
            <w:vAlign w:val="center"/>
          </w:tcPr>
          <w:p w14:paraId="73E0A1FC">
            <w:pPr>
              <w:snapToGrid w:val="0"/>
              <w:spacing w:line="360" w:lineRule="atLeast"/>
              <w:jc w:val="left"/>
              <w:rPr>
                <w:rFonts w:ascii="宋体" w:hAnsi="宋体" w:cs="宋体"/>
                <w:color w:val="auto"/>
                <w:szCs w:val="21"/>
                <w:highlight w:val="none"/>
                <w:u w:val="single"/>
              </w:rPr>
            </w:pPr>
            <w:r>
              <w:rPr>
                <w:rStyle w:val="41"/>
                <w:rFonts w:hint="default" w:cs="宋体"/>
                <w:color w:val="auto"/>
                <w:sz w:val="21"/>
                <w:szCs w:val="21"/>
                <w:highlight w:val="none"/>
              </w:rPr>
              <w:t>本项目</w:t>
            </w:r>
            <w:r>
              <w:rPr>
                <w:rStyle w:val="41"/>
                <w:rFonts w:hint="eastAsia" w:cs="宋体"/>
                <w:color w:val="auto"/>
                <w:sz w:val="21"/>
                <w:szCs w:val="21"/>
                <w:highlight w:val="none"/>
                <w:lang w:val="en-US" w:eastAsia="zh-CN"/>
              </w:rPr>
              <w:t>不</w:t>
            </w:r>
            <w:r>
              <w:rPr>
                <w:rStyle w:val="41"/>
                <w:rFonts w:hint="default" w:cs="宋体"/>
                <w:color w:val="auto"/>
                <w:sz w:val="21"/>
                <w:szCs w:val="21"/>
                <w:highlight w:val="none"/>
              </w:rPr>
              <w:t>接受联合体投标；</w:t>
            </w:r>
          </w:p>
        </w:tc>
        <w:tc>
          <w:tcPr>
            <w:tcW w:w="1158" w:type="dxa"/>
            <w:tcBorders>
              <w:top w:val="single" w:color="auto" w:sz="4" w:space="0"/>
              <w:left w:val="single" w:color="auto" w:sz="4" w:space="0"/>
              <w:bottom w:val="single" w:color="auto" w:sz="4" w:space="0"/>
              <w:right w:val="single" w:color="auto" w:sz="4" w:space="0"/>
            </w:tcBorders>
            <w:noWrap/>
            <w:vAlign w:val="center"/>
          </w:tcPr>
          <w:p w14:paraId="04E8D2D8">
            <w:pPr>
              <w:snapToGrid w:val="0"/>
              <w:spacing w:line="360" w:lineRule="atLeast"/>
              <w:jc w:val="center"/>
              <w:rPr>
                <w:rFonts w:ascii="宋体" w:hAnsi="宋体" w:cs="宋体"/>
                <w:color w:val="auto"/>
                <w:szCs w:val="21"/>
                <w:highlight w:val="none"/>
              </w:rPr>
            </w:pPr>
          </w:p>
        </w:tc>
      </w:tr>
      <w:tr w14:paraId="0AB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4557098">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14:paraId="287D145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u w:val="single"/>
              </w:rPr>
              <w:t>资格审查前，投标人须在广州市住房和城乡建设局建立企业信用档案，拟担任本工程项目负责人、专职安全员须是</w:t>
            </w:r>
            <w:r>
              <w:rPr>
                <w:rFonts w:hint="eastAsia" w:ascii="宋体" w:hAnsi="宋体" w:cs="宋体"/>
                <w:color w:val="auto"/>
                <w:szCs w:val="21"/>
                <w:highlight w:val="none"/>
                <w:u w:val="single"/>
                <w:lang w:val="en-US" w:eastAsia="zh-CN"/>
              </w:rPr>
              <w:t>投标人</w:t>
            </w:r>
            <w:r>
              <w:rPr>
                <w:rFonts w:hint="eastAsia" w:ascii="宋体" w:hAnsi="宋体" w:cs="宋体"/>
                <w:color w:val="auto"/>
                <w:szCs w:val="21"/>
                <w:highlight w:val="none"/>
                <w:u w:val="single"/>
              </w:rPr>
              <w:t>企业信用档案中的在册人员；</w:t>
            </w:r>
          </w:p>
        </w:tc>
        <w:tc>
          <w:tcPr>
            <w:tcW w:w="6491" w:type="dxa"/>
            <w:tcBorders>
              <w:top w:val="single" w:color="auto" w:sz="4" w:space="0"/>
              <w:left w:val="single" w:color="auto" w:sz="4" w:space="0"/>
              <w:bottom w:val="single" w:color="auto" w:sz="4" w:space="0"/>
              <w:right w:val="single" w:color="auto" w:sz="4" w:space="0"/>
            </w:tcBorders>
            <w:noWrap/>
            <w:vAlign w:val="center"/>
          </w:tcPr>
          <w:p w14:paraId="6367D6C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1158" w:type="dxa"/>
            <w:tcBorders>
              <w:top w:val="single" w:color="auto" w:sz="4" w:space="0"/>
              <w:left w:val="single" w:color="auto" w:sz="4" w:space="0"/>
              <w:bottom w:val="single" w:color="auto" w:sz="4" w:space="0"/>
              <w:right w:val="single" w:color="auto" w:sz="4" w:space="0"/>
            </w:tcBorders>
            <w:noWrap/>
            <w:vAlign w:val="center"/>
          </w:tcPr>
          <w:p w14:paraId="632127B7">
            <w:pPr>
              <w:snapToGrid w:val="0"/>
              <w:spacing w:line="360" w:lineRule="atLeast"/>
              <w:jc w:val="center"/>
              <w:rPr>
                <w:rFonts w:ascii="宋体" w:hAnsi="宋体" w:cs="宋体"/>
                <w:color w:val="auto"/>
                <w:szCs w:val="21"/>
                <w:highlight w:val="none"/>
              </w:rPr>
            </w:pPr>
          </w:p>
        </w:tc>
      </w:tr>
      <w:tr w14:paraId="13D1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1CC3434">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14:paraId="67CAD9E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投标人未出现以下情形：与其它投标人的单位负责人为同一人或者存在控股、管理关系的【按《投标人声明》第九条内容进行评审】；</w:t>
            </w:r>
          </w:p>
        </w:tc>
        <w:tc>
          <w:tcPr>
            <w:tcW w:w="6491" w:type="dxa"/>
            <w:tcBorders>
              <w:top w:val="single" w:color="auto" w:sz="4" w:space="0"/>
              <w:left w:val="single" w:color="auto" w:sz="4" w:space="0"/>
              <w:bottom w:val="single" w:color="auto" w:sz="4" w:space="0"/>
              <w:right w:val="single" w:color="auto" w:sz="4" w:space="0"/>
            </w:tcBorders>
            <w:noWrap/>
            <w:vAlign w:val="center"/>
          </w:tcPr>
          <w:p w14:paraId="1CB87970">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1C00F99B">
            <w:pPr>
              <w:snapToGrid w:val="0"/>
              <w:spacing w:line="360" w:lineRule="atLeast"/>
              <w:jc w:val="center"/>
              <w:rPr>
                <w:rFonts w:ascii="宋体" w:hAnsi="宋体" w:cs="宋体"/>
                <w:color w:val="auto"/>
                <w:szCs w:val="21"/>
                <w:highlight w:val="none"/>
              </w:rPr>
            </w:pPr>
          </w:p>
        </w:tc>
      </w:tr>
      <w:tr w14:paraId="462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80696C3">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14:paraId="4C3EBB06">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tc>
        <w:tc>
          <w:tcPr>
            <w:tcW w:w="6491" w:type="dxa"/>
            <w:tcBorders>
              <w:top w:val="single" w:color="auto" w:sz="4" w:space="0"/>
              <w:left w:val="single" w:color="auto" w:sz="4" w:space="0"/>
              <w:bottom w:val="single" w:color="auto" w:sz="4" w:space="0"/>
              <w:right w:val="single" w:color="auto" w:sz="4" w:space="0"/>
            </w:tcBorders>
            <w:noWrap/>
            <w:vAlign w:val="center"/>
          </w:tcPr>
          <w:p w14:paraId="79ABFA0C">
            <w:pPr>
              <w:snapToGrid w:val="0"/>
              <w:spacing w:line="360" w:lineRule="atLeast"/>
              <w:jc w:val="left"/>
              <w:rPr>
                <w:rFonts w:ascii="宋体" w:hAnsi="宋体" w:cs="宋体"/>
                <w:color w:val="auto"/>
                <w:szCs w:val="21"/>
                <w:highlight w:val="none"/>
                <w:u w:val="singl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rPr>
              <w:t>交易系统比对的结果进行评审。</w:t>
            </w:r>
          </w:p>
        </w:tc>
        <w:tc>
          <w:tcPr>
            <w:tcW w:w="1158" w:type="dxa"/>
            <w:tcBorders>
              <w:top w:val="single" w:color="auto" w:sz="4" w:space="0"/>
              <w:left w:val="single" w:color="auto" w:sz="4" w:space="0"/>
              <w:bottom w:val="single" w:color="auto" w:sz="4" w:space="0"/>
              <w:right w:val="single" w:color="auto" w:sz="4" w:space="0"/>
            </w:tcBorders>
            <w:noWrap/>
            <w:vAlign w:val="center"/>
          </w:tcPr>
          <w:p w14:paraId="51CAEC7A">
            <w:pPr>
              <w:snapToGrid w:val="0"/>
              <w:spacing w:line="360" w:lineRule="atLeast"/>
              <w:jc w:val="center"/>
              <w:rPr>
                <w:rFonts w:ascii="宋体" w:hAnsi="宋体" w:cs="宋体"/>
                <w:color w:val="auto"/>
                <w:szCs w:val="21"/>
                <w:highlight w:val="none"/>
              </w:rPr>
            </w:pPr>
          </w:p>
        </w:tc>
      </w:tr>
    </w:tbl>
    <w:p w14:paraId="20756855">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469F3BF6">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6753A32">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2C9FE93">
      <w:pPr>
        <w:snapToGrid w:val="0"/>
        <w:spacing w:line="360" w:lineRule="auto"/>
        <w:ind w:firstLine="470" w:firstLineChars="224"/>
        <w:rPr>
          <w:rFonts w:ascii="宋体" w:hAnsi="宋体" w:cs="宋体"/>
          <w:color w:val="auto"/>
          <w:szCs w:val="21"/>
          <w:highlight w:val="none"/>
        </w:rPr>
      </w:pPr>
    </w:p>
    <w:p w14:paraId="701334E0">
      <w:pPr>
        <w:snapToGrid w:val="0"/>
        <w:spacing w:line="360" w:lineRule="auto"/>
        <w:ind w:firstLine="537" w:firstLineChars="224"/>
        <w:rPr>
          <w:rFonts w:ascii="宋体" w:hAnsi="宋体" w:cs="宋体"/>
          <w:color w:val="auto"/>
          <w:sz w:val="24"/>
          <w:szCs w:val="24"/>
          <w:highlight w:val="none"/>
        </w:rPr>
      </w:pPr>
    </w:p>
    <w:p w14:paraId="5215DF28">
      <w:pPr>
        <w:snapToGrid w:val="0"/>
        <w:spacing w:line="360" w:lineRule="auto"/>
        <w:rPr>
          <w:rFonts w:ascii="宋体" w:hAnsi="宋体" w:cs="宋体"/>
          <w:color w:val="auto"/>
          <w:sz w:val="24"/>
          <w:szCs w:val="24"/>
          <w:highlight w:val="none"/>
        </w:rPr>
        <w:sectPr>
          <w:endnotePr>
            <w:numFmt w:val="decimal"/>
          </w:endnotePr>
          <w:pgSz w:w="16838" w:h="11906" w:orient="landscape"/>
          <w:pgMar w:top="1134" w:right="1247" w:bottom="1134" w:left="1247" w:header="851" w:footer="907" w:gutter="0"/>
          <w:cols w:space="720" w:num="1"/>
          <w:titlePg/>
          <w:docGrid w:type="linesAndChars" w:linePitch="312" w:charSpace="0"/>
        </w:sectPr>
      </w:pPr>
    </w:p>
    <w:p w14:paraId="1F0F5767">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附表二</w:t>
      </w:r>
    </w:p>
    <w:p w14:paraId="0A2EA751">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649C27B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14:paraId="501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525EEE9">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vAlign w:val="center"/>
          </w:tcPr>
          <w:p w14:paraId="6A425BD2">
            <w:pPr>
              <w:adjustRightInd w:val="0"/>
              <w:snapToGrid w:val="0"/>
              <w:spacing w:line="360" w:lineRule="atLeast"/>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14:paraId="704D5EDE">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vAlign w:val="center"/>
          </w:tcPr>
          <w:p w14:paraId="55B26039">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458493FF">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625CB19">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743CAE13">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BA83DB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907930A">
            <w:pPr>
              <w:adjustRightInd w:val="0"/>
              <w:snapToGrid w:val="0"/>
              <w:spacing w:line="360" w:lineRule="atLeast"/>
              <w:rPr>
                <w:rFonts w:ascii="宋体" w:hAnsi="宋体" w:cs="宋体"/>
                <w:color w:val="auto"/>
                <w:szCs w:val="21"/>
                <w:highlight w:val="none"/>
              </w:rPr>
            </w:pPr>
          </w:p>
        </w:tc>
      </w:tr>
      <w:tr w14:paraId="275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B4F078F">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14:paraId="61E6AB48">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vAlign w:val="center"/>
          </w:tcPr>
          <w:p w14:paraId="52473AA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88C7DA7">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93E453B">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2E5AD5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D7A7922">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33834E0A">
            <w:pPr>
              <w:adjustRightInd w:val="0"/>
              <w:snapToGrid w:val="0"/>
              <w:spacing w:line="360" w:lineRule="atLeast"/>
              <w:rPr>
                <w:rFonts w:ascii="宋体" w:hAnsi="宋体" w:cs="宋体"/>
                <w:color w:val="auto"/>
                <w:szCs w:val="21"/>
                <w:highlight w:val="none"/>
              </w:rPr>
            </w:pPr>
          </w:p>
        </w:tc>
      </w:tr>
      <w:tr w14:paraId="3D94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7FD36CBC">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14:paraId="0F9C681F">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vAlign w:val="center"/>
          </w:tcPr>
          <w:p w14:paraId="080D2CE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EAC234A">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77B158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7A267806">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3DEF681">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301A111B">
            <w:pPr>
              <w:adjustRightInd w:val="0"/>
              <w:snapToGrid w:val="0"/>
              <w:spacing w:line="360" w:lineRule="atLeast"/>
              <w:rPr>
                <w:rFonts w:ascii="宋体" w:hAnsi="宋体" w:cs="宋体"/>
                <w:color w:val="auto"/>
                <w:szCs w:val="21"/>
                <w:highlight w:val="none"/>
              </w:rPr>
            </w:pPr>
          </w:p>
        </w:tc>
      </w:tr>
      <w:tr w14:paraId="053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AC97CEB">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14:paraId="1C6F521A">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725" w:type="dxa"/>
            <w:tcBorders>
              <w:top w:val="single" w:color="auto" w:sz="4" w:space="0"/>
              <w:left w:val="single" w:color="auto" w:sz="4" w:space="0"/>
              <w:bottom w:val="single" w:color="auto" w:sz="4" w:space="0"/>
              <w:right w:val="single" w:color="auto" w:sz="4" w:space="0"/>
            </w:tcBorders>
            <w:noWrap/>
            <w:vAlign w:val="center"/>
          </w:tcPr>
          <w:p w14:paraId="6B3790E3">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5D1C4C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0ED9B62">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09B1368">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19DA114">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1E98019">
            <w:pPr>
              <w:adjustRightInd w:val="0"/>
              <w:snapToGrid w:val="0"/>
              <w:spacing w:line="360" w:lineRule="atLeast"/>
              <w:rPr>
                <w:rFonts w:ascii="宋体" w:hAnsi="宋体" w:cs="宋体"/>
                <w:color w:val="auto"/>
                <w:szCs w:val="21"/>
                <w:highlight w:val="none"/>
              </w:rPr>
            </w:pPr>
          </w:p>
        </w:tc>
      </w:tr>
      <w:tr w14:paraId="4B5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4F546F02">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14:paraId="4BA71E6D">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vAlign w:val="center"/>
          </w:tcPr>
          <w:p w14:paraId="6CE0125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D23FC5F">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3822E2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DC200E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A0D6B81">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87765B7">
            <w:pPr>
              <w:adjustRightInd w:val="0"/>
              <w:snapToGrid w:val="0"/>
              <w:spacing w:line="360" w:lineRule="atLeast"/>
              <w:rPr>
                <w:rFonts w:ascii="宋体" w:hAnsi="宋体" w:cs="宋体"/>
                <w:color w:val="auto"/>
                <w:szCs w:val="21"/>
                <w:highlight w:val="none"/>
              </w:rPr>
            </w:pPr>
          </w:p>
        </w:tc>
      </w:tr>
      <w:tr w14:paraId="482D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6A25A426">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14:paraId="33B2393A">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vAlign w:val="center"/>
          </w:tcPr>
          <w:p w14:paraId="63D7A9CE">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F36BDB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472C343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F1DB92A">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F46120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75DD5CA6">
            <w:pPr>
              <w:adjustRightInd w:val="0"/>
              <w:snapToGrid w:val="0"/>
              <w:spacing w:line="360" w:lineRule="atLeast"/>
              <w:rPr>
                <w:rFonts w:ascii="宋体" w:hAnsi="宋体" w:cs="宋体"/>
                <w:color w:val="auto"/>
                <w:szCs w:val="21"/>
                <w:highlight w:val="none"/>
              </w:rPr>
            </w:pPr>
          </w:p>
        </w:tc>
      </w:tr>
      <w:tr w14:paraId="6AF6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32089961">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14:paraId="2C11406E">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或未提供《参与编制技术标投标文件人员名单》表中人员</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09</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在本公司缴纳社保的有效社保证明资料。</w:t>
            </w:r>
          </w:p>
        </w:tc>
        <w:tc>
          <w:tcPr>
            <w:tcW w:w="725" w:type="dxa"/>
            <w:tcBorders>
              <w:top w:val="single" w:color="auto" w:sz="4" w:space="0"/>
              <w:left w:val="single" w:color="auto" w:sz="4" w:space="0"/>
              <w:bottom w:val="single" w:color="auto" w:sz="4" w:space="0"/>
              <w:right w:val="single" w:color="auto" w:sz="4" w:space="0"/>
            </w:tcBorders>
            <w:noWrap/>
            <w:vAlign w:val="center"/>
          </w:tcPr>
          <w:p w14:paraId="008C9E4B">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8B09A8A">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29326EA">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02DB9FD">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A76063F">
            <w:pPr>
              <w:adjustRightInd w:val="0"/>
              <w:snapToGrid w:val="0"/>
              <w:spacing w:line="360" w:lineRule="atLeast"/>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290E8F0B">
            <w:pPr>
              <w:adjustRightInd w:val="0"/>
              <w:snapToGrid w:val="0"/>
              <w:spacing w:line="360" w:lineRule="atLeast"/>
              <w:rPr>
                <w:rFonts w:ascii="宋体" w:hAnsi="宋体" w:cs="宋体"/>
                <w:color w:val="auto"/>
                <w:szCs w:val="21"/>
                <w:highlight w:val="none"/>
                <w:shd w:val="pct10" w:color="auto" w:fill="FFFFFF"/>
              </w:rPr>
            </w:pPr>
          </w:p>
        </w:tc>
      </w:tr>
      <w:tr w14:paraId="61E9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BF39638">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14:paraId="2A2007A4">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vAlign w:val="center"/>
          </w:tcPr>
          <w:p w14:paraId="1F16B946">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5B0E43C">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75C23F2">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5D3713E">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29E15F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72B93A2">
            <w:pPr>
              <w:adjustRightInd w:val="0"/>
              <w:snapToGrid w:val="0"/>
              <w:spacing w:line="360" w:lineRule="atLeast"/>
              <w:rPr>
                <w:rFonts w:ascii="宋体" w:hAnsi="宋体" w:cs="宋体"/>
                <w:color w:val="auto"/>
                <w:szCs w:val="21"/>
                <w:highlight w:val="none"/>
              </w:rPr>
            </w:pPr>
          </w:p>
        </w:tc>
      </w:tr>
    </w:tbl>
    <w:p w14:paraId="5F246062">
      <w:pPr>
        <w:snapToGrid w:val="0"/>
        <w:spacing w:line="260" w:lineRule="atLeast"/>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2891F449">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7AF1F70">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5081CCA6">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2AEADB41">
      <w:pPr>
        <w:snapToGrid w:val="0"/>
        <w:spacing w:line="260" w:lineRule="atLeast"/>
        <w:ind w:firstLine="470" w:firstLineChars="224"/>
        <w:rPr>
          <w:rFonts w:ascii="宋体" w:hAnsi="宋体" w:cs="宋体"/>
          <w:color w:val="auto"/>
          <w:szCs w:val="21"/>
          <w:highlight w:val="none"/>
        </w:rPr>
      </w:pPr>
    </w:p>
    <w:p w14:paraId="69F1BD38">
      <w:pPr>
        <w:snapToGrid w:val="0"/>
        <w:spacing w:line="260" w:lineRule="atLeast"/>
        <w:rPr>
          <w:rFonts w:ascii="宋体" w:hAnsi="宋体" w:cs="宋体"/>
          <w:color w:val="auto"/>
          <w:szCs w:val="21"/>
          <w:highlight w:val="none"/>
        </w:rPr>
      </w:pPr>
      <w:r>
        <w:rPr>
          <w:rFonts w:hint="eastAsia" w:ascii="宋体" w:hAnsi="宋体" w:cs="宋体"/>
          <w:color w:val="auto"/>
          <w:szCs w:val="21"/>
          <w:highlight w:val="none"/>
        </w:rPr>
        <w:t>评委签名：</w:t>
      </w:r>
    </w:p>
    <w:p w14:paraId="65E70DF2">
      <w:pPr>
        <w:pStyle w:val="12"/>
        <w:snapToGrid w:val="0"/>
        <w:spacing w:line="360" w:lineRule="auto"/>
        <w:ind w:firstLine="0"/>
        <w:rPr>
          <w:rFonts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附表三</w:t>
      </w:r>
    </w:p>
    <w:p w14:paraId="2573B4F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3A42C6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848"/>
        <w:gridCol w:w="850"/>
        <w:gridCol w:w="624"/>
        <w:gridCol w:w="857"/>
        <w:gridCol w:w="857"/>
        <w:gridCol w:w="857"/>
        <w:gridCol w:w="858"/>
      </w:tblGrid>
      <w:tr w14:paraId="6ABC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B55A5F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序号</w:t>
            </w:r>
          </w:p>
        </w:tc>
        <w:tc>
          <w:tcPr>
            <w:tcW w:w="8848" w:type="dxa"/>
            <w:tcBorders>
              <w:top w:val="single" w:color="auto" w:sz="4" w:space="0"/>
              <w:left w:val="single" w:color="auto" w:sz="4" w:space="0"/>
              <w:bottom w:val="single" w:color="auto" w:sz="4" w:space="0"/>
              <w:right w:val="single" w:color="auto" w:sz="4" w:space="0"/>
              <w:tl2br w:val="single" w:color="auto" w:sz="4" w:space="0"/>
            </w:tcBorders>
            <w:noWrap/>
          </w:tcPr>
          <w:p w14:paraId="050FB210">
            <w:pPr>
              <w:snapToGrid w:val="0"/>
              <w:spacing w:line="320" w:lineRule="atLeast"/>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14:paraId="5C07C7A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评审内容</w:t>
            </w:r>
          </w:p>
        </w:tc>
        <w:tc>
          <w:tcPr>
            <w:tcW w:w="850" w:type="dxa"/>
            <w:tcBorders>
              <w:top w:val="single" w:color="auto" w:sz="4" w:space="0"/>
              <w:left w:val="single" w:color="auto" w:sz="4" w:space="0"/>
              <w:bottom w:val="single" w:color="auto" w:sz="4" w:space="0"/>
              <w:right w:val="single" w:color="auto" w:sz="4" w:space="0"/>
            </w:tcBorders>
            <w:noWrap/>
          </w:tcPr>
          <w:p w14:paraId="673FFE55">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8615AB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334368D">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EB2972B">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68F3B3B">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40E3353F">
            <w:pPr>
              <w:snapToGrid w:val="0"/>
              <w:spacing w:line="320" w:lineRule="atLeast"/>
              <w:rPr>
                <w:rFonts w:ascii="宋体" w:hAnsi="宋体" w:cs="宋体"/>
                <w:color w:val="auto"/>
                <w:szCs w:val="21"/>
                <w:highlight w:val="none"/>
              </w:rPr>
            </w:pPr>
          </w:p>
        </w:tc>
      </w:tr>
      <w:tr w14:paraId="26E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77862172">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1</w:t>
            </w:r>
          </w:p>
        </w:tc>
        <w:tc>
          <w:tcPr>
            <w:tcW w:w="8848" w:type="dxa"/>
            <w:tcBorders>
              <w:top w:val="single" w:color="auto" w:sz="4" w:space="0"/>
              <w:left w:val="single" w:color="auto" w:sz="4" w:space="0"/>
              <w:bottom w:val="single" w:color="auto" w:sz="4" w:space="0"/>
              <w:right w:val="single" w:color="auto" w:sz="4" w:space="0"/>
            </w:tcBorders>
            <w:noWrap/>
            <w:vAlign w:val="center"/>
          </w:tcPr>
          <w:p w14:paraId="3EB48FD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0" w:type="dxa"/>
            <w:tcBorders>
              <w:top w:val="single" w:color="auto" w:sz="4" w:space="0"/>
              <w:left w:val="single" w:color="auto" w:sz="4" w:space="0"/>
              <w:bottom w:val="single" w:color="auto" w:sz="4" w:space="0"/>
              <w:right w:val="single" w:color="auto" w:sz="4" w:space="0"/>
            </w:tcBorders>
            <w:noWrap/>
          </w:tcPr>
          <w:p w14:paraId="6858DC9D">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5907D91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C601A58">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BD2D73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543C93A">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04B64ED6">
            <w:pPr>
              <w:snapToGrid w:val="0"/>
              <w:spacing w:line="320" w:lineRule="atLeast"/>
              <w:rPr>
                <w:rFonts w:ascii="宋体" w:hAnsi="宋体" w:cs="宋体"/>
                <w:color w:val="auto"/>
                <w:szCs w:val="21"/>
                <w:highlight w:val="none"/>
              </w:rPr>
            </w:pPr>
          </w:p>
        </w:tc>
      </w:tr>
      <w:tr w14:paraId="3AF4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3B32AF0">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2</w:t>
            </w:r>
          </w:p>
        </w:tc>
        <w:tc>
          <w:tcPr>
            <w:tcW w:w="8848" w:type="dxa"/>
            <w:tcBorders>
              <w:top w:val="single" w:color="auto" w:sz="4" w:space="0"/>
              <w:left w:val="single" w:color="auto" w:sz="4" w:space="0"/>
              <w:bottom w:val="single" w:color="auto" w:sz="4" w:space="0"/>
              <w:right w:val="single" w:color="auto" w:sz="4" w:space="0"/>
            </w:tcBorders>
            <w:noWrap/>
            <w:vAlign w:val="center"/>
          </w:tcPr>
          <w:p w14:paraId="0EF3E880">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投标报价高于最高投标限价的</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lang w:val="en-US" w:eastAsia="zh-CN"/>
              </w:rPr>
              <w:t>投标报价单价高于招标控制价综</w:t>
            </w:r>
            <w:r>
              <w:rPr>
                <w:rFonts w:hint="eastAsia" w:ascii="宋体" w:hAnsi="宋体" w:cs="宋体"/>
                <w:b/>
                <w:bCs/>
                <w:color w:val="auto"/>
                <w:szCs w:val="21"/>
                <w:highlight w:val="none"/>
                <w:lang w:val="en-US" w:eastAsia="zh-CN"/>
              </w:rPr>
              <w:t>合单价</w:t>
            </w:r>
            <w:r>
              <w:rPr>
                <w:rFonts w:hint="eastAsia" w:ascii="宋体" w:hAnsi="宋体" w:cs="宋体"/>
                <w:b/>
                <w:bCs/>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tcPr>
          <w:p w14:paraId="50456E49">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36494D6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A4EBD22">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0B76EC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C3F60B4">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1F4514D">
            <w:pPr>
              <w:snapToGrid w:val="0"/>
              <w:spacing w:line="320" w:lineRule="atLeast"/>
              <w:rPr>
                <w:rFonts w:ascii="宋体" w:hAnsi="宋体" w:cs="宋体"/>
                <w:color w:val="auto"/>
                <w:szCs w:val="21"/>
                <w:highlight w:val="none"/>
              </w:rPr>
            </w:pPr>
          </w:p>
        </w:tc>
      </w:tr>
      <w:tr w14:paraId="61C5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1C2F469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3</w:t>
            </w:r>
          </w:p>
        </w:tc>
        <w:tc>
          <w:tcPr>
            <w:tcW w:w="8848" w:type="dxa"/>
            <w:tcBorders>
              <w:top w:val="single" w:color="auto" w:sz="4" w:space="0"/>
              <w:left w:val="single" w:color="auto" w:sz="4" w:space="0"/>
              <w:bottom w:val="single" w:color="auto" w:sz="4" w:space="0"/>
              <w:right w:val="single" w:color="auto" w:sz="4" w:space="0"/>
            </w:tcBorders>
            <w:noWrap/>
            <w:vAlign w:val="center"/>
          </w:tcPr>
          <w:p w14:paraId="2E8CE28C">
            <w:pPr>
              <w:autoSpaceDE w:val="0"/>
              <w:autoSpaceDN w:val="0"/>
              <w:adjustRightInd w:val="0"/>
              <w:snapToGrid w:val="0"/>
              <w:spacing w:line="320" w:lineRule="atLeast"/>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w:t>
            </w:r>
            <w:r>
              <w:rPr>
                <w:rFonts w:hint="eastAsia" w:ascii="宋体" w:hAnsi="宋体" w:cs="宋体"/>
                <w:color w:val="auto"/>
                <w:szCs w:val="21"/>
                <w:highlight w:val="none"/>
                <w:u w:val="single"/>
                <w:lang w:eastAsia="zh-CN"/>
              </w:rPr>
              <w:t>成本警示价</w:t>
            </w:r>
            <w:r>
              <w:rPr>
                <w:rFonts w:hint="eastAsia" w:ascii="宋体" w:hAnsi="宋体" w:cs="宋体"/>
                <w:color w:val="auto"/>
                <w:szCs w:val="21"/>
                <w:highlight w:val="none"/>
                <w:u w:val="single"/>
              </w:rPr>
              <w:t>，使得其投标报价可能低于其个别成本的，应当要求该投标人作出书面说明并提供相关证明材料。投标人不能合理说明或者不能提供相关证明材料的，由评标委员会认定该投标人以低于成本报价竞标）；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0" w:type="dxa"/>
            <w:tcBorders>
              <w:top w:val="single" w:color="auto" w:sz="4" w:space="0"/>
              <w:left w:val="single" w:color="auto" w:sz="4" w:space="0"/>
              <w:bottom w:val="single" w:color="auto" w:sz="4" w:space="0"/>
              <w:right w:val="single" w:color="auto" w:sz="4" w:space="0"/>
            </w:tcBorders>
            <w:noWrap/>
          </w:tcPr>
          <w:p w14:paraId="72A74B27">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124C527">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53AA48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0447D4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6EE185C">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432CD96B">
            <w:pPr>
              <w:snapToGrid w:val="0"/>
              <w:spacing w:line="320" w:lineRule="atLeast"/>
              <w:rPr>
                <w:rFonts w:ascii="宋体" w:hAnsi="宋体" w:cs="宋体"/>
                <w:color w:val="auto"/>
                <w:szCs w:val="21"/>
                <w:highlight w:val="none"/>
              </w:rPr>
            </w:pPr>
          </w:p>
        </w:tc>
      </w:tr>
      <w:tr w14:paraId="4C0C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2701CA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4</w:t>
            </w:r>
          </w:p>
        </w:tc>
        <w:tc>
          <w:tcPr>
            <w:tcW w:w="8848" w:type="dxa"/>
            <w:tcBorders>
              <w:top w:val="single" w:color="auto" w:sz="4" w:space="0"/>
              <w:left w:val="single" w:color="auto" w:sz="4" w:space="0"/>
              <w:bottom w:val="single" w:color="auto" w:sz="4" w:space="0"/>
              <w:right w:val="single" w:color="auto" w:sz="4" w:space="0"/>
            </w:tcBorders>
            <w:noWrap/>
            <w:vAlign w:val="center"/>
          </w:tcPr>
          <w:p w14:paraId="4DFCF63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0" w:type="dxa"/>
            <w:tcBorders>
              <w:top w:val="single" w:color="auto" w:sz="4" w:space="0"/>
              <w:left w:val="single" w:color="auto" w:sz="4" w:space="0"/>
              <w:bottom w:val="single" w:color="auto" w:sz="4" w:space="0"/>
              <w:right w:val="single" w:color="auto" w:sz="4" w:space="0"/>
            </w:tcBorders>
            <w:noWrap/>
          </w:tcPr>
          <w:p w14:paraId="2B398926">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28AEB870">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AB25569">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D1F037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406E992">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BCC893C">
            <w:pPr>
              <w:snapToGrid w:val="0"/>
              <w:spacing w:line="320" w:lineRule="atLeast"/>
              <w:rPr>
                <w:rFonts w:ascii="宋体" w:hAnsi="宋体" w:cs="宋体"/>
                <w:color w:val="auto"/>
                <w:szCs w:val="21"/>
                <w:highlight w:val="none"/>
              </w:rPr>
            </w:pPr>
          </w:p>
        </w:tc>
      </w:tr>
      <w:tr w14:paraId="1C76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A49899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5</w:t>
            </w:r>
          </w:p>
        </w:tc>
        <w:tc>
          <w:tcPr>
            <w:tcW w:w="8848" w:type="dxa"/>
            <w:tcBorders>
              <w:top w:val="single" w:color="auto" w:sz="4" w:space="0"/>
              <w:left w:val="single" w:color="auto" w:sz="4" w:space="0"/>
              <w:bottom w:val="single" w:color="auto" w:sz="4" w:space="0"/>
              <w:right w:val="single" w:color="auto" w:sz="4" w:space="0"/>
            </w:tcBorders>
            <w:noWrap/>
            <w:vAlign w:val="center"/>
          </w:tcPr>
          <w:p w14:paraId="41052194">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0" w:type="dxa"/>
            <w:tcBorders>
              <w:top w:val="single" w:color="auto" w:sz="4" w:space="0"/>
              <w:left w:val="single" w:color="auto" w:sz="4" w:space="0"/>
              <w:bottom w:val="single" w:color="auto" w:sz="4" w:space="0"/>
              <w:right w:val="single" w:color="auto" w:sz="4" w:space="0"/>
            </w:tcBorders>
            <w:noWrap/>
          </w:tcPr>
          <w:p w14:paraId="54BCBFC2">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51C7D77">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275134F">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E0725F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BFD322A">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1E44236D">
            <w:pPr>
              <w:snapToGrid w:val="0"/>
              <w:spacing w:line="320" w:lineRule="atLeast"/>
              <w:rPr>
                <w:rFonts w:ascii="宋体" w:hAnsi="宋体" w:cs="宋体"/>
                <w:color w:val="auto"/>
                <w:szCs w:val="21"/>
                <w:highlight w:val="none"/>
              </w:rPr>
            </w:pPr>
          </w:p>
        </w:tc>
      </w:tr>
      <w:tr w14:paraId="41F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5174C1A">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6</w:t>
            </w:r>
          </w:p>
        </w:tc>
        <w:tc>
          <w:tcPr>
            <w:tcW w:w="8848" w:type="dxa"/>
            <w:tcBorders>
              <w:top w:val="single" w:color="auto" w:sz="4" w:space="0"/>
              <w:left w:val="single" w:color="auto" w:sz="4" w:space="0"/>
              <w:bottom w:val="single" w:color="auto" w:sz="4" w:space="0"/>
              <w:right w:val="single" w:color="auto" w:sz="4" w:space="0"/>
            </w:tcBorders>
            <w:noWrap/>
            <w:vAlign w:val="center"/>
          </w:tcPr>
          <w:p w14:paraId="32BD66E2">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或未提供《参与编制经济标文件人员名单》表中人员</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09</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w:t>
            </w:r>
            <w:r>
              <w:rPr>
                <w:rFonts w:hint="eastAsia" w:ascii="宋体" w:hAnsi="宋体" w:eastAsia="宋体" w:cs="宋体"/>
                <w:color w:val="auto"/>
                <w:szCs w:val="21"/>
                <w:highlight w:val="none"/>
                <w:u w:val="single"/>
                <w:lang w:val="en-US" w:eastAsia="zh-CN"/>
              </w:rPr>
              <w:t>(委托编制投标文件报价的，在委托单位)</w:t>
            </w:r>
            <w:r>
              <w:rPr>
                <w:rFonts w:hint="eastAsia" w:ascii="宋体" w:hAnsi="宋体" w:cs="宋体"/>
                <w:color w:val="auto"/>
                <w:szCs w:val="21"/>
                <w:highlight w:val="none"/>
                <w:u w:val="single"/>
              </w:rPr>
              <w:t>缴纳社保的有效社保证明资料。</w:t>
            </w:r>
          </w:p>
        </w:tc>
        <w:tc>
          <w:tcPr>
            <w:tcW w:w="850" w:type="dxa"/>
            <w:tcBorders>
              <w:top w:val="single" w:color="auto" w:sz="4" w:space="0"/>
              <w:left w:val="single" w:color="auto" w:sz="4" w:space="0"/>
              <w:bottom w:val="single" w:color="auto" w:sz="4" w:space="0"/>
              <w:right w:val="single" w:color="auto" w:sz="4" w:space="0"/>
            </w:tcBorders>
            <w:noWrap/>
          </w:tcPr>
          <w:p w14:paraId="0513FBD3">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16BED38A">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80315B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2D2008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4C7F5D3">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B2143C8">
            <w:pPr>
              <w:snapToGrid w:val="0"/>
              <w:spacing w:line="320" w:lineRule="atLeast"/>
              <w:rPr>
                <w:rFonts w:ascii="宋体" w:hAnsi="宋体" w:cs="宋体"/>
                <w:color w:val="auto"/>
                <w:szCs w:val="21"/>
                <w:highlight w:val="none"/>
              </w:rPr>
            </w:pPr>
          </w:p>
        </w:tc>
      </w:tr>
      <w:tr w14:paraId="10F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2E5F7C7">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7</w:t>
            </w:r>
          </w:p>
        </w:tc>
        <w:tc>
          <w:tcPr>
            <w:tcW w:w="8848" w:type="dxa"/>
            <w:tcBorders>
              <w:top w:val="single" w:color="auto" w:sz="4" w:space="0"/>
              <w:left w:val="single" w:color="auto" w:sz="4" w:space="0"/>
              <w:bottom w:val="single" w:color="auto" w:sz="4" w:space="0"/>
              <w:right w:val="single" w:color="auto" w:sz="4" w:space="0"/>
            </w:tcBorders>
            <w:noWrap/>
            <w:vAlign w:val="center"/>
          </w:tcPr>
          <w:p w14:paraId="26CECCE3">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0" w:type="dxa"/>
            <w:tcBorders>
              <w:top w:val="single" w:color="auto" w:sz="4" w:space="0"/>
              <w:left w:val="single" w:color="auto" w:sz="4" w:space="0"/>
              <w:bottom w:val="single" w:color="auto" w:sz="4" w:space="0"/>
              <w:right w:val="single" w:color="auto" w:sz="4" w:space="0"/>
            </w:tcBorders>
            <w:noWrap/>
          </w:tcPr>
          <w:p w14:paraId="651F2D30">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649E641D">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FF53BD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54AC830">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6E1E93B">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587B68B">
            <w:pPr>
              <w:snapToGrid w:val="0"/>
              <w:spacing w:line="320" w:lineRule="atLeast"/>
              <w:rPr>
                <w:rFonts w:ascii="宋体" w:hAnsi="宋体" w:cs="宋体"/>
                <w:color w:val="auto"/>
                <w:szCs w:val="21"/>
                <w:highlight w:val="none"/>
              </w:rPr>
            </w:pPr>
          </w:p>
        </w:tc>
      </w:tr>
      <w:tr w14:paraId="3AFF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CF52CC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8</w:t>
            </w:r>
          </w:p>
        </w:tc>
        <w:tc>
          <w:tcPr>
            <w:tcW w:w="8848" w:type="dxa"/>
            <w:tcBorders>
              <w:top w:val="single" w:color="auto" w:sz="4" w:space="0"/>
              <w:left w:val="single" w:color="auto" w:sz="4" w:space="0"/>
              <w:bottom w:val="single" w:color="auto" w:sz="4" w:space="0"/>
              <w:right w:val="single" w:color="auto" w:sz="4" w:space="0"/>
            </w:tcBorders>
            <w:noWrap/>
            <w:vAlign w:val="center"/>
          </w:tcPr>
          <w:p w14:paraId="18A854F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0" w:type="dxa"/>
            <w:tcBorders>
              <w:top w:val="single" w:color="auto" w:sz="4" w:space="0"/>
              <w:left w:val="single" w:color="auto" w:sz="4" w:space="0"/>
              <w:bottom w:val="single" w:color="auto" w:sz="4" w:space="0"/>
              <w:right w:val="single" w:color="auto" w:sz="4" w:space="0"/>
            </w:tcBorders>
            <w:noWrap/>
          </w:tcPr>
          <w:p w14:paraId="0C4C7F8F">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B6938FB">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415070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7C792F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AAC69DF">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1FFB26F1">
            <w:pPr>
              <w:snapToGrid w:val="0"/>
              <w:spacing w:line="320" w:lineRule="atLeast"/>
              <w:rPr>
                <w:rFonts w:ascii="宋体" w:hAnsi="宋体" w:cs="宋体"/>
                <w:color w:val="auto"/>
                <w:szCs w:val="21"/>
                <w:highlight w:val="none"/>
              </w:rPr>
            </w:pPr>
          </w:p>
        </w:tc>
      </w:tr>
    </w:tbl>
    <w:p w14:paraId="55E5F8C4">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331D6CA4">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771BAA3E">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7E944A8A">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9346645">
      <w:pPr>
        <w:snapToGrid w:val="0"/>
        <w:spacing w:line="300" w:lineRule="atLeast"/>
        <w:rPr>
          <w:color w:val="auto"/>
          <w:highlight w:val="none"/>
        </w:rPr>
      </w:pPr>
      <w:r>
        <w:rPr>
          <w:rFonts w:hint="eastAsia" w:ascii="宋体" w:hAnsi="宋体" w:cs="宋体"/>
          <w:color w:val="auto"/>
          <w:szCs w:val="21"/>
          <w:highlight w:val="none"/>
        </w:rPr>
        <w:t>评委签名：</w:t>
      </w:r>
    </w:p>
    <w:p w14:paraId="749D31DE">
      <w:pPr>
        <w:snapToGrid w:val="0"/>
        <w:spacing w:line="360" w:lineRule="auto"/>
        <w:jc w:val="left"/>
        <w:rPr>
          <w:rFonts w:ascii="宋体" w:hAnsi="宋体" w:cs="宋体"/>
          <w:b/>
          <w:bCs/>
          <w:color w:val="auto"/>
          <w:sz w:val="24"/>
          <w:szCs w:val="24"/>
          <w:highlight w:val="none"/>
        </w:rPr>
        <w:sectPr>
          <w:footerReference r:id="rId10" w:type="default"/>
          <w:pgSz w:w="16840" w:h="11907" w:orient="landscape"/>
          <w:pgMar w:top="1247" w:right="1247" w:bottom="1247" w:left="1247" w:header="851" w:footer="992" w:gutter="0"/>
          <w:cols w:space="720" w:num="1"/>
          <w:docGrid w:type="lines" w:linePitch="312" w:charSpace="0"/>
        </w:sectPr>
      </w:pPr>
    </w:p>
    <w:p w14:paraId="4C1DF175">
      <w:pPr>
        <w:pStyle w:val="4"/>
        <w:tabs>
          <w:tab w:val="right" w:leader="dot" w:pos="9060"/>
        </w:tabs>
        <w:spacing w:line="360" w:lineRule="auto"/>
        <w:jc w:val="left"/>
        <w:rPr>
          <w:rFonts w:hint="eastAsia"/>
          <w:color w:val="auto"/>
          <w:highlight w:val="none"/>
        </w:rPr>
      </w:pPr>
      <w:bookmarkStart w:id="26" w:name="_Toc28089"/>
      <w:r>
        <w:rPr>
          <w:rFonts w:hint="eastAsia"/>
          <w:color w:val="auto"/>
          <w:highlight w:val="none"/>
        </w:rPr>
        <w:t>附表四</w:t>
      </w:r>
      <w:bookmarkEnd w:id="26"/>
    </w:p>
    <w:p w14:paraId="7290359A">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tbl>
      <w:tblPr>
        <w:tblStyle w:val="33"/>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9"/>
        <w:gridCol w:w="1196"/>
        <w:gridCol w:w="1198"/>
        <w:gridCol w:w="639"/>
        <w:gridCol w:w="10970"/>
      </w:tblGrid>
      <w:tr w14:paraId="3E39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jc w:val="center"/>
        </w:trPr>
        <w:tc>
          <w:tcPr>
            <w:tcW w:w="659" w:type="dxa"/>
            <w:shd w:val="clear" w:color="auto" w:fill="FFFFFF"/>
            <w:tcMar>
              <w:left w:w="108" w:type="dxa"/>
              <w:right w:w="108" w:type="dxa"/>
            </w:tcMar>
            <w:vAlign w:val="center"/>
          </w:tcPr>
          <w:p w14:paraId="73B69115">
            <w:pPr>
              <w:pStyle w:val="42"/>
              <w:spacing w:line="360" w:lineRule="auto"/>
              <w:jc w:val="center"/>
              <w:rPr>
                <w:rFonts w:hint="eastAsia" w:ascii="宋体" w:hAnsi="宋体" w:eastAsia="宋体" w:cs="宋体"/>
                <w:b/>
                <w:bCs/>
                <w:color w:val="auto"/>
                <w:sz w:val="21"/>
                <w:szCs w:val="21"/>
                <w:highlight w:val="none"/>
              </w:rPr>
            </w:pPr>
            <w:bookmarkStart w:id="27" w:name="_Hlk209769480"/>
            <w:r>
              <w:rPr>
                <w:rFonts w:hint="eastAsia" w:ascii="宋体" w:hAnsi="宋体" w:eastAsia="宋体" w:cs="宋体"/>
                <w:b/>
                <w:bCs/>
                <w:color w:val="auto"/>
                <w:sz w:val="21"/>
                <w:szCs w:val="21"/>
                <w:highlight w:val="none"/>
              </w:rPr>
              <w:t>序号</w:t>
            </w:r>
          </w:p>
        </w:tc>
        <w:tc>
          <w:tcPr>
            <w:tcW w:w="1196" w:type="dxa"/>
            <w:shd w:val="clear" w:color="auto" w:fill="FFFFFF"/>
            <w:tcMar>
              <w:left w:w="108" w:type="dxa"/>
              <w:right w:w="108" w:type="dxa"/>
            </w:tcMar>
            <w:vAlign w:val="center"/>
          </w:tcPr>
          <w:p w14:paraId="3DE8BD8D">
            <w:pPr>
              <w:pStyle w:val="4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1198" w:type="dxa"/>
            <w:shd w:val="clear" w:color="auto" w:fill="FFFFFF"/>
            <w:tcMar>
              <w:left w:w="108" w:type="dxa"/>
              <w:right w:w="108" w:type="dxa"/>
            </w:tcMar>
            <w:vAlign w:val="center"/>
          </w:tcPr>
          <w:p w14:paraId="24BCABDB">
            <w:pPr>
              <w:pStyle w:val="4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639" w:type="dxa"/>
            <w:shd w:val="clear" w:color="auto" w:fill="FFFFFF"/>
            <w:tcMar>
              <w:left w:w="108" w:type="dxa"/>
              <w:right w:w="108" w:type="dxa"/>
            </w:tcMar>
            <w:vAlign w:val="center"/>
          </w:tcPr>
          <w:p w14:paraId="7519BE08">
            <w:pPr>
              <w:pStyle w:val="4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0970" w:type="dxa"/>
            <w:shd w:val="clear" w:color="auto" w:fill="FFFFFF"/>
            <w:tcMar>
              <w:left w:w="108" w:type="dxa"/>
              <w:right w:w="108" w:type="dxa"/>
            </w:tcMar>
            <w:vAlign w:val="center"/>
          </w:tcPr>
          <w:p w14:paraId="779C3210">
            <w:pPr>
              <w:pStyle w:val="4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D1F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659" w:type="dxa"/>
            <w:vMerge w:val="restart"/>
            <w:shd w:val="clear" w:color="auto" w:fill="FFFFFF"/>
            <w:tcMar>
              <w:left w:w="108" w:type="dxa"/>
              <w:right w:w="108" w:type="dxa"/>
            </w:tcMar>
            <w:vAlign w:val="center"/>
          </w:tcPr>
          <w:p w14:paraId="3FB30E15">
            <w:pPr>
              <w:pStyle w:val="28"/>
              <w:widowControl/>
              <w:spacing w:before="0" w:beforeAutospacing="0" w:after="0" w:afterAutospacing="0"/>
              <w:jc w:val="center"/>
              <w:rPr>
                <w:rFonts w:hint="eastAsia" w:asciiTheme="minorEastAsia" w:hAnsiTheme="minorEastAsia" w:eastAsiaTheme="minorEastAsia" w:cstheme="minorEastAsia"/>
                <w:sz w:val="21"/>
                <w:szCs w:val="21"/>
              </w:rPr>
            </w:pPr>
            <w:r>
              <w:rPr>
                <w:rStyle w:val="36"/>
                <w:rFonts w:hint="eastAsia" w:asciiTheme="minorEastAsia" w:hAnsiTheme="minorEastAsia" w:eastAsiaTheme="minorEastAsia" w:cstheme="minorEastAsia"/>
                <w:b w:val="0"/>
                <w:sz w:val="21"/>
                <w:szCs w:val="21"/>
              </w:rPr>
              <w:t>一</w:t>
            </w:r>
          </w:p>
        </w:tc>
        <w:tc>
          <w:tcPr>
            <w:tcW w:w="1196" w:type="dxa"/>
            <w:vMerge w:val="restart"/>
            <w:shd w:val="clear" w:color="auto" w:fill="FFFFFF"/>
            <w:tcMar>
              <w:left w:w="108" w:type="dxa"/>
              <w:right w:w="108" w:type="dxa"/>
            </w:tcMar>
            <w:vAlign w:val="center"/>
          </w:tcPr>
          <w:p w14:paraId="53300FD9">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Style w:val="36"/>
                <w:rFonts w:hint="eastAsia" w:asciiTheme="minorEastAsia" w:hAnsiTheme="minorEastAsia" w:eastAsiaTheme="minorEastAsia" w:cstheme="minorEastAsia"/>
                <w:b w:val="0"/>
                <w:sz w:val="21"/>
                <w:szCs w:val="21"/>
                <w:highlight w:val="none"/>
              </w:rPr>
              <w:t>企业资信（30分）</w:t>
            </w:r>
          </w:p>
        </w:tc>
        <w:tc>
          <w:tcPr>
            <w:tcW w:w="1198" w:type="dxa"/>
            <w:shd w:val="clear" w:color="auto" w:fill="FFFFFF"/>
            <w:tcMar>
              <w:left w:w="108" w:type="dxa"/>
              <w:right w:w="108" w:type="dxa"/>
            </w:tcMar>
            <w:vAlign w:val="center"/>
          </w:tcPr>
          <w:p w14:paraId="75DCD7F6">
            <w:pPr>
              <w:pStyle w:val="28"/>
              <w:widowControl/>
              <w:spacing w:before="0" w:beforeAutospacing="0" w:after="0" w:afterAutospacing="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p>
        </w:tc>
        <w:tc>
          <w:tcPr>
            <w:tcW w:w="639" w:type="dxa"/>
            <w:shd w:val="clear" w:color="auto" w:fill="FFFFFF"/>
            <w:tcMar>
              <w:left w:w="108" w:type="dxa"/>
              <w:right w:w="108" w:type="dxa"/>
            </w:tcMar>
            <w:vAlign w:val="center"/>
          </w:tcPr>
          <w:p w14:paraId="3455FA4B">
            <w:pPr>
              <w:pStyle w:val="28"/>
              <w:widowControl/>
              <w:spacing w:before="0" w:beforeAutospacing="0" w:after="0" w:afterAutospacing="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c>
          <w:tcPr>
            <w:tcW w:w="10970" w:type="dxa"/>
            <w:shd w:val="clear" w:color="auto" w:fill="FFFFFF"/>
            <w:tcMar>
              <w:left w:w="108" w:type="dxa"/>
              <w:right w:w="108" w:type="dxa"/>
            </w:tcMar>
            <w:vAlign w:val="center"/>
          </w:tcPr>
          <w:p w14:paraId="616FE7E2">
            <w:pPr>
              <w:pStyle w:val="28"/>
              <w:widowControl/>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投标人自202</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年1月1日至投标截止时间止，完成过质量合格的类似工程业绩，每提供一项得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分。注：不符合上述条件的不得分，本项最高得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r>
      <w:tr w14:paraId="7FD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659" w:type="dxa"/>
            <w:vMerge w:val="continue"/>
            <w:shd w:val="clear" w:color="auto" w:fill="FFFFFF"/>
            <w:tcMar>
              <w:left w:w="108" w:type="dxa"/>
              <w:right w:w="108" w:type="dxa"/>
            </w:tcMar>
            <w:vAlign w:val="center"/>
          </w:tcPr>
          <w:p w14:paraId="66CB2EE5">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1BD2F5CA">
            <w:pPr>
              <w:rPr>
                <w:rFonts w:hint="eastAsia" w:asciiTheme="minorEastAsia" w:hAnsiTheme="minorEastAsia" w:eastAsiaTheme="minorEastAsia" w:cstheme="minorEastAsia"/>
                <w:highlight w:val="none"/>
              </w:rPr>
            </w:pPr>
          </w:p>
        </w:tc>
        <w:tc>
          <w:tcPr>
            <w:tcW w:w="1198" w:type="dxa"/>
            <w:shd w:val="clear" w:color="auto" w:fill="FFFFFF"/>
            <w:tcMar>
              <w:left w:w="108" w:type="dxa"/>
              <w:right w:w="108" w:type="dxa"/>
            </w:tcMar>
            <w:vAlign w:val="center"/>
          </w:tcPr>
          <w:p w14:paraId="072BFDC2">
            <w:pPr>
              <w:pStyle w:val="28"/>
              <w:widowControl/>
              <w:spacing w:before="0" w:beforeAutospacing="0" w:after="0" w:afterAutospacing="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企业工程研发能力</w:t>
            </w:r>
          </w:p>
        </w:tc>
        <w:tc>
          <w:tcPr>
            <w:tcW w:w="639" w:type="dxa"/>
            <w:shd w:val="clear" w:color="auto" w:fill="FFFFFF"/>
            <w:tcMar>
              <w:left w:w="108" w:type="dxa"/>
              <w:right w:w="108" w:type="dxa"/>
            </w:tcMar>
            <w:vAlign w:val="center"/>
          </w:tcPr>
          <w:p w14:paraId="3DB2B7DF">
            <w:pPr>
              <w:pStyle w:val="28"/>
              <w:widowControl/>
              <w:spacing w:before="0" w:beforeAutospacing="0" w:after="0" w:afterAutospacing="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w:t>
            </w:r>
          </w:p>
        </w:tc>
        <w:tc>
          <w:tcPr>
            <w:tcW w:w="10970" w:type="dxa"/>
            <w:shd w:val="clear" w:color="auto" w:fill="FFFFFF"/>
            <w:tcMar>
              <w:left w:w="108" w:type="dxa"/>
              <w:right w:w="108" w:type="dxa"/>
            </w:tcMar>
            <w:vAlign w:val="center"/>
          </w:tcPr>
          <w:p w14:paraId="02DF92D5">
            <w:pPr>
              <w:pStyle w:val="28"/>
              <w:widowControl/>
              <w:spacing w:before="0" w:beforeAutospacing="0" w:after="0" w:afterAutospacing="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rPr>
              <w:t>自202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年1月1日至今（近三年）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作为主要完成单位或独立完成单位获得省级或以上工法证书奖项，每项得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分；作为主要完成单位或独立完成单位获得</w:t>
            </w:r>
            <w:r>
              <w:rPr>
                <w:rFonts w:hint="eastAsia" w:asciiTheme="minorEastAsia" w:hAnsiTheme="minorEastAsia" w:eastAsiaTheme="minorEastAsia" w:cstheme="minorEastAsia"/>
                <w:sz w:val="21"/>
                <w:szCs w:val="21"/>
                <w:highlight w:val="none"/>
                <w:lang w:val="en-US" w:eastAsia="zh-CN"/>
              </w:rPr>
              <w:t>市</w:t>
            </w:r>
            <w:r>
              <w:rPr>
                <w:rFonts w:hint="eastAsia" w:asciiTheme="minorEastAsia" w:hAnsiTheme="minorEastAsia" w:eastAsiaTheme="minorEastAsia" w:cstheme="minorEastAsia"/>
                <w:sz w:val="21"/>
                <w:szCs w:val="21"/>
                <w:highlight w:val="none"/>
              </w:rPr>
              <w:t>级工法证书奖项，每项得</w:t>
            </w:r>
            <w:r>
              <w:rPr>
                <w:rFonts w:hint="eastAsia"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分；相同工法按最高级别奖项只计一次得分；</w:t>
            </w:r>
            <w:r>
              <w:rPr>
                <w:rFonts w:hint="eastAsia" w:asciiTheme="minorEastAsia" w:hAnsiTheme="minorEastAsia" w:eastAsiaTheme="minorEastAsia" w:cstheme="minorEastAsia"/>
                <w:sz w:val="21"/>
                <w:szCs w:val="21"/>
                <w:highlight w:val="none"/>
                <w:lang w:val="zh-TW"/>
              </w:rPr>
              <w:t>本小项最高得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TW"/>
              </w:rPr>
              <w:t>分</w:t>
            </w:r>
            <w:r>
              <w:rPr>
                <w:rFonts w:hint="eastAsia" w:asciiTheme="minorEastAsia" w:hAnsiTheme="minorEastAsia" w:eastAsiaTheme="minorEastAsia" w:cstheme="minorEastAsia"/>
                <w:sz w:val="21"/>
                <w:szCs w:val="21"/>
                <w:highlight w:val="none"/>
                <w:lang w:val="zh-TW" w:eastAsia="zh-CN"/>
              </w:rPr>
              <w:t>。</w:t>
            </w:r>
          </w:p>
          <w:p w14:paraId="2EDAFDED">
            <w:pPr>
              <w:pStyle w:val="28"/>
              <w:widowControl/>
              <w:spacing w:before="0" w:beforeAutospacing="0" w:after="0" w:afterAutospacing="0"/>
              <w:rPr>
                <w:rFonts w:hint="eastAsia" w:asciiTheme="minorEastAsia" w:hAnsiTheme="minorEastAsia" w:eastAsiaTheme="minorEastAsia" w:cstheme="minorEastAsia"/>
                <w:sz w:val="21"/>
                <w:szCs w:val="21"/>
                <w:highlight w:val="none"/>
                <w:lang w:val="zh-TW"/>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投标人自202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年1月1日至投标截止时间止</w:t>
            </w:r>
            <w:r>
              <w:rPr>
                <w:rFonts w:hint="eastAsia" w:asciiTheme="minorEastAsia" w:hAnsiTheme="minorEastAsia" w:eastAsiaTheme="minorEastAsia" w:cstheme="minorEastAsia"/>
                <w:sz w:val="21"/>
                <w:szCs w:val="21"/>
                <w:highlight w:val="none"/>
                <w:lang w:val="zh-TW"/>
              </w:rPr>
              <w:t>，获得过国家知识产权局颁发的工程建设类专利证书：</w:t>
            </w:r>
            <w:r>
              <w:rPr>
                <w:rFonts w:hint="eastAsia" w:asciiTheme="minorEastAsia" w:hAnsiTheme="minorEastAsia" w:eastAsiaTheme="minorEastAsia" w:cstheme="minorEastAsia"/>
                <w:sz w:val="21"/>
                <w:szCs w:val="21"/>
                <w:highlight w:val="none"/>
              </w:rPr>
              <w:t>每项得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zh-TW"/>
              </w:rPr>
              <w:t>本小项最高得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TW"/>
              </w:rPr>
              <w:t>分。</w:t>
            </w:r>
          </w:p>
          <w:p w14:paraId="444544C1">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投标人自 202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年1月1日至投标截止之日止，</w:t>
            </w:r>
            <w:bookmarkStart w:id="28" w:name="OLE_LINK2"/>
            <w:r>
              <w:rPr>
                <w:rFonts w:hint="eastAsia" w:asciiTheme="minorEastAsia" w:hAnsiTheme="minorEastAsia" w:eastAsiaTheme="minorEastAsia" w:cstheme="minorEastAsia"/>
                <w:sz w:val="21"/>
                <w:szCs w:val="21"/>
                <w:highlight w:val="none"/>
              </w:rPr>
              <w:t>投标人</w:t>
            </w:r>
            <w:bookmarkEnd w:id="28"/>
            <w:r>
              <w:rPr>
                <w:rFonts w:hint="eastAsia" w:asciiTheme="minorEastAsia" w:hAnsiTheme="minorEastAsia" w:eastAsiaTheme="minorEastAsia" w:cstheme="minorEastAsia"/>
                <w:sz w:val="21"/>
                <w:szCs w:val="21"/>
                <w:highlight w:val="none"/>
              </w:rPr>
              <w:t>获得过科学技术类奖项的：</w:t>
            </w:r>
          </w:p>
          <w:p w14:paraId="489761F1">
            <w:pPr>
              <w:pStyle w:val="28"/>
              <w:widowControl/>
              <w:spacing w:before="0" w:beforeAutospacing="0" w:after="0" w:afterAutospacing="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（1）省级证书</w:t>
            </w:r>
            <w:r>
              <w:rPr>
                <w:rFonts w:hint="eastAsia" w:asciiTheme="minorEastAsia" w:hAnsiTheme="minorEastAsia" w:eastAsiaTheme="minorEastAsia" w:cstheme="minorEastAsia"/>
                <w:sz w:val="21"/>
                <w:szCs w:val="21"/>
                <w:highlight w:val="none"/>
                <w:lang w:val="en-US" w:eastAsia="zh-CN"/>
              </w:rPr>
              <w:t>或以上</w:t>
            </w:r>
            <w:r>
              <w:rPr>
                <w:rFonts w:hint="eastAsia" w:asciiTheme="minorEastAsia" w:hAnsiTheme="minorEastAsia" w:eastAsiaTheme="minorEastAsia" w:cstheme="minorEastAsia"/>
                <w:sz w:val="21"/>
                <w:szCs w:val="21"/>
                <w:highlight w:val="none"/>
              </w:rPr>
              <w:t>，每个得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）市级证书，每个得</w:t>
            </w:r>
            <w:r>
              <w:rPr>
                <w:rFonts w:hint="eastAsia" w:asciiTheme="minorEastAsia" w:hAnsiTheme="minorEastAsia" w:eastAsiaTheme="minorEastAsia" w:cstheme="minorEastAsia"/>
                <w:sz w:val="21"/>
                <w:szCs w:val="21"/>
                <w:highlight w:val="none"/>
                <w:lang w:val="en-US" w:eastAsia="zh-CN"/>
              </w:rPr>
              <w:t>0.6</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zh-TW"/>
              </w:rPr>
              <w:t>本小项最高得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TW"/>
              </w:rPr>
              <w:t>分</w:t>
            </w:r>
            <w:r>
              <w:rPr>
                <w:rFonts w:hint="eastAsia" w:asciiTheme="minorEastAsia" w:hAnsiTheme="minorEastAsia" w:eastAsiaTheme="minorEastAsia" w:cstheme="minorEastAsia"/>
                <w:sz w:val="21"/>
                <w:szCs w:val="21"/>
                <w:highlight w:val="none"/>
                <w:lang w:val="zh-TW" w:eastAsia="zh-CN"/>
              </w:rPr>
              <w:t>。</w:t>
            </w:r>
          </w:p>
        </w:tc>
      </w:tr>
      <w:tr w14:paraId="7527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659" w:type="dxa"/>
            <w:vMerge w:val="continue"/>
            <w:shd w:val="clear" w:color="auto" w:fill="FFFFFF"/>
            <w:tcMar>
              <w:left w:w="108" w:type="dxa"/>
              <w:right w:w="108" w:type="dxa"/>
            </w:tcMar>
            <w:vAlign w:val="center"/>
          </w:tcPr>
          <w:p w14:paraId="7C89C676">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20E98E57">
            <w:pPr>
              <w:rPr>
                <w:rFonts w:hint="eastAsia" w:asciiTheme="minorEastAsia" w:hAnsiTheme="minorEastAsia" w:eastAsiaTheme="minorEastAsia" w:cstheme="minorEastAsia"/>
                <w:highlight w:val="none"/>
              </w:rPr>
            </w:pPr>
          </w:p>
        </w:tc>
        <w:tc>
          <w:tcPr>
            <w:tcW w:w="1198" w:type="dxa"/>
            <w:shd w:val="clear" w:color="auto" w:fill="FFFFFF"/>
            <w:tcMar>
              <w:left w:w="108" w:type="dxa"/>
              <w:right w:w="108" w:type="dxa"/>
            </w:tcMar>
            <w:vAlign w:val="center"/>
          </w:tcPr>
          <w:p w14:paraId="3B065268">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第三方评价</w:t>
            </w:r>
          </w:p>
        </w:tc>
        <w:tc>
          <w:tcPr>
            <w:tcW w:w="639" w:type="dxa"/>
            <w:shd w:val="clear" w:color="auto" w:fill="FFFFFF"/>
            <w:tcMar>
              <w:left w:w="108" w:type="dxa"/>
              <w:right w:w="108" w:type="dxa"/>
            </w:tcMar>
            <w:vAlign w:val="center"/>
          </w:tcPr>
          <w:p w14:paraId="7C943F76">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5715BB64">
            <w:pPr>
              <w:pStyle w:val="28"/>
              <w:widowControl/>
              <w:numPr>
                <w:ilvl w:val="0"/>
                <w:numId w:val="2"/>
              </w:numPr>
              <w:spacing w:before="0" w:beforeAutospacing="0" w:after="0" w:afterAutospacing="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投标人自2022年至今获得过税务机关评定的“A级纳税人”称号得3分；获得过税务机关评定的“B级纳税人”称号得2分；获得过税务机关评定的“M级纳税人”称号得1分。</w:t>
            </w:r>
            <w:r>
              <w:rPr>
                <w:rFonts w:hint="eastAsia" w:asciiTheme="minorEastAsia" w:hAnsiTheme="minorEastAsia" w:eastAsiaTheme="minorEastAsia" w:cstheme="minorEastAsia"/>
                <w:sz w:val="21"/>
                <w:szCs w:val="21"/>
                <w:highlight w:val="none"/>
                <w:lang w:val="zh-TW"/>
              </w:rPr>
              <w:t>本小项最高得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TW"/>
              </w:rPr>
              <w:t>分</w:t>
            </w:r>
            <w:r>
              <w:rPr>
                <w:rFonts w:hint="eastAsia" w:asciiTheme="minorEastAsia" w:hAnsiTheme="minorEastAsia" w:eastAsiaTheme="minorEastAsia" w:cstheme="minorEastAsia"/>
                <w:sz w:val="21"/>
                <w:szCs w:val="21"/>
                <w:highlight w:val="none"/>
                <w:lang w:val="zh-TW" w:eastAsia="zh-CN"/>
              </w:rPr>
              <w:t>。</w:t>
            </w:r>
          </w:p>
          <w:p w14:paraId="6460339F">
            <w:pPr>
              <w:pStyle w:val="28"/>
              <w:widowControl/>
              <w:numPr>
                <w:ilvl w:val="0"/>
                <w:numId w:val="2"/>
              </w:numPr>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投标人同时具备质量管理体系认证证书、职业健康安全管理体系认证证书、环境管理体系认证证书，得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分；投标人具有其中的2项，得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分；投标人具有其中的</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项，得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zh-TW"/>
              </w:rPr>
              <w:t>本小项最高得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TW"/>
              </w:rPr>
              <w:t>分</w:t>
            </w:r>
            <w:r>
              <w:rPr>
                <w:rFonts w:hint="eastAsia" w:asciiTheme="minorEastAsia" w:hAnsiTheme="minorEastAsia" w:eastAsiaTheme="minorEastAsia" w:cstheme="minorEastAsia"/>
                <w:sz w:val="21"/>
                <w:szCs w:val="21"/>
                <w:highlight w:val="none"/>
                <w:lang w:val="zh-TW" w:eastAsia="zh-CN"/>
              </w:rPr>
              <w:t>。</w:t>
            </w:r>
          </w:p>
        </w:tc>
      </w:tr>
      <w:tr w14:paraId="423F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restart"/>
            <w:shd w:val="clear" w:color="auto" w:fill="FFFFFF"/>
            <w:tcMar>
              <w:left w:w="108" w:type="dxa"/>
              <w:right w:w="108" w:type="dxa"/>
            </w:tcMar>
            <w:vAlign w:val="center"/>
          </w:tcPr>
          <w:p w14:paraId="0D762DA8">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w:t>
            </w:r>
          </w:p>
        </w:tc>
        <w:tc>
          <w:tcPr>
            <w:tcW w:w="1196" w:type="dxa"/>
            <w:vMerge w:val="restart"/>
            <w:shd w:val="clear" w:color="auto" w:fill="FFFFFF"/>
            <w:tcMar>
              <w:left w:w="108" w:type="dxa"/>
              <w:right w:w="108" w:type="dxa"/>
            </w:tcMar>
            <w:vAlign w:val="center"/>
          </w:tcPr>
          <w:p w14:paraId="09C22C79">
            <w:pPr>
              <w:pStyle w:val="28"/>
              <w:widowControl/>
              <w:spacing w:before="0" w:beforeAutospacing="0" w:after="0" w:afterAutospacing="0"/>
              <w:jc w:val="center"/>
              <w:rPr>
                <w:rFonts w:hint="eastAsia" w:asciiTheme="minorEastAsia" w:hAnsiTheme="minorEastAsia" w:eastAsiaTheme="minorEastAsia" w:cstheme="minorEastAsia"/>
                <w:highlight w:val="none"/>
              </w:rPr>
            </w:pPr>
            <w:r>
              <w:rPr>
                <w:rStyle w:val="36"/>
                <w:rFonts w:hint="eastAsia" w:asciiTheme="minorEastAsia" w:hAnsiTheme="minorEastAsia" w:eastAsiaTheme="minorEastAsia" w:cstheme="minorEastAsia"/>
                <w:b w:val="0"/>
                <w:bCs/>
                <w:sz w:val="21"/>
                <w:szCs w:val="21"/>
                <w:highlight w:val="none"/>
              </w:rPr>
              <w:t>项目管理机构能力（</w:t>
            </w:r>
            <w:r>
              <w:rPr>
                <w:rStyle w:val="36"/>
                <w:rFonts w:hint="eastAsia" w:asciiTheme="minorEastAsia" w:hAnsiTheme="minorEastAsia" w:eastAsiaTheme="minorEastAsia" w:cstheme="minorEastAsia"/>
                <w:b w:val="0"/>
                <w:bCs/>
                <w:sz w:val="21"/>
                <w:szCs w:val="21"/>
                <w:highlight w:val="none"/>
                <w:lang w:val="en-US" w:eastAsia="zh-CN"/>
              </w:rPr>
              <w:t>50</w:t>
            </w:r>
            <w:r>
              <w:rPr>
                <w:rStyle w:val="36"/>
                <w:rFonts w:hint="eastAsia" w:asciiTheme="minorEastAsia" w:hAnsiTheme="minorEastAsia" w:eastAsiaTheme="minorEastAsia" w:cstheme="minorEastAsia"/>
                <w:b w:val="0"/>
                <w:bCs/>
                <w:sz w:val="21"/>
                <w:szCs w:val="21"/>
                <w:highlight w:val="none"/>
              </w:rPr>
              <w:t>分）</w:t>
            </w:r>
          </w:p>
        </w:tc>
        <w:tc>
          <w:tcPr>
            <w:tcW w:w="1198" w:type="dxa"/>
            <w:shd w:val="clear" w:color="auto" w:fill="FFFFFF"/>
            <w:tcMar>
              <w:left w:w="108" w:type="dxa"/>
              <w:right w:w="108" w:type="dxa"/>
            </w:tcMar>
            <w:vAlign w:val="center"/>
          </w:tcPr>
          <w:p w14:paraId="7930D866">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项目负责人</w:t>
            </w:r>
          </w:p>
        </w:tc>
        <w:tc>
          <w:tcPr>
            <w:tcW w:w="639" w:type="dxa"/>
            <w:shd w:val="clear" w:color="auto" w:fill="FFFFFF"/>
            <w:tcMar>
              <w:left w:w="108" w:type="dxa"/>
              <w:right w:w="108" w:type="dxa"/>
            </w:tcMar>
            <w:vAlign w:val="center"/>
          </w:tcPr>
          <w:p w14:paraId="61EAB4F8">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091B4AE8">
            <w:pPr>
              <w:pStyle w:val="28"/>
              <w:widowControl/>
              <w:numPr>
                <w:ilvl w:val="0"/>
                <w:numId w:val="0"/>
              </w:numPr>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lang w:val="en-US" w:eastAsia="zh-CN" w:bidi="ar-SA"/>
              </w:rPr>
              <w:t>1、</w:t>
            </w:r>
            <w:r>
              <w:rPr>
                <w:rFonts w:hint="eastAsia" w:asciiTheme="minorEastAsia" w:hAnsiTheme="minorEastAsia" w:eastAsiaTheme="minorEastAsia" w:cstheme="minorEastAsia"/>
                <w:color w:val="auto"/>
                <w:sz w:val="21"/>
                <w:szCs w:val="21"/>
                <w:highlight w:val="none"/>
              </w:rPr>
              <w:t>具有建筑工程类相关专业</w:t>
            </w:r>
            <w:r>
              <w:rPr>
                <w:rFonts w:hint="eastAsia" w:asciiTheme="minorEastAsia" w:hAnsiTheme="minorEastAsia" w:eastAsiaTheme="minorEastAsia" w:cstheme="minorEastAsia"/>
                <w:color w:val="auto"/>
                <w:sz w:val="21"/>
                <w:szCs w:val="21"/>
                <w:highlight w:val="none"/>
                <w:lang w:val="en-US" w:eastAsia="zh-CN"/>
              </w:rPr>
              <w:t>高</w:t>
            </w:r>
            <w:r>
              <w:rPr>
                <w:rFonts w:hint="eastAsia" w:asciiTheme="minorEastAsia" w:hAnsiTheme="minorEastAsia" w:eastAsiaTheme="minorEastAsia" w:cstheme="minorEastAsia"/>
                <w:color w:val="auto"/>
                <w:sz w:val="21"/>
                <w:szCs w:val="21"/>
                <w:highlight w:val="none"/>
              </w:rPr>
              <w:t>级工程师（或以上）职称的，得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分；具有建筑工程类相关专业</w:t>
            </w:r>
            <w:r>
              <w:rPr>
                <w:rFonts w:hint="eastAsia" w:asciiTheme="minorEastAsia" w:hAnsiTheme="minorEastAsia" w:eastAsiaTheme="minorEastAsia" w:cstheme="minorEastAsia"/>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级工程师（或以上）职称的，得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22881A09">
            <w:pPr>
              <w:pStyle w:val="28"/>
              <w:widowControl/>
              <w:numPr>
                <w:ilvl w:val="0"/>
                <w:numId w:val="0"/>
              </w:numPr>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2、具有10年（含有10年）或以上工作经验的，得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分；有10年（不含有10年）以下的工作经验的，得2分； </w:t>
            </w:r>
          </w:p>
          <w:p w14:paraId="392E1ADE">
            <w:pPr>
              <w:pStyle w:val="28"/>
              <w:widowControl/>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3、2020年1月1日至投标截止日期止，</w:t>
            </w:r>
            <w:r>
              <w:rPr>
                <w:rFonts w:hint="eastAsia" w:asciiTheme="minorEastAsia" w:hAnsiTheme="minorEastAsia" w:eastAsiaTheme="minorEastAsia" w:cstheme="minorEastAsia"/>
                <w:color w:val="auto"/>
                <w:sz w:val="21"/>
                <w:szCs w:val="21"/>
                <w:highlight w:val="none"/>
                <w:lang w:val="en-US" w:eastAsia="zh-CN"/>
              </w:rPr>
              <w:t>担任项目负责人</w:t>
            </w:r>
            <w:r>
              <w:rPr>
                <w:rFonts w:hint="eastAsia" w:asciiTheme="minorEastAsia" w:hAnsiTheme="minorEastAsia" w:eastAsiaTheme="minorEastAsia" w:cstheme="minorEastAsia"/>
                <w:color w:val="auto"/>
                <w:sz w:val="21"/>
                <w:szCs w:val="21"/>
                <w:highlight w:val="none"/>
              </w:rPr>
              <w:t>完成过一项施工合同金额为2亿及以上房屋建筑施工业绩</w:t>
            </w:r>
            <w:r>
              <w:rPr>
                <w:rFonts w:hint="eastAsia" w:asciiTheme="minorEastAsia" w:hAnsiTheme="minorEastAsia" w:eastAsiaTheme="minorEastAsia" w:cstheme="minorEastAsia"/>
                <w:color w:val="auto"/>
                <w:sz w:val="21"/>
                <w:szCs w:val="21"/>
                <w:highlight w:val="none"/>
                <w:lang w:val="zh-CN"/>
              </w:rPr>
              <w:t>的</w:t>
            </w:r>
            <w:r>
              <w:rPr>
                <w:rFonts w:hint="eastAsia" w:asciiTheme="minorEastAsia" w:hAnsiTheme="minorEastAsia" w:eastAsiaTheme="minorEastAsia" w:cstheme="minorEastAsia"/>
                <w:color w:val="auto"/>
                <w:sz w:val="21"/>
                <w:szCs w:val="21"/>
                <w:highlight w:val="none"/>
              </w:rPr>
              <w:t>，得5分；完成过一项施工合同金额为1亿（含有1亿）-2亿房屋建筑施工业绩</w:t>
            </w:r>
            <w:r>
              <w:rPr>
                <w:rFonts w:hint="eastAsia" w:asciiTheme="minorEastAsia" w:hAnsiTheme="minorEastAsia" w:eastAsiaTheme="minorEastAsia" w:cstheme="minorEastAsia"/>
                <w:color w:val="auto"/>
                <w:sz w:val="21"/>
                <w:szCs w:val="21"/>
                <w:highlight w:val="none"/>
                <w:lang w:val="zh-CN"/>
              </w:rPr>
              <w:t>的</w:t>
            </w:r>
            <w:r>
              <w:rPr>
                <w:rFonts w:hint="eastAsia" w:asciiTheme="minorEastAsia" w:hAnsiTheme="minorEastAsia" w:eastAsiaTheme="minorEastAsia" w:cstheme="minorEastAsia"/>
                <w:color w:val="auto"/>
                <w:sz w:val="21"/>
                <w:szCs w:val="21"/>
                <w:highlight w:val="none"/>
              </w:rPr>
              <w:t>，得3分；完成过一项施工合同金额为1亿（不含有1亿）以下的不得分。最多得5分。</w:t>
            </w:r>
          </w:p>
          <w:p w14:paraId="15E1BCFE">
            <w:pPr>
              <w:pStyle w:val="28"/>
              <w:widowControl/>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不满足上述情况的不得分，本项最高得1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r>
      <w:tr w14:paraId="0E2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2B9751D2">
            <w:pPr>
              <w:rPr>
                <w:rFonts w:hint="eastAsia" w:asciiTheme="minorEastAsia" w:hAnsiTheme="minorEastAsia" w:eastAsiaTheme="minorEastAsia" w:cstheme="minorEastAsia"/>
                <w:highlight w:val="none"/>
              </w:rPr>
            </w:pPr>
          </w:p>
        </w:tc>
        <w:tc>
          <w:tcPr>
            <w:tcW w:w="1196" w:type="dxa"/>
            <w:vMerge w:val="continue"/>
            <w:shd w:val="clear" w:color="auto" w:fill="FFFFFF"/>
            <w:tcMar>
              <w:left w:w="108" w:type="dxa"/>
              <w:right w:w="108" w:type="dxa"/>
            </w:tcMar>
            <w:vAlign w:val="center"/>
          </w:tcPr>
          <w:p w14:paraId="672AB144">
            <w:pPr>
              <w:rPr>
                <w:rFonts w:hint="eastAsia" w:asciiTheme="minorEastAsia" w:hAnsiTheme="minorEastAsia" w:eastAsiaTheme="minorEastAsia" w:cstheme="minorEastAsia"/>
                <w:highlight w:val="none"/>
              </w:rPr>
            </w:pPr>
          </w:p>
        </w:tc>
        <w:tc>
          <w:tcPr>
            <w:tcW w:w="1198" w:type="dxa"/>
            <w:shd w:val="clear" w:color="auto" w:fill="FFFFFF"/>
            <w:tcMar>
              <w:left w:w="108" w:type="dxa"/>
              <w:right w:w="108" w:type="dxa"/>
            </w:tcMar>
            <w:vAlign w:val="center"/>
          </w:tcPr>
          <w:p w14:paraId="6BDF5E95">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639" w:type="dxa"/>
            <w:shd w:val="clear" w:color="auto" w:fill="FFFFFF"/>
            <w:tcMar>
              <w:left w:w="108" w:type="dxa"/>
              <w:right w:w="108" w:type="dxa"/>
            </w:tcMar>
            <w:vAlign w:val="center"/>
          </w:tcPr>
          <w:p w14:paraId="733C7502">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20D541A0">
            <w:pPr>
              <w:pStyle w:val="28"/>
              <w:widowControl/>
              <w:numPr>
                <w:ilvl w:val="0"/>
                <w:numId w:val="0"/>
              </w:numPr>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lang w:val="en-US" w:eastAsia="zh-CN" w:bidi="ar-SA"/>
              </w:rPr>
              <w:t>1、</w:t>
            </w:r>
            <w:r>
              <w:rPr>
                <w:rFonts w:hint="eastAsia" w:asciiTheme="minorEastAsia" w:hAnsiTheme="minorEastAsia" w:eastAsiaTheme="minorEastAsia" w:cstheme="minorEastAsia"/>
                <w:color w:val="auto"/>
                <w:sz w:val="21"/>
                <w:szCs w:val="21"/>
                <w:highlight w:val="none"/>
              </w:rPr>
              <w:t>具有有效期内的一级注册建造师证书，得5分；具有有效期内的二级注册建造师证书，得3分。</w:t>
            </w:r>
          </w:p>
          <w:p w14:paraId="79693D16">
            <w:pPr>
              <w:pStyle w:val="28"/>
              <w:widowControl/>
              <w:spacing w:before="0" w:beforeAutospacing="0" w:after="0" w:afterAutospacing="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、具有10年（含有10年）或以上工作经验的，得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分；有10年（不含有10年）以下的工作经验的，得2分； </w:t>
            </w:r>
          </w:p>
          <w:p w14:paraId="791F77C2">
            <w:pPr>
              <w:pStyle w:val="12"/>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不满足上述情况的不得分，本项最高得</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分。</w:t>
            </w:r>
          </w:p>
        </w:tc>
      </w:tr>
      <w:tr w14:paraId="4ABF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4174E727">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3CD4961D">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428FB34C">
            <w:pPr>
              <w:pStyle w:val="28"/>
              <w:widowControl/>
              <w:spacing w:before="0" w:beforeAutospacing="0" w:after="0" w:afterAutospacing="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质量负责人</w:t>
            </w:r>
          </w:p>
        </w:tc>
        <w:tc>
          <w:tcPr>
            <w:tcW w:w="639" w:type="dxa"/>
            <w:shd w:val="clear" w:color="auto" w:fill="FFFFFF"/>
            <w:tcMar>
              <w:left w:w="108" w:type="dxa"/>
              <w:right w:w="108" w:type="dxa"/>
            </w:tcMar>
            <w:vAlign w:val="center"/>
          </w:tcPr>
          <w:p w14:paraId="1DDE3F81">
            <w:pPr>
              <w:pStyle w:val="28"/>
              <w:widowControl/>
              <w:spacing w:before="0" w:beforeAutospacing="0" w:after="0" w:afterAutospacing="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分</w:t>
            </w:r>
          </w:p>
        </w:tc>
        <w:tc>
          <w:tcPr>
            <w:tcW w:w="10970" w:type="dxa"/>
            <w:shd w:val="clear" w:color="auto" w:fill="FFFFFF"/>
            <w:tcMar>
              <w:left w:w="108" w:type="dxa"/>
              <w:right w:w="108" w:type="dxa"/>
            </w:tcMar>
            <w:vAlign w:val="center"/>
          </w:tcPr>
          <w:p w14:paraId="3FB161F5">
            <w:pPr>
              <w:pStyle w:val="28"/>
              <w:widowControl/>
              <w:numPr>
                <w:ilvl w:val="0"/>
                <w:numId w:val="0"/>
              </w:numPr>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1、具有建筑工程类相关专业的</w:t>
            </w:r>
            <w:r>
              <w:rPr>
                <w:rFonts w:hint="eastAsia" w:asciiTheme="minorEastAsia" w:hAnsiTheme="minorEastAsia" w:eastAsiaTheme="minorEastAsia" w:cstheme="minorEastAsia"/>
                <w:sz w:val="21"/>
                <w:szCs w:val="21"/>
                <w:lang w:val="en-US" w:eastAsia="zh-CN"/>
              </w:rPr>
              <w:t>高</w:t>
            </w:r>
            <w:r>
              <w:rPr>
                <w:rFonts w:hint="eastAsia" w:asciiTheme="minorEastAsia" w:hAnsiTheme="minorEastAsia" w:eastAsiaTheme="minorEastAsia" w:cstheme="minorEastAsia"/>
                <w:sz w:val="21"/>
                <w:szCs w:val="21"/>
              </w:rPr>
              <w:t>级工程师（或以上）职称，得5分</w:t>
            </w:r>
            <w:r>
              <w:rPr>
                <w:rFonts w:hint="eastAsia" w:asciiTheme="minorEastAsia" w:hAnsiTheme="minorEastAsia" w:eastAsiaTheme="minorEastAsia" w:cstheme="minorEastAsia"/>
                <w:color w:val="auto"/>
                <w:sz w:val="21"/>
                <w:szCs w:val="21"/>
                <w:highlight w:val="none"/>
              </w:rPr>
              <w:t>；具有建筑工程类相关专业</w:t>
            </w:r>
            <w:r>
              <w:rPr>
                <w:rFonts w:hint="eastAsia" w:asciiTheme="minorEastAsia" w:hAnsiTheme="minorEastAsia" w:eastAsiaTheme="minorEastAsia" w:cstheme="minorEastAsia"/>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级工程师（或以上）职称的，得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6A1C3A08">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年（含有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年）或以上工作经验的，得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年（不含有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年）以下的工作经验的，得2分。</w:t>
            </w:r>
          </w:p>
          <w:p w14:paraId="0BCA21AB">
            <w:pPr>
              <w:pStyle w:val="12"/>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不满足上述情况的不得分，本项最高得</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14:paraId="039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3B78F189">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29D6ED7C">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35618A49">
            <w:pPr>
              <w:pStyle w:val="28"/>
              <w:widowControl/>
              <w:spacing w:before="0" w:beforeAutospacing="0" w:after="0" w:afterAutospacing="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安全负责人</w:t>
            </w:r>
          </w:p>
        </w:tc>
        <w:tc>
          <w:tcPr>
            <w:tcW w:w="639" w:type="dxa"/>
            <w:shd w:val="clear" w:color="auto" w:fill="FFFFFF"/>
            <w:tcMar>
              <w:left w:w="108" w:type="dxa"/>
              <w:right w:w="108" w:type="dxa"/>
            </w:tcMar>
            <w:vAlign w:val="center"/>
          </w:tcPr>
          <w:p w14:paraId="7A02DCFF">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69905B52">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1、具有有效期内的建筑施工安全专业注册安全工程师注册证书（注册类别:建筑施工安全），得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p w14:paraId="7C0CD41A">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在有效期内的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14:paraId="3042AB0C">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3、具有8年（含有8年）或以上工作经验的，得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分；8年（不含有8年）以下的工作经验的，得2分。</w:t>
            </w:r>
          </w:p>
          <w:p w14:paraId="2297A2AD">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不满足上述情况的不得分，本项最高得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r>
      <w:tr w14:paraId="1ECB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08F8B4CF">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483D2883">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6D481615">
            <w:pPr>
              <w:pStyle w:val="28"/>
              <w:widowControl/>
              <w:spacing w:before="0" w:beforeAutospacing="0" w:after="0" w:afterAutospacing="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造价负责人</w:t>
            </w:r>
          </w:p>
        </w:tc>
        <w:tc>
          <w:tcPr>
            <w:tcW w:w="639" w:type="dxa"/>
            <w:shd w:val="clear" w:color="auto" w:fill="FFFFFF"/>
            <w:tcMar>
              <w:left w:w="108" w:type="dxa"/>
              <w:right w:w="108" w:type="dxa"/>
            </w:tcMar>
            <w:vAlign w:val="center"/>
          </w:tcPr>
          <w:p w14:paraId="0184246F">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78D10A1F">
            <w:pPr>
              <w:pStyle w:val="28"/>
              <w:widowControl/>
              <w:numPr>
                <w:ilvl w:val="0"/>
                <w:numId w:val="0"/>
              </w:numPr>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sz w:val="21"/>
                <w:szCs w:val="21"/>
                <w:highlight w:val="none"/>
              </w:rPr>
              <w:t>具有有效期内的一级注册造价工程师注册证书，得5分；</w:t>
            </w:r>
          </w:p>
          <w:p w14:paraId="2E6F8235">
            <w:pPr>
              <w:pStyle w:val="28"/>
              <w:widowControl/>
              <w:numPr>
                <w:ilvl w:val="0"/>
                <w:numId w:val="0"/>
              </w:numPr>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、具有8年（含有8年）或以上工作经验的，得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分；8年（不含有8年）以下的工作经验的，得2分；</w:t>
            </w:r>
          </w:p>
          <w:p w14:paraId="066A53E2">
            <w:pPr>
              <w:pStyle w:val="28"/>
              <w:widowControl/>
              <w:spacing w:before="0" w:beforeAutospacing="0" w:after="0" w:afterAutospacing="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不满足上述情况的不得分，本项最高得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r>
      <w:tr w14:paraId="34F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restart"/>
            <w:shd w:val="clear" w:color="auto" w:fill="FFFFFF"/>
            <w:tcMar>
              <w:left w:w="108" w:type="dxa"/>
              <w:right w:w="108" w:type="dxa"/>
            </w:tcMar>
            <w:vAlign w:val="center"/>
          </w:tcPr>
          <w:p w14:paraId="275FBCED">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w:t>
            </w:r>
          </w:p>
        </w:tc>
        <w:tc>
          <w:tcPr>
            <w:tcW w:w="1196" w:type="dxa"/>
            <w:vMerge w:val="restart"/>
            <w:shd w:val="clear" w:color="auto" w:fill="FFFFFF"/>
            <w:tcMar>
              <w:left w:w="108" w:type="dxa"/>
              <w:right w:w="108" w:type="dxa"/>
            </w:tcMar>
            <w:vAlign w:val="center"/>
          </w:tcPr>
          <w:p w14:paraId="748D10F2">
            <w:pPr>
              <w:pStyle w:val="28"/>
              <w:widowControl/>
              <w:spacing w:before="0" w:beforeAutospacing="0" w:after="0" w:afterAutospacing="0"/>
              <w:jc w:val="center"/>
              <w:rPr>
                <w:rFonts w:hint="eastAsia" w:asciiTheme="minorEastAsia" w:hAnsiTheme="minorEastAsia" w:eastAsiaTheme="minorEastAsia" w:cstheme="minorEastAsia"/>
              </w:rPr>
            </w:pPr>
            <w:r>
              <w:rPr>
                <w:rStyle w:val="36"/>
                <w:rFonts w:hint="eastAsia" w:asciiTheme="minorEastAsia" w:hAnsiTheme="minorEastAsia" w:eastAsiaTheme="minorEastAsia" w:cstheme="minorEastAsia"/>
                <w:b w:val="0"/>
                <w:bCs/>
                <w:sz w:val="21"/>
                <w:szCs w:val="21"/>
                <w:highlight w:val="none"/>
              </w:rPr>
              <w:t>施工组织设计（</w:t>
            </w:r>
            <w:r>
              <w:rPr>
                <w:rStyle w:val="36"/>
                <w:rFonts w:hint="eastAsia" w:asciiTheme="minorEastAsia" w:hAnsiTheme="minorEastAsia" w:eastAsiaTheme="minorEastAsia" w:cstheme="minorEastAsia"/>
                <w:b w:val="0"/>
                <w:bCs/>
                <w:sz w:val="21"/>
                <w:szCs w:val="21"/>
                <w:highlight w:val="none"/>
                <w:lang w:val="en-US" w:eastAsia="zh-CN"/>
              </w:rPr>
              <w:t>20</w:t>
            </w:r>
            <w:r>
              <w:rPr>
                <w:rStyle w:val="36"/>
                <w:rFonts w:hint="eastAsia" w:asciiTheme="minorEastAsia" w:hAnsiTheme="minorEastAsia" w:eastAsiaTheme="minorEastAsia" w:cstheme="minorEastAsia"/>
                <w:b w:val="0"/>
                <w:bCs/>
                <w:sz w:val="21"/>
                <w:szCs w:val="21"/>
                <w:highlight w:val="none"/>
              </w:rPr>
              <w:t>分）</w:t>
            </w:r>
          </w:p>
        </w:tc>
        <w:tc>
          <w:tcPr>
            <w:tcW w:w="1198" w:type="dxa"/>
            <w:shd w:val="clear" w:color="auto" w:fill="FFFFFF"/>
            <w:tcMar>
              <w:left w:w="108" w:type="dxa"/>
              <w:right w:w="108" w:type="dxa"/>
            </w:tcMar>
            <w:vAlign w:val="center"/>
          </w:tcPr>
          <w:p w14:paraId="19A2DA38">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kern w:val="0"/>
                <w:sz w:val="21"/>
                <w:szCs w:val="21"/>
              </w:rPr>
              <w:t>施工部署</w:t>
            </w:r>
          </w:p>
        </w:tc>
        <w:tc>
          <w:tcPr>
            <w:tcW w:w="639" w:type="dxa"/>
            <w:shd w:val="clear" w:color="auto" w:fill="FFFFFF"/>
            <w:tcMar>
              <w:left w:w="108" w:type="dxa"/>
              <w:right w:w="108" w:type="dxa"/>
            </w:tcMar>
            <w:vAlign w:val="center"/>
          </w:tcPr>
          <w:p w14:paraId="7A3579F8">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622C9E7E">
            <w:pPr>
              <w:pStyle w:val="12"/>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【优】项目实施目标、总体思路、具体部署、项目总体程序，且科学性、适用性、针对性优的得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092A1711">
            <w:pPr>
              <w:pStyle w:val="12"/>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【良】项目实施目标、总体思路、具体部署、项目总体程序，且科学性、适用性、针对性中的得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7BE30D7E">
            <w:pPr>
              <w:pStyle w:val="12"/>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【中】项目实施目标、总体思路、具体部署、项目总体程序，且科学性、适用性、针对性差的得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4A4950C9">
            <w:pPr>
              <w:pStyle w:val="12"/>
              <w:ind w:firstLine="0" w:firstLineChars="0"/>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【差】无项目实施目标、总体思路、具体部署、项目总体程序的得 0分。</w:t>
            </w:r>
          </w:p>
        </w:tc>
      </w:tr>
      <w:tr w14:paraId="0E0E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24" w:hRule="atLeast"/>
          <w:jc w:val="center"/>
        </w:trPr>
        <w:tc>
          <w:tcPr>
            <w:tcW w:w="659" w:type="dxa"/>
            <w:vMerge w:val="continue"/>
            <w:shd w:val="clear" w:color="auto" w:fill="FFFFFF"/>
            <w:tcMar>
              <w:left w:w="108" w:type="dxa"/>
              <w:right w:w="108" w:type="dxa"/>
            </w:tcMar>
            <w:vAlign w:val="center"/>
          </w:tcPr>
          <w:p w14:paraId="3A7064A1">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59AF5C6A">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40FABA0F">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对工程重点、难点的分析及对策</w:t>
            </w:r>
          </w:p>
        </w:tc>
        <w:tc>
          <w:tcPr>
            <w:tcW w:w="639" w:type="dxa"/>
            <w:shd w:val="clear" w:color="auto" w:fill="FFFFFF"/>
            <w:tcMar>
              <w:left w:w="108" w:type="dxa"/>
              <w:right w:w="108" w:type="dxa"/>
            </w:tcMar>
            <w:vAlign w:val="center"/>
          </w:tcPr>
          <w:p w14:paraId="129D8D5B">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56770466">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【优】对本项目工程重点、难点分析透切，制定的相应对策针对性强，可行性高，得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7587F40B">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【良】对本项目工程重点、难点分析较透切，制定的相应对策针对性较强，可行性较高，得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34F9444B">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【中】对本项目工程重点、难点分析一般，制定的相应对策针对性一般，基本可行，得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76FAED07">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【差】对本项目工程重点、难点分析较差，制定的相应对策针对性较差，不可行，</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未提供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得0分。</w:t>
            </w:r>
          </w:p>
        </w:tc>
      </w:tr>
      <w:tr w14:paraId="65CF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70D46E4B">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3BC1682B">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6F4AEED1">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进度控制措施</w:t>
            </w:r>
          </w:p>
        </w:tc>
        <w:tc>
          <w:tcPr>
            <w:tcW w:w="639" w:type="dxa"/>
            <w:shd w:val="clear" w:color="auto" w:fill="FFFFFF"/>
            <w:tcMar>
              <w:left w:w="108" w:type="dxa"/>
              <w:right w:w="108" w:type="dxa"/>
            </w:tcMar>
            <w:vAlign w:val="center"/>
          </w:tcPr>
          <w:p w14:paraId="662905FE">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536DAC0C">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【优】工期管理目标、施工进度计划结合实际施工情况、能有效实施，制定的进度保证措施现场实操性相对较强，能有效保证施工进度得3分。</w:t>
            </w:r>
          </w:p>
          <w:p w14:paraId="596F44E9">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【良】工期管理目标、施工进度计划与实际施工情况结合度良好，制定的进度保证措施现场实操性良好，能保证施工进度，得2分。</w:t>
            </w:r>
          </w:p>
          <w:p w14:paraId="17593D28">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【中】工期管理目标、施工进度计划与实际施工情况结合度相对一般，制定的进度保证措施现场实操性相对一般，基本能保证施工进度，得1分。</w:t>
            </w:r>
          </w:p>
          <w:p w14:paraId="7A9D92AE">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【差】工期管理目标、施工进度计划与实际施工情况结合度相对较低，制定的进度保证措施现场实操性相对不高，</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未提供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得0分。</w:t>
            </w:r>
          </w:p>
        </w:tc>
      </w:tr>
      <w:tr w14:paraId="1DD9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36" w:hRule="atLeast"/>
          <w:jc w:val="center"/>
        </w:trPr>
        <w:tc>
          <w:tcPr>
            <w:tcW w:w="659" w:type="dxa"/>
            <w:vMerge w:val="continue"/>
            <w:shd w:val="clear" w:color="auto" w:fill="FFFFFF"/>
            <w:tcMar>
              <w:left w:w="108" w:type="dxa"/>
              <w:right w:w="108" w:type="dxa"/>
            </w:tcMar>
            <w:vAlign w:val="center"/>
          </w:tcPr>
          <w:p w14:paraId="7EE8030E">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2591D16F">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2DCA688B">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资源供应措施</w:t>
            </w:r>
          </w:p>
        </w:tc>
        <w:tc>
          <w:tcPr>
            <w:tcW w:w="639" w:type="dxa"/>
            <w:shd w:val="clear" w:color="auto" w:fill="FFFFFF"/>
            <w:tcMar>
              <w:left w:w="108" w:type="dxa"/>
              <w:right w:w="108" w:type="dxa"/>
            </w:tcMar>
            <w:vAlign w:val="center"/>
          </w:tcPr>
          <w:p w14:paraId="16BDB804">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041D1AFC">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【优】有劳动力需求计划及保障措施、机械设备需求计划及保障措施、材料需求计划及保障措施，得3分；</w:t>
            </w:r>
          </w:p>
          <w:p w14:paraId="6557D653">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【良】有劳动力需求计划及保障措施/机械设备需求计划及保障措施/材料需求计划及保障措施当中的两项，得2分；</w:t>
            </w:r>
          </w:p>
          <w:p w14:paraId="67AA2B88">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【中】仅有劳动力需求计划及保障措施/机械设备需求计划及保障措施/材料需求计划及保障措施当中的一项，得1分；</w:t>
            </w:r>
          </w:p>
          <w:p w14:paraId="53B1479A">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【差】无提供资源供应计划的，得0分。</w:t>
            </w:r>
          </w:p>
        </w:tc>
      </w:tr>
      <w:tr w14:paraId="14CC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659" w:type="dxa"/>
            <w:vMerge w:val="continue"/>
            <w:shd w:val="clear" w:color="auto" w:fill="FFFFFF"/>
            <w:tcMar>
              <w:left w:w="108" w:type="dxa"/>
              <w:right w:w="108" w:type="dxa"/>
            </w:tcMar>
            <w:vAlign w:val="center"/>
          </w:tcPr>
          <w:p w14:paraId="4454A47A">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0EB0EEFA">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32079B2B">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质量管理水平及保证措施</w:t>
            </w:r>
          </w:p>
        </w:tc>
        <w:tc>
          <w:tcPr>
            <w:tcW w:w="639" w:type="dxa"/>
            <w:shd w:val="clear" w:color="auto" w:fill="FFFFFF"/>
            <w:tcMar>
              <w:left w:w="108" w:type="dxa"/>
              <w:right w:w="108" w:type="dxa"/>
            </w:tcMar>
            <w:vAlign w:val="center"/>
          </w:tcPr>
          <w:p w14:paraId="1BCE66A2">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3AD823D0">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【优】针对本项目的特点及质量要求，结合自身技术及资源情况，制定质量控制措施，各项措施具体、可行、针对性强，措施完善的，得3分； </w:t>
            </w:r>
          </w:p>
          <w:p w14:paraId="0FBE4457">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【良】针对本项目的特点及质量要求，结合自身技术及资源情况，制定质量控制措施，措施较具体、较可行，得2分； </w:t>
            </w:r>
          </w:p>
          <w:p w14:paraId="0D9198A9">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【中】针对本项目制定的质量控制措施，不具体、针对性不强，得1分。 </w:t>
            </w:r>
          </w:p>
          <w:p w14:paraId="267CC3A6">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【差】不满足前述要求者或不提供内容的，得0分。</w:t>
            </w:r>
          </w:p>
        </w:tc>
      </w:tr>
      <w:tr w14:paraId="46B4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6" w:hRule="atLeast"/>
          <w:jc w:val="center"/>
        </w:trPr>
        <w:tc>
          <w:tcPr>
            <w:tcW w:w="659" w:type="dxa"/>
            <w:vMerge w:val="continue"/>
            <w:shd w:val="clear" w:color="auto" w:fill="FFFFFF"/>
            <w:tcMar>
              <w:left w:w="108" w:type="dxa"/>
              <w:right w:w="108" w:type="dxa"/>
            </w:tcMar>
            <w:vAlign w:val="center"/>
          </w:tcPr>
          <w:p w14:paraId="31C69D03">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6F942AC5">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100E6D29">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安全文明施工措施</w:t>
            </w:r>
          </w:p>
        </w:tc>
        <w:tc>
          <w:tcPr>
            <w:tcW w:w="639" w:type="dxa"/>
            <w:shd w:val="clear" w:color="auto" w:fill="FFFFFF"/>
            <w:tcMar>
              <w:left w:w="108" w:type="dxa"/>
              <w:right w:w="108" w:type="dxa"/>
            </w:tcMar>
            <w:vAlign w:val="center"/>
          </w:tcPr>
          <w:p w14:paraId="02827A57">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2143B8AA">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【优】制定了安全、文明施工保证体系和保证措施，现场安全文明施工目标为确保不发生人员重伤或死亡事故，且轻伤率低于千分之六，得3分；</w:t>
            </w:r>
          </w:p>
          <w:p w14:paraId="7E588BD2">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【良】制定了安全、文明施工保证体系和保证措施，现场安全文明施工目标为确保不发生人员重伤或死亡事故，且轻伤率低于千分之十二，得2分；</w:t>
            </w:r>
          </w:p>
          <w:p w14:paraId="324E3BFB">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【中】制定了安全、文明施工保证体系和保证措施，确保杜绝发生一般等级以上的伤亡事故且工伤责任事故死亡人数为零，得1分；</w:t>
            </w:r>
          </w:p>
          <w:p w14:paraId="39300068">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【差】无安全文明施工保证措施，得0分。</w:t>
            </w:r>
          </w:p>
        </w:tc>
      </w:tr>
      <w:tr w14:paraId="25FB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5" w:hRule="atLeast"/>
          <w:jc w:val="center"/>
        </w:trPr>
        <w:tc>
          <w:tcPr>
            <w:tcW w:w="659" w:type="dxa"/>
            <w:vMerge w:val="continue"/>
            <w:shd w:val="clear" w:color="auto" w:fill="FFFFFF"/>
            <w:tcMar>
              <w:left w:w="108" w:type="dxa"/>
              <w:right w:w="108" w:type="dxa"/>
            </w:tcMar>
            <w:vAlign w:val="center"/>
          </w:tcPr>
          <w:p w14:paraId="2A02DE11">
            <w:pPr>
              <w:rPr>
                <w:rFonts w:hint="eastAsia" w:asciiTheme="minorEastAsia" w:hAnsiTheme="minorEastAsia" w:eastAsiaTheme="minorEastAsia" w:cstheme="minorEastAsia"/>
              </w:rPr>
            </w:pPr>
          </w:p>
        </w:tc>
        <w:tc>
          <w:tcPr>
            <w:tcW w:w="1196" w:type="dxa"/>
            <w:vMerge w:val="continue"/>
            <w:shd w:val="clear" w:color="auto" w:fill="FFFFFF"/>
            <w:tcMar>
              <w:left w:w="108" w:type="dxa"/>
              <w:right w:w="108" w:type="dxa"/>
            </w:tcMar>
            <w:vAlign w:val="center"/>
          </w:tcPr>
          <w:p w14:paraId="3DB1FD62">
            <w:pPr>
              <w:rPr>
                <w:rFonts w:hint="eastAsia" w:asciiTheme="minorEastAsia" w:hAnsiTheme="minorEastAsia" w:eastAsiaTheme="minorEastAsia" w:cstheme="minorEastAsia"/>
              </w:rPr>
            </w:pPr>
          </w:p>
        </w:tc>
        <w:tc>
          <w:tcPr>
            <w:tcW w:w="1198" w:type="dxa"/>
            <w:shd w:val="clear" w:color="auto" w:fill="FFFFFF"/>
            <w:tcMar>
              <w:left w:w="108" w:type="dxa"/>
              <w:right w:w="108" w:type="dxa"/>
            </w:tcMar>
            <w:vAlign w:val="center"/>
          </w:tcPr>
          <w:p w14:paraId="063682CE">
            <w:pPr>
              <w:pStyle w:val="12"/>
              <w:ind w:firstLine="0" w:firstLineChars="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rPr>
              <w:t>绿色节能控制措施</w:t>
            </w:r>
          </w:p>
        </w:tc>
        <w:tc>
          <w:tcPr>
            <w:tcW w:w="639" w:type="dxa"/>
            <w:shd w:val="clear" w:color="auto" w:fill="FFFFFF"/>
            <w:tcMar>
              <w:left w:w="108" w:type="dxa"/>
              <w:right w:w="108" w:type="dxa"/>
            </w:tcMar>
            <w:vAlign w:val="center"/>
          </w:tcPr>
          <w:p w14:paraId="08F6BA97">
            <w:pPr>
              <w:pStyle w:val="28"/>
              <w:widowControl/>
              <w:spacing w:before="0" w:beforeAutospacing="0" w:after="0" w:afterAutospacing="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tc>
        <w:tc>
          <w:tcPr>
            <w:tcW w:w="10970" w:type="dxa"/>
            <w:shd w:val="clear" w:color="auto" w:fill="FFFFFF"/>
            <w:tcMar>
              <w:left w:w="108" w:type="dxa"/>
              <w:right w:w="108" w:type="dxa"/>
            </w:tcMar>
            <w:vAlign w:val="center"/>
          </w:tcPr>
          <w:p w14:paraId="68C098CE">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【优】制定了完善的绿色节能施工措施，有绿色施工保证体系，且承诺确保按建筑工地绿色施工（“四节一环保”），积极推进建筑工地绿色施工工作，得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249B3C89">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【良】制定了完善的绿色节能施工措施，有绿色施工保证体系，未承诺确保按建筑工地绿色施工（“四节一环保”），得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2E22F900">
            <w:pPr>
              <w:pStyle w:val="28"/>
              <w:widowControl/>
              <w:spacing w:before="0" w:beforeAutospacing="0" w:after="0" w:afterAutospacing="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【中】制定了的绿色节能施工措施，无绿色施工保证体系，未承诺确保按建筑工地绿色施工（“四节一环保”），得</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w:t>
            </w:r>
          </w:p>
          <w:p w14:paraId="7F97166E">
            <w:pPr>
              <w:pStyle w:val="28"/>
              <w:widowControl/>
              <w:spacing w:before="0" w:beforeAutospacing="0" w:after="0" w:afterAutospacing="0"/>
              <w:rPr>
                <w:rFonts w:hint="eastAsia" w:asciiTheme="minorEastAsia" w:hAnsiTheme="minorEastAsia" w:eastAsiaTheme="minorEastAsia" w:cstheme="minorEastAsia"/>
                <w:kern w:val="0"/>
                <w:sz w:val="24"/>
                <w:szCs w:val="22"/>
                <w:lang w:val="en-US" w:eastAsia="zh-CN" w:bidi="ar-SA"/>
              </w:rPr>
            </w:pPr>
            <w:r>
              <w:rPr>
                <w:rFonts w:hint="eastAsia" w:asciiTheme="minorEastAsia" w:hAnsiTheme="minorEastAsia" w:eastAsiaTheme="minorEastAsia" w:cstheme="minorEastAsia"/>
                <w:sz w:val="21"/>
                <w:szCs w:val="21"/>
              </w:rPr>
              <w:t>【差】：无提供绿色节能施工措施的，得0分。</w:t>
            </w:r>
          </w:p>
        </w:tc>
      </w:tr>
      <w:bookmarkEnd w:id="27"/>
    </w:tbl>
    <w:p w14:paraId="34E3EAE6">
      <w:pPr>
        <w:spacing w:line="316" w:lineRule="exact"/>
        <w:rPr>
          <w:rFonts w:hint="eastAsia" w:ascii="仿宋" w:hAnsi="仿宋" w:eastAsia="仿宋" w:cs="仿宋"/>
          <w:sz w:val="21"/>
          <w:szCs w:val="21"/>
        </w:rPr>
      </w:pPr>
      <w:r>
        <w:rPr>
          <w:rFonts w:hint="eastAsia" w:asciiTheme="minorEastAsia" w:hAnsiTheme="minorEastAsia" w:eastAsiaTheme="minorEastAsia" w:cstheme="minorEastAsia"/>
          <w:sz w:val="21"/>
          <w:szCs w:val="21"/>
        </w:rPr>
        <w:t>备注：</w:t>
      </w:r>
    </w:p>
    <w:p w14:paraId="2A82BFC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szCs w:val="21"/>
          <w:highlight w:val="none"/>
        </w:rPr>
      </w:pPr>
      <w:bookmarkStart w:id="29" w:name="_Toc20135"/>
      <w:bookmarkStart w:id="30" w:name="_Toc30168"/>
      <w:bookmarkStart w:id="31" w:name="_Toc5159"/>
      <w:bookmarkStart w:id="32" w:name="_Toc32003"/>
      <w:bookmarkStart w:id="33" w:name="_Toc22943"/>
      <w:bookmarkStart w:id="34" w:name="_Toc21638"/>
      <w:r>
        <w:rPr>
          <w:rFonts w:hint="eastAsia" w:ascii="宋体" w:hAnsi="宋体" w:cs="宋体"/>
          <w:b/>
          <w:bCs/>
          <w:color w:val="auto"/>
          <w:szCs w:val="21"/>
          <w:highlight w:val="none"/>
        </w:rPr>
        <w:t>1.</w:t>
      </w:r>
      <w:r>
        <w:rPr>
          <w:rFonts w:hint="eastAsia" w:ascii="宋体" w:hAnsi="宋体" w:cs="宋体"/>
          <w:color w:val="auto"/>
          <w:szCs w:val="21"/>
          <w:highlight w:val="none"/>
        </w:rPr>
        <w:t>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935CB12">
      <w:pPr>
        <w:pStyle w:val="4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2.企业业绩</w:t>
      </w:r>
      <w:r>
        <w:rPr>
          <w:rFonts w:hint="eastAsia" w:ascii="宋体" w:hAnsi="宋体" w:eastAsia="宋体" w:cs="宋体"/>
          <w:b/>
          <w:bCs/>
          <w:color w:val="auto"/>
          <w:sz w:val="21"/>
          <w:szCs w:val="21"/>
          <w:highlight w:val="none"/>
        </w:rPr>
        <w:t>：</w:t>
      </w:r>
    </w:p>
    <w:p w14:paraId="3FBC1E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①类似工程业绩指质量合格且建筑面积在10万平方米或以上的施工总承包或勘察设计施工总承包或设计施工总承包或设计采购施工总承包或勘察设计采购施工总承包</w:t>
      </w:r>
      <w:r>
        <w:rPr>
          <w:rFonts w:hint="eastAsia" w:ascii="宋体" w:hAnsi="宋体" w:cs="宋体"/>
          <w:color w:val="auto"/>
          <w:szCs w:val="21"/>
          <w:highlight w:val="none"/>
          <w:lang w:val="en-US" w:eastAsia="zh-CN"/>
        </w:rPr>
        <w:t>的施工</w:t>
      </w:r>
      <w:r>
        <w:rPr>
          <w:rFonts w:hint="eastAsia" w:ascii="宋体" w:hAnsi="宋体" w:cs="宋体"/>
          <w:color w:val="auto"/>
          <w:szCs w:val="21"/>
          <w:highlight w:val="none"/>
        </w:rPr>
        <w:t>业绩等。业绩由多个单位组成联合体共同完成的，业绩按联合体协议中分工所承担的工作进行认定；</w:t>
      </w:r>
    </w:p>
    <w:p w14:paraId="2EFC06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②投标人须</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提供业绩的</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中标通知书或免招标的相关证明、招标公告网页截图（适用于公开招标项目）、</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施工合同或工程总承包合同（不含补充合同）、</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竣工验收证明文件（验收文件至少</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具有建设单位、设计、施工和监理单位盖章）。完成时间以竣工验收证明材料为准；</w:t>
      </w:r>
    </w:p>
    <w:p w14:paraId="15960FE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③业绩金额以业绩中标通知书为准，若中标通知书没有显示中标金额或免招标的，以施工合同或工程总承包合同的施工费合同金额为准（不含补充合同）；</w:t>
      </w:r>
    </w:p>
    <w:p w14:paraId="38EBB44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④上述资料显示的内容须为施工总承包或工程总承包工程业绩，业绩内容以招标公告或施工合同中的“工程规模”或“招标内容”为准；</w:t>
      </w:r>
    </w:p>
    <w:p w14:paraId="4E15FE4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⑤</w:t>
      </w:r>
      <w:r>
        <w:rPr>
          <w:rFonts w:hint="eastAsia" w:ascii="宋体" w:hAnsi="宋体" w:cs="宋体"/>
          <w:color w:val="auto"/>
          <w:szCs w:val="21"/>
          <w:highlight w:val="none"/>
        </w:rPr>
        <w:t>不符合上述条件或提供的资料不齐全的业绩不予评审。</w:t>
      </w:r>
    </w:p>
    <w:p w14:paraId="1C962482">
      <w:pPr>
        <w:numPr>
          <w:ilvl w:val="0"/>
          <w:numId w:val="0"/>
        </w:numPr>
        <w:ind w:firstLine="422"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lang w:val="en-US" w:eastAsia="zh-CN" w:bidi="ar-SA"/>
        </w:rPr>
        <w:t>3.</w:t>
      </w:r>
      <w:r>
        <w:rPr>
          <w:rFonts w:hint="eastAsia" w:ascii="宋体" w:hAnsi="宋体" w:eastAsia="宋体" w:cs="宋体"/>
          <w:b/>
          <w:bCs/>
          <w:color w:val="auto"/>
          <w:szCs w:val="21"/>
          <w:highlight w:val="none"/>
          <w:lang w:val="en-US" w:eastAsia="zh-CN"/>
        </w:rPr>
        <w:t>工程研发能力：</w:t>
      </w:r>
    </w:p>
    <w:p w14:paraId="344A11A5">
      <w:pPr>
        <w:wordWrap w:val="0"/>
        <w:ind w:firstLine="360"/>
        <w:rPr>
          <w:rFonts w:ascii="宋体" w:hAnsi="宋体" w:eastAsia="宋体" w:cs="仿宋"/>
          <w:kern w:val="0"/>
          <w:szCs w:val="21"/>
        </w:rPr>
      </w:pPr>
      <w:r>
        <w:rPr>
          <w:rFonts w:hint="eastAsia" w:ascii="宋体" w:hAnsi="宋体" w:cs="宋体"/>
          <w:color w:val="auto"/>
          <w:szCs w:val="21"/>
          <w:highlight w:val="none"/>
        </w:rPr>
        <w:t>①</w:t>
      </w:r>
      <w:r>
        <w:rPr>
          <w:rFonts w:hint="eastAsia" w:ascii="宋体" w:hAnsi="宋体" w:eastAsia="宋体" w:cs="仿宋"/>
          <w:kern w:val="0"/>
          <w:szCs w:val="21"/>
        </w:rPr>
        <w:t>工法证书奖项：以</w:t>
      </w:r>
      <w:r>
        <w:rPr>
          <w:rFonts w:hint="eastAsia" w:ascii="宋体" w:hAnsi="宋体" w:cs="宋体"/>
          <w:color w:val="000000" w:themeColor="text1"/>
          <w:szCs w:val="21"/>
          <w14:textFill>
            <w14:solidFill>
              <w14:schemeClr w14:val="tx1"/>
            </w14:solidFill>
          </w14:textFill>
        </w:rPr>
        <w:t>投标人所提供的工法证书等证明材料为准，时间以工法证书颁发时间为准。投标人所提供的工法科技成果须成功应用于具体的</w:t>
      </w:r>
      <w:bookmarkStart w:id="35" w:name="_Hlk192966299"/>
      <w:r>
        <w:rPr>
          <w:rFonts w:hint="eastAsia" w:ascii="宋体" w:hAnsi="宋体" w:cs="宋体"/>
          <w:color w:val="000000" w:themeColor="text1"/>
          <w:szCs w:val="21"/>
          <w14:textFill>
            <w14:solidFill>
              <w14:schemeClr w14:val="tx1"/>
            </w14:solidFill>
          </w14:textFill>
        </w:rPr>
        <w:t>建筑工程</w:t>
      </w:r>
      <w:bookmarkEnd w:id="35"/>
      <w:r>
        <w:rPr>
          <w:rFonts w:hint="eastAsia" w:ascii="宋体" w:hAnsi="宋体" w:cs="宋体"/>
          <w:color w:val="000000" w:themeColor="text1"/>
          <w:szCs w:val="21"/>
          <w14:textFill>
            <w14:solidFill>
              <w14:schemeClr w14:val="tx1"/>
            </w14:solidFill>
          </w14:textFill>
        </w:rPr>
        <w:t>项目，须提交建设行政主管部门或行业协会（行业协会须在民政管理部门登记备案）或其他工法主管部门颁发的工法证书扫描件及可反映工法科技成果成功应用在具体建筑工程项目的科学技术成果鉴定证书扫描件或其他能证明应用于投标人建筑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14:paraId="21A31139">
      <w:pPr>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仿宋"/>
          <w:kern w:val="0"/>
          <w:szCs w:val="21"/>
        </w:rPr>
        <w:t>②</w:t>
      </w:r>
      <w:r>
        <w:rPr>
          <w:rFonts w:hint="eastAsia" w:ascii="宋体" w:hAnsi="宋体" w:cs="宋体"/>
          <w:color w:val="000000" w:themeColor="text1"/>
          <w:szCs w:val="21"/>
          <w:highlight w:val="none"/>
          <w14:textFill>
            <w14:solidFill>
              <w14:schemeClr w14:val="tx1"/>
            </w14:solidFill>
          </w14:textFill>
        </w:rPr>
        <w:t>专利证书是指工程建设类专业实用新型专利证书（不包含外观设计类专利和发明公布类专利），时间以证书授权公告日时间为准；须提供证书扫描件和提供国家知识产权局（http://epub.cnipa.gov.cn/）网上查询结果截图，不符合上述情况或未按要求提供证明材料的不得分。</w:t>
      </w:r>
    </w:p>
    <w:p w14:paraId="6327588C">
      <w:pPr>
        <w:ind w:firstLine="424" w:firstLineChars="202"/>
        <w:rPr>
          <w:rFonts w:hint="eastAsia" w:ascii="宋体" w:hAnsi="宋体" w:eastAsia="宋体" w:cs="仿宋"/>
          <w:kern w:val="0"/>
          <w:szCs w:val="21"/>
          <w:lang w:val="zh-TW" w:eastAsia="zh-CN"/>
        </w:rPr>
      </w:pPr>
      <w:r>
        <w:rPr>
          <w:rFonts w:hint="eastAsia" w:ascii="宋体" w:hAnsi="宋体" w:eastAsia="宋体" w:cs="仿宋"/>
          <w:kern w:val="0"/>
          <w:szCs w:val="21"/>
          <w:lang w:val="en-US" w:eastAsia="zh-CN"/>
        </w:rPr>
        <w:t>③科学技术类奖项：国家级证书及省级证书需提供省级（或以上）人民政府或建设行政主管部门或协会或学会颁发的为准，市级证书需提供市级人民政府或建设行政主管部门或协会或学会颁发的为准；证书获奖单位必须与投标单位名称一致，不包含上级公司、子公司、分公司及分支机构。时间以证书颁发时间为准，不符合上述条件或无法提供证书扫描件的不予计分。同一投标人获得多个多次奖项的，只按获奖最高级别计算一次分数，不得重复计算，如颁发单位为协会或学会的，还须提供该协会或学会在“全国社会组织信用信息公示平台”己登记备案的查询信息截图页（网址：https://xxgs.chinanpo.mca.gov.cn/gsxt/newList），不提交获奖扫描件及网址查询页截图的不得分。</w:t>
      </w:r>
    </w:p>
    <w:p w14:paraId="691DC8FF">
      <w:pPr>
        <w:numPr>
          <w:ilvl w:val="0"/>
          <w:numId w:val="0"/>
        </w:numPr>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lang w:val="en-US" w:eastAsia="zh-CN" w:bidi="ar-SA"/>
        </w:rPr>
        <w:t>4.</w:t>
      </w:r>
      <w:r>
        <w:rPr>
          <w:rFonts w:hint="eastAsia" w:ascii="宋体" w:hAnsi="宋体" w:eastAsia="宋体" w:cs="宋体"/>
          <w:b/>
          <w:bCs/>
          <w:color w:val="auto"/>
          <w:szCs w:val="21"/>
          <w:highlight w:val="none"/>
          <w:lang w:val="en-US" w:eastAsia="zh-CN"/>
        </w:rPr>
        <w:t>第三方评价：</w:t>
      </w:r>
    </w:p>
    <w:p w14:paraId="72F8ED75">
      <w:pPr>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eastAsia="宋体" w:cs="仿宋"/>
          <w:kern w:val="0"/>
          <w:szCs w:val="21"/>
          <w:lang w:val="zh-CN"/>
        </w:rPr>
        <w:t>①</w:t>
      </w:r>
      <w:r>
        <w:rPr>
          <w:rFonts w:hint="eastAsia" w:ascii="宋体" w:hAnsi="宋体" w:eastAsia="宋体"/>
          <w:color w:val="000000" w:themeColor="text1"/>
          <w14:textFill>
            <w14:solidFill>
              <w14:schemeClr w14:val="tx1"/>
            </w14:solidFill>
          </w14:textFill>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668B3947">
      <w:pPr>
        <w:numPr>
          <w:ilvl w:val="0"/>
          <w:numId w:val="0"/>
        </w:numPr>
        <w:ind w:firstLine="420" w:firstLineChars="200"/>
        <w:rPr>
          <w:rFonts w:hint="eastAsia" w:ascii="宋体" w:hAnsi="宋体" w:eastAsia="宋体" w:cs="仿宋"/>
          <w:kern w:val="0"/>
          <w:szCs w:val="21"/>
          <w:lang w:val="en-US" w:eastAsia="zh-CN"/>
        </w:rPr>
      </w:pPr>
      <w:r>
        <w:rPr>
          <w:rFonts w:hint="eastAsia" w:ascii="宋体" w:hAnsi="宋体" w:eastAsia="宋体" w:cs="仿宋"/>
          <w:kern w:val="0"/>
          <w:szCs w:val="21"/>
        </w:rPr>
        <w:t>②体系认证需提供国家市场监督管理局“全国认证认可信息公告服务平台”此网址（http://cx.cnca.cn/）提供查询截图结果为准，没有的或证书不在有效期内的不得分，没有提供此网址查询结果截图</w:t>
      </w:r>
      <w:r>
        <w:rPr>
          <w:rFonts w:hint="eastAsia" w:ascii="宋体" w:hAnsi="宋体" w:eastAsia="宋体" w:cs="仿宋"/>
          <w:kern w:val="0"/>
          <w:szCs w:val="21"/>
          <w:lang w:val="en-US" w:eastAsia="zh-CN"/>
        </w:rPr>
        <w:t>或</w:t>
      </w:r>
      <w:r>
        <w:rPr>
          <w:rFonts w:hint="eastAsia" w:ascii="宋体" w:hAnsi="宋体" w:eastAsia="宋体" w:cs="仿宋"/>
          <w:kern w:val="0"/>
          <w:szCs w:val="21"/>
        </w:rPr>
        <w:t>证书扫描件的不得分。</w:t>
      </w:r>
    </w:p>
    <w:p w14:paraId="6A0115FC">
      <w:pPr>
        <w:pStyle w:val="4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.项目管理机构能力：</w:t>
      </w:r>
    </w:p>
    <w:p w14:paraId="1C5ACD10">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①</w:t>
      </w:r>
      <w:r>
        <w:rPr>
          <w:rFonts w:hint="eastAsia" w:ascii="宋体" w:hAnsi="宋体" w:eastAsia="宋体" w:cs="宋体"/>
          <w:color w:val="auto"/>
          <w:sz w:val="21"/>
          <w:szCs w:val="21"/>
          <w:highlight w:val="none"/>
          <w:lang w:val="zh-CN"/>
        </w:rPr>
        <w:t>拟投入本项目人员须同时提供相关职称证书或岗位(注册)证书（如有）或培训证书（如有）、获奖证书（如有）、毕业证书等证明材料扫描件以及2025年9月或10月在本投标单位(不含投标人的子公司，含分公司及分支机构)参保的社保缴纳记录证明扫描件；人员职称按最高级别计算；工作经验以毕业证书颁发时间至投标截止时间计算。</w:t>
      </w:r>
    </w:p>
    <w:p w14:paraId="43805C0D">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②</w:t>
      </w:r>
      <w:r>
        <w:rPr>
          <w:rFonts w:hint="eastAsia" w:ascii="宋体" w:hAnsi="宋体" w:eastAsia="宋体" w:cs="宋体"/>
          <w:color w:val="auto"/>
          <w:sz w:val="21"/>
          <w:szCs w:val="21"/>
          <w:highlight w:val="none"/>
          <w:lang w:val="zh-CN"/>
        </w:rPr>
        <w:t>各岗位人员不得相互兼职，不重复计算得分；且安全负责人不能同时兼任专职安全员；</w:t>
      </w:r>
    </w:p>
    <w:p w14:paraId="218C43A7">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③</w:t>
      </w:r>
      <w:r>
        <w:rPr>
          <w:rFonts w:hint="eastAsia" w:ascii="宋体" w:hAnsi="宋体" w:eastAsia="宋体" w:cs="宋体"/>
          <w:color w:val="auto"/>
          <w:sz w:val="21"/>
          <w:szCs w:val="21"/>
          <w:highlight w:val="none"/>
          <w:lang w:val="zh-CN"/>
        </w:rPr>
        <w:t>项目管理团队人员是指为本公司正式人员，不含子公司人员，如投标人为集团公司，则不含其集团下属的子公司人员，下属子公司也不含其集团公司的人员；</w:t>
      </w:r>
    </w:p>
    <w:p w14:paraId="00376A85">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④</w:t>
      </w:r>
      <w:r>
        <w:rPr>
          <w:rFonts w:hint="eastAsia" w:ascii="宋体" w:hAnsi="宋体" w:eastAsia="宋体" w:cs="宋体"/>
          <w:color w:val="auto"/>
          <w:sz w:val="21"/>
          <w:szCs w:val="21"/>
          <w:highlight w:val="none"/>
          <w:lang w:val="zh-CN"/>
        </w:rPr>
        <w:t>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p>
    <w:p w14:paraId="138AC321">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⑤注册安全工程师须同时提供有效的注册安全工程师注册证及注册安全工程师查询系统（https://zwfw.mem.gov.cn/zwthlw/pages/hlwmh/yyfw/zcaqgcscx/index.html或https://rmocse.chinasafety.ac.cn/）查询网页截图。以上述材料不提供或提供不齐全的不得分。</w:t>
      </w:r>
    </w:p>
    <w:p w14:paraId="1D1B3F92">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eastAsia="zh-CN" w:bidi="ar-SA"/>
        </w:rPr>
        <w:t>⑥人员业绩需在体现该人员名字及职务，如无法体现的，则投标人需另提供其他经建设单位盖章确认的证明材料。无提供证明材料不计分；人员</w:t>
      </w:r>
      <w:r>
        <w:rPr>
          <w:rFonts w:hint="eastAsia" w:ascii="宋体" w:hAnsi="宋体" w:eastAsia="宋体" w:cs="宋体"/>
          <w:color w:val="auto"/>
          <w:sz w:val="21"/>
          <w:szCs w:val="21"/>
          <w:highlight w:val="none"/>
          <w:lang w:val="zh-CN"/>
        </w:rPr>
        <w:t>业绩如未上传平台，可提供中标通知书（如有）、施工合同、竣工验收报告或其他证明材料扫描件。</w:t>
      </w:r>
    </w:p>
    <w:p w14:paraId="07121BFC">
      <w:pPr>
        <w:pStyle w:val="4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本表按百分制评分，所有评委的评分分数的算术平均值为投标人的最终得分，分数出现小数点，保留小数点后二位小数，第三位小数四舍五入。。</w:t>
      </w:r>
    </w:p>
    <w:p w14:paraId="5CC83E3B">
      <w:pPr>
        <w:pStyle w:val="4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投标人提供的网页信息截图或证明材料扫描件内容必须清晰可辨，如因网页信息截图或证明材料扫描件内容模糊导致评标时无法判断的，后果由投标人自负。</w:t>
      </w:r>
    </w:p>
    <w:p w14:paraId="0908334E">
      <w:pPr>
        <w:keepNext w:val="0"/>
        <w:keepLines w:val="0"/>
        <w:pageBreakBefore w:val="0"/>
        <w:widowControl w:val="0"/>
        <w:tabs>
          <w:tab w:val="right" w:leader="dot" w:pos="9060"/>
        </w:tabs>
        <w:kinsoku/>
        <w:wordWrap/>
        <w:overflowPunct/>
        <w:topLinePunct w:val="0"/>
        <w:autoSpaceDE/>
        <w:autoSpaceDN/>
        <w:bidi w:val="0"/>
        <w:adjustRightInd/>
        <w:snapToGrid/>
        <w:spacing w:line="240" w:lineRule="auto"/>
        <w:ind w:firstLine="420"/>
        <w:jc w:val="left"/>
        <w:textAlignment w:val="auto"/>
        <w:rPr>
          <w:b/>
          <w:color w:val="auto"/>
          <w:highlight w:val="none"/>
        </w:rPr>
        <w:sectPr>
          <w:headerReference r:id="rId11" w:type="default"/>
          <w:footerReference r:id="rId12" w:type="default"/>
          <w:pgSz w:w="16838" w:h="11906" w:orient="landscape"/>
          <w:pgMar w:top="1083" w:right="1440" w:bottom="1083" w:left="1440" w:header="850" w:footer="992" w:gutter="0"/>
          <w:cols w:space="0" w:num="1"/>
          <w:docGrid w:type="lines" w:linePitch="324" w:charSpace="0"/>
        </w:sect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不符合评审标准或不符合上述要求或未提供上述资料的不得分。</w:t>
      </w:r>
      <w:bookmarkStart w:id="36" w:name="_Toc18838"/>
    </w:p>
    <w:p w14:paraId="1AA4F0F5">
      <w:pPr>
        <w:pStyle w:val="4"/>
        <w:tabs>
          <w:tab w:val="right" w:leader="dot" w:pos="9060"/>
        </w:tabs>
        <w:spacing w:line="360" w:lineRule="auto"/>
        <w:jc w:val="left"/>
        <w:rPr>
          <w:rFonts w:hint="eastAsia"/>
          <w:color w:val="auto"/>
          <w:highlight w:val="none"/>
        </w:rPr>
      </w:pPr>
      <w:r>
        <w:rPr>
          <w:rFonts w:hint="eastAsia"/>
          <w:color w:val="auto"/>
          <w:highlight w:val="none"/>
        </w:rPr>
        <w:t>附表五</w:t>
      </w:r>
      <w:bookmarkEnd w:id="29"/>
      <w:bookmarkEnd w:id="30"/>
      <w:bookmarkEnd w:id="31"/>
      <w:bookmarkEnd w:id="32"/>
      <w:bookmarkEnd w:id="33"/>
      <w:bookmarkEnd w:id="34"/>
      <w:bookmarkEnd w:id="36"/>
    </w:p>
    <w:p w14:paraId="44BCB4A1">
      <w:pPr>
        <w:jc w:val="center"/>
        <w:rPr>
          <w:rFonts w:hint="eastAsia" w:ascii="宋体" w:hAnsi="宋体" w:cs="宋体"/>
          <w:b/>
          <w:color w:val="auto"/>
          <w:sz w:val="36"/>
          <w:szCs w:val="36"/>
          <w:highlight w:val="none"/>
        </w:rPr>
      </w:pPr>
      <w:bookmarkStart w:id="37" w:name="_Toc2589"/>
      <w:bookmarkStart w:id="38" w:name="_Toc4523"/>
      <w:bookmarkStart w:id="39" w:name="_Toc10172"/>
      <w:bookmarkStart w:id="40" w:name="_Toc8824"/>
      <w:bookmarkStart w:id="41" w:name="_Toc7490"/>
      <w:r>
        <w:rPr>
          <w:rFonts w:hint="eastAsia" w:ascii="宋体" w:hAnsi="宋体" w:cs="宋体"/>
          <w:b/>
          <w:color w:val="auto"/>
          <w:sz w:val="36"/>
          <w:szCs w:val="36"/>
          <w:highlight w:val="none"/>
        </w:rPr>
        <w:t>经济标评分表</w:t>
      </w:r>
    </w:p>
    <w:p w14:paraId="166A65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14:paraId="40C2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14:paraId="0ABA02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37" w:type="dxa"/>
            <w:tcBorders>
              <w:top w:val="single" w:color="auto" w:sz="4" w:space="0"/>
              <w:left w:val="single" w:color="auto" w:sz="4" w:space="0"/>
              <w:bottom w:val="single" w:color="auto" w:sz="4" w:space="0"/>
              <w:right w:val="single" w:color="auto" w:sz="4" w:space="0"/>
            </w:tcBorders>
            <w:vAlign w:val="center"/>
          </w:tcPr>
          <w:p w14:paraId="1CF6AEC5">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E9B85E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F6C833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F3042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5F38CC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B6DBAF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BAA609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2481F94">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3F0366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162D0E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6F4E118">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B6C31E2">
            <w:pPr>
              <w:spacing w:line="360" w:lineRule="auto"/>
              <w:rPr>
                <w:rFonts w:hint="eastAsia" w:ascii="宋体" w:hAnsi="宋体" w:cs="宋体"/>
                <w:color w:val="auto"/>
                <w:szCs w:val="21"/>
                <w:highlight w:val="none"/>
              </w:rPr>
            </w:pPr>
          </w:p>
        </w:tc>
      </w:tr>
      <w:tr w14:paraId="2BE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7FD215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37" w:type="dxa"/>
            <w:tcBorders>
              <w:top w:val="single" w:color="auto" w:sz="4" w:space="0"/>
              <w:left w:val="single" w:color="auto" w:sz="4" w:space="0"/>
              <w:bottom w:val="single" w:color="auto" w:sz="4" w:space="0"/>
              <w:right w:val="single" w:color="auto" w:sz="4" w:space="0"/>
            </w:tcBorders>
            <w:vAlign w:val="center"/>
          </w:tcPr>
          <w:p w14:paraId="39A1E0F3">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123FAEE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25D1F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F41EA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149FD62">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E8A825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B68F6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A7654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0E594B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85DE6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B12327">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A9E746E">
            <w:pPr>
              <w:spacing w:line="360" w:lineRule="auto"/>
              <w:rPr>
                <w:rFonts w:hint="eastAsia" w:ascii="宋体" w:hAnsi="宋体" w:cs="宋体"/>
                <w:color w:val="auto"/>
                <w:szCs w:val="21"/>
                <w:highlight w:val="none"/>
              </w:rPr>
            </w:pPr>
          </w:p>
        </w:tc>
      </w:tr>
      <w:tr w14:paraId="4B86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1FBA85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[成本警戒价，招标控制价×95%]区间的投标报价数量G</w:t>
            </w:r>
          </w:p>
        </w:tc>
        <w:tc>
          <w:tcPr>
            <w:tcW w:w="1037" w:type="dxa"/>
            <w:tcBorders>
              <w:top w:val="single" w:color="auto" w:sz="4" w:space="0"/>
              <w:left w:val="single" w:color="auto" w:sz="4" w:space="0"/>
              <w:bottom w:val="single" w:color="auto" w:sz="4" w:space="0"/>
              <w:right w:val="single" w:color="auto" w:sz="4" w:space="0"/>
            </w:tcBorders>
            <w:vAlign w:val="center"/>
          </w:tcPr>
          <w:p w14:paraId="51A297D0">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65A6F0B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6E44E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155F4E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9A161D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325A3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BC51F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8A143F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DB9A01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53F7D2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B02E9C">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4F8E56C">
            <w:pPr>
              <w:spacing w:line="360" w:lineRule="auto"/>
              <w:rPr>
                <w:rFonts w:hint="eastAsia" w:ascii="宋体" w:hAnsi="宋体" w:cs="宋体"/>
                <w:color w:val="auto"/>
                <w:szCs w:val="21"/>
                <w:highlight w:val="none"/>
              </w:rPr>
            </w:pPr>
          </w:p>
        </w:tc>
      </w:tr>
      <w:tr w14:paraId="4D38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76E1E2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参与计算评标参考价H</w:t>
            </w:r>
          </w:p>
        </w:tc>
        <w:tc>
          <w:tcPr>
            <w:tcW w:w="12587" w:type="dxa"/>
            <w:gridSpan w:val="12"/>
            <w:tcBorders>
              <w:top w:val="single" w:color="auto" w:sz="4" w:space="0"/>
              <w:left w:val="single" w:color="auto" w:sz="4" w:space="0"/>
              <w:bottom w:val="single" w:color="auto" w:sz="4" w:space="0"/>
              <w:right w:val="single" w:color="auto" w:sz="4" w:space="0"/>
            </w:tcBorders>
            <w:vAlign w:val="center"/>
          </w:tcPr>
          <w:p w14:paraId="52CAE826">
            <w:pPr>
              <w:spacing w:line="360" w:lineRule="auto"/>
              <w:rPr>
                <w:rFonts w:hint="eastAsia" w:ascii="宋体" w:hAnsi="宋体" w:cs="宋体"/>
                <w:color w:val="auto"/>
                <w:szCs w:val="21"/>
                <w:highlight w:val="none"/>
              </w:rPr>
            </w:pPr>
          </w:p>
        </w:tc>
      </w:tr>
      <w:tr w14:paraId="28E2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195E24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37" w:type="dxa"/>
            <w:tcBorders>
              <w:top w:val="single" w:color="auto" w:sz="4" w:space="0"/>
              <w:left w:val="single" w:color="auto" w:sz="4" w:space="0"/>
              <w:bottom w:val="single" w:color="auto" w:sz="4" w:space="0"/>
              <w:right w:val="single" w:color="auto" w:sz="4" w:space="0"/>
            </w:tcBorders>
            <w:vAlign w:val="center"/>
          </w:tcPr>
          <w:p w14:paraId="4B9CDE2E">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5C045C8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E5EB4B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48564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C22D4A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451C5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95CB78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FA91C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BB7A5A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5A1AFB">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EC9F503">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4C94829">
            <w:pPr>
              <w:spacing w:line="360" w:lineRule="auto"/>
              <w:rPr>
                <w:rFonts w:hint="eastAsia" w:ascii="宋体" w:hAnsi="宋体" w:cs="宋体"/>
                <w:color w:val="auto"/>
                <w:szCs w:val="21"/>
                <w:highlight w:val="none"/>
              </w:rPr>
            </w:pPr>
          </w:p>
        </w:tc>
      </w:tr>
      <w:tr w14:paraId="7A0B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05CF99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37" w:type="dxa"/>
            <w:tcBorders>
              <w:top w:val="single" w:color="auto" w:sz="4" w:space="0"/>
              <w:left w:val="single" w:color="auto" w:sz="4" w:space="0"/>
              <w:bottom w:val="single" w:color="auto" w:sz="4" w:space="0"/>
              <w:right w:val="single" w:color="auto" w:sz="4" w:space="0"/>
            </w:tcBorders>
            <w:vAlign w:val="center"/>
          </w:tcPr>
          <w:p w14:paraId="083391A4">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D66E89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FF5C28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35389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EC900D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3278A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B4C484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87DDE4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C527D4">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95C84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314AF2">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815091F">
            <w:pPr>
              <w:spacing w:line="360" w:lineRule="auto"/>
              <w:rPr>
                <w:rFonts w:hint="eastAsia" w:ascii="宋体" w:hAnsi="宋体" w:cs="宋体"/>
                <w:color w:val="auto"/>
                <w:szCs w:val="21"/>
                <w:highlight w:val="none"/>
              </w:rPr>
            </w:pPr>
          </w:p>
        </w:tc>
      </w:tr>
      <w:tr w14:paraId="78C2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2D838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37" w:type="dxa"/>
            <w:tcBorders>
              <w:top w:val="single" w:color="auto" w:sz="4" w:space="0"/>
              <w:left w:val="single" w:color="auto" w:sz="4" w:space="0"/>
              <w:bottom w:val="single" w:color="auto" w:sz="4" w:space="0"/>
              <w:right w:val="single" w:color="auto" w:sz="4" w:space="0"/>
            </w:tcBorders>
            <w:vAlign w:val="center"/>
          </w:tcPr>
          <w:p w14:paraId="2ABB2BDE">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698EAB2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147F5C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0AC45C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BFED55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A4C2F5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7C125A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7CE339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C9ECD7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3E7B9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F176263">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F263B6A">
            <w:pPr>
              <w:spacing w:line="360" w:lineRule="auto"/>
              <w:rPr>
                <w:rFonts w:hint="eastAsia" w:ascii="宋体" w:hAnsi="宋体" w:cs="宋体"/>
                <w:color w:val="auto"/>
                <w:szCs w:val="21"/>
                <w:highlight w:val="none"/>
              </w:rPr>
            </w:pPr>
          </w:p>
        </w:tc>
      </w:tr>
      <w:tr w14:paraId="2791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51442A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37" w:type="dxa"/>
            <w:tcBorders>
              <w:top w:val="single" w:color="auto" w:sz="4" w:space="0"/>
              <w:left w:val="single" w:color="auto" w:sz="4" w:space="0"/>
              <w:bottom w:val="single" w:color="auto" w:sz="4" w:space="0"/>
              <w:right w:val="single" w:color="auto" w:sz="4" w:space="0"/>
            </w:tcBorders>
            <w:vAlign w:val="center"/>
          </w:tcPr>
          <w:p w14:paraId="3F293582">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2AF69EA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2326CF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8B7EA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986794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6E66916">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5A4CD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433B8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550BA2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028F3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E3DD0A1">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479968A">
            <w:pPr>
              <w:spacing w:line="360" w:lineRule="auto"/>
              <w:rPr>
                <w:rFonts w:hint="eastAsia" w:ascii="宋体" w:hAnsi="宋体" w:cs="宋体"/>
                <w:color w:val="auto"/>
                <w:szCs w:val="21"/>
                <w:highlight w:val="none"/>
              </w:rPr>
            </w:pPr>
          </w:p>
        </w:tc>
      </w:tr>
    </w:tbl>
    <w:p w14:paraId="03E399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评委签名：</w:t>
      </w:r>
    </w:p>
    <w:p w14:paraId="4D71A04B">
      <w:pPr>
        <w:pStyle w:val="4"/>
        <w:tabs>
          <w:tab w:val="right" w:leader="dot" w:pos="9060"/>
        </w:tabs>
        <w:spacing w:line="360" w:lineRule="auto"/>
        <w:jc w:val="left"/>
        <w:rPr>
          <w:rFonts w:hint="eastAsia"/>
          <w:color w:val="auto"/>
          <w:sz w:val="36"/>
          <w:szCs w:val="36"/>
          <w:highlight w:val="none"/>
        </w:rPr>
        <w:sectPr>
          <w:pgSz w:w="16838" w:h="11906" w:orient="landscape"/>
          <w:pgMar w:top="1080" w:right="1440" w:bottom="1080" w:left="1440" w:header="850" w:footer="992" w:gutter="0"/>
          <w:cols w:space="0" w:num="1"/>
          <w:docGrid w:type="lines" w:linePitch="317" w:charSpace="0"/>
        </w:sectPr>
      </w:pPr>
      <w:bookmarkStart w:id="42" w:name="_Toc22004"/>
    </w:p>
    <w:p w14:paraId="1B1F2A6D">
      <w:pPr>
        <w:pStyle w:val="4"/>
        <w:tabs>
          <w:tab w:val="right" w:leader="dot" w:pos="9060"/>
        </w:tabs>
        <w:spacing w:line="360" w:lineRule="auto"/>
        <w:jc w:val="left"/>
        <w:rPr>
          <w:rFonts w:hint="eastAsia"/>
          <w:b w:val="0"/>
          <w:color w:val="auto"/>
          <w:szCs w:val="18"/>
          <w:highlight w:val="none"/>
        </w:rPr>
      </w:pPr>
      <w:bookmarkStart w:id="43" w:name="_Toc1155"/>
      <w:r>
        <w:rPr>
          <w:rFonts w:hint="eastAsia"/>
          <w:color w:val="auto"/>
          <w:highlight w:val="none"/>
        </w:rPr>
        <w:t>附表六</w:t>
      </w:r>
      <w:bookmarkEnd w:id="37"/>
      <w:bookmarkEnd w:id="38"/>
      <w:bookmarkEnd w:id="39"/>
      <w:bookmarkEnd w:id="40"/>
      <w:bookmarkEnd w:id="41"/>
      <w:bookmarkEnd w:id="42"/>
      <w:bookmarkEnd w:id="43"/>
    </w:p>
    <w:p w14:paraId="15AB4E86">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67F023A0">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33"/>
        <w:tblW w:w="4998" w:type="pct"/>
        <w:tblInd w:w="0" w:type="dxa"/>
        <w:tblLayout w:type="autofit"/>
        <w:tblCellMar>
          <w:top w:w="0" w:type="dxa"/>
          <w:left w:w="108" w:type="dxa"/>
          <w:bottom w:w="0" w:type="dxa"/>
          <w:right w:w="108" w:type="dxa"/>
        </w:tblCellMar>
      </w:tblPr>
      <w:tblGrid>
        <w:gridCol w:w="456"/>
        <w:gridCol w:w="2662"/>
        <w:gridCol w:w="828"/>
        <w:gridCol w:w="811"/>
        <w:gridCol w:w="1896"/>
        <w:gridCol w:w="743"/>
        <w:gridCol w:w="2013"/>
      </w:tblGrid>
      <w:tr w14:paraId="3C5476B0">
        <w:tblPrEx>
          <w:tblCellMar>
            <w:top w:w="0" w:type="dxa"/>
            <w:left w:w="108" w:type="dxa"/>
            <w:bottom w:w="0" w:type="dxa"/>
            <w:right w:w="108" w:type="dxa"/>
          </w:tblCellMar>
        </w:tblPrEx>
        <w:trPr>
          <w:trHeight w:val="705" w:hRule="atLeast"/>
        </w:trPr>
        <w:tc>
          <w:tcPr>
            <w:tcW w:w="217" w:type="pct"/>
            <w:tcBorders>
              <w:top w:val="single" w:color="auto" w:sz="4" w:space="0"/>
              <w:left w:val="single" w:color="auto" w:sz="4" w:space="0"/>
              <w:bottom w:val="single" w:color="auto" w:sz="4" w:space="0"/>
              <w:right w:val="single" w:color="auto" w:sz="4" w:space="0"/>
            </w:tcBorders>
            <w:vAlign w:val="center"/>
          </w:tcPr>
          <w:p w14:paraId="02938CC4">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编号</w:t>
            </w:r>
          </w:p>
        </w:tc>
        <w:tc>
          <w:tcPr>
            <w:tcW w:w="1514" w:type="pct"/>
            <w:tcBorders>
              <w:top w:val="single" w:color="auto" w:sz="4" w:space="0"/>
              <w:left w:val="nil"/>
              <w:bottom w:val="single" w:color="auto" w:sz="4" w:space="0"/>
              <w:right w:val="single" w:color="auto" w:sz="4" w:space="0"/>
            </w:tcBorders>
            <w:vAlign w:val="center"/>
          </w:tcPr>
          <w:p w14:paraId="718BF44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算术校核项目</w:t>
            </w:r>
          </w:p>
        </w:tc>
        <w:tc>
          <w:tcPr>
            <w:tcW w:w="540" w:type="pct"/>
            <w:tcBorders>
              <w:top w:val="single" w:color="auto" w:sz="4" w:space="0"/>
              <w:left w:val="nil"/>
              <w:bottom w:val="single" w:color="auto" w:sz="4" w:space="0"/>
              <w:right w:val="single" w:color="auto" w:sz="4" w:space="0"/>
            </w:tcBorders>
            <w:vAlign w:val="center"/>
          </w:tcPr>
          <w:p w14:paraId="2127F13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修正前投标</w:t>
            </w:r>
          </w:p>
          <w:p w14:paraId="145C864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报价A</w:t>
            </w:r>
          </w:p>
        </w:tc>
        <w:tc>
          <w:tcPr>
            <w:tcW w:w="531" w:type="pct"/>
            <w:tcBorders>
              <w:top w:val="single" w:color="auto" w:sz="4" w:space="0"/>
              <w:left w:val="nil"/>
              <w:bottom w:val="single" w:color="auto" w:sz="4" w:space="0"/>
              <w:right w:val="single" w:color="auto" w:sz="4" w:space="0"/>
            </w:tcBorders>
            <w:vAlign w:val="center"/>
          </w:tcPr>
          <w:p w14:paraId="3C98CC81">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修正后投标</w:t>
            </w:r>
          </w:p>
          <w:p w14:paraId="4CEA41D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报价B</w:t>
            </w:r>
          </w:p>
        </w:tc>
        <w:tc>
          <w:tcPr>
            <w:tcW w:w="531" w:type="pct"/>
            <w:tcBorders>
              <w:top w:val="single" w:color="auto" w:sz="4" w:space="0"/>
              <w:left w:val="nil"/>
              <w:bottom w:val="single" w:color="auto" w:sz="4" w:space="0"/>
              <w:right w:val="single" w:color="auto" w:sz="4" w:space="0"/>
            </w:tcBorders>
            <w:vAlign w:val="center"/>
          </w:tcPr>
          <w:p w14:paraId="51ED7C5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修正率</w:t>
            </w:r>
          </w:p>
          <w:p w14:paraId="1EC7491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r=|A-B|/A*100%</w:t>
            </w:r>
          </w:p>
        </w:tc>
        <w:tc>
          <w:tcPr>
            <w:tcW w:w="495" w:type="pct"/>
            <w:tcBorders>
              <w:top w:val="single" w:color="auto" w:sz="4" w:space="0"/>
              <w:left w:val="nil"/>
              <w:bottom w:val="single" w:color="auto" w:sz="4" w:space="0"/>
              <w:right w:val="single" w:color="auto" w:sz="4" w:space="0"/>
            </w:tcBorders>
            <w:vAlign w:val="center"/>
          </w:tcPr>
          <w:p w14:paraId="5E4C593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经评审的最终投标报价</w:t>
            </w:r>
          </w:p>
        </w:tc>
        <w:tc>
          <w:tcPr>
            <w:tcW w:w="1169" w:type="pct"/>
            <w:tcBorders>
              <w:top w:val="single" w:color="auto" w:sz="4" w:space="0"/>
              <w:left w:val="nil"/>
              <w:bottom w:val="single" w:color="auto" w:sz="4" w:space="0"/>
              <w:right w:val="single" w:color="auto" w:sz="4" w:space="0"/>
            </w:tcBorders>
            <w:vAlign w:val="center"/>
          </w:tcPr>
          <w:p w14:paraId="3206721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当B&gt;A时，修正后报价与原报价的差额；当B≤A时,R=0</w:t>
            </w:r>
          </w:p>
        </w:tc>
      </w:tr>
      <w:tr w14:paraId="620A987D">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0F5A019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514" w:type="pct"/>
            <w:tcBorders>
              <w:top w:val="nil"/>
              <w:left w:val="nil"/>
              <w:bottom w:val="single" w:color="auto" w:sz="4" w:space="0"/>
              <w:right w:val="single" w:color="auto" w:sz="4" w:space="0"/>
            </w:tcBorders>
            <w:vAlign w:val="center"/>
          </w:tcPr>
          <w:p w14:paraId="0AFC2540">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540" w:type="pct"/>
            <w:tcBorders>
              <w:top w:val="nil"/>
              <w:left w:val="nil"/>
              <w:bottom w:val="single" w:color="auto" w:sz="4" w:space="0"/>
              <w:right w:val="single" w:color="auto" w:sz="4" w:space="0"/>
            </w:tcBorders>
            <w:vAlign w:val="center"/>
          </w:tcPr>
          <w:p w14:paraId="062DB37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224B6E7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42D9C3F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373EBFE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7D55DCF5">
            <w:pPr>
              <w:spacing w:line="360" w:lineRule="auto"/>
              <w:rPr>
                <w:rFonts w:hint="eastAsia" w:ascii="宋体" w:hAnsi="宋体" w:cs="宋体"/>
                <w:color w:val="auto"/>
                <w:kern w:val="0"/>
                <w:szCs w:val="21"/>
                <w:highlight w:val="none"/>
              </w:rPr>
            </w:pPr>
          </w:p>
        </w:tc>
      </w:tr>
      <w:tr w14:paraId="1CF8C3AB">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4B88EC6B">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14" w:type="pct"/>
            <w:tcBorders>
              <w:top w:val="nil"/>
              <w:left w:val="nil"/>
              <w:bottom w:val="single" w:color="auto" w:sz="4" w:space="0"/>
              <w:right w:val="single" w:color="auto" w:sz="4" w:space="0"/>
            </w:tcBorders>
            <w:vAlign w:val="center"/>
          </w:tcPr>
          <w:p w14:paraId="5EE2AC1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540" w:type="pct"/>
            <w:tcBorders>
              <w:top w:val="nil"/>
              <w:left w:val="nil"/>
              <w:bottom w:val="single" w:color="auto" w:sz="4" w:space="0"/>
              <w:right w:val="single" w:color="auto" w:sz="4" w:space="0"/>
            </w:tcBorders>
            <w:vAlign w:val="center"/>
          </w:tcPr>
          <w:p w14:paraId="38F206A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37F5923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62F6997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2969B25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56EB53C0">
            <w:pPr>
              <w:spacing w:line="360" w:lineRule="auto"/>
              <w:rPr>
                <w:rFonts w:hint="eastAsia" w:ascii="宋体" w:hAnsi="宋体" w:cs="宋体"/>
                <w:color w:val="auto"/>
                <w:kern w:val="0"/>
                <w:szCs w:val="21"/>
                <w:highlight w:val="none"/>
              </w:rPr>
            </w:pPr>
          </w:p>
        </w:tc>
      </w:tr>
      <w:tr w14:paraId="2B670F47">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0E77459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vAlign w:val="center"/>
          </w:tcPr>
          <w:p w14:paraId="10B4D2B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vAlign w:val="center"/>
          </w:tcPr>
          <w:p w14:paraId="0403DCA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2334619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2B90817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61C2D6F7">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0ABDB8CC">
            <w:pPr>
              <w:spacing w:line="360" w:lineRule="auto"/>
              <w:rPr>
                <w:rFonts w:hint="eastAsia" w:ascii="宋体" w:hAnsi="宋体" w:cs="宋体"/>
                <w:color w:val="auto"/>
                <w:kern w:val="0"/>
                <w:szCs w:val="21"/>
                <w:highlight w:val="none"/>
              </w:rPr>
            </w:pPr>
          </w:p>
        </w:tc>
      </w:tr>
      <w:tr w14:paraId="00B73C1F">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2BC1CDD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vAlign w:val="center"/>
          </w:tcPr>
          <w:p w14:paraId="4503848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vAlign w:val="center"/>
          </w:tcPr>
          <w:p w14:paraId="330028C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282A20A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733495B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43616E6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0BD4E08D">
            <w:pPr>
              <w:spacing w:line="360" w:lineRule="auto"/>
              <w:rPr>
                <w:rFonts w:hint="eastAsia" w:ascii="宋体" w:hAnsi="宋体" w:cs="宋体"/>
                <w:color w:val="auto"/>
                <w:kern w:val="0"/>
                <w:szCs w:val="21"/>
                <w:highlight w:val="none"/>
              </w:rPr>
            </w:pPr>
          </w:p>
        </w:tc>
      </w:tr>
      <w:tr w14:paraId="01562226">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108A1BE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vAlign w:val="center"/>
          </w:tcPr>
          <w:p w14:paraId="1D5D0799">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vAlign w:val="center"/>
          </w:tcPr>
          <w:p w14:paraId="14F92AA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35E6DF8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751990AC">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70D0042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773D2F8D">
            <w:pPr>
              <w:spacing w:line="360" w:lineRule="auto"/>
              <w:rPr>
                <w:rFonts w:hint="eastAsia" w:ascii="宋体" w:hAnsi="宋体" w:cs="宋体"/>
                <w:color w:val="auto"/>
                <w:kern w:val="0"/>
                <w:szCs w:val="21"/>
                <w:highlight w:val="none"/>
              </w:rPr>
            </w:pPr>
          </w:p>
        </w:tc>
      </w:tr>
      <w:tr w14:paraId="460557EA">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6068AAE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1514" w:type="pct"/>
            <w:tcBorders>
              <w:top w:val="nil"/>
              <w:left w:val="nil"/>
              <w:bottom w:val="single" w:color="auto" w:sz="4" w:space="0"/>
              <w:right w:val="single" w:color="auto" w:sz="4" w:space="0"/>
            </w:tcBorders>
            <w:vAlign w:val="center"/>
          </w:tcPr>
          <w:p w14:paraId="2A71220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540" w:type="pct"/>
            <w:tcBorders>
              <w:top w:val="nil"/>
              <w:left w:val="nil"/>
              <w:bottom w:val="single" w:color="auto" w:sz="4" w:space="0"/>
              <w:right w:val="single" w:color="auto" w:sz="4" w:space="0"/>
            </w:tcBorders>
            <w:vAlign w:val="center"/>
          </w:tcPr>
          <w:p w14:paraId="51326D9C">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16A3CD1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24FEE56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61B2C32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21F4C3B9">
            <w:pPr>
              <w:spacing w:line="360" w:lineRule="auto"/>
              <w:rPr>
                <w:rFonts w:hint="eastAsia" w:ascii="宋体" w:hAnsi="宋体" w:cs="宋体"/>
                <w:color w:val="auto"/>
                <w:kern w:val="0"/>
                <w:szCs w:val="21"/>
                <w:highlight w:val="none"/>
              </w:rPr>
            </w:pPr>
          </w:p>
        </w:tc>
      </w:tr>
      <w:tr w14:paraId="608909A2">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vAlign w:val="center"/>
          </w:tcPr>
          <w:p w14:paraId="560A7F5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vAlign w:val="center"/>
          </w:tcPr>
          <w:p w14:paraId="6BC392C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540" w:type="pct"/>
            <w:tcBorders>
              <w:top w:val="nil"/>
              <w:left w:val="nil"/>
              <w:bottom w:val="single" w:color="auto" w:sz="4" w:space="0"/>
              <w:right w:val="single" w:color="auto" w:sz="4" w:space="0"/>
            </w:tcBorders>
            <w:vAlign w:val="center"/>
          </w:tcPr>
          <w:p w14:paraId="48E1DCC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vAlign w:val="center"/>
          </w:tcPr>
          <w:p w14:paraId="1BDF1F5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r2bl w:val="single" w:color="auto" w:sz="4" w:space="0"/>
            </w:tcBorders>
            <w:vAlign w:val="center"/>
          </w:tcPr>
          <w:p w14:paraId="59C2727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vAlign w:val="center"/>
          </w:tcPr>
          <w:p w14:paraId="13AF51D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vAlign w:val="center"/>
          </w:tcPr>
          <w:p w14:paraId="47E2BD6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0443774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2B448A9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p>
    <w:p w14:paraId="7F854626">
      <w:pPr>
        <w:spacing w:line="360" w:lineRule="auto"/>
        <w:rPr>
          <w:rFonts w:hint="eastAsia" w:ascii="宋体" w:hAnsi="宋体" w:cs="宋体"/>
          <w:color w:val="auto"/>
          <w:highlight w:val="none"/>
        </w:rPr>
      </w:pPr>
    </w:p>
    <w:p w14:paraId="36E11FB5">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758A3EFD">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39F60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25"/>
        <w:gridCol w:w="1516"/>
        <w:gridCol w:w="2028"/>
        <w:gridCol w:w="2392"/>
      </w:tblGrid>
      <w:tr w14:paraId="3DBC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0" w:type="pct"/>
            <w:tcBorders>
              <w:top w:val="single" w:color="auto" w:sz="4" w:space="0"/>
              <w:left w:val="single" w:color="auto" w:sz="4" w:space="0"/>
              <w:bottom w:val="single" w:color="auto" w:sz="4" w:space="0"/>
              <w:right w:val="single" w:color="auto" w:sz="4" w:space="0"/>
            </w:tcBorders>
            <w:vAlign w:val="center"/>
          </w:tcPr>
          <w:p w14:paraId="244F94DF">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vAlign w:val="center"/>
          </w:tcPr>
          <w:p w14:paraId="1C0EF0CD">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vAlign w:val="center"/>
          </w:tcPr>
          <w:p w14:paraId="0438AE62">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vAlign w:val="center"/>
          </w:tcPr>
          <w:p w14:paraId="0D86AB2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vAlign w:val="center"/>
          </w:tcPr>
          <w:p w14:paraId="026026C6">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0A70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77B959DB">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CB92AF6">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6B1D159">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6EB8FCB9">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49C44AA7">
            <w:pPr>
              <w:spacing w:line="360" w:lineRule="auto"/>
              <w:rPr>
                <w:rFonts w:hint="eastAsia" w:ascii="宋体" w:hAnsi="宋体" w:cs="宋体"/>
                <w:color w:val="auto"/>
                <w:sz w:val="36"/>
                <w:szCs w:val="36"/>
                <w:highlight w:val="none"/>
              </w:rPr>
            </w:pPr>
          </w:p>
        </w:tc>
      </w:tr>
      <w:tr w14:paraId="7F53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25C86589">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3EBF6BD">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E656C74">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3FE7607">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0402ED39">
            <w:pPr>
              <w:spacing w:line="360" w:lineRule="auto"/>
              <w:rPr>
                <w:rFonts w:hint="eastAsia" w:ascii="宋体" w:hAnsi="宋体" w:cs="宋体"/>
                <w:color w:val="auto"/>
                <w:sz w:val="36"/>
                <w:szCs w:val="36"/>
                <w:highlight w:val="none"/>
              </w:rPr>
            </w:pPr>
          </w:p>
        </w:tc>
      </w:tr>
      <w:tr w14:paraId="456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3A02863B">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DE4602D">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D4A508E">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700FF85">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7C578A66">
            <w:pPr>
              <w:spacing w:line="360" w:lineRule="auto"/>
              <w:rPr>
                <w:rFonts w:hint="eastAsia" w:ascii="宋体" w:hAnsi="宋体" w:cs="宋体"/>
                <w:color w:val="auto"/>
                <w:sz w:val="36"/>
                <w:szCs w:val="36"/>
                <w:highlight w:val="none"/>
              </w:rPr>
            </w:pPr>
          </w:p>
        </w:tc>
      </w:tr>
      <w:tr w14:paraId="101C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tcPr>
          <w:p w14:paraId="5C1EB3C3">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20E317CF">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43151D1E">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1C0AD53A">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66A2D6ED">
            <w:pPr>
              <w:spacing w:line="360" w:lineRule="auto"/>
              <w:rPr>
                <w:rFonts w:hint="eastAsia" w:ascii="宋体" w:hAnsi="宋体" w:cs="宋体"/>
                <w:color w:val="auto"/>
                <w:sz w:val="36"/>
                <w:szCs w:val="36"/>
                <w:highlight w:val="none"/>
              </w:rPr>
            </w:pPr>
          </w:p>
        </w:tc>
      </w:tr>
      <w:tr w14:paraId="3875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26BDFA6E">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613D2660">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1F6179B">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58F449E8">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2EC436C1">
            <w:pPr>
              <w:spacing w:line="360" w:lineRule="auto"/>
              <w:rPr>
                <w:rFonts w:hint="eastAsia" w:ascii="宋体" w:hAnsi="宋体" w:cs="宋体"/>
                <w:color w:val="auto"/>
                <w:sz w:val="36"/>
                <w:szCs w:val="36"/>
                <w:highlight w:val="none"/>
              </w:rPr>
            </w:pPr>
          </w:p>
        </w:tc>
      </w:tr>
      <w:tr w14:paraId="2B0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0A65DADE">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08A34C5">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1170CEF">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C57FC79">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567D967B">
            <w:pPr>
              <w:spacing w:line="360" w:lineRule="auto"/>
              <w:rPr>
                <w:rFonts w:hint="eastAsia" w:ascii="宋体" w:hAnsi="宋体" w:cs="宋体"/>
                <w:color w:val="auto"/>
                <w:sz w:val="36"/>
                <w:szCs w:val="36"/>
                <w:highlight w:val="none"/>
              </w:rPr>
            </w:pPr>
          </w:p>
        </w:tc>
      </w:tr>
      <w:tr w14:paraId="3439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 w:type="pct"/>
            <w:tcBorders>
              <w:top w:val="single" w:color="auto" w:sz="4" w:space="0"/>
              <w:left w:val="single" w:color="auto" w:sz="4" w:space="0"/>
              <w:bottom w:val="single" w:color="auto" w:sz="4" w:space="0"/>
              <w:right w:val="single" w:color="auto" w:sz="4" w:space="0"/>
            </w:tcBorders>
          </w:tcPr>
          <w:p w14:paraId="26C5BA7D">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A901439">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46474C5">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2CE08DE6">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3DB06C59">
            <w:pPr>
              <w:spacing w:line="360" w:lineRule="auto"/>
              <w:rPr>
                <w:rFonts w:hint="eastAsia" w:ascii="宋体" w:hAnsi="宋体" w:cs="宋体"/>
                <w:color w:val="auto"/>
                <w:sz w:val="36"/>
                <w:szCs w:val="36"/>
                <w:highlight w:val="none"/>
              </w:rPr>
            </w:pPr>
          </w:p>
        </w:tc>
      </w:tr>
      <w:tr w14:paraId="301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19ACE905">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9743644">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1A529331">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6CE57306">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397A9E2C">
            <w:pPr>
              <w:spacing w:line="360" w:lineRule="auto"/>
              <w:rPr>
                <w:rFonts w:hint="eastAsia" w:ascii="宋体" w:hAnsi="宋体" w:cs="宋体"/>
                <w:color w:val="auto"/>
                <w:sz w:val="36"/>
                <w:szCs w:val="36"/>
                <w:highlight w:val="none"/>
              </w:rPr>
            </w:pPr>
          </w:p>
        </w:tc>
      </w:tr>
    </w:tbl>
    <w:p w14:paraId="5D70110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评委签名：</w:t>
      </w:r>
    </w:p>
    <w:p w14:paraId="42F0878F">
      <w:pPr>
        <w:ind w:firstLine="420"/>
        <w:rPr>
          <w:rFonts w:hint="eastAsia" w:ascii="宋体" w:hAnsi="宋体" w:cs="宋体"/>
          <w:color w:val="auto"/>
          <w:sz w:val="24"/>
          <w:szCs w:val="24"/>
          <w:highlight w:val="none"/>
        </w:rPr>
        <w:sectPr>
          <w:footerReference r:id="rId13" w:type="default"/>
          <w:pgSz w:w="11907" w:h="16840"/>
          <w:pgMar w:top="1440" w:right="1270" w:bottom="1440" w:left="1440" w:header="851" w:footer="992" w:gutter="0"/>
          <w:cols w:space="720" w:num="1"/>
          <w:docGrid w:type="lines" w:linePitch="312" w:charSpace="0"/>
        </w:sectPr>
      </w:pPr>
    </w:p>
    <w:p w14:paraId="34F381CD">
      <w:pPr>
        <w:ind w:firstLine="420"/>
        <w:rPr>
          <w:rFonts w:hint="eastAsia" w:ascii="宋体" w:hAnsi="宋体" w:cs="宋体"/>
          <w:b/>
          <w:color w:val="auto"/>
          <w:szCs w:val="21"/>
          <w:highlight w:val="none"/>
        </w:rPr>
      </w:pPr>
      <w:r>
        <w:rPr>
          <w:rFonts w:hint="eastAsia" w:ascii="宋体" w:hAnsi="宋体" w:cs="宋体"/>
          <w:color w:val="auto"/>
          <w:sz w:val="24"/>
          <w:szCs w:val="24"/>
          <w:highlight w:val="none"/>
        </w:rPr>
        <w:t>附表七</w:t>
      </w:r>
    </w:p>
    <w:p w14:paraId="7CC762B8">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定标因素表（定标阶段用表）</w:t>
      </w:r>
    </w:p>
    <w:p w14:paraId="08233777">
      <w:pPr>
        <w:jc w:val="left"/>
        <w:rPr>
          <w:rFonts w:hint="eastAsia" w:ascii="宋体" w:hAnsi="宋体" w:cs="宋体"/>
          <w:color w:val="auto"/>
          <w:szCs w:val="21"/>
          <w:highlight w:val="none"/>
        </w:rPr>
      </w:pPr>
    </w:p>
    <w:p w14:paraId="4A138534">
      <w:pPr>
        <w:jc w:val="left"/>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3"/>
        <w:tblW w:w="13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68"/>
        <w:gridCol w:w="955"/>
        <w:gridCol w:w="10331"/>
      </w:tblGrid>
      <w:tr w14:paraId="0332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7734610F">
            <w:pPr>
              <w:jc w:val="center"/>
              <w:rPr>
                <w:rFonts w:ascii="宋体" w:hAnsi="宋体" w:eastAsia="宋体" w:cs="宋体"/>
              </w:rPr>
            </w:pPr>
            <w:bookmarkStart w:id="44" w:name="_Toc30086"/>
            <w:bookmarkStart w:id="45" w:name="_Toc2272566"/>
            <w:bookmarkStart w:id="46" w:name="_Toc17136"/>
            <w:bookmarkStart w:id="47" w:name="_Toc14241"/>
            <w:bookmarkStart w:id="48" w:name="_Toc18827"/>
            <w:bookmarkStart w:id="49" w:name="_Toc18258"/>
            <w:bookmarkStart w:id="50" w:name="_Toc14742"/>
            <w:bookmarkStart w:id="51" w:name="_Toc17243"/>
            <w:bookmarkStart w:id="52" w:name="_Toc26863"/>
            <w:bookmarkStart w:id="53" w:name="_Toc1962"/>
            <w:r>
              <w:rPr>
                <w:rFonts w:hint="eastAsia" w:ascii="宋体" w:hAnsi="宋体" w:eastAsia="宋体" w:cs="宋体"/>
              </w:rPr>
              <w:t>序号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5ABCF602">
            <w:pPr>
              <w:jc w:val="center"/>
              <w:rPr>
                <w:rFonts w:ascii="宋体" w:hAnsi="宋体" w:eastAsia="宋体" w:cs="宋体"/>
              </w:rPr>
            </w:pPr>
            <w:r>
              <w:rPr>
                <w:rFonts w:hint="eastAsia" w:ascii="宋体" w:hAnsi="宋体" w:eastAsia="宋体" w:cs="宋体"/>
                <w:color w:val="000000"/>
                <w:highlight w:val="none"/>
              </w:rPr>
              <w:t>定标因素</w:t>
            </w:r>
          </w:p>
        </w:tc>
        <w:tc>
          <w:tcPr>
            <w:tcW w:w="955" w:type="dxa"/>
            <w:tcBorders>
              <w:top w:val="single" w:color="auto" w:sz="4" w:space="0"/>
              <w:left w:val="single" w:color="auto" w:sz="4" w:space="0"/>
              <w:bottom w:val="single" w:color="auto" w:sz="4" w:space="0"/>
              <w:right w:val="single" w:color="auto" w:sz="4" w:space="0"/>
            </w:tcBorders>
            <w:noWrap/>
            <w:vAlign w:val="center"/>
          </w:tcPr>
          <w:p w14:paraId="3C7BB0FA">
            <w:pPr>
              <w:jc w:val="center"/>
              <w:rPr>
                <w:rFonts w:hint="eastAsia" w:ascii="宋体" w:hAnsi="宋体" w:eastAsia="宋体" w:cs="宋体"/>
                <w:lang w:val="en-US" w:eastAsia="zh-CN"/>
              </w:rPr>
            </w:pPr>
            <w:r>
              <w:rPr>
                <w:rFonts w:hint="eastAsia" w:ascii="宋体" w:hAnsi="宋体" w:eastAsia="宋体" w:cs="宋体"/>
                <w:lang w:val="en-US" w:eastAsia="zh-CN"/>
              </w:rPr>
              <w:t>分</w:t>
            </w:r>
            <w:r>
              <w:rPr>
                <w:rFonts w:hint="eastAsia" w:ascii="宋体" w:hAnsi="宋体" w:eastAsia="宋体" w:cs="宋体"/>
              </w:rPr>
              <w:t>值</w:t>
            </w:r>
          </w:p>
        </w:tc>
        <w:tc>
          <w:tcPr>
            <w:tcW w:w="10331" w:type="dxa"/>
            <w:tcBorders>
              <w:top w:val="single" w:color="auto" w:sz="4" w:space="0"/>
              <w:left w:val="single" w:color="auto" w:sz="4" w:space="0"/>
              <w:bottom w:val="single" w:color="auto" w:sz="4" w:space="0"/>
              <w:right w:val="single" w:color="auto" w:sz="4" w:space="0"/>
            </w:tcBorders>
            <w:noWrap/>
            <w:vAlign w:val="center"/>
          </w:tcPr>
          <w:p w14:paraId="7A6E7BA3">
            <w:pPr>
              <w:jc w:val="center"/>
              <w:rPr>
                <w:rFonts w:hint="eastAsia" w:ascii="宋体" w:hAnsi="宋体" w:eastAsia="宋体" w:cs="宋体"/>
              </w:rPr>
            </w:pPr>
            <w:r>
              <w:rPr>
                <w:rFonts w:hint="eastAsia" w:ascii="宋体" w:hAnsi="宋体" w:eastAsia="宋体" w:cs="宋体"/>
              </w:rPr>
              <w:t>定标评价的内容</w:t>
            </w:r>
          </w:p>
        </w:tc>
      </w:tr>
      <w:tr w14:paraId="7FD9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2" w:type="dxa"/>
            <w:vMerge w:val="restart"/>
            <w:tcBorders>
              <w:top w:val="single" w:color="auto" w:sz="4" w:space="0"/>
              <w:left w:val="single" w:color="auto" w:sz="4" w:space="0"/>
              <w:right w:val="single" w:color="auto" w:sz="4" w:space="0"/>
            </w:tcBorders>
            <w:noWrap/>
            <w:vAlign w:val="center"/>
          </w:tcPr>
          <w:p w14:paraId="1C58466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68" w:type="dxa"/>
            <w:vMerge w:val="restart"/>
            <w:tcBorders>
              <w:top w:val="single" w:color="auto" w:sz="4" w:space="0"/>
              <w:left w:val="single" w:color="auto" w:sz="4" w:space="0"/>
              <w:right w:val="single" w:color="auto" w:sz="4" w:space="0"/>
            </w:tcBorders>
            <w:noWrap/>
            <w:vAlign w:val="center"/>
          </w:tcPr>
          <w:p w14:paraId="49A8CD3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方案因素</w:t>
            </w:r>
          </w:p>
        </w:tc>
        <w:tc>
          <w:tcPr>
            <w:tcW w:w="955" w:type="dxa"/>
            <w:tcBorders>
              <w:top w:val="single" w:color="auto" w:sz="4" w:space="0"/>
              <w:left w:val="single" w:color="auto" w:sz="4" w:space="0"/>
              <w:bottom w:val="single" w:color="auto" w:sz="4" w:space="0"/>
              <w:right w:val="single" w:color="auto" w:sz="4" w:space="0"/>
            </w:tcBorders>
            <w:noWrap/>
            <w:vAlign w:val="center"/>
          </w:tcPr>
          <w:p w14:paraId="232901B5">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2C067E11">
            <w:pPr>
              <w:pStyle w:val="18"/>
              <w:adjustRightInd w:val="0"/>
              <w:snapToGrid w:val="0"/>
              <w:spacing w:line="276" w:lineRule="auto"/>
              <w:rPr>
                <w:rFonts w:hAnsi="宋体" w:cs="宋体"/>
                <w:color w:val="000000" w:themeColor="text1"/>
                <w:sz w:val="24"/>
                <w:szCs w:val="24"/>
                <w:shd w:val="clear" w:color="auto" w:fill="FFFFFF"/>
                <w14:textFill>
                  <w14:solidFill>
                    <w14:schemeClr w14:val="tx1"/>
                  </w14:solidFill>
                </w14:textFill>
              </w:rPr>
            </w:pPr>
            <w:r>
              <w:rPr>
                <w:rFonts w:hint="eastAsia" w:hAnsi="宋体" w:cs="宋体"/>
                <w:color w:val="000000" w:themeColor="text1"/>
                <w:sz w:val="24"/>
                <w:szCs w:val="24"/>
                <w:shd w:val="clear" w:color="auto" w:fill="FFFFFF"/>
                <w:lang w:val="zh-CN"/>
                <w14:textFill>
                  <w14:solidFill>
                    <w14:schemeClr w14:val="tx1"/>
                  </w14:solidFill>
                </w14:textFill>
              </w:rPr>
              <w:t>对</w:t>
            </w:r>
            <w:r>
              <w:rPr>
                <w:rFonts w:hint="eastAsia" w:hAnsi="宋体" w:cs="宋体"/>
                <w:color w:val="000000" w:themeColor="text1"/>
                <w:sz w:val="24"/>
                <w:szCs w:val="24"/>
                <w:shd w:val="clear" w:color="auto" w:fill="FFFFFF"/>
                <w:lang w:val="en-US" w:eastAsia="zh-CN"/>
                <w14:textFill>
                  <w14:solidFill>
                    <w14:schemeClr w14:val="tx1"/>
                  </w14:solidFill>
                </w14:textFill>
              </w:rPr>
              <w:t>合格的中标候选人提供的</w:t>
            </w:r>
            <w:r>
              <w:rPr>
                <w:rFonts w:hint="eastAsia" w:hAnsi="宋体" w:cs="宋体"/>
                <w:color w:val="000000" w:themeColor="text1"/>
                <w:sz w:val="24"/>
                <w:szCs w:val="24"/>
                <w:shd w:val="clear" w:color="auto" w:fill="FFFFFF"/>
                <w:lang w:val="zh-CN"/>
                <w14:textFill>
                  <w14:solidFill>
                    <w14:schemeClr w14:val="tx1"/>
                  </w14:solidFill>
                </w14:textFill>
              </w:rPr>
              <w:t>拟投入本项目的团队配置进行</w:t>
            </w:r>
            <w:r>
              <w:rPr>
                <w:rFonts w:hint="eastAsia" w:asciiTheme="minorEastAsia" w:hAnsiTheme="minorEastAsia" w:eastAsiaTheme="minorEastAsia" w:cstheme="minorEastAsia"/>
                <w:color w:val="auto"/>
                <w:sz w:val="24"/>
                <w:szCs w:val="24"/>
                <w:lang w:val="en-US" w:eastAsia="zh-CN"/>
              </w:rPr>
              <w:t>打分</w:t>
            </w:r>
            <w:r>
              <w:rPr>
                <w:rFonts w:hint="eastAsia" w:hAnsi="宋体" w:cs="宋体"/>
                <w:color w:val="000000" w:themeColor="text1"/>
                <w:sz w:val="24"/>
                <w:szCs w:val="24"/>
                <w:shd w:val="clear" w:color="auto" w:fill="FFFFFF"/>
                <w:lang w:val="zh-CN"/>
                <w14:textFill>
                  <w14:solidFill>
                    <w14:schemeClr w14:val="tx1"/>
                  </w14:solidFill>
                </w14:textFill>
              </w:rPr>
              <w:t>：</w:t>
            </w:r>
          </w:p>
          <w:p w14:paraId="482696E7">
            <w:pPr>
              <w:adjustRightInd w:val="0"/>
              <w:snapToGrid w:val="0"/>
              <w:spacing w:line="276" w:lineRule="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shd w:val="clear" w:color="auto" w:fill="FFFFFF"/>
                <w:lang w:val="zh-CN"/>
                <w14:textFill>
                  <w14:solidFill>
                    <w14:schemeClr w14:val="tx1"/>
                  </w14:solidFill>
                </w14:textFill>
              </w:rPr>
              <w:t>（团队配置应能体现投入充分满足项目需求的管理力量和技术力量，包括不限于：人员资质、专业匹配度、类似项目经验、团队稳定性等内容</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shd w:val="clear" w:color="auto" w:fill="FFFFFF"/>
                <w:lang w:val="zh-CN"/>
                <w14:textFill>
                  <w14:solidFill>
                    <w14:schemeClr w14:val="tx1"/>
                  </w14:solidFill>
                </w14:textFill>
              </w:rPr>
              <w:t>）</w:t>
            </w:r>
          </w:p>
          <w:p w14:paraId="33B75314">
            <w:pPr>
              <w:adjustRightInd w:val="0"/>
              <w:snapToGrid w:val="0"/>
              <w:spacing w:line="276" w:lineRule="auto"/>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zh-CN"/>
                <w14:textFill>
                  <w14:solidFill>
                    <w14:schemeClr w14:val="tx1"/>
                  </w14:solidFill>
                </w14:textFill>
              </w:rPr>
              <w:t>优得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分；良得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zh-CN"/>
                <w14:textFill>
                  <w14:solidFill>
                    <w14:schemeClr w14:val="tx1"/>
                  </w14:solidFill>
                </w14:textFill>
              </w:rPr>
              <w:t>中得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；差得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p>
          <w:p w14:paraId="50E56352">
            <w:pPr>
              <w:spacing w:line="300" w:lineRule="exact"/>
              <w:rPr>
                <w:rFonts w:hint="default" w:asciiTheme="minorEastAsia" w:hAnsiTheme="minorEastAsia" w:eastAsiaTheme="minorEastAsia" w:cstheme="minorEastAsia"/>
                <w:sz w:val="24"/>
                <w:szCs w:val="24"/>
                <w:lang w:val="en-US" w:eastAsia="zh-CN"/>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未提供不得分</w:t>
            </w:r>
            <w:r>
              <w:rPr>
                <w:rFonts w:hint="eastAsia" w:ascii="宋体" w:hAnsi="宋体" w:cs="宋体"/>
                <w:color w:val="000000" w:themeColor="text1"/>
                <w:sz w:val="24"/>
                <w:szCs w:val="24"/>
                <w:shd w:val="clear" w:color="auto" w:fill="FFFFFF"/>
                <w:lang w:val="zh-CN"/>
                <w14:textFill>
                  <w14:solidFill>
                    <w14:schemeClr w14:val="tx1"/>
                  </w14:solidFill>
                </w14:textFill>
              </w:rPr>
              <w:t>。</w:t>
            </w:r>
          </w:p>
        </w:tc>
      </w:tr>
      <w:tr w14:paraId="12D4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2" w:type="dxa"/>
            <w:vMerge w:val="continue"/>
            <w:tcBorders>
              <w:left w:val="single" w:color="auto" w:sz="4" w:space="0"/>
              <w:right w:val="single" w:color="auto" w:sz="4" w:space="0"/>
            </w:tcBorders>
            <w:noWrap/>
            <w:vAlign w:val="center"/>
          </w:tcPr>
          <w:p w14:paraId="4DABA3B5">
            <w:pPr>
              <w:spacing w:line="300" w:lineRule="exact"/>
            </w:pPr>
          </w:p>
        </w:tc>
        <w:tc>
          <w:tcPr>
            <w:tcW w:w="1568" w:type="dxa"/>
            <w:vMerge w:val="continue"/>
            <w:tcBorders>
              <w:left w:val="single" w:color="auto" w:sz="4" w:space="0"/>
              <w:right w:val="single" w:color="auto" w:sz="4" w:space="0"/>
            </w:tcBorders>
            <w:noWrap/>
            <w:vAlign w:val="center"/>
          </w:tcPr>
          <w:p w14:paraId="1E6AFB6C">
            <w:pPr>
              <w:spacing w:line="300" w:lineRule="exact"/>
            </w:pPr>
          </w:p>
        </w:tc>
        <w:tc>
          <w:tcPr>
            <w:tcW w:w="955" w:type="dxa"/>
            <w:tcBorders>
              <w:top w:val="single" w:color="auto" w:sz="4" w:space="0"/>
              <w:left w:val="single" w:color="auto" w:sz="4" w:space="0"/>
              <w:bottom w:val="single" w:color="auto" w:sz="4" w:space="0"/>
              <w:right w:val="single" w:color="auto" w:sz="4" w:space="0"/>
            </w:tcBorders>
            <w:noWrap/>
            <w:vAlign w:val="center"/>
          </w:tcPr>
          <w:p w14:paraId="26E820B3">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70C317CE">
            <w:pPr>
              <w:adjustRightInd w:val="0"/>
              <w:snapToGrid w:val="0"/>
              <w:spacing w:line="276" w:lineRule="auto"/>
              <w:rPr>
                <w:rFonts w:hint="eastAsia" w:hAnsi="宋体" w:cs="宋体"/>
                <w:color w:val="000000" w:themeColor="text1"/>
                <w:sz w:val="24"/>
                <w:szCs w:val="24"/>
                <w:shd w:val="clear" w:color="auto" w:fill="FFFFFF"/>
                <w:lang w:val="zh-CN"/>
                <w14:textFill>
                  <w14:solidFill>
                    <w14:schemeClr w14:val="tx1"/>
                  </w14:solidFill>
                </w14:textFill>
              </w:rPr>
            </w:pPr>
            <w:r>
              <w:rPr>
                <w:rFonts w:hint="eastAsia" w:hAnsi="宋体" w:cs="宋体"/>
                <w:color w:val="000000" w:themeColor="text1"/>
                <w:sz w:val="24"/>
                <w:szCs w:val="24"/>
                <w:shd w:val="clear" w:color="auto" w:fill="FFFFFF"/>
                <w:lang w:val="zh-CN"/>
                <w14:textFill>
                  <w14:solidFill>
                    <w14:schemeClr w14:val="tx1"/>
                  </w14:solidFill>
                </w14:textFill>
              </w:rPr>
              <w:t>对</w:t>
            </w:r>
            <w:r>
              <w:rPr>
                <w:rFonts w:hint="eastAsia" w:hAnsi="宋体" w:cs="宋体"/>
                <w:color w:val="000000" w:themeColor="text1"/>
                <w:sz w:val="24"/>
                <w:szCs w:val="24"/>
                <w:shd w:val="clear" w:color="auto" w:fill="FFFFFF"/>
                <w:lang w:val="en-US" w:eastAsia="zh-CN"/>
                <w14:textFill>
                  <w14:solidFill>
                    <w14:schemeClr w14:val="tx1"/>
                  </w14:solidFill>
                </w14:textFill>
              </w:rPr>
              <w:t>合格的中标候选人提供的</w:t>
            </w:r>
            <w:r>
              <w:rPr>
                <w:rFonts w:hint="eastAsia" w:asciiTheme="minorEastAsia" w:hAnsiTheme="minorEastAsia" w:eastAsiaTheme="minorEastAsia" w:cstheme="minorEastAsia"/>
                <w:sz w:val="24"/>
                <w:szCs w:val="24"/>
                <w:lang w:val="en-US" w:eastAsia="zh-CN"/>
              </w:rPr>
              <w:t>重点的保证措施</w:t>
            </w:r>
            <w:r>
              <w:rPr>
                <w:rFonts w:hint="eastAsia" w:hAnsi="宋体" w:cs="宋体"/>
                <w:color w:val="000000" w:themeColor="text1"/>
                <w:sz w:val="24"/>
                <w:szCs w:val="24"/>
                <w:shd w:val="clear" w:color="auto" w:fill="FFFFFF"/>
                <w:lang w:val="zh-CN"/>
                <w14:textFill>
                  <w14:solidFill>
                    <w14:schemeClr w14:val="tx1"/>
                  </w14:solidFill>
                </w14:textFill>
              </w:rPr>
              <w:t>进行</w:t>
            </w:r>
            <w:r>
              <w:rPr>
                <w:rFonts w:hint="eastAsia" w:asciiTheme="minorEastAsia" w:hAnsiTheme="minorEastAsia" w:eastAsiaTheme="minorEastAsia" w:cstheme="minorEastAsia"/>
                <w:color w:val="auto"/>
                <w:sz w:val="24"/>
                <w:szCs w:val="24"/>
                <w:lang w:val="en-US" w:eastAsia="zh-CN"/>
              </w:rPr>
              <w:t>打分</w:t>
            </w:r>
            <w:r>
              <w:rPr>
                <w:rFonts w:hint="eastAsia" w:hAnsi="宋体" w:cs="宋体"/>
                <w:color w:val="000000" w:themeColor="text1"/>
                <w:sz w:val="24"/>
                <w:szCs w:val="24"/>
                <w:shd w:val="clear" w:color="auto" w:fill="FFFFFF"/>
                <w:lang w:val="zh-CN"/>
                <w14:textFill>
                  <w14:solidFill>
                    <w14:schemeClr w14:val="tx1"/>
                  </w14:solidFill>
                </w14:textFill>
              </w:rPr>
              <w:t>：</w:t>
            </w:r>
          </w:p>
          <w:p w14:paraId="66B16D76">
            <w:pPr>
              <w:adjustRightInd w:val="0"/>
              <w:snapToGrid w:val="0"/>
              <w:spacing w:line="276" w:lineRule="auto"/>
              <w:rPr>
                <w:rFonts w:hint="eastAsia" w:hAnsi="宋体" w:cs="宋体"/>
                <w:color w:val="000000" w:themeColor="text1"/>
                <w:sz w:val="24"/>
                <w:szCs w:val="24"/>
                <w:shd w:val="clear" w:color="auto" w:fill="FFFFFF"/>
                <w:lang w:val="zh-CN" w:eastAsia="zh-CN"/>
                <w14:textFill>
                  <w14:solidFill>
                    <w14:schemeClr w14:val="tx1"/>
                  </w14:solidFill>
                </w14:textFill>
              </w:rPr>
            </w:pPr>
            <w:r>
              <w:rPr>
                <w:rFonts w:hint="eastAsia" w:hAnsi="宋体" w:cs="宋体"/>
                <w:color w:val="000000" w:themeColor="text1"/>
                <w:sz w:val="24"/>
                <w:szCs w:val="24"/>
                <w:shd w:val="clear" w:color="auto" w:fill="FFFFFF"/>
                <w:lang w:val="zh-CN"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重点措施应根据本项目的特点及情况、结合企业优势编制，应响应项目需求、具备</w:t>
            </w:r>
            <w:r>
              <w:rPr>
                <w:rFonts w:hint="eastAsia" w:hAnsi="宋体" w:cs="宋体"/>
                <w:color w:val="000000" w:themeColor="text1"/>
                <w:sz w:val="24"/>
                <w:szCs w:val="24"/>
                <w:shd w:val="clear" w:color="auto" w:fill="FFFFFF"/>
                <w:lang w:val="zh-CN" w:eastAsia="zh-CN"/>
                <w14:textFill>
                  <w14:solidFill>
                    <w14:schemeClr w14:val="tx1"/>
                  </w14:solidFill>
                </w14:textFill>
              </w:rPr>
              <w:t>针对性、可行性、创新性</w:t>
            </w:r>
            <w:r>
              <w:rPr>
                <w:rFonts w:hint="eastAsia" w:hAnsi="宋体" w:cs="宋体"/>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zh-CN" w:eastAsia="zh-CN"/>
                <w14:textFill>
                  <w14:solidFill>
                    <w14:schemeClr w14:val="tx1"/>
                  </w14:solidFill>
                </w14:textFill>
              </w:rPr>
              <w:t>）</w:t>
            </w:r>
          </w:p>
          <w:p w14:paraId="3569F1DA">
            <w:pPr>
              <w:adjustRightInd w:val="0"/>
              <w:snapToGrid w:val="0"/>
              <w:spacing w:line="276" w:lineRule="auto"/>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zh-CN"/>
                <w14:textFill>
                  <w14:solidFill>
                    <w14:schemeClr w14:val="tx1"/>
                  </w14:solidFill>
                </w14:textFill>
              </w:rPr>
              <w:t>优得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分；良得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zh-CN"/>
                <w14:textFill>
                  <w14:solidFill>
                    <w14:schemeClr w14:val="tx1"/>
                  </w14:solidFill>
                </w14:textFill>
              </w:rPr>
              <w:t>中得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；差得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p>
          <w:p w14:paraId="2C3B8BFB">
            <w:pPr>
              <w:spacing w:line="300" w:lineRule="exact"/>
              <w:rPr>
                <w:rFonts w:hint="eastAsia" w:asciiTheme="minorEastAsia" w:hAnsiTheme="minorEastAsia" w:eastAsiaTheme="minorEastAsia" w:cstheme="minorEastAsia"/>
                <w:b/>
                <w:bCs/>
                <w:sz w:val="24"/>
                <w:szCs w:val="24"/>
                <w:lang w:val="en-US" w:eastAsia="zh-CN"/>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未提供不得分</w:t>
            </w:r>
            <w:r>
              <w:rPr>
                <w:rFonts w:hint="eastAsia" w:ascii="宋体" w:hAnsi="宋体" w:cs="宋体"/>
                <w:color w:val="000000" w:themeColor="text1"/>
                <w:sz w:val="24"/>
                <w:szCs w:val="24"/>
                <w:shd w:val="clear" w:color="auto" w:fill="FFFFFF"/>
                <w:lang w:val="zh-CN"/>
                <w14:textFill>
                  <w14:solidFill>
                    <w14:schemeClr w14:val="tx1"/>
                  </w14:solidFill>
                </w14:textFill>
              </w:rPr>
              <w:t>。</w:t>
            </w:r>
          </w:p>
        </w:tc>
      </w:tr>
      <w:tr w14:paraId="17E9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2" w:type="dxa"/>
            <w:vMerge w:val="continue"/>
            <w:tcBorders>
              <w:left w:val="single" w:color="auto" w:sz="4" w:space="0"/>
              <w:right w:val="single" w:color="auto" w:sz="4" w:space="0"/>
            </w:tcBorders>
            <w:noWrap/>
            <w:vAlign w:val="center"/>
          </w:tcPr>
          <w:p w14:paraId="4B921170">
            <w:pPr>
              <w:spacing w:line="300" w:lineRule="exact"/>
              <w:rPr>
                <w:rFonts w:hint="eastAsia" w:asciiTheme="minorEastAsia" w:hAnsiTheme="minorEastAsia" w:eastAsiaTheme="minorEastAsia" w:cstheme="minorEastAsia"/>
                <w:b/>
                <w:bCs/>
                <w:sz w:val="24"/>
                <w:szCs w:val="24"/>
                <w:lang w:val="en-US" w:eastAsia="zh-CN"/>
              </w:rPr>
            </w:pPr>
          </w:p>
        </w:tc>
        <w:tc>
          <w:tcPr>
            <w:tcW w:w="1568" w:type="dxa"/>
            <w:vMerge w:val="continue"/>
            <w:tcBorders>
              <w:left w:val="single" w:color="auto" w:sz="4" w:space="0"/>
              <w:right w:val="single" w:color="auto" w:sz="4" w:space="0"/>
            </w:tcBorders>
            <w:noWrap/>
            <w:vAlign w:val="center"/>
          </w:tcPr>
          <w:p w14:paraId="4C5FB211">
            <w:pPr>
              <w:spacing w:line="300" w:lineRule="exact"/>
              <w:rPr>
                <w:rFonts w:hint="eastAsia" w:asciiTheme="minorEastAsia" w:hAnsiTheme="minorEastAsia" w:eastAsiaTheme="minorEastAsia" w:cstheme="minorEastAsia"/>
                <w:b/>
                <w:bCs/>
                <w:sz w:val="24"/>
                <w:szCs w:val="24"/>
                <w:lang w:val="en-US" w:eastAsia="zh-CN"/>
              </w:rPr>
            </w:pPr>
          </w:p>
        </w:tc>
        <w:tc>
          <w:tcPr>
            <w:tcW w:w="955" w:type="dxa"/>
            <w:tcBorders>
              <w:top w:val="single" w:color="auto" w:sz="4" w:space="0"/>
              <w:left w:val="single" w:color="auto" w:sz="4" w:space="0"/>
              <w:bottom w:val="single" w:color="auto" w:sz="4" w:space="0"/>
              <w:right w:val="single" w:color="auto" w:sz="4" w:space="0"/>
            </w:tcBorders>
            <w:noWrap/>
            <w:vAlign w:val="center"/>
          </w:tcPr>
          <w:p w14:paraId="2FE3F0B4">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12DFFEA9">
            <w:pPr>
              <w:adjustRightInd w:val="0"/>
              <w:snapToGrid w:val="0"/>
              <w:spacing w:line="276"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w:t>
            </w:r>
            <w:r>
              <w:rPr>
                <w:rFonts w:hint="eastAsia" w:hAnsi="宋体" w:cs="宋体"/>
                <w:color w:val="000000" w:themeColor="text1"/>
                <w:sz w:val="24"/>
                <w:szCs w:val="24"/>
                <w:shd w:val="clear" w:color="auto" w:fill="FFFFFF"/>
                <w:lang w:val="en-US" w:eastAsia="zh-CN"/>
                <w14:textFill>
                  <w14:solidFill>
                    <w14:schemeClr w14:val="tx1"/>
                  </w14:solidFill>
                </w14:textFill>
              </w:rPr>
              <w:t>合格的中标候选人提供的</w:t>
            </w:r>
            <w:r>
              <w:rPr>
                <w:rFonts w:hint="eastAsia" w:ascii="宋体" w:hAnsi="宋体" w:cs="宋体"/>
                <w:color w:val="000000" w:themeColor="text1"/>
                <w:sz w:val="24"/>
                <w:szCs w:val="24"/>
                <w14:textFill>
                  <w14:solidFill>
                    <w14:schemeClr w14:val="tx1"/>
                  </w14:solidFill>
                </w14:textFill>
              </w:rPr>
              <w:t>本项目资金</w:t>
            </w:r>
            <w:r>
              <w:rPr>
                <w:rFonts w:hint="eastAsia" w:ascii="宋体" w:hAnsi="宋体" w:cs="宋体"/>
                <w:color w:val="000000" w:themeColor="text1"/>
                <w:sz w:val="24"/>
                <w:szCs w:val="24"/>
                <w:lang w:val="en-US" w:eastAsia="zh-CN"/>
                <w14:textFill>
                  <w14:solidFill>
                    <w14:schemeClr w14:val="tx1"/>
                  </w14:solidFill>
                </w14:textFill>
              </w:rPr>
              <w:t>使用及</w:t>
            </w:r>
            <w:r>
              <w:rPr>
                <w:rFonts w:hint="eastAsia" w:ascii="宋体" w:hAnsi="宋体" w:cs="宋体"/>
                <w:color w:val="000000" w:themeColor="text1"/>
                <w:sz w:val="24"/>
                <w:szCs w:val="24"/>
                <w14:textFill>
                  <w14:solidFill>
                    <w14:schemeClr w14:val="tx1"/>
                  </w14:solidFill>
                </w14:textFill>
              </w:rPr>
              <w:t>管理措施进行</w:t>
            </w:r>
            <w:r>
              <w:rPr>
                <w:rFonts w:hint="eastAsia" w:asciiTheme="minorEastAsia" w:hAnsiTheme="minorEastAsia" w:eastAsiaTheme="minorEastAsia" w:cstheme="minorEastAsia"/>
                <w:color w:val="auto"/>
                <w:sz w:val="24"/>
                <w:szCs w:val="24"/>
                <w:lang w:val="en-US" w:eastAsia="zh-CN"/>
              </w:rPr>
              <w:t>打分</w:t>
            </w:r>
            <w:r>
              <w:rPr>
                <w:rFonts w:hint="eastAsia" w:ascii="宋体" w:hAnsi="宋体" w:cs="宋体"/>
                <w:color w:val="000000" w:themeColor="text1"/>
                <w:sz w:val="24"/>
                <w:szCs w:val="24"/>
                <w14:textFill>
                  <w14:solidFill>
                    <w14:schemeClr w14:val="tx1"/>
                  </w14:solidFill>
                </w14:textFill>
              </w:rPr>
              <w:t>：</w:t>
            </w:r>
          </w:p>
          <w:p w14:paraId="7EE71458">
            <w:pPr>
              <w:adjustRightInd w:val="0"/>
              <w:snapToGrid w:val="0"/>
              <w:spacing w:line="276"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（资金</w:t>
            </w:r>
            <w:r>
              <w:rPr>
                <w:rFonts w:hint="eastAsia" w:ascii="宋体" w:hAnsi="宋体" w:cs="宋体"/>
                <w:color w:val="000000" w:themeColor="text1"/>
                <w:sz w:val="24"/>
                <w:szCs w:val="24"/>
                <w:lang w:val="en-US" w:eastAsia="zh-CN"/>
                <w14:textFill>
                  <w14:solidFill>
                    <w14:schemeClr w14:val="tx1"/>
                  </w14:solidFill>
                </w14:textFill>
              </w:rPr>
              <w:t>使用及</w:t>
            </w:r>
            <w:r>
              <w:rPr>
                <w:rFonts w:hint="eastAsia" w:ascii="宋体" w:hAnsi="宋体" w:cs="宋体"/>
                <w:color w:val="000000" w:themeColor="text1"/>
                <w:sz w:val="24"/>
                <w:szCs w:val="24"/>
                <w14:textFill>
                  <w14:solidFill>
                    <w14:schemeClr w14:val="tx1"/>
                  </w14:solidFill>
                </w14:textFill>
              </w:rPr>
              <w:t>管理措施包括不限于：工程款专款专用、项目资金投入规划、农民工工资保障、应急周转资金制度、工程款支付担保等措施等）</w:t>
            </w:r>
          </w:p>
          <w:p w14:paraId="4C00B902">
            <w:pPr>
              <w:adjustRightInd w:val="0"/>
              <w:snapToGrid w:val="0"/>
              <w:spacing w:line="276" w:lineRule="auto"/>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zh-CN"/>
                <w14:textFill>
                  <w14:solidFill>
                    <w14:schemeClr w14:val="tx1"/>
                  </w14:solidFill>
                </w14:textFill>
              </w:rPr>
              <w:t>优得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分；良得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zh-CN"/>
                <w14:textFill>
                  <w14:solidFill>
                    <w14:schemeClr w14:val="tx1"/>
                  </w14:solidFill>
                </w14:textFill>
              </w:rPr>
              <w:t>中得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；差得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p>
          <w:p w14:paraId="7209776C">
            <w:pPr>
              <w:spacing w:line="300" w:lineRule="exact"/>
              <w:rPr>
                <w:rFonts w:hint="eastAsia" w:asciiTheme="minorEastAsia" w:hAnsiTheme="minorEastAsia" w:eastAsiaTheme="minorEastAsia" w:cstheme="minorEastAsia"/>
                <w:b/>
                <w:bCs/>
                <w:sz w:val="24"/>
                <w:szCs w:val="24"/>
                <w:lang w:val="en-US" w:eastAsia="zh-CN"/>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未提供不得分</w:t>
            </w:r>
            <w:r>
              <w:rPr>
                <w:rFonts w:hint="eastAsia" w:ascii="宋体" w:hAnsi="宋体" w:cs="宋体"/>
                <w:color w:val="000000" w:themeColor="text1"/>
                <w:sz w:val="24"/>
                <w:szCs w:val="24"/>
                <w:shd w:val="clear" w:color="auto" w:fill="FFFFFF"/>
                <w:lang w:val="zh-CN"/>
                <w14:textFill>
                  <w14:solidFill>
                    <w14:schemeClr w14:val="tx1"/>
                  </w14:solidFill>
                </w14:textFill>
              </w:rPr>
              <w:t>。</w:t>
            </w:r>
          </w:p>
        </w:tc>
      </w:tr>
      <w:tr w14:paraId="359C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4A6ED775">
            <w:pPr>
              <w:spacing w:line="300" w:lineRule="exact"/>
              <w:rPr>
                <w:rFonts w:hint="eastAsia" w:asciiTheme="minorEastAsia" w:hAnsiTheme="minorEastAsia" w:eastAsiaTheme="minorEastAsia" w:cstheme="minorEastAsia"/>
                <w:b/>
                <w:bCs/>
                <w:sz w:val="24"/>
                <w:szCs w:val="24"/>
                <w:lang w:val="en-US" w:eastAsia="zh-CN"/>
              </w:rPr>
            </w:pPr>
          </w:p>
        </w:tc>
        <w:tc>
          <w:tcPr>
            <w:tcW w:w="1568" w:type="dxa"/>
            <w:vMerge w:val="continue"/>
            <w:tcBorders>
              <w:left w:val="single" w:color="auto" w:sz="4" w:space="0"/>
              <w:bottom w:val="single" w:color="auto" w:sz="4" w:space="0"/>
              <w:right w:val="single" w:color="auto" w:sz="4" w:space="0"/>
            </w:tcBorders>
            <w:noWrap/>
            <w:vAlign w:val="center"/>
          </w:tcPr>
          <w:p w14:paraId="3C389360">
            <w:pPr>
              <w:spacing w:line="300" w:lineRule="exact"/>
              <w:rPr>
                <w:rFonts w:hint="eastAsia" w:asciiTheme="minorEastAsia" w:hAnsiTheme="minorEastAsia" w:eastAsiaTheme="minorEastAsia" w:cstheme="minorEastAsia"/>
                <w:b/>
                <w:bCs/>
                <w:sz w:val="24"/>
                <w:szCs w:val="24"/>
                <w:lang w:val="en-US" w:eastAsia="zh-CN"/>
              </w:rPr>
            </w:pPr>
          </w:p>
        </w:tc>
        <w:tc>
          <w:tcPr>
            <w:tcW w:w="955" w:type="dxa"/>
            <w:tcBorders>
              <w:top w:val="single" w:color="auto" w:sz="4" w:space="0"/>
              <w:left w:val="single" w:color="auto" w:sz="4" w:space="0"/>
              <w:bottom w:val="single" w:color="auto" w:sz="4" w:space="0"/>
              <w:right w:val="single" w:color="auto" w:sz="4" w:space="0"/>
            </w:tcBorders>
            <w:noWrap/>
            <w:vAlign w:val="center"/>
          </w:tcPr>
          <w:p w14:paraId="7DD29C20">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4D3C1EF4">
            <w:pPr>
              <w:spacing w:line="300" w:lineRule="exact"/>
              <w:rPr>
                <w:rFonts w:hint="eastAsia" w:hAnsi="宋体" w:cs="宋体"/>
                <w:color w:val="000000" w:themeColor="text1"/>
                <w:sz w:val="24"/>
                <w:szCs w:val="24"/>
                <w:shd w:val="clear" w:color="auto" w:fill="FFFFFF"/>
                <w:lang w:val="zh-CN"/>
                <w14:textFill>
                  <w14:solidFill>
                    <w14:schemeClr w14:val="tx1"/>
                  </w14:solidFill>
                </w14:textFill>
              </w:rPr>
            </w:pPr>
            <w:r>
              <w:rPr>
                <w:rFonts w:hint="eastAsia" w:hAnsi="宋体" w:cs="宋体"/>
                <w:color w:val="000000" w:themeColor="text1"/>
                <w:sz w:val="24"/>
                <w:szCs w:val="24"/>
                <w:shd w:val="clear" w:color="auto" w:fill="FFFFFF"/>
                <w:lang w:val="zh-CN"/>
                <w14:textFill>
                  <w14:solidFill>
                    <w14:schemeClr w14:val="tx1"/>
                  </w14:solidFill>
                </w14:textFill>
              </w:rPr>
              <w:t>对</w:t>
            </w:r>
            <w:r>
              <w:rPr>
                <w:rFonts w:hint="eastAsia" w:hAnsi="宋体" w:cs="宋体"/>
                <w:color w:val="000000" w:themeColor="text1"/>
                <w:sz w:val="24"/>
                <w:szCs w:val="24"/>
                <w:shd w:val="clear" w:color="auto" w:fill="FFFFFF"/>
                <w:lang w:val="en-US" w:eastAsia="zh-CN"/>
                <w14:textFill>
                  <w14:solidFill>
                    <w14:schemeClr w14:val="tx1"/>
                  </w14:solidFill>
                </w14:textFill>
              </w:rPr>
              <w:t>合格的中标候选人提供的</w:t>
            </w:r>
            <w:r>
              <w:rPr>
                <w:rFonts w:hint="eastAsia" w:asciiTheme="minorEastAsia" w:hAnsiTheme="minorEastAsia" w:eastAsiaTheme="minorEastAsia" w:cstheme="minorEastAsia"/>
                <w:sz w:val="24"/>
                <w:szCs w:val="24"/>
                <w:lang w:val="en-US" w:eastAsia="zh-CN"/>
              </w:rPr>
              <w:t>投标函承诺提前完成工期</w:t>
            </w:r>
            <w:r>
              <w:rPr>
                <w:rFonts w:hint="eastAsia" w:hAnsi="宋体" w:cs="宋体"/>
                <w:color w:val="000000" w:themeColor="text1"/>
                <w:sz w:val="24"/>
                <w:szCs w:val="24"/>
                <w:shd w:val="clear" w:color="auto" w:fill="FFFFFF"/>
                <w:lang w:val="zh-CN"/>
                <w14:textFill>
                  <w14:solidFill>
                    <w14:schemeClr w14:val="tx1"/>
                  </w14:solidFill>
                </w14:textFill>
              </w:rPr>
              <w:t>进行</w:t>
            </w:r>
            <w:r>
              <w:rPr>
                <w:rFonts w:hint="eastAsia" w:hAnsi="宋体" w:cs="宋体"/>
                <w:color w:val="000000" w:themeColor="text1"/>
                <w:sz w:val="24"/>
                <w:szCs w:val="24"/>
                <w:shd w:val="clear" w:color="auto" w:fill="FFFFFF"/>
                <w:lang w:val="en-US" w:eastAsia="zh-CN"/>
                <w14:textFill>
                  <w14:solidFill>
                    <w14:schemeClr w14:val="tx1"/>
                  </w14:solidFill>
                </w14:textFill>
              </w:rPr>
              <w:t>横向对比</w:t>
            </w:r>
            <w:r>
              <w:rPr>
                <w:rFonts w:hint="eastAsia" w:asciiTheme="minorEastAsia" w:hAnsiTheme="minorEastAsia" w:eastAsiaTheme="minorEastAsia" w:cstheme="minorEastAsia"/>
                <w:color w:val="auto"/>
                <w:sz w:val="24"/>
                <w:szCs w:val="24"/>
                <w:lang w:val="en-US" w:eastAsia="zh-CN"/>
              </w:rPr>
              <w:t>打分</w:t>
            </w:r>
            <w:r>
              <w:rPr>
                <w:rFonts w:hint="eastAsia" w:hAnsi="宋体" w:cs="宋体"/>
                <w:color w:val="000000" w:themeColor="text1"/>
                <w:sz w:val="24"/>
                <w:szCs w:val="24"/>
                <w:shd w:val="clear" w:color="auto" w:fill="FFFFFF"/>
                <w:lang w:val="zh-CN"/>
                <w14:textFill>
                  <w14:solidFill>
                    <w14:schemeClr w14:val="tx1"/>
                  </w14:solidFill>
                </w14:textFill>
              </w:rPr>
              <w:t>：</w:t>
            </w:r>
          </w:p>
          <w:p w14:paraId="2764F56B">
            <w:pPr>
              <w:adjustRightInd w:val="0"/>
              <w:snapToGrid w:val="0"/>
              <w:spacing w:line="276" w:lineRule="auto"/>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zh-CN"/>
                <w14:textFill>
                  <w14:solidFill>
                    <w14:schemeClr w14:val="tx1"/>
                  </w14:solidFill>
                </w14:textFill>
              </w:rPr>
              <w:t>优得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分；良得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zh-CN"/>
                <w14:textFill>
                  <w14:solidFill>
                    <w14:schemeClr w14:val="tx1"/>
                  </w14:solidFill>
                </w14:textFill>
              </w:rPr>
              <w:t>中得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；差得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w:t>
            </w:r>
          </w:p>
          <w:p w14:paraId="467CF606">
            <w:pPr>
              <w:adjustRightInd w:val="0"/>
              <w:snapToGrid w:val="0"/>
              <w:spacing w:line="276" w:lineRule="auto"/>
              <w:jc w:val="left"/>
              <w:rPr>
                <w:rFonts w:hint="default"/>
                <w:lang w:val="en-US" w:eastAsia="zh-CN"/>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未提供不得分</w:t>
            </w:r>
            <w:r>
              <w:rPr>
                <w:rFonts w:hint="eastAsia" w:ascii="宋体" w:hAnsi="宋体" w:cs="宋体"/>
                <w:color w:val="000000" w:themeColor="text1"/>
                <w:sz w:val="24"/>
                <w:szCs w:val="24"/>
                <w:shd w:val="clear" w:color="auto" w:fill="FFFFFF"/>
                <w:lang w:val="zh-CN"/>
                <w14:textFill>
                  <w14:solidFill>
                    <w14:schemeClr w14:val="tx1"/>
                  </w14:solidFill>
                </w14:textFill>
              </w:rPr>
              <w:t>。</w:t>
            </w:r>
          </w:p>
        </w:tc>
      </w:tr>
      <w:tr w14:paraId="3032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742" w:type="dxa"/>
            <w:vMerge w:val="restart"/>
            <w:tcBorders>
              <w:top w:val="single" w:color="auto" w:sz="4" w:space="0"/>
              <w:left w:val="single" w:color="auto" w:sz="4" w:space="0"/>
              <w:right w:val="single" w:color="auto" w:sz="4" w:space="0"/>
            </w:tcBorders>
            <w:noWrap/>
            <w:vAlign w:val="center"/>
          </w:tcPr>
          <w:p w14:paraId="265F26D7">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1568" w:type="dxa"/>
            <w:vMerge w:val="restart"/>
            <w:tcBorders>
              <w:top w:val="single" w:color="auto" w:sz="4" w:space="0"/>
              <w:left w:val="single" w:color="auto" w:sz="4" w:space="0"/>
              <w:right w:val="single" w:color="auto" w:sz="4" w:space="0"/>
            </w:tcBorders>
            <w:noWrap/>
            <w:vAlign w:val="center"/>
          </w:tcPr>
          <w:p w14:paraId="053A9E9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答辩因素</w:t>
            </w:r>
          </w:p>
        </w:tc>
        <w:tc>
          <w:tcPr>
            <w:tcW w:w="955" w:type="dxa"/>
            <w:tcBorders>
              <w:top w:val="single" w:color="auto" w:sz="4" w:space="0"/>
              <w:left w:val="single" w:color="auto" w:sz="4" w:space="0"/>
              <w:bottom w:val="single" w:color="auto" w:sz="4" w:space="0"/>
              <w:right w:val="single" w:color="auto" w:sz="4" w:space="0"/>
            </w:tcBorders>
            <w:noWrap/>
            <w:vAlign w:val="center"/>
          </w:tcPr>
          <w:p w14:paraId="2B737DEE">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05890FB5">
            <w:pPr>
              <w:pStyle w:val="28"/>
              <w:widowControl/>
              <w:numPr>
                <w:ilvl w:val="0"/>
                <w:numId w:val="0"/>
              </w:numPr>
              <w:spacing w:before="0" w:beforeAutospacing="0" w:after="0" w:afterAutospacing="0"/>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合格中</w:t>
            </w:r>
            <w:r>
              <w:rPr>
                <w:rFonts w:hint="eastAsia" w:asciiTheme="minorEastAsia" w:hAnsiTheme="minorEastAsia" w:eastAsiaTheme="minorEastAsia" w:cstheme="minorEastAsia"/>
                <w:color w:val="auto"/>
                <w:sz w:val="24"/>
                <w:szCs w:val="24"/>
              </w:rPr>
              <w:t>标候选人委派本项目拟投入项目负责人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拟投入技术负责人组成答辩小组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对下列内容进行介绍</w:t>
            </w:r>
            <w:r>
              <w:rPr>
                <w:rFonts w:hint="eastAsia" w:asciiTheme="minorEastAsia" w:hAnsiTheme="minorEastAsia" w:eastAsiaTheme="minorEastAsia" w:cstheme="minorEastAsia"/>
                <w:color w:val="auto"/>
                <w:sz w:val="24"/>
                <w:szCs w:val="24"/>
              </w:rPr>
              <w:t xml:space="preserve">： </w:t>
            </w:r>
          </w:p>
          <w:p w14:paraId="6A5F9BF5">
            <w:pPr>
              <w:pStyle w:val="28"/>
              <w:widowControl/>
              <w:spacing w:before="0" w:beforeAutospacing="0" w:after="0" w:afterAutospacing="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答辩小组介绍陈述（包括但不限于以下）：（1）</w:t>
            </w:r>
            <w:r>
              <w:rPr>
                <w:rFonts w:hint="eastAsia" w:asciiTheme="minorEastAsia" w:hAnsiTheme="minorEastAsia" w:eastAsiaTheme="minorEastAsia" w:cstheme="minorEastAsia"/>
                <w:color w:val="auto"/>
                <w:sz w:val="24"/>
                <w:szCs w:val="24"/>
                <w:lang w:val="en-US" w:eastAsia="zh-CN"/>
              </w:rPr>
              <w:t>自我介绍</w:t>
            </w:r>
            <w:r>
              <w:rPr>
                <w:rFonts w:hint="eastAsia" w:asciiTheme="minorEastAsia" w:hAnsiTheme="minorEastAsia" w:eastAsiaTheme="minorEastAsia" w:cstheme="minorEastAsia"/>
                <w:color w:val="auto"/>
                <w:sz w:val="24"/>
                <w:szCs w:val="24"/>
              </w:rPr>
              <w:t>；（2）介绍对参与投标项目的了解情况；（3）</w:t>
            </w:r>
            <w:r>
              <w:rPr>
                <w:rFonts w:hint="eastAsia" w:asciiTheme="minorEastAsia" w:hAnsiTheme="minorEastAsia" w:eastAsiaTheme="minorEastAsia" w:cstheme="minorEastAsia"/>
                <w:color w:val="auto"/>
                <w:sz w:val="24"/>
                <w:szCs w:val="24"/>
                <w:lang w:val="en-US" w:eastAsia="zh-CN"/>
              </w:rPr>
              <w:t>项目的实施</w:t>
            </w:r>
            <w:r>
              <w:rPr>
                <w:rFonts w:hint="eastAsia" w:asciiTheme="minorEastAsia" w:hAnsiTheme="minorEastAsia" w:eastAsiaTheme="minorEastAsia" w:cstheme="minorEastAsia"/>
                <w:color w:val="auto"/>
                <w:sz w:val="24"/>
                <w:szCs w:val="24"/>
              </w:rPr>
              <w:t>要点、危大工程安全防范措施；（4）项目施工组织的重点、难点分析及应对措施；（5）</w:t>
            </w:r>
            <w:r>
              <w:rPr>
                <w:rFonts w:hint="eastAsia" w:hAnsi="宋体" w:cs="宋体"/>
                <w:color w:val="000000" w:themeColor="text1"/>
                <w:sz w:val="24"/>
                <w:szCs w:val="24"/>
                <w:shd w:val="clear" w:color="auto" w:fill="FFFFFF"/>
                <w:lang w:val="en-US" w:eastAsia="zh-CN"/>
                <w14:textFill>
                  <w14:solidFill>
                    <w14:schemeClr w14:val="tx1"/>
                  </w14:solidFill>
                </w14:textFill>
              </w:rPr>
              <w:t>工期保证</w:t>
            </w:r>
            <w:r>
              <w:rPr>
                <w:rFonts w:hint="eastAsia" w:asciiTheme="minorEastAsia" w:hAnsiTheme="minorEastAsia" w:eastAsiaTheme="minorEastAsia" w:cstheme="minorEastAsia"/>
                <w:color w:val="auto"/>
                <w:sz w:val="24"/>
                <w:szCs w:val="24"/>
                <w:lang w:val="en-US" w:eastAsia="zh-CN"/>
              </w:rPr>
              <w:t>控制措施。）</w:t>
            </w:r>
          </w:p>
          <w:p w14:paraId="152C0921">
            <w:pPr>
              <w:pStyle w:val="28"/>
              <w:widowControl/>
              <w:spacing w:before="0" w:beforeAutospacing="0" w:after="0" w:afterAutospacing="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rPr>
              <w:t>【优】答辩小组掌握项目情况，对</w:t>
            </w:r>
            <w:r>
              <w:rPr>
                <w:rFonts w:hint="eastAsia" w:asciiTheme="minorEastAsia" w:hAnsiTheme="minorEastAsia" w:eastAsiaTheme="minorEastAsia" w:cstheme="minorEastAsia"/>
                <w:color w:val="auto"/>
                <w:sz w:val="24"/>
                <w:szCs w:val="24"/>
                <w:lang w:val="en-US" w:eastAsia="zh-CN"/>
              </w:rPr>
              <w:t>实施</w:t>
            </w:r>
            <w:r>
              <w:rPr>
                <w:rFonts w:hint="eastAsia" w:asciiTheme="minorEastAsia" w:hAnsiTheme="minorEastAsia" w:eastAsiaTheme="minorEastAsia" w:cstheme="minorEastAsia"/>
                <w:color w:val="auto"/>
                <w:sz w:val="24"/>
                <w:szCs w:val="24"/>
              </w:rPr>
              <w:t>要点</w:t>
            </w:r>
            <w:r>
              <w:rPr>
                <w:rFonts w:hint="eastAsia" w:asciiTheme="minorEastAsia" w:hAnsiTheme="minorEastAsia" w:eastAsiaTheme="minorEastAsia" w:cstheme="minorEastAsia"/>
                <w:sz w:val="24"/>
                <w:szCs w:val="24"/>
              </w:rPr>
              <w:t>认识清晰，对施工的重点、难点认识深刻，危大工程安全防范措施及</w:t>
            </w:r>
            <w:r>
              <w:rPr>
                <w:rFonts w:hint="eastAsia" w:hAnsi="宋体" w:cs="宋体"/>
                <w:color w:val="000000" w:themeColor="text1"/>
                <w:sz w:val="24"/>
                <w:szCs w:val="24"/>
                <w:shd w:val="clear" w:color="auto" w:fill="FFFFFF"/>
                <w:lang w:val="en-US" w:eastAsia="zh-CN"/>
                <w14:textFill>
                  <w14:solidFill>
                    <w14:schemeClr w14:val="tx1"/>
                  </w14:solidFill>
                </w14:textFill>
              </w:rPr>
              <w:t>工期保证</w:t>
            </w:r>
            <w:r>
              <w:rPr>
                <w:rFonts w:hint="eastAsia" w:asciiTheme="minorEastAsia" w:hAnsiTheme="minorEastAsia" w:eastAsiaTheme="minorEastAsia" w:cstheme="minorEastAsia"/>
                <w:color w:val="auto"/>
                <w:sz w:val="24"/>
                <w:szCs w:val="24"/>
                <w:lang w:val="en-US" w:eastAsia="zh-CN"/>
              </w:rPr>
              <w:t>控制</w:t>
            </w:r>
            <w:r>
              <w:rPr>
                <w:rFonts w:hint="eastAsia" w:asciiTheme="minorEastAsia" w:hAnsiTheme="minorEastAsia" w:eastAsiaTheme="minorEastAsia" w:cstheme="minorEastAsia"/>
                <w:sz w:val="24"/>
                <w:szCs w:val="24"/>
              </w:rPr>
              <w:t>措施合理可行，得（</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2684B571">
            <w:pPr>
              <w:pStyle w:val="28"/>
              <w:widowControl/>
              <w:spacing w:before="0" w:beforeAutospacing="0" w:after="0" w:afterAutospacing="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【良】</w:t>
            </w:r>
            <w:r>
              <w:rPr>
                <w:rFonts w:hint="eastAsia" w:asciiTheme="minorEastAsia" w:hAnsiTheme="minorEastAsia" w:eastAsiaTheme="minorEastAsia" w:cstheme="minorEastAsia"/>
                <w:color w:val="auto"/>
                <w:sz w:val="24"/>
                <w:szCs w:val="24"/>
              </w:rPr>
              <w:t>答辩小组</w:t>
            </w:r>
            <w:r>
              <w:rPr>
                <w:rFonts w:hint="eastAsia" w:asciiTheme="minorEastAsia" w:hAnsiTheme="minorEastAsia" w:eastAsiaTheme="minorEastAsia" w:cstheme="minorEastAsia"/>
                <w:sz w:val="24"/>
                <w:szCs w:val="24"/>
              </w:rPr>
              <w:t>了解项目情况，对</w:t>
            </w:r>
            <w:r>
              <w:rPr>
                <w:rFonts w:hint="eastAsia" w:asciiTheme="minorEastAsia" w:hAnsiTheme="minorEastAsia" w:eastAsiaTheme="minorEastAsia" w:cstheme="minorEastAsia"/>
                <w:color w:val="auto"/>
                <w:sz w:val="24"/>
                <w:szCs w:val="24"/>
                <w:lang w:val="en-US" w:eastAsia="zh-CN"/>
              </w:rPr>
              <w:t>实施</w:t>
            </w:r>
            <w:r>
              <w:rPr>
                <w:rFonts w:hint="eastAsia" w:asciiTheme="minorEastAsia" w:hAnsiTheme="minorEastAsia" w:eastAsiaTheme="minorEastAsia" w:cstheme="minorEastAsia"/>
                <w:color w:val="auto"/>
                <w:sz w:val="24"/>
                <w:szCs w:val="24"/>
              </w:rPr>
              <w:t>要点</w:t>
            </w:r>
            <w:r>
              <w:rPr>
                <w:rFonts w:hint="eastAsia" w:asciiTheme="minorEastAsia" w:hAnsiTheme="minorEastAsia" w:eastAsiaTheme="minorEastAsia" w:cstheme="minorEastAsia"/>
                <w:sz w:val="24"/>
                <w:szCs w:val="24"/>
              </w:rPr>
              <w:t>认识较清晰，对施工的重点、难点认识到位，危大工程安全防范措施及</w:t>
            </w:r>
            <w:r>
              <w:rPr>
                <w:rFonts w:hint="eastAsia" w:hAnsi="宋体" w:cs="宋体"/>
                <w:color w:val="000000" w:themeColor="text1"/>
                <w:sz w:val="24"/>
                <w:szCs w:val="24"/>
                <w:shd w:val="clear" w:color="auto" w:fill="FFFFFF"/>
                <w:lang w:val="en-US" w:eastAsia="zh-CN"/>
                <w14:textFill>
                  <w14:solidFill>
                    <w14:schemeClr w14:val="tx1"/>
                  </w14:solidFill>
                </w14:textFill>
              </w:rPr>
              <w:t>工期保证</w:t>
            </w:r>
            <w:r>
              <w:rPr>
                <w:rFonts w:hint="eastAsia" w:asciiTheme="minorEastAsia" w:hAnsiTheme="minorEastAsia" w:eastAsiaTheme="minorEastAsia" w:cstheme="minorEastAsia"/>
                <w:color w:val="auto"/>
                <w:sz w:val="24"/>
                <w:szCs w:val="24"/>
                <w:lang w:val="en-US" w:eastAsia="zh-CN"/>
              </w:rPr>
              <w:t>控制</w:t>
            </w:r>
            <w:r>
              <w:rPr>
                <w:rFonts w:hint="eastAsia" w:asciiTheme="minorEastAsia" w:hAnsiTheme="minorEastAsia" w:eastAsiaTheme="minorEastAsia" w:cstheme="minorEastAsia"/>
                <w:sz w:val="24"/>
                <w:szCs w:val="24"/>
              </w:rPr>
              <w:t>措施基本合理，得（</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7A693983">
            <w:pPr>
              <w:pStyle w:val="28"/>
              <w:widowControl/>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color w:val="auto"/>
                <w:sz w:val="24"/>
                <w:szCs w:val="24"/>
              </w:rPr>
              <w:t>答辩小组</w:t>
            </w:r>
            <w:r>
              <w:rPr>
                <w:rFonts w:hint="eastAsia" w:asciiTheme="minorEastAsia" w:hAnsiTheme="minorEastAsia" w:eastAsiaTheme="minorEastAsia" w:cstheme="minorEastAsia"/>
                <w:color w:val="auto"/>
                <w:sz w:val="24"/>
                <w:szCs w:val="24"/>
                <w:lang w:val="en-US" w:eastAsia="zh-CN"/>
              </w:rPr>
              <w:t>基本</w:t>
            </w:r>
            <w:r>
              <w:rPr>
                <w:rFonts w:hint="eastAsia" w:asciiTheme="minorEastAsia" w:hAnsiTheme="minorEastAsia" w:eastAsiaTheme="minorEastAsia" w:cstheme="minorEastAsia"/>
                <w:sz w:val="24"/>
                <w:szCs w:val="24"/>
              </w:rPr>
              <w:t>了解项目情况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color w:val="auto"/>
                <w:sz w:val="24"/>
                <w:szCs w:val="24"/>
                <w:lang w:val="en-US" w:eastAsia="zh-CN"/>
              </w:rPr>
              <w:t>实施</w:t>
            </w:r>
            <w:r>
              <w:rPr>
                <w:rFonts w:hint="eastAsia" w:asciiTheme="minorEastAsia" w:hAnsiTheme="minorEastAsia" w:eastAsiaTheme="minorEastAsia" w:cstheme="minorEastAsia"/>
                <w:color w:val="auto"/>
                <w:sz w:val="24"/>
                <w:szCs w:val="24"/>
              </w:rPr>
              <w:t>要点</w:t>
            </w:r>
            <w:r>
              <w:rPr>
                <w:rFonts w:hint="eastAsia" w:asciiTheme="minorEastAsia" w:hAnsiTheme="minorEastAsia" w:eastAsiaTheme="minorEastAsia" w:cstheme="minorEastAsia"/>
                <w:sz w:val="24"/>
                <w:szCs w:val="24"/>
              </w:rPr>
              <w:t>认识一般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对施工的重点、难点未基本了解；或危大工程安全防范措施及</w:t>
            </w:r>
            <w:r>
              <w:rPr>
                <w:rFonts w:hint="eastAsia" w:hAnsi="宋体" w:cs="宋体"/>
                <w:color w:val="000000" w:themeColor="text1"/>
                <w:sz w:val="24"/>
                <w:szCs w:val="24"/>
                <w:shd w:val="clear" w:color="auto" w:fill="FFFFFF"/>
                <w:lang w:val="en-US" w:eastAsia="zh-CN"/>
                <w14:textFill>
                  <w14:solidFill>
                    <w14:schemeClr w14:val="tx1"/>
                  </w14:solidFill>
                </w14:textFill>
              </w:rPr>
              <w:t>工期保证</w:t>
            </w:r>
            <w:r>
              <w:rPr>
                <w:rFonts w:hint="eastAsia" w:asciiTheme="minorEastAsia" w:hAnsiTheme="minorEastAsia" w:eastAsiaTheme="minorEastAsia" w:cstheme="minorEastAsia"/>
                <w:color w:val="auto"/>
                <w:sz w:val="24"/>
                <w:szCs w:val="24"/>
                <w:lang w:val="en-US" w:eastAsia="zh-CN"/>
              </w:rPr>
              <w:t>控制</w:t>
            </w:r>
            <w:r>
              <w:rPr>
                <w:rFonts w:hint="eastAsia" w:asciiTheme="minorEastAsia" w:hAnsiTheme="minorEastAsia" w:eastAsiaTheme="minorEastAsia" w:cstheme="minorEastAsia"/>
                <w:sz w:val="24"/>
                <w:szCs w:val="24"/>
              </w:rPr>
              <w:t>措施欠合理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487F1B72">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【差】</w:t>
            </w:r>
            <w:r>
              <w:rPr>
                <w:rFonts w:hint="eastAsia" w:asciiTheme="minorEastAsia" w:hAnsiTheme="minorEastAsia" w:eastAsiaTheme="minorEastAsia" w:cstheme="minorEastAsia"/>
                <w:color w:val="auto"/>
                <w:sz w:val="24"/>
                <w:szCs w:val="24"/>
              </w:rPr>
              <w:t>答辩小组</w:t>
            </w:r>
            <w:r>
              <w:rPr>
                <w:rFonts w:hint="eastAsia" w:asciiTheme="minorEastAsia" w:hAnsiTheme="minorEastAsia" w:eastAsiaTheme="minorEastAsia" w:cstheme="minorEastAsia"/>
                <w:sz w:val="24"/>
                <w:szCs w:val="24"/>
              </w:rPr>
              <w:t>不了解项目情况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color w:val="auto"/>
                <w:sz w:val="24"/>
                <w:szCs w:val="24"/>
                <w:lang w:val="en-US" w:eastAsia="zh-CN"/>
              </w:rPr>
              <w:t>实施</w:t>
            </w:r>
            <w:r>
              <w:rPr>
                <w:rFonts w:hint="eastAsia" w:asciiTheme="minorEastAsia" w:hAnsiTheme="minorEastAsia" w:eastAsiaTheme="minorEastAsia" w:cstheme="minorEastAsia"/>
                <w:color w:val="auto"/>
                <w:sz w:val="24"/>
                <w:szCs w:val="24"/>
              </w:rPr>
              <w:t>要点</w:t>
            </w:r>
            <w:r>
              <w:rPr>
                <w:rFonts w:hint="eastAsia" w:asciiTheme="minorEastAsia" w:hAnsiTheme="minorEastAsia" w:eastAsiaTheme="minorEastAsia" w:cstheme="minorEastAsia"/>
                <w:sz w:val="24"/>
                <w:szCs w:val="24"/>
              </w:rPr>
              <w:t>认识较差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未能把握施工的重点、难点；危大工程安全防范措施及</w:t>
            </w:r>
            <w:r>
              <w:rPr>
                <w:rFonts w:hint="eastAsia" w:hAnsi="宋体" w:cs="宋体"/>
                <w:color w:val="000000" w:themeColor="text1"/>
                <w:sz w:val="24"/>
                <w:szCs w:val="24"/>
                <w:shd w:val="clear" w:color="auto" w:fill="FFFFFF"/>
                <w:lang w:val="en-US" w:eastAsia="zh-CN"/>
                <w14:textFill>
                  <w14:solidFill>
                    <w14:schemeClr w14:val="tx1"/>
                  </w14:solidFill>
                </w14:textFill>
              </w:rPr>
              <w:t>工期保证</w:t>
            </w:r>
            <w:r>
              <w:rPr>
                <w:rFonts w:hint="eastAsia" w:asciiTheme="minorEastAsia" w:hAnsiTheme="minorEastAsia" w:eastAsiaTheme="minorEastAsia" w:cstheme="minorEastAsia"/>
                <w:color w:val="auto"/>
                <w:sz w:val="24"/>
                <w:szCs w:val="24"/>
                <w:lang w:val="en-US" w:eastAsia="zh-CN"/>
              </w:rPr>
              <w:t>控制</w:t>
            </w:r>
            <w:r>
              <w:rPr>
                <w:rFonts w:hint="eastAsia" w:asciiTheme="minorEastAsia" w:hAnsiTheme="minorEastAsia" w:eastAsiaTheme="minorEastAsia" w:cstheme="minorEastAsia"/>
                <w:sz w:val="24"/>
                <w:szCs w:val="24"/>
              </w:rPr>
              <w:t>措施欠合理</w:t>
            </w:r>
            <w:r>
              <w:rPr>
                <w:rFonts w:hint="eastAsia" w:asciiTheme="minorEastAsia" w:hAnsiTheme="minorEastAsia" w:eastAsiaTheme="minorEastAsia" w:cstheme="minorEastAsia"/>
                <w:sz w:val="24"/>
                <w:szCs w:val="24"/>
                <w:lang w:eastAsia="zh-CN"/>
              </w:rPr>
              <w:t>，</w:t>
            </w:r>
            <w:r>
              <w:rPr>
                <w:rFonts w:hint="eastAsia" w:ascii="宋体" w:hAnsi="宋体" w:cs="宋体"/>
                <w:color w:val="000000" w:themeColor="text1"/>
                <w:sz w:val="24"/>
                <w:szCs w:val="24"/>
                <w:shd w:val="clear" w:color="auto" w:fill="FFFFFF"/>
                <w14:textFill>
                  <w14:solidFill>
                    <w14:schemeClr w14:val="tx1"/>
                  </w14:solidFill>
                </w14:textFill>
              </w:rPr>
              <w:t>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p>
          <w:p w14:paraId="0D79EA8C">
            <w:pPr>
              <w:pStyle w:val="28"/>
              <w:widowControl/>
              <w:spacing w:before="0" w:beforeAutospacing="0" w:after="0" w:afterAutospacing="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无参加不得分。</w:t>
            </w:r>
          </w:p>
        </w:tc>
      </w:tr>
      <w:tr w14:paraId="242D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44CBEE6C">
            <w:pPr>
              <w:spacing w:line="300" w:lineRule="exact"/>
            </w:pPr>
          </w:p>
        </w:tc>
        <w:tc>
          <w:tcPr>
            <w:tcW w:w="1568" w:type="dxa"/>
            <w:vMerge w:val="continue"/>
            <w:tcBorders>
              <w:left w:val="single" w:color="auto" w:sz="4" w:space="0"/>
              <w:bottom w:val="single" w:color="auto" w:sz="4" w:space="0"/>
              <w:right w:val="single" w:color="auto" w:sz="4" w:space="0"/>
            </w:tcBorders>
            <w:noWrap/>
            <w:vAlign w:val="center"/>
          </w:tcPr>
          <w:p w14:paraId="48CE0A25">
            <w:pPr>
              <w:spacing w:line="300" w:lineRule="exact"/>
            </w:pPr>
          </w:p>
        </w:tc>
        <w:tc>
          <w:tcPr>
            <w:tcW w:w="955" w:type="dxa"/>
            <w:tcBorders>
              <w:top w:val="single" w:color="auto" w:sz="4" w:space="0"/>
              <w:left w:val="single" w:color="auto" w:sz="4" w:space="0"/>
              <w:bottom w:val="single" w:color="auto" w:sz="4" w:space="0"/>
              <w:right w:val="single" w:color="auto" w:sz="4" w:space="0"/>
            </w:tcBorders>
            <w:noWrap/>
            <w:vAlign w:val="center"/>
          </w:tcPr>
          <w:p w14:paraId="6BEADE57">
            <w:pPr>
              <w:spacing w:line="300" w:lineRule="exac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10331" w:type="dxa"/>
            <w:tcBorders>
              <w:top w:val="single" w:color="auto" w:sz="4" w:space="0"/>
              <w:left w:val="single" w:color="auto" w:sz="4" w:space="0"/>
              <w:bottom w:val="single" w:color="auto" w:sz="4" w:space="0"/>
              <w:right w:val="single" w:color="auto" w:sz="4" w:space="0"/>
            </w:tcBorders>
            <w:noWrap/>
            <w:vAlign w:val="center"/>
          </w:tcPr>
          <w:p w14:paraId="12A5F67D">
            <w:pPr>
              <w:pStyle w:val="28"/>
              <w:widowControl/>
              <w:numPr>
                <w:ilvl w:val="0"/>
                <w:numId w:val="0"/>
              </w:numPr>
              <w:spacing w:before="0" w:beforeAutospacing="0" w:after="0" w:afterAutospacing="0"/>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合格中</w:t>
            </w:r>
            <w:r>
              <w:rPr>
                <w:rFonts w:hint="eastAsia" w:asciiTheme="minorEastAsia" w:hAnsiTheme="minorEastAsia" w:eastAsiaTheme="minorEastAsia" w:cstheme="minorEastAsia"/>
                <w:color w:val="auto"/>
                <w:sz w:val="24"/>
                <w:szCs w:val="24"/>
              </w:rPr>
              <w:t>标候选人委派本项目拟投入项目负责人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拟投入技术负责人组成答辩小组</w:t>
            </w:r>
            <w:r>
              <w:rPr>
                <w:rFonts w:hint="eastAsia" w:asciiTheme="minorEastAsia" w:hAnsiTheme="minorEastAsia" w:eastAsiaTheme="minorEastAsia" w:cstheme="minorEastAsia"/>
                <w:color w:val="auto"/>
                <w:sz w:val="24"/>
                <w:szCs w:val="24"/>
                <w:lang w:val="en-US" w:eastAsia="zh-CN"/>
              </w:rPr>
              <w:t>解答</w:t>
            </w:r>
            <w:r>
              <w:rPr>
                <w:rFonts w:hint="eastAsia" w:asciiTheme="minorEastAsia" w:hAnsiTheme="minorEastAsia" w:eastAsiaTheme="minorEastAsia" w:cstheme="minorEastAsia"/>
                <w:color w:val="auto"/>
                <w:sz w:val="24"/>
                <w:szCs w:val="24"/>
              </w:rPr>
              <w:t>评委针对其陈述内容及措施所提的相关问题</w:t>
            </w:r>
            <w:r>
              <w:rPr>
                <w:rFonts w:hint="eastAsia" w:asciiTheme="minorEastAsia" w:hAnsiTheme="minorEastAsia" w:eastAsiaTheme="minorEastAsia" w:cstheme="minorEastAsia"/>
                <w:color w:val="auto"/>
                <w:sz w:val="24"/>
                <w:szCs w:val="24"/>
                <w:lang w:val="en-US" w:eastAsia="zh-CN"/>
              </w:rPr>
              <w:t>进行打分</w:t>
            </w:r>
            <w:r>
              <w:rPr>
                <w:rFonts w:hint="eastAsia" w:asciiTheme="minorEastAsia" w:hAnsiTheme="minorEastAsia" w:eastAsiaTheme="minorEastAsia" w:cstheme="minorEastAsia"/>
                <w:color w:val="auto"/>
                <w:sz w:val="24"/>
                <w:szCs w:val="24"/>
              </w:rPr>
              <w:t xml:space="preserve">： </w:t>
            </w:r>
          </w:p>
          <w:p w14:paraId="3D83FB5B">
            <w:pPr>
              <w:pStyle w:val="28"/>
              <w:widowControl/>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【优】</w:t>
            </w:r>
            <w:r>
              <w:rPr>
                <w:rFonts w:hint="eastAsia" w:asciiTheme="minorEastAsia" w:hAnsiTheme="minorEastAsia" w:eastAsiaTheme="minorEastAsia" w:cstheme="minorEastAsia"/>
                <w:sz w:val="24"/>
                <w:szCs w:val="24"/>
              </w:rPr>
              <w:t>回答评委提问思路清晰、内容准确，得（</w:t>
            </w:r>
            <w:r>
              <w:rPr>
                <w:rFonts w:hint="eastAsia" w:asciiTheme="minorEastAsia" w:hAnsiTheme="minorEastAsia" w:eastAsiaTheme="minorEastAsia" w:cstheme="minorEastAsia"/>
                <w:sz w:val="24"/>
                <w:szCs w:val="24"/>
                <w:lang w:val="en-US" w:eastAsia="zh-CN"/>
              </w:rPr>
              <w:t>7</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1DAE86D4">
            <w:pPr>
              <w:pStyle w:val="28"/>
              <w:widowControl/>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【良】回答评委提问思路比较清晰、内容基本准确，得（</w:t>
            </w:r>
            <w:r>
              <w:rPr>
                <w:rFonts w:hint="eastAsia" w:asciiTheme="minorEastAsia" w:hAnsiTheme="minorEastAsia" w:eastAsiaTheme="minorEastAsia" w:cstheme="minorEastAsia"/>
                <w:sz w:val="24"/>
                <w:szCs w:val="24"/>
                <w:lang w:val="en-US" w:eastAsia="zh-CN"/>
              </w:rPr>
              <w:t>4</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0F668690">
            <w:pPr>
              <w:pStyle w:val="28"/>
              <w:widowControl/>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【中】能回答评委提问，得（</w:t>
            </w:r>
            <w:r>
              <w:rPr>
                <w:rFonts w:hint="eastAsia" w:asciiTheme="minorEastAsia" w:hAnsiTheme="minorEastAsia" w:eastAsiaTheme="minorEastAsia" w:cstheme="minorEastAsia"/>
                <w:sz w:val="24"/>
                <w:szCs w:val="24"/>
                <w:lang w:val="en-US" w:eastAsia="zh-CN"/>
              </w:rPr>
              <w:t>1</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598B003C">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【差】回答评委提问思路不清晰、答非所问，</w:t>
            </w:r>
            <w:r>
              <w:rPr>
                <w:rFonts w:hint="eastAsia" w:ascii="宋体" w:hAnsi="宋体" w:cs="宋体"/>
                <w:color w:val="000000" w:themeColor="text1"/>
                <w:sz w:val="24"/>
                <w:szCs w:val="24"/>
                <w:shd w:val="clear" w:color="auto" w:fill="FFFFFF"/>
                <w14:textFill>
                  <w14:solidFill>
                    <w14:schemeClr w14:val="tx1"/>
                  </w14:solidFill>
                </w14:textFill>
              </w:rPr>
              <w:t>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Theme="minorEastAsia" w:hAnsiTheme="minorEastAsia" w:eastAsiaTheme="minorEastAsia" w:cstheme="minorEastAsia"/>
                <w:sz w:val="24"/>
                <w:szCs w:val="24"/>
              </w:rPr>
              <w:t>]</w:t>
            </w:r>
            <w:r>
              <w:rPr>
                <w:rFonts w:hint="eastAsia" w:ascii="宋体" w:hAnsi="宋体" w:cs="宋体"/>
                <w:color w:val="000000" w:themeColor="text1"/>
                <w:sz w:val="24"/>
                <w:szCs w:val="24"/>
                <w:shd w:val="clear" w:color="auto" w:fill="FFFFFF"/>
                <w:lang w:val="zh-CN"/>
                <w14:textFill>
                  <w14:solidFill>
                    <w14:schemeClr w14:val="tx1"/>
                  </w14:solidFill>
                </w14:textFill>
              </w:rPr>
              <w:t>分</w:t>
            </w:r>
          </w:p>
          <w:p w14:paraId="630B0FE3">
            <w:pPr>
              <w:spacing w:line="3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无参加不得分。</w:t>
            </w:r>
          </w:p>
        </w:tc>
      </w:tr>
      <w:tr w14:paraId="48DA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42" w:type="dxa"/>
            <w:tcBorders>
              <w:top w:val="single" w:color="auto" w:sz="4" w:space="0"/>
              <w:left w:val="single" w:color="auto" w:sz="4" w:space="0"/>
              <w:right w:val="single" w:color="auto" w:sz="4" w:space="0"/>
            </w:tcBorders>
            <w:noWrap/>
            <w:vAlign w:val="center"/>
          </w:tcPr>
          <w:p w14:paraId="10809ADF">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568" w:type="dxa"/>
            <w:tcBorders>
              <w:top w:val="single" w:color="auto" w:sz="4" w:space="0"/>
              <w:left w:val="single" w:color="auto" w:sz="4" w:space="0"/>
              <w:right w:val="single" w:color="auto" w:sz="4" w:space="0"/>
            </w:tcBorders>
            <w:noWrap/>
            <w:vAlign w:val="center"/>
          </w:tcPr>
          <w:p w14:paraId="064290FC">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价格因素</w:t>
            </w:r>
          </w:p>
        </w:tc>
        <w:tc>
          <w:tcPr>
            <w:tcW w:w="955" w:type="dxa"/>
            <w:tcBorders>
              <w:top w:val="single" w:color="auto" w:sz="4" w:space="0"/>
              <w:left w:val="single" w:color="auto" w:sz="4" w:space="0"/>
              <w:right w:val="single" w:color="auto" w:sz="4" w:space="0"/>
            </w:tcBorders>
            <w:noWrap/>
            <w:vAlign w:val="center"/>
          </w:tcPr>
          <w:p w14:paraId="2FB2E7A3">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40</w:t>
            </w:r>
          </w:p>
        </w:tc>
        <w:tc>
          <w:tcPr>
            <w:tcW w:w="10331" w:type="dxa"/>
            <w:tcBorders>
              <w:top w:val="single" w:color="auto" w:sz="4" w:space="0"/>
              <w:left w:val="single" w:color="auto" w:sz="4" w:space="0"/>
              <w:bottom w:val="single" w:color="auto" w:sz="4" w:space="0"/>
              <w:right w:val="single" w:color="auto" w:sz="4" w:space="0"/>
            </w:tcBorders>
            <w:noWrap/>
            <w:vAlign w:val="center"/>
          </w:tcPr>
          <w:p w14:paraId="1EF122E7">
            <w:pPr>
              <w:pStyle w:val="28"/>
              <w:widowControl/>
              <w:numPr>
                <w:ilvl w:val="0"/>
                <w:numId w:val="0"/>
              </w:numPr>
              <w:spacing w:before="0" w:beforeAutospacing="0" w:after="0" w:afterAutospacing="0" w:line="24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定标委员会对合格的中标候选人投标报价进行打分，</w:t>
            </w:r>
            <w:r>
              <w:rPr>
                <w:rFonts w:hint="eastAsia" w:asciiTheme="minorEastAsia" w:hAnsiTheme="minorEastAsia" w:eastAsiaTheme="minorEastAsia" w:cstheme="minorEastAsia"/>
                <w:b/>
                <w:bCs/>
                <w:color w:val="auto"/>
                <w:sz w:val="24"/>
                <w:szCs w:val="24"/>
                <w:highlight w:val="none"/>
                <w:u w:val="single"/>
              </w:rPr>
              <w:t>以合格中标候选人中投标报价高于成本警示价的最低投标报价为定标基准价，投标报价等于定标基准价时得</w:t>
            </w:r>
            <w:r>
              <w:rPr>
                <w:rFonts w:hint="eastAsia" w:asciiTheme="minorEastAsia" w:hAnsiTheme="minorEastAsia" w:eastAsiaTheme="minorEastAsia" w:cstheme="minorEastAsia"/>
                <w:b/>
                <w:bCs/>
                <w:color w:val="auto"/>
                <w:sz w:val="24"/>
                <w:szCs w:val="24"/>
                <w:highlight w:val="none"/>
                <w:u w:val="single"/>
                <w:lang w:val="en-US" w:eastAsia="zh-CN"/>
              </w:rPr>
              <w:t>40</w:t>
            </w:r>
            <w:r>
              <w:rPr>
                <w:rFonts w:hint="eastAsia" w:asciiTheme="minorEastAsia" w:hAnsiTheme="minorEastAsia" w:eastAsiaTheme="minorEastAsia" w:cstheme="minorEastAsia"/>
                <w:b/>
                <w:bCs/>
                <w:color w:val="auto"/>
                <w:sz w:val="24"/>
                <w:szCs w:val="24"/>
                <w:highlight w:val="none"/>
                <w:u w:val="single"/>
              </w:rPr>
              <w:t>分</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en-US" w:eastAsia="zh-CN"/>
              </w:rPr>
              <w:t>总</w:t>
            </w:r>
            <w:r>
              <w:rPr>
                <w:rFonts w:hint="eastAsia" w:asciiTheme="minorEastAsia" w:hAnsiTheme="minorEastAsia" w:eastAsiaTheme="minorEastAsia" w:cstheme="minorEastAsia"/>
                <w:color w:val="auto"/>
                <w:sz w:val="24"/>
                <w:szCs w:val="24"/>
                <w:highlight w:val="none"/>
              </w:rPr>
              <w:t>报价比</w:t>
            </w:r>
            <w:r>
              <w:rPr>
                <w:rFonts w:hint="eastAsia" w:asciiTheme="minorEastAsia" w:hAnsiTheme="minorEastAsia" w:eastAsiaTheme="minorEastAsia" w:cstheme="minorEastAsia"/>
                <w:color w:val="auto"/>
                <w:sz w:val="24"/>
                <w:szCs w:val="24"/>
                <w:highlight w:val="none"/>
                <w:lang w:eastAsia="zh-CN"/>
              </w:rPr>
              <w:t>定</w:t>
            </w:r>
            <w:r>
              <w:rPr>
                <w:rFonts w:hint="eastAsia" w:asciiTheme="minorEastAsia" w:hAnsiTheme="minorEastAsia" w:eastAsiaTheme="minorEastAsia" w:cstheme="minorEastAsia"/>
                <w:color w:val="auto"/>
                <w:sz w:val="24"/>
                <w:szCs w:val="24"/>
                <w:highlight w:val="none"/>
              </w:rPr>
              <w:t>标基准价每高1%扣1.5分；每低1%扣1.0分，扣至0分为止。得出价格因素得分，分数出现小数点时，保留小数点后二位，第三位小数四舍五入。</w:t>
            </w:r>
          </w:p>
        </w:tc>
      </w:tr>
    </w:tbl>
    <w:p w14:paraId="70B5917D">
      <w:pPr>
        <w:jc w:val="left"/>
        <w:rPr>
          <w:rFonts w:ascii="宋体" w:hAnsi="宋体" w:eastAsia="宋体" w:cs="宋体"/>
        </w:rPr>
      </w:pPr>
      <w:r>
        <w:rPr>
          <w:rFonts w:hint="eastAsia" w:ascii="宋体" w:hAnsi="宋体" w:eastAsia="宋体" w:cs="宋体"/>
        </w:rPr>
        <w:t>注：</w:t>
      </w:r>
    </w:p>
    <w:p w14:paraId="26F0131B">
      <w:pPr>
        <w:jc w:val="left"/>
        <w:rPr>
          <w:rFonts w:ascii="宋体" w:hAnsi="宋体" w:eastAsia="宋体" w:cs="宋体"/>
        </w:rPr>
      </w:pPr>
      <w:r>
        <w:rPr>
          <w:rFonts w:hint="eastAsia" w:ascii="宋体" w:hAnsi="宋体" w:eastAsia="宋体" w:cs="宋体"/>
        </w:rPr>
        <w:t>（1）答辩人员的到场要求：项目负责人或技术负责人，最多不超过</w:t>
      </w:r>
      <w:r>
        <w:rPr>
          <w:rFonts w:hint="eastAsia" w:ascii="宋体" w:hAnsi="宋体" w:cs="宋体"/>
          <w:lang w:val="en-US" w:eastAsia="zh-CN"/>
        </w:rPr>
        <w:t>2</w:t>
      </w:r>
      <w:r>
        <w:rPr>
          <w:rFonts w:hint="eastAsia" w:ascii="宋体" w:hAnsi="宋体" w:eastAsia="宋体" w:cs="宋体"/>
        </w:rPr>
        <w:t>人，在答辩时须提供答辩人员授权委托书、身份证原件，核对确认身份后方可参加答辩。投标人答辩人未能提供以上材料核对的不予参加答辩环节。</w:t>
      </w:r>
    </w:p>
    <w:p w14:paraId="2592FACF">
      <w:pPr>
        <w:jc w:val="left"/>
        <w:rPr>
          <w:rFonts w:ascii="宋体" w:hAnsi="宋体" w:eastAsia="宋体" w:cs="宋体"/>
        </w:rPr>
      </w:pPr>
      <w:r>
        <w:rPr>
          <w:rFonts w:hint="eastAsia" w:ascii="宋体" w:hAnsi="宋体" w:eastAsia="宋体" w:cs="宋体"/>
        </w:rPr>
        <w:t>（2）答辩进场顺序：按拟派人员签到顺序各自抽取答辩顺序号，按答辩顺序号由小至大依次进场答辩。</w:t>
      </w:r>
    </w:p>
    <w:p w14:paraId="76E063EA">
      <w:pPr>
        <w:jc w:val="left"/>
        <w:rPr>
          <w:rFonts w:ascii="宋体" w:hAnsi="宋体" w:eastAsia="宋体" w:cs="宋体"/>
        </w:rPr>
      </w:pPr>
      <w:r>
        <w:rPr>
          <w:rFonts w:hint="eastAsia" w:ascii="宋体" w:hAnsi="宋体" w:eastAsia="宋体" w:cs="宋体"/>
        </w:rPr>
        <w:t>（3）答辩形式与要求：答辩人员按要求进入答辩区域；答辩人员先陈述，评委针对陈述内容进行提问，由答辩人员进行解答。答辩时长控制：答辩人介绍陈述时长控制在</w:t>
      </w:r>
      <w:r>
        <w:rPr>
          <w:rFonts w:hint="eastAsia" w:ascii="宋体" w:hAnsi="宋体" w:cs="宋体"/>
          <w:lang w:val="en-US" w:eastAsia="zh-CN"/>
        </w:rPr>
        <w:t>10</w:t>
      </w:r>
      <w:r>
        <w:rPr>
          <w:rFonts w:hint="eastAsia" w:ascii="宋体" w:hAnsi="宋体" w:eastAsia="宋体" w:cs="宋体"/>
        </w:rPr>
        <w:t>分钟内</w:t>
      </w:r>
      <w:r>
        <w:rPr>
          <w:rFonts w:hint="eastAsia" w:ascii="宋体" w:hAnsi="宋体" w:cs="宋体"/>
          <w:lang w:eastAsia="zh-CN"/>
        </w:rPr>
        <w:t>，</w:t>
      </w:r>
      <w:r>
        <w:rPr>
          <w:rFonts w:hint="eastAsia" w:ascii="宋体" w:hAnsi="宋体" w:eastAsia="宋体" w:cs="宋体"/>
        </w:rPr>
        <w:t>。</w:t>
      </w:r>
    </w:p>
    <w:p w14:paraId="7FBE35DE">
      <w:pPr>
        <w:tabs>
          <w:tab w:val="left" w:pos="2310"/>
        </w:tabs>
        <w:jc w:val="left"/>
        <w:rPr>
          <w:rFonts w:ascii="宋体" w:hAnsi="宋体" w:eastAsia="宋体" w:cs="宋体"/>
        </w:rPr>
      </w:pPr>
      <w:r>
        <w:rPr>
          <w:rFonts w:hint="eastAsia" w:ascii="宋体" w:hAnsi="宋体" w:eastAsia="宋体" w:cs="宋体"/>
        </w:rPr>
        <w:t>（4）定标委员会成员需根据定标因素对所有合格中标候选人</w:t>
      </w:r>
      <w:r>
        <w:rPr>
          <w:rFonts w:hint="eastAsia" w:ascii="宋体" w:hAnsi="宋体" w:cs="宋体"/>
          <w:lang w:val="en-US" w:eastAsia="zh-CN"/>
        </w:rPr>
        <w:t>进行打分</w:t>
      </w:r>
      <w:r>
        <w:rPr>
          <w:rFonts w:hint="eastAsia" w:ascii="宋体" w:hAnsi="宋体" w:eastAsia="宋体" w:cs="宋体"/>
        </w:rPr>
        <w:t>。</w:t>
      </w:r>
    </w:p>
    <w:p w14:paraId="684B6344">
      <w:pPr>
        <w:spacing w:line="360" w:lineRule="auto"/>
        <w:rPr>
          <w:rFonts w:hint="eastAsia" w:ascii="宋体" w:hAnsi="宋体" w:cs="宋体"/>
          <w:color w:val="auto"/>
          <w:szCs w:val="21"/>
          <w:highlight w:val="none"/>
        </w:rPr>
      </w:pPr>
    </w:p>
    <w:bookmarkEnd w:id="44"/>
    <w:bookmarkEnd w:id="45"/>
    <w:bookmarkEnd w:id="46"/>
    <w:bookmarkEnd w:id="47"/>
    <w:bookmarkEnd w:id="48"/>
    <w:bookmarkEnd w:id="49"/>
    <w:bookmarkEnd w:id="50"/>
    <w:bookmarkEnd w:id="51"/>
    <w:bookmarkEnd w:id="52"/>
    <w:bookmarkEnd w:id="53"/>
    <w:p w14:paraId="3AB51512">
      <w:pPr>
        <w:ind w:firstLine="420"/>
        <w:rPr>
          <w:rFonts w:hint="eastAsia" w:ascii="宋体" w:hAnsi="宋体" w:cs="宋体"/>
          <w:color w:val="auto"/>
          <w:sz w:val="24"/>
          <w:szCs w:val="24"/>
          <w:highlight w:val="none"/>
        </w:rPr>
        <w:sectPr>
          <w:pgSz w:w="16840" w:h="11907" w:orient="landscape"/>
          <w:pgMar w:top="1440" w:right="1440" w:bottom="1270" w:left="1440" w:header="851" w:footer="992" w:gutter="0"/>
          <w:cols w:space="720" w:num="1"/>
          <w:docGrid w:type="lines" w:linePitch="312" w:charSpace="0"/>
        </w:sectPr>
      </w:pPr>
    </w:p>
    <w:p w14:paraId="0943E764">
      <w:pPr>
        <w:ind w:firstLine="420"/>
        <w:rPr>
          <w:rFonts w:hint="eastAsia" w:ascii="宋体" w:hAnsi="宋体" w:eastAsia="宋体" w:cs="宋体"/>
          <w:b/>
          <w:color w:val="auto"/>
          <w:szCs w:val="21"/>
          <w:highlight w:val="none"/>
          <w:lang w:eastAsia="zh-CN"/>
        </w:rPr>
      </w:pPr>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八</w:t>
      </w:r>
    </w:p>
    <w:p w14:paraId="6452C4E0">
      <w:pPr>
        <w:spacing w:line="360" w:lineRule="auto"/>
        <w:jc w:val="center"/>
        <w:rPr>
          <w:rFonts w:ascii="宋体" w:hAnsi="宋体" w:cs="宋体"/>
          <w:b/>
          <w:sz w:val="32"/>
          <w:szCs w:val="32"/>
        </w:rPr>
      </w:pPr>
      <w:bookmarkStart w:id="54" w:name="_Toc5789"/>
      <w:bookmarkStart w:id="55" w:name="_Toc504053942"/>
      <w:bookmarkStart w:id="56" w:name="_Toc504659100"/>
      <w:bookmarkStart w:id="57" w:name="_Toc500249621"/>
      <w:r>
        <w:rPr>
          <w:rFonts w:hint="eastAsia" w:ascii="宋体" w:hAnsi="宋体" w:cs="宋体"/>
          <w:b/>
          <w:sz w:val="32"/>
          <w:szCs w:val="32"/>
        </w:rPr>
        <w:t>定标委员会成员声明</w:t>
      </w:r>
    </w:p>
    <w:p w14:paraId="17362B45">
      <w:pPr>
        <w:spacing w:line="360" w:lineRule="auto"/>
        <w:rPr>
          <w:rFonts w:ascii="宋体" w:hAnsi="宋体"/>
          <w:sz w:val="20"/>
          <w:szCs w:val="20"/>
        </w:rPr>
      </w:pPr>
      <w:r>
        <w:rPr>
          <w:rFonts w:hint="eastAsia" w:ascii="宋体" w:hAnsi="宋体"/>
          <w:sz w:val="20"/>
          <w:szCs w:val="20"/>
        </w:rPr>
        <w:t>广州智达新能源有限公司：</w:t>
      </w:r>
    </w:p>
    <w:p w14:paraId="5997C378">
      <w:pPr>
        <w:spacing w:line="360" w:lineRule="auto"/>
        <w:ind w:firstLine="400" w:firstLineChars="200"/>
        <w:rPr>
          <w:rFonts w:ascii="宋体" w:hAnsi="宋体"/>
          <w:sz w:val="20"/>
          <w:szCs w:val="20"/>
        </w:rPr>
      </w:pPr>
      <w:r>
        <w:rPr>
          <w:rFonts w:hint="eastAsia" w:ascii="宋体" w:hAnsi="宋体"/>
          <w:sz w:val="20"/>
          <w:szCs w:val="20"/>
        </w:rPr>
        <w:t>本人就参与</w:t>
      </w:r>
      <w:r>
        <w:rPr>
          <w:rFonts w:hint="eastAsia" w:ascii="宋体" w:hAnsi="宋体"/>
          <w:sz w:val="20"/>
          <w:szCs w:val="20"/>
          <w:u w:val="single"/>
        </w:rPr>
        <w:t>智达新能源产业化生产基地二期施工总承包</w:t>
      </w:r>
      <w:r>
        <w:rPr>
          <w:rFonts w:hint="eastAsia" w:ascii="宋体" w:hAnsi="宋体"/>
          <w:sz w:val="20"/>
          <w:szCs w:val="20"/>
        </w:rPr>
        <w:t>项目的定标工作，作出郑重声明：</w:t>
      </w:r>
    </w:p>
    <w:p w14:paraId="24A23B65">
      <w:pPr>
        <w:spacing w:line="360" w:lineRule="auto"/>
        <w:ind w:firstLine="400" w:firstLineChars="200"/>
        <w:rPr>
          <w:rFonts w:ascii="宋体" w:hAnsi="宋体"/>
          <w:sz w:val="20"/>
          <w:szCs w:val="20"/>
        </w:rPr>
      </w:pPr>
      <w:r>
        <w:rPr>
          <w:rFonts w:hint="eastAsia" w:ascii="宋体" w:hAnsi="宋体"/>
          <w:sz w:val="20"/>
          <w:szCs w:val="20"/>
        </w:rPr>
        <w:t>一、本人严格遵守定标场所管理规定，服从定标场所现场管理。本人完全知悉并自愿在评审过程中通过电子手写签名板产生电子形式的签名，并认同由此方式产生的签名与本人手写、电子签名具有同等效力；本人使用该签名所签署的定标（审）材料及内容均为本人充分理解并符合本人真实意思表示。</w:t>
      </w:r>
    </w:p>
    <w:p w14:paraId="46BEF38F">
      <w:pPr>
        <w:spacing w:line="360" w:lineRule="auto"/>
        <w:ind w:firstLine="400" w:firstLineChars="200"/>
        <w:rPr>
          <w:rFonts w:ascii="宋体" w:hAnsi="宋体"/>
          <w:sz w:val="20"/>
          <w:szCs w:val="20"/>
        </w:rPr>
      </w:pPr>
      <w:r>
        <w:rPr>
          <w:rFonts w:hint="eastAsia" w:ascii="宋体" w:hAnsi="宋体"/>
          <w:sz w:val="20"/>
          <w:szCs w:val="20"/>
        </w:rPr>
        <w:t>二、在本项目定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971A1F9">
      <w:pPr>
        <w:spacing w:line="360" w:lineRule="auto"/>
        <w:ind w:firstLine="400" w:firstLineChars="200"/>
        <w:rPr>
          <w:rFonts w:ascii="宋体" w:hAnsi="宋体"/>
          <w:sz w:val="20"/>
          <w:szCs w:val="20"/>
        </w:rPr>
      </w:pPr>
      <w:r>
        <w:rPr>
          <w:rFonts w:hint="eastAsia" w:ascii="宋体" w:hAnsi="宋体"/>
          <w:sz w:val="20"/>
          <w:szCs w:val="20"/>
        </w:rPr>
        <w:t>三、本人将按照本项目招标文件规定的定标标准和方法，客观、公正地对投标文件提出评审意见，不故意拖延定标时间，或者敷衍塞责随意定标，不透露本项目定标委员会成员身份，不透露对本项目投标文件的评审和比较、中标人的情况、在定标过程中知悉的国家秘密和商业秘密以及与定标有关的其他情况。在本项目定标过程中，本人不对定标委员会其他成员的独立评审施加不当影响；不接受任何单位或者个人明示或者暗示提出的倾向或者排斥本项目特定投标人的要求；不对定标委员会其他成员或者其他人员发表带有倾向性、误导性的言论或者暗示性的意见建议。</w:t>
      </w:r>
    </w:p>
    <w:p w14:paraId="0CDDE3C7">
      <w:pPr>
        <w:spacing w:line="360" w:lineRule="auto"/>
        <w:ind w:firstLine="400" w:firstLineChars="200"/>
        <w:rPr>
          <w:rFonts w:ascii="宋体" w:hAnsi="宋体"/>
          <w:sz w:val="20"/>
          <w:szCs w:val="20"/>
        </w:rPr>
      </w:pPr>
      <w:r>
        <w:rPr>
          <w:rFonts w:hint="eastAsia" w:ascii="宋体" w:hAnsi="宋体"/>
          <w:sz w:val="20"/>
          <w:szCs w:val="20"/>
        </w:rPr>
        <w:t>四、定标结束后，如果本项目需要复核或者存在异议的。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DA2BC35">
      <w:pPr>
        <w:spacing w:line="360" w:lineRule="auto"/>
        <w:ind w:firstLine="400" w:firstLineChars="200"/>
        <w:rPr>
          <w:rFonts w:ascii="宋体" w:hAnsi="宋体"/>
          <w:sz w:val="20"/>
          <w:szCs w:val="20"/>
        </w:rPr>
      </w:pPr>
      <w:r>
        <w:rPr>
          <w:rFonts w:hint="eastAsia" w:ascii="宋体" w:hAnsi="宋体"/>
          <w:sz w:val="20"/>
          <w:szCs w:val="20"/>
        </w:rPr>
        <w:t>五、招标监督机构依法处理本项目投诉、信访或者举报时，经调查后确认本人存在评审错误的，本人接受招标人将本人列入招标人评（定）标专家回避名单等相关处理措施，本人也接受本项目招标监督机构依法对本人进行的处理。</w:t>
      </w:r>
    </w:p>
    <w:p w14:paraId="48370787">
      <w:pPr>
        <w:spacing w:line="360" w:lineRule="auto"/>
        <w:ind w:firstLine="400" w:firstLineChars="200"/>
        <w:rPr>
          <w:rFonts w:ascii="宋体" w:hAnsi="宋体"/>
          <w:sz w:val="20"/>
          <w:szCs w:val="20"/>
        </w:rPr>
      </w:pPr>
      <w:r>
        <w:rPr>
          <w:rFonts w:hint="eastAsia" w:ascii="宋体" w:hAnsi="宋体"/>
          <w:sz w:val="20"/>
          <w:szCs w:val="20"/>
        </w:rPr>
        <w:t>如果本人违反上述声明内容，造成的后果由本人自行承担。</w:t>
      </w:r>
    </w:p>
    <w:p w14:paraId="3D288E29">
      <w:pPr>
        <w:spacing w:line="360" w:lineRule="auto"/>
        <w:ind w:firstLine="400" w:firstLineChars="200"/>
        <w:rPr>
          <w:rFonts w:hint="eastAsia" w:ascii="宋体" w:hAnsi="宋体" w:eastAsia="宋体" w:cs="Times New Roman"/>
          <w:sz w:val="20"/>
          <w:szCs w:val="20"/>
        </w:rPr>
      </w:pPr>
    </w:p>
    <w:p w14:paraId="492CCA02">
      <w:pPr>
        <w:spacing w:line="360" w:lineRule="auto"/>
        <w:ind w:firstLine="400" w:firstLineChars="200"/>
        <w:rPr>
          <w:rFonts w:hint="eastAsia" w:ascii="宋体" w:hAnsi="宋体" w:eastAsia="宋体" w:cs="Times New Roman"/>
          <w:sz w:val="20"/>
          <w:szCs w:val="20"/>
        </w:rPr>
      </w:pPr>
    </w:p>
    <w:p w14:paraId="7CBCBCED">
      <w:pPr>
        <w:spacing w:line="360" w:lineRule="auto"/>
        <w:ind w:firstLine="5600" w:firstLineChars="2800"/>
        <w:rPr>
          <w:rFonts w:hint="eastAsia" w:ascii="宋体" w:hAnsi="宋体" w:eastAsia="宋体" w:cs="Times New Roman"/>
          <w:sz w:val="20"/>
          <w:szCs w:val="20"/>
        </w:rPr>
      </w:pPr>
      <w:r>
        <w:rPr>
          <w:rFonts w:hint="eastAsia" w:ascii="宋体" w:hAnsi="宋体" w:eastAsia="宋体" w:cs="Times New Roman"/>
          <w:sz w:val="20"/>
          <w:szCs w:val="20"/>
        </w:rPr>
        <w:t>声明人：（签名）</w:t>
      </w:r>
    </w:p>
    <w:p w14:paraId="7C32A729">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503466F">
      <w:pPr>
        <w:adjustRightInd w:val="0"/>
        <w:snapToGrid w:val="0"/>
        <w:spacing w:line="360" w:lineRule="auto"/>
        <w:rPr>
          <w:rFonts w:hint="eastAsia" w:ascii="仿宋" w:hAnsi="仿宋" w:eastAsia="仿宋" w:cs="仿宋"/>
          <w:b/>
          <w:kern w:val="1"/>
          <w:sz w:val="24"/>
          <w:highlight w:val="none"/>
        </w:rPr>
      </w:pPr>
      <w:r>
        <w:rPr>
          <w:rFonts w:hint="eastAsia" w:ascii="宋体" w:hAnsi="宋体" w:eastAsia="宋体" w:cs="宋体"/>
          <w:b/>
          <w:color w:val="auto"/>
          <w:sz w:val="28"/>
          <w:szCs w:val="28"/>
          <w:highlight w:val="none"/>
        </w:rPr>
        <w:t>附表九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仿宋" w:hAnsi="仿宋" w:eastAsia="仿宋" w:cs="仿宋"/>
          <w:b/>
          <w:kern w:val="1"/>
          <w:sz w:val="24"/>
          <w:highlight w:val="none"/>
        </w:rPr>
        <w:t xml:space="preserve">                 </w:t>
      </w:r>
    </w:p>
    <w:p w14:paraId="4C617181">
      <w:pPr>
        <w:adjustRightInd w:val="0"/>
        <w:snapToGrid w:val="0"/>
        <w:spacing w:line="360" w:lineRule="auto"/>
        <w:jc w:val="center"/>
        <w:rPr>
          <w:rFonts w:hint="eastAsia" w:ascii="宋体" w:cs="宋体"/>
          <w:b/>
          <w:sz w:val="28"/>
          <w:szCs w:val="28"/>
          <w:highlight w:val="none"/>
        </w:rPr>
      </w:pPr>
      <w:r>
        <w:rPr>
          <w:rFonts w:hint="eastAsia" w:ascii="宋体" w:cs="宋体"/>
          <w:b/>
          <w:sz w:val="28"/>
          <w:szCs w:val="28"/>
          <w:highlight w:val="none"/>
        </w:rPr>
        <w:t>定标得分表</w:t>
      </w:r>
    </w:p>
    <w:p w14:paraId="612BBAFB">
      <w:pPr>
        <w:adjustRightInd w:val="0"/>
        <w:snapToGrid w:val="0"/>
        <w:spacing w:line="360" w:lineRule="auto"/>
        <w:jc w:val="center"/>
        <w:rPr>
          <w:rFonts w:hint="eastAsia" w:ascii="仿宋" w:hAnsi="仿宋" w:eastAsia="仿宋" w:cs="仿宋"/>
          <w:b/>
          <w:sz w:val="28"/>
          <w:szCs w:val="28"/>
          <w:highlight w:val="none"/>
        </w:rPr>
      </w:pPr>
      <w:r>
        <w:rPr>
          <w:rFonts w:hint="eastAsia" w:ascii="宋体" w:cs="宋体"/>
          <w:b/>
          <w:sz w:val="28"/>
          <w:szCs w:val="28"/>
          <w:highlight w:val="none"/>
        </w:rPr>
        <w:t>（定标阶段</w:t>
      </w:r>
      <w:r>
        <w:rPr>
          <w:rFonts w:hint="eastAsia" w:ascii="宋体" w:cs="宋体"/>
          <w:b/>
          <w:sz w:val="28"/>
          <w:szCs w:val="28"/>
          <w:highlight w:val="none"/>
          <w:lang w:val="en-US" w:eastAsia="zh-CN"/>
        </w:rPr>
        <w:t>价格</w:t>
      </w:r>
      <w:r>
        <w:rPr>
          <w:rFonts w:hint="eastAsia" w:ascii="宋体" w:cs="宋体"/>
          <w:b/>
          <w:sz w:val="28"/>
          <w:szCs w:val="28"/>
          <w:highlight w:val="none"/>
        </w:rPr>
        <w:t>因素—定标委员个人用表）</w:t>
      </w:r>
    </w:p>
    <w:p w14:paraId="7848D647">
      <w:pPr>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p>
    <w:tbl>
      <w:tblPr>
        <w:tblStyle w:val="33"/>
        <w:tblW w:w="9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79"/>
        <w:gridCol w:w="4493"/>
      </w:tblGrid>
      <w:tr w14:paraId="5B89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7B9D965C">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排序</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770436F9">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合格的中标候选人</w:t>
            </w:r>
          </w:p>
        </w:tc>
        <w:tc>
          <w:tcPr>
            <w:tcW w:w="4493" w:type="dxa"/>
            <w:tcBorders>
              <w:top w:val="single" w:color="auto" w:sz="4" w:space="0"/>
              <w:left w:val="single" w:color="auto" w:sz="4" w:space="0"/>
              <w:bottom w:val="single" w:color="auto" w:sz="4" w:space="0"/>
              <w:right w:val="single" w:color="auto" w:sz="4" w:space="0"/>
            </w:tcBorders>
            <w:noWrap w:val="0"/>
            <w:vAlign w:val="center"/>
          </w:tcPr>
          <w:p w14:paraId="0C4F2F48">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价格得分（40分）</w:t>
            </w:r>
          </w:p>
        </w:tc>
      </w:tr>
      <w:tr w14:paraId="61F9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019F6E0B">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048A9B8B">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273BCCC6">
            <w:pPr>
              <w:spacing w:line="600" w:lineRule="exact"/>
              <w:jc w:val="center"/>
              <w:rPr>
                <w:rFonts w:hint="eastAsia" w:ascii="宋体" w:hAnsi="宋体" w:eastAsia="宋体" w:cs="宋体"/>
                <w:sz w:val="24"/>
                <w:highlight w:val="none"/>
              </w:rPr>
            </w:pPr>
          </w:p>
        </w:tc>
      </w:tr>
      <w:tr w14:paraId="58CC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3EDC132">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35776686">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0F294CA1">
            <w:pPr>
              <w:spacing w:line="600" w:lineRule="exact"/>
              <w:jc w:val="center"/>
              <w:rPr>
                <w:rFonts w:hint="eastAsia" w:ascii="宋体" w:hAnsi="宋体" w:eastAsia="宋体" w:cs="宋体"/>
                <w:sz w:val="24"/>
                <w:highlight w:val="none"/>
              </w:rPr>
            </w:pPr>
          </w:p>
        </w:tc>
      </w:tr>
      <w:tr w14:paraId="35C4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0B8B8A4D">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1C33BB03">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00D3236C">
            <w:pPr>
              <w:spacing w:line="600" w:lineRule="exact"/>
              <w:jc w:val="center"/>
              <w:rPr>
                <w:rFonts w:hint="eastAsia" w:ascii="宋体" w:hAnsi="宋体" w:eastAsia="宋体" w:cs="宋体"/>
                <w:sz w:val="24"/>
                <w:highlight w:val="none"/>
              </w:rPr>
            </w:pPr>
          </w:p>
        </w:tc>
      </w:tr>
      <w:tr w14:paraId="7C7D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033B90C">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1BFCEC1A">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203DAFE2">
            <w:pPr>
              <w:spacing w:line="600" w:lineRule="exact"/>
              <w:jc w:val="center"/>
              <w:rPr>
                <w:rFonts w:hint="eastAsia" w:ascii="宋体" w:hAnsi="宋体" w:eastAsia="宋体" w:cs="宋体"/>
                <w:sz w:val="24"/>
                <w:highlight w:val="none"/>
              </w:rPr>
            </w:pPr>
          </w:p>
        </w:tc>
      </w:tr>
      <w:tr w14:paraId="5FFF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7F76DB5F">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140579D0">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65B46FA9">
            <w:pPr>
              <w:spacing w:line="600" w:lineRule="exact"/>
              <w:jc w:val="center"/>
              <w:rPr>
                <w:rFonts w:hint="eastAsia" w:ascii="宋体" w:hAnsi="宋体" w:eastAsia="宋体" w:cs="宋体"/>
                <w:sz w:val="24"/>
                <w:highlight w:val="none"/>
              </w:rPr>
            </w:pPr>
          </w:p>
        </w:tc>
      </w:tr>
      <w:tr w14:paraId="3A40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5A40FC46">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N</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49306965">
            <w:pPr>
              <w:spacing w:line="600" w:lineRule="exact"/>
              <w:jc w:val="center"/>
              <w:rPr>
                <w:rFonts w:hint="eastAsia" w:ascii="宋体" w:hAnsi="宋体" w:eastAsia="宋体" w:cs="宋体"/>
                <w:sz w:val="24"/>
                <w:highlight w:val="none"/>
              </w:rPr>
            </w:pPr>
          </w:p>
        </w:tc>
        <w:tc>
          <w:tcPr>
            <w:tcW w:w="4493" w:type="dxa"/>
            <w:tcBorders>
              <w:top w:val="single" w:color="auto" w:sz="4" w:space="0"/>
              <w:left w:val="single" w:color="auto" w:sz="4" w:space="0"/>
              <w:bottom w:val="single" w:color="auto" w:sz="4" w:space="0"/>
              <w:right w:val="single" w:color="auto" w:sz="4" w:space="0"/>
            </w:tcBorders>
            <w:noWrap w:val="0"/>
            <w:vAlign w:val="center"/>
          </w:tcPr>
          <w:p w14:paraId="0A609BB1">
            <w:pPr>
              <w:spacing w:line="600" w:lineRule="exact"/>
              <w:jc w:val="center"/>
              <w:rPr>
                <w:rFonts w:hint="eastAsia" w:ascii="宋体" w:hAnsi="宋体" w:eastAsia="宋体" w:cs="宋体"/>
                <w:sz w:val="24"/>
                <w:highlight w:val="none"/>
              </w:rPr>
            </w:pPr>
          </w:p>
        </w:tc>
      </w:tr>
    </w:tbl>
    <w:p w14:paraId="18C3CDD9">
      <w:pPr>
        <w:spacing w:line="600" w:lineRule="exact"/>
        <w:ind w:right="-9"/>
        <w:jc w:val="center"/>
        <w:rPr>
          <w:rFonts w:hint="eastAsia" w:ascii="宋体" w:hAnsi="宋体" w:eastAsia="宋体" w:cs="宋体"/>
          <w:sz w:val="24"/>
          <w:highlight w:val="none"/>
        </w:rPr>
      </w:pPr>
    </w:p>
    <w:p w14:paraId="41EEAE9F">
      <w:pPr>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备注：</w:t>
      </w:r>
    </w:p>
    <w:p w14:paraId="2A104750">
      <w:pPr>
        <w:ind w:right="-48" w:rightChars="-23"/>
        <w:rPr>
          <w:rFonts w:hint="eastAsia" w:ascii="宋体" w:hAnsi="宋体" w:eastAsia="宋体" w:cs="宋体"/>
          <w:sz w:val="24"/>
          <w:highlight w:val="none"/>
        </w:rPr>
      </w:pPr>
      <w:r>
        <w:rPr>
          <w:rFonts w:hint="eastAsia" w:ascii="宋体" w:hAnsi="宋体" w:eastAsia="宋体" w:cs="宋体"/>
          <w:sz w:val="24"/>
          <w:highlight w:val="none"/>
        </w:rPr>
        <w:t>（1）本表格用于价格因素评审计分，每行限填一个合格的中标候选人，定标委员会成员应当独立打分；</w:t>
      </w:r>
    </w:p>
    <w:p w14:paraId="125066B5">
      <w:pPr>
        <w:ind w:right="-48" w:rightChars="-23"/>
        <w:rPr>
          <w:rFonts w:hint="eastAsia" w:ascii="宋体" w:hAnsi="宋体" w:eastAsia="宋体" w:cs="宋体"/>
          <w:sz w:val="24"/>
          <w:highlight w:val="none"/>
        </w:rPr>
      </w:pPr>
      <w:r>
        <w:rPr>
          <w:rFonts w:hint="eastAsia" w:ascii="宋体" w:hAnsi="宋体" w:eastAsia="宋体" w:cs="宋体"/>
          <w:sz w:val="24"/>
          <w:highlight w:val="none"/>
        </w:rPr>
        <w:t>（2）定标委员会各成员对对合格的中标候选人投标报价进行打分。</w:t>
      </w:r>
    </w:p>
    <w:p w14:paraId="3AF38D3E">
      <w:pPr>
        <w:spacing w:line="360" w:lineRule="auto"/>
        <w:rPr>
          <w:rFonts w:hint="eastAsia" w:ascii="宋体" w:hAnsi="宋体" w:eastAsia="宋体" w:cs="宋体"/>
          <w:sz w:val="24"/>
          <w:highlight w:val="none"/>
        </w:rPr>
      </w:pPr>
    </w:p>
    <w:p w14:paraId="1F6214F5">
      <w:pPr>
        <w:pStyle w:val="163"/>
        <w:ind w:firstLine="400"/>
        <w:rPr>
          <w:rFonts w:hint="eastAsia" w:ascii="宋体" w:hAnsi="宋体" w:eastAsia="宋体" w:cs="宋体"/>
          <w:highlight w:val="none"/>
        </w:rPr>
      </w:pPr>
    </w:p>
    <w:p w14:paraId="2846BC59">
      <w:pPr>
        <w:ind w:right="-733" w:rightChars="-349"/>
        <w:rPr>
          <w:rFonts w:hint="eastAsia" w:ascii="宋体" w:hAnsi="宋体" w:eastAsia="宋体" w:cs="宋体"/>
          <w:sz w:val="24"/>
          <w:highlight w:val="none"/>
        </w:rPr>
      </w:pPr>
      <w:r>
        <w:rPr>
          <w:rFonts w:hint="eastAsia" w:ascii="宋体" w:hAnsi="宋体" w:eastAsia="宋体" w:cs="宋体"/>
          <w:sz w:val="24"/>
          <w:highlight w:val="none"/>
        </w:rPr>
        <w:t>定标委员签名：                         日期：   年  月  日</w:t>
      </w:r>
    </w:p>
    <w:p w14:paraId="6D7586E0">
      <w:pPr>
        <w:spacing w:line="360" w:lineRule="auto"/>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eastAsia="zh-CN"/>
        </w:rPr>
        <w:t>：</w:t>
      </w:r>
    </w:p>
    <w:p w14:paraId="46577865">
      <w:pPr>
        <w:adjustRightInd w:val="0"/>
        <w:snapToGrid w:val="0"/>
        <w:spacing w:line="360" w:lineRule="auto"/>
        <w:rPr>
          <w:rFonts w:hint="eastAsia" w:ascii="仿宋" w:hAnsi="仿宋" w:eastAsia="仿宋" w:cs="仿宋"/>
          <w:b/>
          <w:kern w:val="1"/>
          <w:sz w:val="24"/>
          <w:highlight w:val="none"/>
        </w:rPr>
      </w:pPr>
      <w:r>
        <w:rPr>
          <w:rFonts w:hint="eastAsia" w:ascii="仿宋" w:hAnsi="仿宋" w:eastAsia="仿宋" w:cs="仿宋"/>
          <w:b/>
          <w:kern w:val="1"/>
          <w:sz w:val="24"/>
          <w:highlight w:val="none"/>
        </w:rPr>
        <w:t xml:space="preserve">    </w:t>
      </w:r>
    </w:p>
    <w:p w14:paraId="01D1CBEA">
      <w:pPr>
        <w:adjustRightInd w:val="0"/>
        <w:snapToGrid w:val="0"/>
        <w:spacing w:line="360" w:lineRule="auto"/>
        <w:jc w:val="center"/>
        <w:rPr>
          <w:rFonts w:hint="eastAsia" w:ascii="宋体" w:cs="宋体"/>
          <w:b/>
          <w:sz w:val="28"/>
          <w:szCs w:val="28"/>
          <w:highlight w:val="none"/>
        </w:rPr>
      </w:pPr>
      <w:r>
        <w:rPr>
          <w:rFonts w:hint="eastAsia" w:ascii="宋体" w:cs="宋体"/>
          <w:b/>
          <w:sz w:val="28"/>
          <w:szCs w:val="28"/>
          <w:highlight w:val="none"/>
        </w:rPr>
        <w:t>定标得分表</w:t>
      </w:r>
    </w:p>
    <w:p w14:paraId="3E221748">
      <w:pPr>
        <w:adjustRightInd w:val="0"/>
        <w:snapToGrid w:val="0"/>
        <w:spacing w:line="360" w:lineRule="auto"/>
        <w:jc w:val="center"/>
        <w:rPr>
          <w:rFonts w:hint="eastAsia" w:ascii="仿宋" w:hAnsi="仿宋" w:eastAsia="仿宋" w:cs="仿宋"/>
          <w:b/>
          <w:sz w:val="28"/>
          <w:szCs w:val="28"/>
          <w:highlight w:val="none"/>
        </w:rPr>
      </w:pPr>
      <w:r>
        <w:rPr>
          <w:rFonts w:hint="eastAsia" w:ascii="宋体" w:cs="宋体"/>
          <w:b/>
          <w:sz w:val="28"/>
          <w:szCs w:val="28"/>
          <w:highlight w:val="none"/>
        </w:rPr>
        <w:t>（定标阶段</w:t>
      </w:r>
      <w:r>
        <w:rPr>
          <w:rFonts w:hint="eastAsia" w:ascii="宋体" w:cs="宋体"/>
          <w:b/>
          <w:sz w:val="28"/>
          <w:szCs w:val="28"/>
          <w:highlight w:val="none"/>
          <w:lang w:val="en-US" w:eastAsia="zh-CN"/>
        </w:rPr>
        <w:t>方案因素及</w:t>
      </w:r>
      <w:r>
        <w:rPr>
          <w:rFonts w:hint="eastAsia" w:ascii="宋体" w:cs="宋体"/>
          <w:b/>
          <w:sz w:val="28"/>
          <w:szCs w:val="28"/>
          <w:highlight w:val="none"/>
        </w:rPr>
        <w:t>答辩因素—定标委员个人用表）</w:t>
      </w:r>
    </w:p>
    <w:p w14:paraId="4CF3E495">
      <w:pPr>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p>
    <w:tbl>
      <w:tblPr>
        <w:tblStyle w:val="33"/>
        <w:tblpPr w:leftFromText="180" w:rightFromText="180" w:vertAnchor="text" w:horzAnchor="page" w:tblpX="1404" w:tblpY="283"/>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845"/>
        <w:gridCol w:w="974"/>
        <w:gridCol w:w="974"/>
        <w:gridCol w:w="974"/>
        <w:gridCol w:w="974"/>
        <w:gridCol w:w="974"/>
        <w:gridCol w:w="974"/>
      </w:tblGrid>
      <w:tr w14:paraId="360B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3CD837CC">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排序</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3E38D11">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合格的中标候选人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41D4D9F">
            <w:pPr>
              <w:spacing w:line="600" w:lineRule="exact"/>
              <w:jc w:val="center"/>
              <w:rPr>
                <w:rFonts w:hint="eastAsia" w:hAnsi="宋体" w:cs="宋体"/>
                <w:color w:val="000000" w:themeColor="text1"/>
                <w:sz w:val="24"/>
                <w:szCs w:val="24"/>
                <w:shd w:val="clear" w:color="auto" w:fill="FFFFFF"/>
                <w:lang w:val="zh-CN"/>
                <w14:textFill>
                  <w14:solidFill>
                    <w14:schemeClr w14:val="tx1"/>
                  </w14:solidFill>
                </w14:textFill>
              </w:rPr>
            </w:pPr>
            <w:r>
              <w:rPr>
                <w:rFonts w:hint="eastAsia" w:hAnsi="宋体" w:cs="宋体"/>
                <w:color w:val="000000" w:themeColor="text1"/>
                <w:sz w:val="24"/>
                <w:szCs w:val="24"/>
                <w:shd w:val="clear" w:color="auto" w:fill="FFFFFF"/>
                <w:lang w:val="zh-CN"/>
                <w14:textFill>
                  <w14:solidFill>
                    <w14:schemeClr w14:val="tx1"/>
                  </w14:solidFill>
                </w14:textFill>
              </w:rPr>
              <w:t>团队配置</w:t>
            </w:r>
          </w:p>
          <w:p w14:paraId="13351433">
            <w:pPr>
              <w:spacing w:line="600" w:lineRule="exact"/>
              <w:jc w:val="center"/>
              <w:rPr>
                <w:rFonts w:hint="eastAsia" w:ascii="宋体" w:hAnsi="宋体" w:eastAsia="宋体" w:cs="宋体"/>
                <w:sz w:val="24"/>
                <w:highlight w:val="none"/>
              </w:rPr>
            </w:pP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69D9F6CB">
            <w:pPr>
              <w:spacing w:line="600" w:lineRule="exact"/>
              <w:jc w:val="center"/>
              <w:rPr>
                <w:rFonts w:hint="eastAsia" w:ascii="宋体" w:hAnsi="宋体" w:eastAsia="宋体" w:cs="宋体"/>
                <w:sz w:val="24"/>
                <w:highlight w:val="none"/>
                <w:lang w:val="en-US" w:eastAsia="zh-CN"/>
              </w:rPr>
            </w:pPr>
            <w:r>
              <w:rPr>
                <w:rFonts w:hint="eastAsia" w:asciiTheme="minorEastAsia" w:hAnsiTheme="minorEastAsia" w:eastAsiaTheme="minorEastAsia" w:cstheme="minorEastAsia"/>
                <w:sz w:val="24"/>
                <w:szCs w:val="24"/>
                <w:lang w:val="en-US" w:eastAsia="zh-CN"/>
              </w:rPr>
              <w:t>重点保证措施</w:t>
            </w: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6651B909">
            <w:pPr>
              <w:spacing w:line="600" w:lineRule="exact"/>
              <w:jc w:val="center"/>
              <w:rPr>
                <w:rFonts w:hint="eastAsia" w:ascii="宋体" w:hAnsi="宋体" w:eastAsia="宋体" w:cs="宋体"/>
                <w:sz w:val="24"/>
                <w:highlight w:val="none"/>
                <w:lang w:val="en-US" w:eastAsia="zh-CN"/>
              </w:rPr>
            </w:pPr>
            <w:r>
              <w:rPr>
                <w:rFonts w:hint="eastAsia" w:ascii="宋体" w:hAnsi="宋体" w:cs="宋体"/>
                <w:color w:val="000000" w:themeColor="text1"/>
                <w:sz w:val="24"/>
                <w:szCs w:val="24"/>
                <w14:textFill>
                  <w14:solidFill>
                    <w14:schemeClr w14:val="tx1"/>
                  </w14:solidFill>
                </w14:textFill>
              </w:rPr>
              <w:t>资金</w:t>
            </w:r>
            <w:r>
              <w:rPr>
                <w:rFonts w:hint="eastAsia" w:ascii="宋体" w:hAnsi="宋体" w:cs="宋体"/>
                <w:color w:val="000000" w:themeColor="text1"/>
                <w:sz w:val="24"/>
                <w:szCs w:val="24"/>
                <w:lang w:val="en-US" w:eastAsia="zh-CN"/>
                <w14:textFill>
                  <w14:solidFill>
                    <w14:schemeClr w14:val="tx1"/>
                  </w14:solidFill>
                </w14:textFill>
              </w:rPr>
              <w:t>使用及</w:t>
            </w:r>
            <w:r>
              <w:rPr>
                <w:rFonts w:hint="eastAsia" w:ascii="宋体" w:hAnsi="宋体" w:cs="宋体"/>
                <w:color w:val="000000" w:themeColor="text1"/>
                <w:sz w:val="24"/>
                <w:szCs w:val="24"/>
                <w14:textFill>
                  <w14:solidFill>
                    <w14:schemeClr w14:val="tx1"/>
                  </w14:solidFill>
                </w14:textFill>
              </w:rPr>
              <w:t>管理措施</w:t>
            </w: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01FDC1A2">
            <w:pPr>
              <w:spacing w:line="60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承诺提前完成工期</w:t>
            </w: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50D1479">
            <w:pPr>
              <w:spacing w:line="600" w:lineRule="exact"/>
              <w:jc w:val="center"/>
              <w:rPr>
                <w:rFonts w:hint="eastAsia" w:ascii="宋体" w:hAnsi="宋体" w:eastAsia="宋体" w:cs="宋体"/>
                <w:sz w:val="24"/>
                <w:highlight w:val="none"/>
                <w:lang w:val="en-US" w:eastAsia="zh-CN"/>
              </w:rPr>
            </w:pPr>
            <w:r>
              <w:rPr>
                <w:rFonts w:hint="eastAsia" w:asciiTheme="minorEastAsia" w:hAnsiTheme="minorEastAsia" w:eastAsiaTheme="minorEastAsia" w:cstheme="minorEastAsia"/>
                <w:color w:val="auto"/>
                <w:sz w:val="24"/>
                <w:szCs w:val="24"/>
              </w:rPr>
              <w:t>答辩小组</w:t>
            </w:r>
            <w:r>
              <w:rPr>
                <w:rFonts w:hint="eastAsia" w:asciiTheme="minorEastAsia" w:hAnsiTheme="minorEastAsia" w:eastAsiaTheme="minorEastAsia" w:cstheme="minorEastAsia"/>
                <w:color w:val="auto"/>
                <w:sz w:val="24"/>
                <w:szCs w:val="24"/>
                <w:lang w:val="en-US" w:eastAsia="zh-CN"/>
              </w:rPr>
              <w:t>介绍情况</w:t>
            </w: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C374BF2">
            <w:pPr>
              <w:spacing w:line="600" w:lineRule="exact"/>
              <w:jc w:val="center"/>
              <w:rPr>
                <w:rFonts w:hint="eastAsia" w:ascii="宋体" w:hAnsi="宋体" w:eastAsia="宋体" w:cs="宋体"/>
                <w:sz w:val="24"/>
                <w:highlight w:val="none"/>
                <w:lang w:val="en-US" w:eastAsia="zh-CN"/>
              </w:rPr>
            </w:pPr>
            <w:r>
              <w:rPr>
                <w:rFonts w:hint="eastAsia" w:asciiTheme="minorEastAsia" w:hAnsiTheme="minorEastAsia" w:eastAsiaTheme="minorEastAsia" w:cstheme="minorEastAsia"/>
                <w:color w:val="auto"/>
                <w:sz w:val="24"/>
                <w:szCs w:val="24"/>
              </w:rPr>
              <w:t>答辩小组</w:t>
            </w:r>
            <w:r>
              <w:rPr>
                <w:rFonts w:hint="eastAsia" w:asciiTheme="minorEastAsia" w:hAnsiTheme="minorEastAsia" w:eastAsiaTheme="minorEastAsia" w:cstheme="minorEastAsia"/>
                <w:color w:val="auto"/>
                <w:sz w:val="24"/>
                <w:szCs w:val="24"/>
                <w:lang w:val="en-US" w:eastAsia="zh-CN"/>
              </w:rPr>
              <w:t>解答情况</w:t>
            </w:r>
            <w:r>
              <w:rPr>
                <w:rFonts w:hint="eastAsia" w:hAnsi="宋体" w:cs="宋体" w:eastAsiaTheme="minorEastAsia"/>
                <w:color w:val="000000" w:themeColor="text1"/>
                <w:sz w:val="24"/>
                <w:szCs w:val="24"/>
                <w:shd w:val="clear" w:color="auto" w:fill="FFFFFF"/>
                <w:lang w:val="en-US" w:eastAsia="zh-CN"/>
                <w14:textFill>
                  <w14:solidFill>
                    <w14:schemeClr w14:val="tx1"/>
                  </w14:solidFill>
                </w14:textFill>
              </w:rPr>
              <w:t>(</w:t>
            </w:r>
            <w:r>
              <w:rPr>
                <w:rFonts w:hint="eastAsia" w:hAnsi="宋体" w:cs="宋体"/>
                <w:color w:val="000000" w:themeColor="text1"/>
                <w:sz w:val="24"/>
                <w:szCs w:val="24"/>
                <w:shd w:val="clear" w:color="auto" w:fill="FFFFFF"/>
                <w:lang w:val="en-US" w:eastAsia="zh-CN"/>
                <w14:textFill>
                  <w14:solidFill>
                    <w14:schemeClr w14:val="tx1"/>
                  </w14:solidFill>
                </w14:textFill>
              </w:rPr>
              <w:t>10分)</w:t>
            </w:r>
          </w:p>
        </w:tc>
      </w:tr>
      <w:tr w14:paraId="023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44508811">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31A35FB">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98C39C9">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8FE74BE">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82F809A">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8BD70F3">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11B0FAC">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5933E94">
            <w:pPr>
              <w:spacing w:line="600" w:lineRule="exact"/>
              <w:jc w:val="center"/>
              <w:rPr>
                <w:rFonts w:hint="eastAsia" w:ascii="宋体" w:hAnsi="宋体" w:eastAsia="宋体" w:cs="宋体"/>
                <w:sz w:val="24"/>
                <w:highlight w:val="none"/>
              </w:rPr>
            </w:pPr>
          </w:p>
        </w:tc>
      </w:tr>
      <w:tr w14:paraId="575E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7ECC3300">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0645612A">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D9378E8">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F4D48E6">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C495F5B">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353CD87">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463D408">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C4728E0">
            <w:pPr>
              <w:spacing w:line="600" w:lineRule="exact"/>
              <w:jc w:val="center"/>
              <w:rPr>
                <w:rFonts w:hint="eastAsia" w:ascii="宋体" w:hAnsi="宋体" w:eastAsia="宋体" w:cs="宋体"/>
                <w:sz w:val="24"/>
                <w:highlight w:val="none"/>
              </w:rPr>
            </w:pPr>
          </w:p>
        </w:tc>
      </w:tr>
      <w:tr w14:paraId="3225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01E92000">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1AB2CD0">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B42E897">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C3945E3">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EE630C7">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4702DCF">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7B6A5C8">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FEBFC85">
            <w:pPr>
              <w:spacing w:line="600" w:lineRule="exact"/>
              <w:jc w:val="center"/>
              <w:rPr>
                <w:rFonts w:hint="eastAsia" w:ascii="宋体" w:hAnsi="宋体" w:eastAsia="宋体" w:cs="宋体"/>
                <w:sz w:val="24"/>
                <w:highlight w:val="none"/>
              </w:rPr>
            </w:pPr>
          </w:p>
        </w:tc>
      </w:tr>
      <w:tr w14:paraId="2D50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5ED51FD0">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460A701">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42A0F83">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09A1293">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8295DC7">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E71B5C4">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77071C5">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177DBA9">
            <w:pPr>
              <w:spacing w:line="600" w:lineRule="exact"/>
              <w:jc w:val="center"/>
              <w:rPr>
                <w:rFonts w:hint="eastAsia" w:ascii="宋体" w:hAnsi="宋体" w:eastAsia="宋体" w:cs="宋体"/>
                <w:sz w:val="24"/>
                <w:highlight w:val="none"/>
              </w:rPr>
            </w:pPr>
          </w:p>
        </w:tc>
      </w:tr>
      <w:tr w14:paraId="2EEF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1AE3CB83">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0FB99DDD">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7AF5A77">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3AC3D3D">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13FFA63">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C04F520">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277A436">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1E40C98">
            <w:pPr>
              <w:spacing w:line="600" w:lineRule="exact"/>
              <w:jc w:val="center"/>
              <w:rPr>
                <w:rFonts w:hint="eastAsia" w:ascii="宋体" w:hAnsi="宋体" w:eastAsia="宋体" w:cs="宋体"/>
                <w:sz w:val="24"/>
                <w:highlight w:val="none"/>
              </w:rPr>
            </w:pPr>
          </w:p>
        </w:tc>
      </w:tr>
      <w:tr w14:paraId="0804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4DD6D72E">
            <w:pPr>
              <w:spacing w:line="600" w:lineRule="exact"/>
              <w:jc w:val="center"/>
              <w:rPr>
                <w:rFonts w:hint="eastAsia" w:ascii="宋体" w:hAnsi="宋体" w:eastAsia="宋体" w:cs="宋体"/>
                <w:sz w:val="24"/>
                <w:highlight w:val="none"/>
              </w:rPr>
            </w:pPr>
            <w:r>
              <w:rPr>
                <w:rFonts w:hint="eastAsia" w:ascii="宋体" w:hAnsi="宋体" w:eastAsia="宋体" w:cs="宋体"/>
                <w:sz w:val="24"/>
                <w:highlight w:val="none"/>
              </w:rPr>
              <w:t>N</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A4A1331">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3AE2AC8">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70FF315">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4A3FC19">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8C3EDEB">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9BF8FA6">
            <w:pPr>
              <w:spacing w:line="600" w:lineRule="exact"/>
              <w:jc w:val="center"/>
              <w:rPr>
                <w:rFonts w:hint="eastAsia" w:ascii="宋体" w:hAnsi="宋体" w:eastAsia="宋体" w:cs="宋体"/>
                <w:sz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9602B99">
            <w:pPr>
              <w:spacing w:line="600" w:lineRule="exact"/>
              <w:jc w:val="center"/>
              <w:rPr>
                <w:rFonts w:hint="eastAsia" w:ascii="宋体" w:hAnsi="宋体" w:eastAsia="宋体" w:cs="宋体"/>
                <w:sz w:val="24"/>
                <w:highlight w:val="none"/>
              </w:rPr>
            </w:pPr>
          </w:p>
        </w:tc>
      </w:tr>
    </w:tbl>
    <w:p w14:paraId="256BD1CE">
      <w:pPr>
        <w:spacing w:line="600" w:lineRule="exact"/>
        <w:ind w:right="-9"/>
        <w:jc w:val="center"/>
        <w:rPr>
          <w:rFonts w:hint="eastAsia" w:ascii="宋体" w:hAnsi="宋体" w:eastAsia="宋体" w:cs="宋体"/>
          <w:sz w:val="24"/>
          <w:highlight w:val="none"/>
        </w:rPr>
      </w:pPr>
    </w:p>
    <w:p w14:paraId="755BD87C">
      <w:pPr>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备注：</w:t>
      </w:r>
    </w:p>
    <w:p w14:paraId="0EE94E72">
      <w:pPr>
        <w:ind w:right="-48" w:rightChars="-23"/>
        <w:rPr>
          <w:rFonts w:hint="eastAsia" w:ascii="宋体" w:hAnsi="宋体" w:eastAsia="宋体" w:cs="宋体"/>
          <w:sz w:val="24"/>
          <w:highlight w:val="none"/>
        </w:rPr>
      </w:pPr>
      <w:r>
        <w:rPr>
          <w:rFonts w:hint="eastAsia" w:ascii="宋体" w:hAnsi="宋体" w:eastAsia="宋体" w:cs="宋体"/>
          <w:sz w:val="24"/>
          <w:highlight w:val="none"/>
        </w:rPr>
        <w:t>（1）本表格用于方案因素及答辩因素评审计分，每行限填一个合格的中标候选人，定标委员会成员应当独立打分；</w:t>
      </w:r>
    </w:p>
    <w:p w14:paraId="3B31D92E">
      <w:pPr>
        <w:spacing w:line="360" w:lineRule="auto"/>
        <w:rPr>
          <w:rFonts w:hint="eastAsia" w:ascii="宋体" w:hAnsi="宋体" w:eastAsia="宋体" w:cs="宋体"/>
          <w:sz w:val="24"/>
          <w:highlight w:val="none"/>
        </w:rPr>
      </w:pPr>
    </w:p>
    <w:p w14:paraId="1DC4454F">
      <w:pPr>
        <w:pStyle w:val="163"/>
        <w:ind w:firstLine="400"/>
        <w:rPr>
          <w:rFonts w:hint="eastAsia" w:ascii="宋体" w:hAnsi="宋体" w:eastAsia="宋体" w:cs="宋体"/>
          <w:highlight w:val="none"/>
        </w:rPr>
      </w:pPr>
    </w:p>
    <w:p w14:paraId="536E16FA">
      <w:pPr>
        <w:ind w:right="-733" w:rightChars="-349"/>
        <w:rPr>
          <w:rFonts w:hint="eastAsia" w:ascii="宋体" w:hAnsi="宋体" w:eastAsia="宋体" w:cs="宋体"/>
          <w:sz w:val="24"/>
          <w:highlight w:val="none"/>
        </w:rPr>
      </w:pPr>
      <w:r>
        <w:rPr>
          <w:rFonts w:hint="eastAsia" w:ascii="宋体" w:hAnsi="宋体" w:eastAsia="宋体" w:cs="宋体"/>
          <w:sz w:val="24"/>
          <w:highlight w:val="none"/>
        </w:rPr>
        <w:t>定标委员签名：                         日期：   年  月  日</w:t>
      </w:r>
    </w:p>
    <w:p w14:paraId="33708B3C">
      <w:pPr>
        <w:pStyle w:val="163"/>
        <w:ind w:firstLine="400"/>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附表十一</w:t>
      </w:r>
      <w:r>
        <w:rPr>
          <w:rFonts w:hint="eastAsia" w:ascii="宋体" w:hAnsi="宋体" w:eastAsia="宋体" w:cs="宋体"/>
          <w:b/>
          <w:color w:val="auto"/>
          <w:sz w:val="28"/>
          <w:szCs w:val="28"/>
          <w:highlight w:val="none"/>
          <w:lang w:eastAsia="zh-CN"/>
        </w:rPr>
        <w:t>：</w:t>
      </w:r>
    </w:p>
    <w:p w14:paraId="11ABE864">
      <w:pPr>
        <w:spacing w:line="360" w:lineRule="auto"/>
        <w:jc w:val="center"/>
        <w:rPr>
          <w:rFonts w:hint="eastAsia" w:ascii="宋体" w:hAnsi="Times New Roman" w:eastAsia="宋体" w:cs="宋体"/>
          <w:b/>
          <w:sz w:val="28"/>
          <w:szCs w:val="28"/>
          <w:highlight w:val="none"/>
        </w:rPr>
      </w:pPr>
      <w:r>
        <w:rPr>
          <w:rFonts w:hint="eastAsia" w:ascii="宋体" w:cs="宋体"/>
          <w:b/>
          <w:sz w:val="28"/>
          <w:szCs w:val="28"/>
          <w:highlight w:val="none"/>
        </w:rPr>
        <w:t>定标</w:t>
      </w:r>
      <w:r>
        <w:rPr>
          <w:rFonts w:hint="eastAsia" w:ascii="宋体" w:hAnsi="Times New Roman" w:eastAsia="宋体" w:cs="宋体"/>
          <w:b/>
          <w:sz w:val="28"/>
          <w:szCs w:val="28"/>
          <w:highlight w:val="none"/>
        </w:rPr>
        <w:t>得分</w:t>
      </w:r>
      <w:r>
        <w:rPr>
          <w:rFonts w:hint="eastAsia" w:ascii="宋体" w:hAnsi="Times New Roman" w:eastAsia="宋体" w:cs="宋体"/>
          <w:b/>
          <w:sz w:val="28"/>
          <w:szCs w:val="28"/>
          <w:highlight w:val="none"/>
          <w:lang w:val="en-US" w:eastAsia="zh-CN"/>
        </w:rPr>
        <w:t>汇总</w:t>
      </w:r>
      <w:r>
        <w:rPr>
          <w:rFonts w:hint="eastAsia" w:ascii="宋体" w:hAnsi="Times New Roman" w:eastAsia="宋体" w:cs="宋体"/>
          <w:b/>
          <w:sz w:val="28"/>
          <w:szCs w:val="28"/>
          <w:highlight w:val="none"/>
        </w:rPr>
        <w:t>表（</w:t>
      </w:r>
      <w:r>
        <w:rPr>
          <w:rFonts w:hint="eastAsia" w:ascii="宋体" w:cs="宋体"/>
          <w:b/>
          <w:sz w:val="28"/>
          <w:szCs w:val="28"/>
          <w:highlight w:val="none"/>
        </w:rPr>
        <w:t>定标阶段</w:t>
      </w:r>
      <w:r>
        <w:rPr>
          <w:rFonts w:hint="eastAsia" w:ascii="宋体" w:cs="宋体"/>
          <w:b/>
          <w:sz w:val="28"/>
          <w:szCs w:val="28"/>
          <w:highlight w:val="none"/>
          <w:lang w:val="en-US" w:eastAsia="zh-CN"/>
        </w:rPr>
        <w:t>价格</w:t>
      </w:r>
      <w:r>
        <w:rPr>
          <w:rFonts w:hint="eastAsia" w:ascii="宋体" w:cs="宋体"/>
          <w:b/>
          <w:sz w:val="28"/>
          <w:szCs w:val="28"/>
          <w:highlight w:val="none"/>
        </w:rPr>
        <w:t>因素</w:t>
      </w:r>
      <w:r>
        <w:rPr>
          <w:rFonts w:hint="eastAsia" w:ascii="宋体" w:cs="宋体"/>
          <w:b/>
          <w:sz w:val="28"/>
          <w:szCs w:val="28"/>
          <w:highlight w:val="none"/>
          <w:lang w:val="en-US" w:eastAsia="zh-CN"/>
        </w:rPr>
        <w:t>-</w:t>
      </w:r>
      <w:r>
        <w:rPr>
          <w:rFonts w:hint="eastAsia" w:ascii="宋体" w:hAnsi="Times New Roman" w:eastAsia="宋体" w:cs="宋体"/>
          <w:b/>
          <w:sz w:val="28"/>
          <w:szCs w:val="28"/>
          <w:highlight w:val="none"/>
        </w:rPr>
        <w:t>定标阶段用表）</w:t>
      </w:r>
    </w:p>
    <w:p w14:paraId="77995C8A">
      <w:pPr>
        <w:rPr>
          <w:rFonts w:hint="eastAsia" w:ascii="宋体" w:hAnsi="宋体" w:eastAsia="宋体" w:cs="宋体"/>
          <w:sz w:val="24"/>
          <w:szCs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1"/>
        <w:gridCol w:w="828"/>
        <w:gridCol w:w="828"/>
        <w:gridCol w:w="828"/>
        <w:gridCol w:w="828"/>
        <w:gridCol w:w="829"/>
        <w:gridCol w:w="992"/>
      </w:tblGrid>
      <w:tr w14:paraId="4988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02B9AED">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E5202EA">
            <w:pPr>
              <w:jc w:val="center"/>
              <w:rPr>
                <w:rFonts w:hint="eastAsia" w:ascii="宋体" w:hAnsi="宋体" w:eastAsia="宋体" w:cs="宋体"/>
                <w:sz w:val="24"/>
                <w:highlight w:val="none"/>
              </w:rPr>
            </w:pPr>
            <w:r>
              <w:rPr>
                <w:rFonts w:hint="eastAsia" w:ascii="宋体" w:hAnsi="宋体" w:eastAsia="宋体" w:cs="宋体"/>
                <w:sz w:val="24"/>
                <w:highlight w:val="none"/>
              </w:rPr>
              <w:t>合格的中标候选人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0F2FC8">
            <w:pPr>
              <w:jc w:val="center"/>
              <w:rPr>
                <w:rFonts w:hint="eastAsia" w:ascii="宋体" w:hAnsi="宋体" w:eastAsia="宋体" w:cs="宋体"/>
                <w:szCs w:val="21"/>
                <w:highlight w:val="none"/>
              </w:rPr>
            </w:pPr>
            <w:r>
              <w:rPr>
                <w:rFonts w:hint="eastAsia" w:ascii="宋体" w:hAnsi="宋体" w:eastAsia="宋体" w:cs="宋体"/>
                <w:szCs w:val="21"/>
                <w:highlight w:val="none"/>
              </w:rPr>
              <w:t>评分人1</w:t>
            </w:r>
          </w:p>
        </w:tc>
        <w:tc>
          <w:tcPr>
            <w:tcW w:w="828" w:type="dxa"/>
            <w:tcBorders>
              <w:top w:val="single" w:color="auto" w:sz="4" w:space="0"/>
              <w:left w:val="single" w:color="auto" w:sz="4" w:space="0"/>
              <w:bottom w:val="single" w:color="auto" w:sz="4" w:space="0"/>
              <w:right w:val="single" w:color="auto" w:sz="4" w:space="0"/>
            </w:tcBorders>
            <w:noWrap w:val="0"/>
            <w:vAlign w:val="top"/>
          </w:tcPr>
          <w:p w14:paraId="60E26BEB">
            <w:pPr>
              <w:jc w:val="center"/>
              <w:rPr>
                <w:rFonts w:hint="eastAsia" w:ascii="宋体" w:hAnsi="宋体" w:eastAsia="宋体" w:cs="宋体"/>
                <w:highlight w:val="none"/>
              </w:rPr>
            </w:pPr>
            <w:r>
              <w:rPr>
                <w:rFonts w:hint="eastAsia" w:ascii="宋体" w:hAnsi="宋体" w:eastAsia="宋体" w:cs="宋体"/>
                <w:szCs w:val="21"/>
                <w:highlight w:val="none"/>
              </w:rPr>
              <w:t>评分人2</w:t>
            </w:r>
          </w:p>
        </w:tc>
        <w:tc>
          <w:tcPr>
            <w:tcW w:w="828" w:type="dxa"/>
            <w:tcBorders>
              <w:top w:val="single" w:color="auto" w:sz="4" w:space="0"/>
              <w:left w:val="single" w:color="auto" w:sz="4" w:space="0"/>
              <w:bottom w:val="single" w:color="auto" w:sz="4" w:space="0"/>
              <w:right w:val="single" w:color="auto" w:sz="4" w:space="0"/>
            </w:tcBorders>
            <w:noWrap w:val="0"/>
            <w:vAlign w:val="top"/>
          </w:tcPr>
          <w:p w14:paraId="3F356EEA">
            <w:pPr>
              <w:jc w:val="center"/>
              <w:rPr>
                <w:rFonts w:hint="eastAsia" w:ascii="宋体" w:hAnsi="宋体" w:eastAsia="宋体" w:cs="宋体"/>
                <w:highlight w:val="none"/>
              </w:rPr>
            </w:pPr>
            <w:r>
              <w:rPr>
                <w:rFonts w:hint="eastAsia" w:ascii="宋体" w:hAnsi="宋体" w:eastAsia="宋体" w:cs="宋体"/>
                <w:szCs w:val="21"/>
                <w:highlight w:val="none"/>
              </w:rPr>
              <w:t>评分人3</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8846AB">
            <w:pPr>
              <w:jc w:val="center"/>
              <w:rPr>
                <w:rFonts w:hint="eastAsia" w:ascii="宋体" w:hAnsi="宋体" w:eastAsia="宋体" w:cs="宋体"/>
                <w:highlight w:val="none"/>
              </w:rPr>
            </w:pPr>
            <w:r>
              <w:rPr>
                <w:rFonts w:hint="eastAsia" w:ascii="宋体" w:hAnsi="宋体" w:eastAsia="宋体" w:cs="宋体"/>
                <w:szCs w:val="21"/>
                <w:highlight w:val="none"/>
              </w:rPr>
              <w:t>...</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0F136D0">
            <w:pPr>
              <w:jc w:val="center"/>
              <w:rPr>
                <w:rFonts w:hint="eastAsia" w:ascii="宋体" w:hAnsi="宋体" w:eastAsia="宋体" w:cs="宋体"/>
                <w:highlight w:val="none"/>
              </w:rPr>
            </w:pPr>
            <w:r>
              <w:rPr>
                <w:rFonts w:hint="eastAsia" w:ascii="宋体" w:hAnsi="宋体" w:eastAsia="宋体" w:cs="宋体"/>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3C5E92">
            <w:pPr>
              <w:jc w:val="center"/>
              <w:rPr>
                <w:rFonts w:hint="eastAsia" w:ascii="宋体" w:hAnsi="宋体" w:eastAsia="宋体" w:cs="宋体"/>
                <w:szCs w:val="21"/>
                <w:highlight w:val="none"/>
              </w:rPr>
            </w:pPr>
            <w:r>
              <w:rPr>
                <w:rFonts w:hint="eastAsia" w:ascii="宋体" w:hAnsi="宋体" w:eastAsia="宋体" w:cs="宋体"/>
                <w:szCs w:val="21"/>
                <w:highlight w:val="none"/>
              </w:rPr>
              <w:t>合计</w:t>
            </w:r>
          </w:p>
          <w:p w14:paraId="4095AE44">
            <w:pPr>
              <w:jc w:val="center"/>
              <w:rPr>
                <w:rFonts w:hint="eastAsia" w:ascii="宋体" w:hAnsi="宋体" w:eastAsia="宋体" w:cs="宋体"/>
                <w:szCs w:val="21"/>
                <w:highlight w:val="none"/>
              </w:rPr>
            </w:pPr>
            <w:r>
              <w:rPr>
                <w:rFonts w:hint="eastAsia" w:ascii="宋体" w:hAnsi="宋体" w:eastAsia="宋体" w:cs="宋体"/>
                <w:szCs w:val="21"/>
                <w:highlight w:val="none"/>
              </w:rPr>
              <w:t>总分</w:t>
            </w:r>
          </w:p>
        </w:tc>
      </w:tr>
      <w:tr w14:paraId="5B2F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F2806B9">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32F612B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A1280A">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6A0A5E">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AA1AF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8A01D6">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9472CC4">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88D3EEE">
            <w:pPr>
              <w:jc w:val="center"/>
              <w:rPr>
                <w:rFonts w:hint="eastAsia" w:ascii="宋体" w:hAnsi="宋体" w:eastAsia="宋体" w:cs="宋体"/>
                <w:sz w:val="24"/>
                <w:highlight w:val="none"/>
              </w:rPr>
            </w:pPr>
          </w:p>
        </w:tc>
      </w:tr>
      <w:tr w14:paraId="440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3C233AA">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76EAF9B">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1F527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B05549A">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442F67">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5BC888">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ECF45CC">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0CDB74B">
            <w:pPr>
              <w:jc w:val="center"/>
              <w:rPr>
                <w:rFonts w:hint="eastAsia" w:ascii="宋体" w:hAnsi="宋体" w:eastAsia="宋体" w:cs="宋体"/>
                <w:sz w:val="24"/>
                <w:highlight w:val="none"/>
              </w:rPr>
            </w:pPr>
          </w:p>
        </w:tc>
      </w:tr>
      <w:tr w14:paraId="2AFB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B94B2FD">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191E7F3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BF88C4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BB3D2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E9EADA">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15EC21">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4CBFB4A">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864BA0">
            <w:pPr>
              <w:jc w:val="center"/>
              <w:rPr>
                <w:rFonts w:hint="eastAsia" w:ascii="宋体" w:hAnsi="宋体" w:eastAsia="宋体" w:cs="宋体"/>
                <w:sz w:val="24"/>
                <w:highlight w:val="none"/>
              </w:rPr>
            </w:pPr>
          </w:p>
        </w:tc>
      </w:tr>
      <w:tr w14:paraId="6A0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3F7D48">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1137996D">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EE3806">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C37A94">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0F4E94">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D0F61D">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6425AF0">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D0AE536">
            <w:pPr>
              <w:jc w:val="center"/>
              <w:rPr>
                <w:rFonts w:hint="eastAsia" w:ascii="宋体" w:hAnsi="宋体" w:eastAsia="宋体" w:cs="宋体"/>
                <w:sz w:val="24"/>
                <w:highlight w:val="none"/>
              </w:rPr>
            </w:pPr>
          </w:p>
        </w:tc>
      </w:tr>
      <w:tr w14:paraId="082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615F05C">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9E0BEF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62F988">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C461B7">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6E07C9">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81054A">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186A74F">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F741498">
            <w:pPr>
              <w:jc w:val="center"/>
              <w:rPr>
                <w:rFonts w:hint="eastAsia" w:ascii="宋体" w:hAnsi="宋体" w:eastAsia="宋体" w:cs="宋体"/>
                <w:sz w:val="24"/>
                <w:highlight w:val="none"/>
              </w:rPr>
            </w:pPr>
          </w:p>
        </w:tc>
      </w:tr>
      <w:tr w14:paraId="3BF6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9C0BC14">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4F09DB9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976BF0">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944BA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14B7FD">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3D22A93">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5F121BE">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AA3653C">
            <w:pPr>
              <w:jc w:val="center"/>
              <w:rPr>
                <w:rFonts w:hint="eastAsia" w:ascii="宋体" w:hAnsi="宋体" w:eastAsia="宋体" w:cs="宋体"/>
                <w:sz w:val="24"/>
                <w:highlight w:val="none"/>
              </w:rPr>
            </w:pPr>
          </w:p>
        </w:tc>
      </w:tr>
      <w:tr w14:paraId="470E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EB1668E">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1CC526B9">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4DE4A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86D358">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7586DF">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A22B5E">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E0D87DD">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90FC1B1">
            <w:pPr>
              <w:jc w:val="center"/>
              <w:rPr>
                <w:rFonts w:hint="eastAsia" w:ascii="宋体" w:hAnsi="宋体" w:eastAsia="宋体" w:cs="宋体"/>
                <w:sz w:val="24"/>
                <w:highlight w:val="none"/>
              </w:rPr>
            </w:pPr>
          </w:p>
        </w:tc>
      </w:tr>
    </w:tbl>
    <w:p w14:paraId="35C50225">
      <w:pPr>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备注：</w:t>
      </w:r>
    </w:p>
    <w:p w14:paraId="44CA1540">
      <w:pPr>
        <w:spacing w:line="360" w:lineRule="auto"/>
        <w:ind w:left="314" w:hanging="314" w:hangingChars="131"/>
        <w:rPr>
          <w:rFonts w:hint="eastAsia" w:ascii="宋体" w:hAnsi="宋体" w:eastAsia="宋体" w:cs="宋体"/>
          <w:sz w:val="24"/>
          <w:highlight w:val="none"/>
        </w:rPr>
      </w:pPr>
      <w:r>
        <w:rPr>
          <w:rFonts w:hint="eastAsia" w:ascii="宋体" w:hAnsi="宋体" w:eastAsia="宋体" w:cs="宋体"/>
          <w:sz w:val="24"/>
          <w:highlight w:val="none"/>
        </w:rPr>
        <w:t>1、将所有定标委员会成员对同一合格的中标候选人价格</w:t>
      </w:r>
      <w:r>
        <w:rPr>
          <w:rFonts w:hint="eastAsia" w:ascii="宋体" w:hAnsi="宋体" w:eastAsia="宋体" w:cs="宋体"/>
          <w:bCs/>
          <w:sz w:val="24"/>
          <w:highlight w:val="none"/>
        </w:rPr>
        <w:t>因素</w:t>
      </w:r>
      <w:r>
        <w:rPr>
          <w:rFonts w:hint="eastAsia" w:ascii="宋体" w:hAnsi="宋体" w:eastAsia="宋体" w:cs="宋体"/>
          <w:sz w:val="24"/>
          <w:highlight w:val="none"/>
        </w:rPr>
        <w:t>的评分进行</w:t>
      </w:r>
      <w:r>
        <w:rPr>
          <w:rFonts w:hint="eastAsia" w:ascii="宋体" w:hAnsi="宋体" w:eastAsia="宋体" w:cs="宋体"/>
          <w:sz w:val="24"/>
          <w:highlight w:val="none"/>
          <w:lang w:val="en-US" w:eastAsia="zh-CN"/>
        </w:rPr>
        <w:t>取平均值</w:t>
      </w:r>
      <w:r>
        <w:rPr>
          <w:rFonts w:hint="eastAsia" w:ascii="宋体" w:hAnsi="宋体" w:eastAsia="宋体" w:cs="宋体"/>
          <w:sz w:val="24"/>
          <w:highlight w:val="none"/>
        </w:rPr>
        <w:t>，得出每位合格的中标候选人价格</w:t>
      </w:r>
      <w:r>
        <w:rPr>
          <w:rFonts w:hint="eastAsia" w:ascii="宋体" w:hAnsi="宋体" w:eastAsia="宋体" w:cs="宋体"/>
          <w:bCs/>
          <w:sz w:val="24"/>
          <w:highlight w:val="none"/>
        </w:rPr>
        <w:t>因素部分评审得分。</w:t>
      </w:r>
    </w:p>
    <w:p w14:paraId="418A7F42">
      <w:pPr>
        <w:spacing w:line="360" w:lineRule="auto"/>
        <w:ind w:left="314" w:hanging="314" w:hangingChars="131"/>
        <w:rPr>
          <w:rFonts w:hint="eastAsia" w:ascii="宋体" w:hAnsi="宋体" w:eastAsia="宋体" w:cs="宋体"/>
          <w:sz w:val="24"/>
          <w:highlight w:val="none"/>
        </w:rPr>
      </w:pPr>
    </w:p>
    <w:p w14:paraId="155F8DBC">
      <w:pPr>
        <w:spacing w:line="360" w:lineRule="auto"/>
        <w:ind w:left="314" w:hanging="314" w:hangingChars="131"/>
        <w:rPr>
          <w:rFonts w:hint="eastAsia" w:ascii="宋体" w:hAnsi="宋体" w:eastAsia="宋体" w:cs="宋体"/>
          <w:sz w:val="24"/>
          <w:highlight w:val="none"/>
        </w:rPr>
      </w:pPr>
    </w:p>
    <w:p w14:paraId="45102841">
      <w:pPr>
        <w:spacing w:line="360" w:lineRule="auto"/>
        <w:ind w:left="314" w:hanging="314" w:hangingChars="131"/>
        <w:rPr>
          <w:rFonts w:hint="eastAsia" w:ascii="宋体" w:hAnsi="宋体" w:eastAsia="宋体" w:cs="宋体"/>
          <w:sz w:val="24"/>
          <w:highlight w:val="none"/>
        </w:rPr>
      </w:pPr>
      <w:r>
        <w:rPr>
          <w:rFonts w:hint="eastAsia" w:ascii="宋体" w:hAnsi="宋体" w:eastAsia="宋体" w:cs="宋体"/>
          <w:sz w:val="24"/>
          <w:highlight w:val="none"/>
        </w:rPr>
        <w:t>定标委员会签名：                                     日期：  年  月 日</w:t>
      </w:r>
    </w:p>
    <w:p w14:paraId="6D407CA0">
      <w:pPr>
        <w:pStyle w:val="163"/>
        <w:ind w:firstLine="400"/>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p>
    <w:p w14:paraId="595D97C4">
      <w:pPr>
        <w:spacing w:line="360" w:lineRule="auto"/>
        <w:jc w:val="center"/>
        <w:rPr>
          <w:rFonts w:hint="eastAsia" w:ascii="宋体" w:hAnsi="Times New Roman" w:eastAsia="宋体" w:cs="宋体"/>
          <w:b/>
          <w:sz w:val="28"/>
          <w:szCs w:val="28"/>
          <w:highlight w:val="none"/>
          <w:lang w:eastAsia="zh-CN"/>
        </w:rPr>
      </w:pPr>
      <w:r>
        <w:rPr>
          <w:rFonts w:hint="eastAsia" w:ascii="宋体" w:cs="宋体"/>
          <w:b/>
          <w:sz w:val="28"/>
          <w:szCs w:val="28"/>
          <w:highlight w:val="none"/>
        </w:rPr>
        <w:t>定标</w:t>
      </w:r>
      <w:r>
        <w:rPr>
          <w:rFonts w:hint="eastAsia" w:ascii="宋体" w:hAnsi="Times New Roman" w:eastAsia="宋体" w:cs="宋体"/>
          <w:b/>
          <w:sz w:val="28"/>
          <w:szCs w:val="28"/>
          <w:highlight w:val="none"/>
        </w:rPr>
        <w:t>得分</w:t>
      </w:r>
      <w:r>
        <w:rPr>
          <w:rFonts w:hint="eastAsia" w:ascii="宋体" w:hAnsi="Times New Roman" w:eastAsia="宋体" w:cs="宋体"/>
          <w:b/>
          <w:sz w:val="28"/>
          <w:szCs w:val="28"/>
          <w:highlight w:val="none"/>
          <w:lang w:val="en-US" w:eastAsia="zh-CN"/>
        </w:rPr>
        <w:t>汇总</w:t>
      </w:r>
      <w:r>
        <w:rPr>
          <w:rFonts w:hint="eastAsia" w:ascii="宋体" w:hAnsi="Times New Roman" w:eastAsia="宋体" w:cs="宋体"/>
          <w:b/>
          <w:sz w:val="28"/>
          <w:szCs w:val="28"/>
          <w:highlight w:val="none"/>
        </w:rPr>
        <w:t>表</w:t>
      </w:r>
      <w:r>
        <w:rPr>
          <w:rFonts w:hint="eastAsia" w:ascii="宋体" w:hAnsi="Times New Roman" w:eastAsia="宋体" w:cs="宋体"/>
          <w:b/>
          <w:sz w:val="28"/>
          <w:szCs w:val="28"/>
          <w:highlight w:val="none"/>
          <w:lang w:val="en-US" w:eastAsia="zh-CN"/>
        </w:rPr>
        <w:t>[</w:t>
      </w:r>
      <w:r>
        <w:rPr>
          <w:rFonts w:hint="eastAsia" w:ascii="宋体" w:cs="宋体"/>
          <w:b/>
          <w:sz w:val="28"/>
          <w:szCs w:val="28"/>
          <w:highlight w:val="none"/>
        </w:rPr>
        <w:t>定标阶段</w:t>
      </w:r>
      <w:r>
        <w:rPr>
          <w:rFonts w:hint="eastAsia" w:ascii="宋体" w:cs="宋体"/>
          <w:b/>
          <w:sz w:val="28"/>
          <w:szCs w:val="28"/>
          <w:highlight w:val="none"/>
          <w:lang w:val="en-US" w:eastAsia="zh-CN"/>
        </w:rPr>
        <w:t>答辩</w:t>
      </w:r>
      <w:r>
        <w:rPr>
          <w:rFonts w:hint="eastAsia" w:ascii="宋体" w:cs="宋体"/>
          <w:b/>
          <w:sz w:val="28"/>
          <w:szCs w:val="28"/>
          <w:highlight w:val="none"/>
        </w:rPr>
        <w:t>因素</w:t>
      </w:r>
      <w:r>
        <w:rPr>
          <w:rFonts w:hint="eastAsia" w:ascii="宋体" w:cs="宋体"/>
          <w:b/>
          <w:sz w:val="28"/>
          <w:szCs w:val="28"/>
          <w:highlight w:val="none"/>
          <w:lang w:val="en-US" w:eastAsia="zh-CN"/>
        </w:rPr>
        <w:t>-</w:t>
      </w:r>
      <w:r>
        <w:rPr>
          <w:rFonts w:hint="eastAsia" w:ascii="宋体" w:hAnsi="Times New Roman" w:eastAsia="宋体" w:cs="宋体"/>
          <w:b/>
          <w:sz w:val="28"/>
          <w:szCs w:val="28"/>
          <w:highlight w:val="none"/>
        </w:rPr>
        <w:t>定标阶段用表</w:t>
      </w:r>
      <w:r>
        <w:rPr>
          <w:rFonts w:hint="eastAsia" w:ascii="宋体" w:hAnsi="Times New Roman" w:eastAsia="宋体" w:cs="宋体"/>
          <w:b/>
          <w:sz w:val="28"/>
          <w:szCs w:val="28"/>
          <w:highlight w:val="none"/>
          <w:lang w:val="en-US" w:eastAsia="zh-CN"/>
        </w:rPr>
        <w:t>]</w:t>
      </w:r>
    </w:p>
    <w:p w14:paraId="5A3CA278">
      <w:pPr>
        <w:rPr>
          <w:rFonts w:hint="eastAsia" w:ascii="宋体" w:hAnsi="宋体" w:eastAsia="宋体" w:cs="宋体"/>
          <w:sz w:val="24"/>
          <w:szCs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1"/>
        <w:gridCol w:w="828"/>
        <w:gridCol w:w="828"/>
        <w:gridCol w:w="828"/>
        <w:gridCol w:w="828"/>
        <w:gridCol w:w="829"/>
        <w:gridCol w:w="992"/>
      </w:tblGrid>
      <w:tr w14:paraId="66ED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108C217">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3F2283E4">
            <w:pPr>
              <w:jc w:val="center"/>
              <w:rPr>
                <w:rFonts w:hint="eastAsia" w:ascii="宋体" w:hAnsi="宋体" w:eastAsia="宋体" w:cs="宋体"/>
                <w:sz w:val="24"/>
                <w:highlight w:val="none"/>
              </w:rPr>
            </w:pPr>
            <w:r>
              <w:rPr>
                <w:rFonts w:hint="eastAsia" w:ascii="宋体" w:hAnsi="宋体" w:eastAsia="宋体" w:cs="宋体"/>
                <w:sz w:val="24"/>
                <w:highlight w:val="none"/>
              </w:rPr>
              <w:t>合格的中标候选人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15082C">
            <w:pPr>
              <w:jc w:val="center"/>
              <w:rPr>
                <w:rFonts w:hint="eastAsia" w:ascii="宋体" w:hAnsi="宋体" w:eastAsia="宋体" w:cs="宋体"/>
                <w:szCs w:val="21"/>
                <w:highlight w:val="none"/>
              </w:rPr>
            </w:pPr>
            <w:r>
              <w:rPr>
                <w:rFonts w:hint="eastAsia" w:ascii="宋体" w:hAnsi="宋体" w:eastAsia="宋体" w:cs="宋体"/>
                <w:szCs w:val="21"/>
                <w:highlight w:val="none"/>
              </w:rPr>
              <w:t>评分人1</w:t>
            </w:r>
          </w:p>
        </w:tc>
        <w:tc>
          <w:tcPr>
            <w:tcW w:w="828" w:type="dxa"/>
            <w:tcBorders>
              <w:top w:val="single" w:color="auto" w:sz="4" w:space="0"/>
              <w:left w:val="single" w:color="auto" w:sz="4" w:space="0"/>
              <w:bottom w:val="single" w:color="auto" w:sz="4" w:space="0"/>
              <w:right w:val="single" w:color="auto" w:sz="4" w:space="0"/>
            </w:tcBorders>
            <w:noWrap w:val="0"/>
            <w:vAlign w:val="top"/>
          </w:tcPr>
          <w:p w14:paraId="7993E47A">
            <w:pPr>
              <w:jc w:val="center"/>
              <w:rPr>
                <w:rFonts w:hint="eastAsia" w:ascii="宋体" w:hAnsi="宋体" w:eastAsia="宋体" w:cs="宋体"/>
                <w:highlight w:val="none"/>
              </w:rPr>
            </w:pPr>
            <w:r>
              <w:rPr>
                <w:rFonts w:hint="eastAsia" w:ascii="宋体" w:hAnsi="宋体" w:eastAsia="宋体" w:cs="宋体"/>
                <w:szCs w:val="21"/>
                <w:highlight w:val="none"/>
              </w:rPr>
              <w:t>评分人2</w:t>
            </w:r>
          </w:p>
        </w:tc>
        <w:tc>
          <w:tcPr>
            <w:tcW w:w="828" w:type="dxa"/>
            <w:tcBorders>
              <w:top w:val="single" w:color="auto" w:sz="4" w:space="0"/>
              <w:left w:val="single" w:color="auto" w:sz="4" w:space="0"/>
              <w:bottom w:val="single" w:color="auto" w:sz="4" w:space="0"/>
              <w:right w:val="single" w:color="auto" w:sz="4" w:space="0"/>
            </w:tcBorders>
            <w:noWrap w:val="0"/>
            <w:vAlign w:val="top"/>
          </w:tcPr>
          <w:p w14:paraId="1EF2774C">
            <w:pPr>
              <w:jc w:val="center"/>
              <w:rPr>
                <w:rFonts w:hint="eastAsia" w:ascii="宋体" w:hAnsi="宋体" w:eastAsia="宋体" w:cs="宋体"/>
                <w:highlight w:val="none"/>
              </w:rPr>
            </w:pPr>
            <w:r>
              <w:rPr>
                <w:rFonts w:hint="eastAsia" w:ascii="宋体" w:hAnsi="宋体" w:eastAsia="宋体" w:cs="宋体"/>
                <w:szCs w:val="21"/>
                <w:highlight w:val="none"/>
              </w:rPr>
              <w:t>评分人3</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E21D9E">
            <w:pPr>
              <w:jc w:val="center"/>
              <w:rPr>
                <w:rFonts w:hint="eastAsia" w:ascii="宋体" w:hAnsi="宋体" w:eastAsia="宋体" w:cs="宋体"/>
                <w:highlight w:val="none"/>
              </w:rPr>
            </w:pPr>
            <w:r>
              <w:rPr>
                <w:rFonts w:hint="eastAsia" w:ascii="宋体" w:hAnsi="宋体" w:eastAsia="宋体" w:cs="宋体"/>
                <w:szCs w:val="21"/>
                <w:highlight w:val="none"/>
              </w:rPr>
              <w:t>...</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7988CA9">
            <w:pPr>
              <w:jc w:val="center"/>
              <w:rPr>
                <w:rFonts w:hint="eastAsia" w:ascii="宋体" w:hAnsi="宋体" w:eastAsia="宋体" w:cs="宋体"/>
                <w:highlight w:val="none"/>
              </w:rPr>
            </w:pPr>
            <w:r>
              <w:rPr>
                <w:rFonts w:hint="eastAsia" w:ascii="宋体" w:hAnsi="宋体" w:eastAsia="宋体" w:cs="宋体"/>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3F78B4">
            <w:pPr>
              <w:jc w:val="center"/>
              <w:rPr>
                <w:rFonts w:hint="eastAsia" w:ascii="宋体" w:hAnsi="宋体" w:eastAsia="宋体" w:cs="宋体"/>
                <w:szCs w:val="21"/>
                <w:highlight w:val="none"/>
              </w:rPr>
            </w:pPr>
            <w:r>
              <w:rPr>
                <w:rFonts w:hint="eastAsia" w:ascii="宋体" w:hAnsi="宋体" w:eastAsia="宋体" w:cs="宋体"/>
                <w:szCs w:val="21"/>
                <w:highlight w:val="none"/>
              </w:rPr>
              <w:t>合计</w:t>
            </w:r>
          </w:p>
          <w:p w14:paraId="116D71A1">
            <w:pPr>
              <w:jc w:val="center"/>
              <w:rPr>
                <w:rFonts w:hint="eastAsia" w:ascii="宋体" w:hAnsi="宋体" w:eastAsia="宋体" w:cs="宋体"/>
                <w:szCs w:val="21"/>
                <w:highlight w:val="none"/>
              </w:rPr>
            </w:pPr>
            <w:r>
              <w:rPr>
                <w:rFonts w:hint="eastAsia" w:ascii="宋体" w:hAnsi="宋体" w:eastAsia="宋体" w:cs="宋体"/>
                <w:szCs w:val="21"/>
                <w:highlight w:val="none"/>
              </w:rPr>
              <w:t>总分</w:t>
            </w:r>
          </w:p>
        </w:tc>
      </w:tr>
      <w:tr w14:paraId="0D0D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6AC4A50">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1C453BDA">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4C99C6">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B9425C">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8102F20">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5EB2EB">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2873663">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E5C1AC5">
            <w:pPr>
              <w:jc w:val="center"/>
              <w:rPr>
                <w:rFonts w:hint="eastAsia" w:ascii="宋体" w:hAnsi="宋体" w:eastAsia="宋体" w:cs="宋体"/>
                <w:sz w:val="24"/>
                <w:highlight w:val="none"/>
              </w:rPr>
            </w:pPr>
          </w:p>
        </w:tc>
      </w:tr>
      <w:tr w14:paraId="0B49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4B09205">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2DEF76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804DF0">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51D30E">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B696F5">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B2C827">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9F97851">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246CA7D">
            <w:pPr>
              <w:jc w:val="center"/>
              <w:rPr>
                <w:rFonts w:hint="eastAsia" w:ascii="宋体" w:hAnsi="宋体" w:eastAsia="宋体" w:cs="宋体"/>
                <w:sz w:val="24"/>
                <w:highlight w:val="none"/>
              </w:rPr>
            </w:pPr>
          </w:p>
        </w:tc>
      </w:tr>
      <w:tr w14:paraId="742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13DAF8C">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73BD148">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72D7BB">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DC493FD">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11B79D">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BF7730">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3F0CE44">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6D7FB1F">
            <w:pPr>
              <w:jc w:val="center"/>
              <w:rPr>
                <w:rFonts w:hint="eastAsia" w:ascii="宋体" w:hAnsi="宋体" w:eastAsia="宋体" w:cs="宋体"/>
                <w:sz w:val="24"/>
                <w:highlight w:val="none"/>
              </w:rPr>
            </w:pPr>
          </w:p>
        </w:tc>
      </w:tr>
      <w:tr w14:paraId="600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360181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301C7A1A">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2B1377">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28827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847B35">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E5600A">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951302A">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861B1BD">
            <w:pPr>
              <w:jc w:val="center"/>
              <w:rPr>
                <w:rFonts w:hint="eastAsia" w:ascii="宋体" w:hAnsi="宋体" w:eastAsia="宋体" w:cs="宋体"/>
                <w:sz w:val="24"/>
                <w:highlight w:val="none"/>
              </w:rPr>
            </w:pPr>
          </w:p>
        </w:tc>
      </w:tr>
      <w:tr w14:paraId="5455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0D4ABC4">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09AA7F4">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D1FAE32">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7E31C9">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4335D5">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E91AA6">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2023165">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6A7D8D">
            <w:pPr>
              <w:jc w:val="center"/>
              <w:rPr>
                <w:rFonts w:hint="eastAsia" w:ascii="宋体" w:hAnsi="宋体" w:eastAsia="宋体" w:cs="宋体"/>
                <w:sz w:val="24"/>
                <w:highlight w:val="none"/>
              </w:rPr>
            </w:pPr>
          </w:p>
        </w:tc>
      </w:tr>
      <w:tr w14:paraId="45CC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5D09943">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C629418">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C0E34C0">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433EB9">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CE0D52">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C864D2D">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6AE34A6">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18C8DB2">
            <w:pPr>
              <w:jc w:val="center"/>
              <w:rPr>
                <w:rFonts w:hint="eastAsia" w:ascii="宋体" w:hAnsi="宋体" w:eastAsia="宋体" w:cs="宋体"/>
                <w:sz w:val="24"/>
                <w:highlight w:val="none"/>
              </w:rPr>
            </w:pPr>
          </w:p>
        </w:tc>
      </w:tr>
      <w:tr w14:paraId="2F20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524B1A">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0001A13C">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828467">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FDF0EB">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370D81">
            <w:pPr>
              <w:jc w:val="center"/>
              <w:rPr>
                <w:rFonts w:hint="eastAsia" w:ascii="宋体" w:hAnsi="宋体" w:eastAsia="宋体" w:cs="宋体"/>
                <w:sz w:val="24"/>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0EBDE6">
            <w:pPr>
              <w:jc w:val="center"/>
              <w:rPr>
                <w:rFonts w:hint="eastAsia" w:ascii="宋体" w:hAnsi="宋体" w:eastAsia="宋体" w:cs="宋体"/>
                <w:sz w:val="24"/>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93E5376">
            <w:pPr>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9279A5E">
            <w:pPr>
              <w:jc w:val="center"/>
              <w:rPr>
                <w:rFonts w:hint="eastAsia" w:ascii="宋体" w:hAnsi="宋体" w:eastAsia="宋体" w:cs="宋体"/>
                <w:sz w:val="24"/>
                <w:highlight w:val="none"/>
              </w:rPr>
            </w:pPr>
          </w:p>
        </w:tc>
      </w:tr>
    </w:tbl>
    <w:p w14:paraId="48DB17DE">
      <w:pPr>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备注：</w:t>
      </w:r>
    </w:p>
    <w:p w14:paraId="2188FA1F">
      <w:pPr>
        <w:spacing w:line="360" w:lineRule="auto"/>
        <w:ind w:left="314" w:hanging="314" w:hangingChars="131"/>
        <w:rPr>
          <w:rFonts w:hint="eastAsia" w:ascii="宋体" w:hAnsi="宋体" w:eastAsia="宋体" w:cs="宋体"/>
          <w:sz w:val="24"/>
          <w:highlight w:val="none"/>
        </w:rPr>
      </w:pPr>
      <w:r>
        <w:rPr>
          <w:rFonts w:hint="eastAsia" w:ascii="宋体" w:hAnsi="宋体" w:eastAsia="宋体" w:cs="宋体"/>
          <w:sz w:val="24"/>
          <w:highlight w:val="none"/>
        </w:rPr>
        <w:t>1、将所有定标委员会成员对同一合格的中标候选人答辩因素（项目介绍</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）的评分进行</w:t>
      </w:r>
      <w:r>
        <w:rPr>
          <w:rFonts w:hint="eastAsia" w:ascii="宋体" w:hAnsi="宋体" w:eastAsia="宋体" w:cs="宋体"/>
          <w:sz w:val="24"/>
          <w:highlight w:val="none"/>
          <w:lang w:val="en-US" w:eastAsia="zh-CN"/>
        </w:rPr>
        <w:t>取平均值</w:t>
      </w:r>
      <w:r>
        <w:rPr>
          <w:rFonts w:hint="eastAsia" w:ascii="宋体" w:hAnsi="宋体" w:eastAsia="宋体" w:cs="宋体"/>
          <w:sz w:val="24"/>
          <w:highlight w:val="none"/>
        </w:rPr>
        <w:t>，得出每位合格的中标候选人答辩因素（项目介绍</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w:t>
      </w:r>
      <w:r>
        <w:rPr>
          <w:rFonts w:hint="eastAsia" w:ascii="宋体" w:hAnsi="宋体" w:eastAsia="宋体" w:cs="宋体"/>
          <w:bCs/>
          <w:sz w:val="24"/>
          <w:highlight w:val="none"/>
        </w:rPr>
        <w:t>评审得分。</w:t>
      </w:r>
    </w:p>
    <w:p w14:paraId="32ACB80D">
      <w:pPr>
        <w:spacing w:line="360" w:lineRule="auto"/>
        <w:ind w:left="314" w:hanging="314" w:hangingChars="131"/>
        <w:rPr>
          <w:rFonts w:hint="eastAsia" w:ascii="宋体" w:hAnsi="宋体" w:eastAsia="宋体" w:cs="宋体"/>
          <w:sz w:val="24"/>
          <w:highlight w:val="none"/>
        </w:rPr>
      </w:pPr>
    </w:p>
    <w:p w14:paraId="5175ACBC">
      <w:pPr>
        <w:spacing w:line="360" w:lineRule="auto"/>
        <w:ind w:left="314" w:hanging="314" w:hangingChars="131"/>
        <w:rPr>
          <w:rFonts w:hint="eastAsia" w:ascii="宋体" w:hAnsi="宋体" w:eastAsia="宋体" w:cs="宋体"/>
          <w:sz w:val="24"/>
          <w:highlight w:val="none"/>
        </w:rPr>
      </w:pPr>
    </w:p>
    <w:p w14:paraId="65C433B6">
      <w:pPr>
        <w:spacing w:line="360" w:lineRule="auto"/>
        <w:ind w:left="314" w:hanging="314" w:hangingChars="131"/>
        <w:rPr>
          <w:rFonts w:hint="eastAsia" w:ascii="宋体" w:hAnsi="宋体" w:eastAsia="宋体" w:cs="宋体"/>
          <w:sz w:val="24"/>
          <w:highlight w:val="none"/>
        </w:rPr>
      </w:pPr>
      <w:r>
        <w:rPr>
          <w:rFonts w:hint="eastAsia" w:ascii="宋体" w:hAnsi="宋体" w:eastAsia="宋体" w:cs="宋体"/>
          <w:sz w:val="24"/>
          <w:highlight w:val="none"/>
        </w:rPr>
        <w:t>定标委员会签名：                                     日期：  年  月 日</w:t>
      </w:r>
    </w:p>
    <w:p w14:paraId="7775CB87">
      <w:pPr>
        <w:pStyle w:val="163"/>
        <w:ind w:firstLine="400"/>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w:t>
      </w:r>
    </w:p>
    <w:p w14:paraId="671A06B1">
      <w:pPr>
        <w:spacing w:line="360" w:lineRule="auto"/>
        <w:jc w:val="center"/>
        <w:rPr>
          <w:rFonts w:hint="eastAsia" w:ascii="宋体" w:hAnsi="Times New Roman" w:eastAsia="宋体" w:cs="宋体"/>
          <w:b/>
          <w:sz w:val="28"/>
          <w:szCs w:val="28"/>
          <w:highlight w:val="none"/>
        </w:rPr>
      </w:pPr>
      <w:r>
        <w:rPr>
          <w:rFonts w:hint="eastAsia" w:ascii="宋体" w:hAnsi="Times New Roman" w:eastAsia="宋体" w:cs="宋体"/>
          <w:b/>
          <w:sz w:val="28"/>
          <w:szCs w:val="28"/>
          <w:highlight w:val="none"/>
        </w:rPr>
        <w:t>总得分计算及排序表</w:t>
      </w:r>
    </w:p>
    <w:p w14:paraId="10F13369">
      <w:pPr>
        <w:rPr>
          <w:rFonts w:hint="eastAsia" w:ascii="宋体" w:hAnsi="宋体" w:eastAsia="宋体" w:cs="宋体"/>
          <w:szCs w:val="21"/>
          <w:highlight w:val="none"/>
        </w:rPr>
      </w:pPr>
      <w:r>
        <w:rPr>
          <w:rFonts w:hint="eastAsia" w:ascii="宋体" w:hAnsi="宋体" w:eastAsia="宋体" w:cs="宋体"/>
          <w:sz w:val="24"/>
          <w:szCs w:val="24"/>
          <w:highlight w:val="none"/>
        </w:rPr>
        <w:t>工程名称：</w:t>
      </w:r>
    </w:p>
    <w:tbl>
      <w:tblPr>
        <w:tblStyle w:val="33"/>
        <w:tblW w:w="942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87"/>
        <w:gridCol w:w="1455"/>
        <w:gridCol w:w="2130"/>
        <w:gridCol w:w="1545"/>
        <w:gridCol w:w="1485"/>
      </w:tblGrid>
      <w:tr w14:paraId="3124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18" w:type="dxa"/>
            <w:noWrap w:val="0"/>
            <w:vAlign w:val="center"/>
          </w:tcPr>
          <w:p w14:paraId="4974619E">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087" w:type="dxa"/>
            <w:noWrap w:val="0"/>
            <w:vAlign w:val="center"/>
          </w:tcPr>
          <w:p w14:paraId="6A7B64F1">
            <w:pPr>
              <w:jc w:val="center"/>
              <w:rPr>
                <w:rFonts w:hint="eastAsia" w:ascii="宋体" w:hAnsi="宋体" w:eastAsia="宋体" w:cs="宋体"/>
                <w:szCs w:val="21"/>
                <w:highlight w:val="none"/>
              </w:rPr>
            </w:pPr>
            <w:r>
              <w:rPr>
                <w:rFonts w:hint="eastAsia" w:ascii="宋体" w:hAnsi="宋体" w:eastAsia="宋体" w:cs="宋体"/>
                <w:szCs w:val="21"/>
                <w:highlight w:val="none"/>
              </w:rPr>
              <w:t>合格的中标候选人</w:t>
            </w:r>
          </w:p>
        </w:tc>
        <w:tc>
          <w:tcPr>
            <w:tcW w:w="1455" w:type="dxa"/>
            <w:noWrap w:val="0"/>
            <w:vAlign w:val="center"/>
          </w:tcPr>
          <w:p w14:paraId="09EF35AB">
            <w:pPr>
              <w:jc w:val="center"/>
              <w:rPr>
                <w:rFonts w:hint="eastAsia" w:ascii="宋体" w:hAnsi="宋体" w:eastAsia="宋体" w:cs="宋体"/>
                <w:szCs w:val="21"/>
                <w:highlight w:val="none"/>
              </w:rPr>
            </w:pPr>
            <w:r>
              <w:rPr>
                <w:rFonts w:hint="eastAsia" w:ascii="宋体" w:hAnsi="宋体" w:eastAsia="宋体" w:cs="宋体"/>
                <w:szCs w:val="21"/>
                <w:highlight w:val="none"/>
              </w:rPr>
              <w:t>价格得分</w:t>
            </w:r>
          </w:p>
        </w:tc>
        <w:tc>
          <w:tcPr>
            <w:tcW w:w="2130" w:type="dxa"/>
            <w:noWrap w:val="0"/>
            <w:vAlign w:val="center"/>
          </w:tcPr>
          <w:p w14:paraId="6FC4CA59">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答辩得分</w:t>
            </w:r>
          </w:p>
        </w:tc>
        <w:tc>
          <w:tcPr>
            <w:tcW w:w="1545" w:type="dxa"/>
            <w:noWrap w:val="0"/>
            <w:vAlign w:val="center"/>
          </w:tcPr>
          <w:p w14:paraId="6ED44A49">
            <w:pPr>
              <w:jc w:val="center"/>
              <w:rPr>
                <w:rFonts w:hint="eastAsia" w:ascii="宋体" w:hAnsi="宋体" w:eastAsia="宋体" w:cs="宋体"/>
                <w:szCs w:val="21"/>
                <w:highlight w:val="none"/>
              </w:rPr>
            </w:pPr>
            <w:r>
              <w:rPr>
                <w:rFonts w:hint="eastAsia" w:ascii="宋体" w:hAnsi="宋体" w:eastAsia="宋体" w:cs="宋体"/>
                <w:szCs w:val="21"/>
                <w:highlight w:val="none"/>
              </w:rPr>
              <w:t>总得分</w:t>
            </w:r>
          </w:p>
        </w:tc>
        <w:tc>
          <w:tcPr>
            <w:tcW w:w="1485" w:type="dxa"/>
            <w:noWrap w:val="0"/>
            <w:vAlign w:val="center"/>
          </w:tcPr>
          <w:p w14:paraId="0E05A078">
            <w:pPr>
              <w:jc w:val="center"/>
              <w:rPr>
                <w:rFonts w:hint="eastAsia" w:ascii="宋体" w:hAnsi="宋体" w:eastAsia="宋体" w:cs="宋体"/>
                <w:szCs w:val="21"/>
                <w:highlight w:val="none"/>
              </w:rPr>
            </w:pPr>
            <w:r>
              <w:rPr>
                <w:rFonts w:hint="eastAsia" w:ascii="宋体" w:hAnsi="宋体" w:eastAsia="宋体" w:cs="宋体"/>
                <w:szCs w:val="21"/>
                <w:highlight w:val="none"/>
              </w:rPr>
              <w:t>排序</w:t>
            </w:r>
          </w:p>
        </w:tc>
      </w:tr>
      <w:tr w14:paraId="52CA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18" w:type="dxa"/>
            <w:noWrap w:val="0"/>
            <w:vAlign w:val="top"/>
          </w:tcPr>
          <w:p w14:paraId="5C54A2EE">
            <w:pPr>
              <w:rPr>
                <w:rFonts w:hint="eastAsia" w:ascii="宋体" w:hAnsi="宋体" w:eastAsia="宋体" w:cs="宋体"/>
                <w:szCs w:val="21"/>
                <w:highlight w:val="none"/>
              </w:rPr>
            </w:pPr>
          </w:p>
        </w:tc>
        <w:tc>
          <w:tcPr>
            <w:tcW w:w="2087" w:type="dxa"/>
            <w:noWrap w:val="0"/>
            <w:vAlign w:val="top"/>
          </w:tcPr>
          <w:p w14:paraId="5B8060F1">
            <w:pPr>
              <w:rPr>
                <w:rFonts w:hint="eastAsia" w:ascii="宋体" w:hAnsi="宋体" w:eastAsia="宋体" w:cs="宋体"/>
                <w:szCs w:val="21"/>
                <w:highlight w:val="none"/>
              </w:rPr>
            </w:pPr>
          </w:p>
        </w:tc>
        <w:tc>
          <w:tcPr>
            <w:tcW w:w="1455" w:type="dxa"/>
            <w:noWrap w:val="0"/>
            <w:vAlign w:val="top"/>
          </w:tcPr>
          <w:p w14:paraId="5396ABE4">
            <w:pPr>
              <w:rPr>
                <w:rFonts w:hint="eastAsia" w:ascii="宋体" w:hAnsi="宋体" w:eastAsia="宋体" w:cs="宋体"/>
                <w:szCs w:val="21"/>
                <w:highlight w:val="none"/>
              </w:rPr>
            </w:pPr>
          </w:p>
        </w:tc>
        <w:tc>
          <w:tcPr>
            <w:tcW w:w="2130" w:type="dxa"/>
            <w:noWrap w:val="0"/>
            <w:vAlign w:val="top"/>
          </w:tcPr>
          <w:p w14:paraId="3E5FF9A9">
            <w:pPr>
              <w:rPr>
                <w:rFonts w:hint="eastAsia" w:ascii="宋体" w:hAnsi="宋体" w:eastAsia="宋体" w:cs="宋体"/>
                <w:kern w:val="2"/>
                <w:sz w:val="21"/>
                <w:szCs w:val="21"/>
                <w:highlight w:val="none"/>
                <w:lang w:val="en-US" w:eastAsia="zh-CN" w:bidi="ar-SA"/>
              </w:rPr>
            </w:pPr>
          </w:p>
        </w:tc>
        <w:tc>
          <w:tcPr>
            <w:tcW w:w="1545" w:type="dxa"/>
            <w:noWrap w:val="0"/>
            <w:vAlign w:val="top"/>
          </w:tcPr>
          <w:p w14:paraId="355BE780">
            <w:pPr>
              <w:rPr>
                <w:rFonts w:hint="eastAsia" w:ascii="宋体" w:hAnsi="宋体" w:eastAsia="宋体" w:cs="宋体"/>
                <w:szCs w:val="21"/>
                <w:highlight w:val="none"/>
              </w:rPr>
            </w:pPr>
          </w:p>
        </w:tc>
        <w:tc>
          <w:tcPr>
            <w:tcW w:w="1485" w:type="dxa"/>
            <w:noWrap w:val="0"/>
            <w:vAlign w:val="top"/>
          </w:tcPr>
          <w:p w14:paraId="7AB83D2A">
            <w:pPr>
              <w:rPr>
                <w:rFonts w:hint="eastAsia" w:ascii="宋体" w:hAnsi="宋体" w:eastAsia="宋体" w:cs="宋体"/>
                <w:szCs w:val="21"/>
                <w:highlight w:val="none"/>
              </w:rPr>
            </w:pPr>
          </w:p>
        </w:tc>
      </w:tr>
      <w:tr w14:paraId="030F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8" w:type="dxa"/>
            <w:noWrap w:val="0"/>
            <w:vAlign w:val="top"/>
          </w:tcPr>
          <w:p w14:paraId="0570AAC1">
            <w:pPr>
              <w:rPr>
                <w:rFonts w:hint="eastAsia" w:ascii="宋体" w:hAnsi="宋体" w:eastAsia="宋体" w:cs="宋体"/>
                <w:szCs w:val="21"/>
                <w:highlight w:val="none"/>
              </w:rPr>
            </w:pPr>
          </w:p>
        </w:tc>
        <w:tc>
          <w:tcPr>
            <w:tcW w:w="2087" w:type="dxa"/>
            <w:noWrap w:val="0"/>
            <w:vAlign w:val="top"/>
          </w:tcPr>
          <w:p w14:paraId="797E3448">
            <w:pPr>
              <w:rPr>
                <w:rFonts w:hint="eastAsia" w:ascii="宋体" w:hAnsi="宋体" w:eastAsia="宋体" w:cs="宋体"/>
                <w:szCs w:val="21"/>
                <w:highlight w:val="none"/>
              </w:rPr>
            </w:pPr>
          </w:p>
        </w:tc>
        <w:tc>
          <w:tcPr>
            <w:tcW w:w="1455" w:type="dxa"/>
            <w:noWrap w:val="0"/>
            <w:vAlign w:val="top"/>
          </w:tcPr>
          <w:p w14:paraId="12ED8042">
            <w:pPr>
              <w:rPr>
                <w:rFonts w:hint="eastAsia" w:ascii="宋体" w:hAnsi="宋体" w:eastAsia="宋体" w:cs="宋体"/>
                <w:szCs w:val="21"/>
                <w:highlight w:val="none"/>
              </w:rPr>
            </w:pPr>
          </w:p>
        </w:tc>
        <w:tc>
          <w:tcPr>
            <w:tcW w:w="2130" w:type="dxa"/>
            <w:noWrap w:val="0"/>
            <w:vAlign w:val="top"/>
          </w:tcPr>
          <w:p w14:paraId="284C1BA3">
            <w:pPr>
              <w:rPr>
                <w:rFonts w:hint="eastAsia" w:ascii="宋体" w:hAnsi="宋体" w:eastAsia="宋体" w:cs="宋体"/>
                <w:kern w:val="2"/>
                <w:sz w:val="21"/>
                <w:szCs w:val="21"/>
                <w:highlight w:val="none"/>
                <w:lang w:val="en-US" w:eastAsia="zh-CN" w:bidi="ar-SA"/>
              </w:rPr>
            </w:pPr>
          </w:p>
        </w:tc>
        <w:tc>
          <w:tcPr>
            <w:tcW w:w="1545" w:type="dxa"/>
            <w:noWrap w:val="0"/>
            <w:vAlign w:val="top"/>
          </w:tcPr>
          <w:p w14:paraId="42A80782">
            <w:pPr>
              <w:rPr>
                <w:rFonts w:hint="eastAsia" w:ascii="宋体" w:hAnsi="宋体" w:eastAsia="宋体" w:cs="宋体"/>
                <w:szCs w:val="21"/>
                <w:highlight w:val="none"/>
              </w:rPr>
            </w:pPr>
          </w:p>
        </w:tc>
        <w:tc>
          <w:tcPr>
            <w:tcW w:w="1485" w:type="dxa"/>
            <w:noWrap w:val="0"/>
            <w:vAlign w:val="top"/>
          </w:tcPr>
          <w:p w14:paraId="0AE64CAC">
            <w:pPr>
              <w:rPr>
                <w:rFonts w:hint="eastAsia" w:ascii="宋体" w:hAnsi="宋体" w:eastAsia="宋体" w:cs="宋体"/>
                <w:szCs w:val="21"/>
                <w:highlight w:val="none"/>
              </w:rPr>
            </w:pPr>
          </w:p>
        </w:tc>
      </w:tr>
      <w:tr w14:paraId="2EC5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8" w:type="dxa"/>
            <w:noWrap w:val="0"/>
            <w:vAlign w:val="top"/>
          </w:tcPr>
          <w:p w14:paraId="4C4F2AB1">
            <w:pPr>
              <w:rPr>
                <w:rFonts w:hint="eastAsia" w:ascii="宋体" w:hAnsi="宋体" w:eastAsia="宋体" w:cs="宋体"/>
                <w:szCs w:val="21"/>
                <w:highlight w:val="none"/>
              </w:rPr>
            </w:pPr>
          </w:p>
        </w:tc>
        <w:tc>
          <w:tcPr>
            <w:tcW w:w="2087" w:type="dxa"/>
            <w:noWrap w:val="0"/>
            <w:vAlign w:val="top"/>
          </w:tcPr>
          <w:p w14:paraId="620062E2">
            <w:pPr>
              <w:rPr>
                <w:rFonts w:hint="eastAsia" w:ascii="宋体" w:hAnsi="宋体" w:eastAsia="宋体" w:cs="宋体"/>
                <w:szCs w:val="21"/>
                <w:highlight w:val="none"/>
              </w:rPr>
            </w:pPr>
          </w:p>
        </w:tc>
        <w:tc>
          <w:tcPr>
            <w:tcW w:w="1455" w:type="dxa"/>
            <w:noWrap w:val="0"/>
            <w:vAlign w:val="top"/>
          </w:tcPr>
          <w:p w14:paraId="096491F9">
            <w:pPr>
              <w:rPr>
                <w:rFonts w:hint="eastAsia" w:ascii="宋体" w:hAnsi="宋体" w:eastAsia="宋体" w:cs="宋体"/>
                <w:szCs w:val="21"/>
                <w:highlight w:val="none"/>
              </w:rPr>
            </w:pPr>
          </w:p>
        </w:tc>
        <w:tc>
          <w:tcPr>
            <w:tcW w:w="2130" w:type="dxa"/>
            <w:noWrap w:val="0"/>
            <w:vAlign w:val="top"/>
          </w:tcPr>
          <w:p w14:paraId="4ED305D0">
            <w:pPr>
              <w:rPr>
                <w:rFonts w:hint="eastAsia" w:ascii="宋体" w:hAnsi="宋体" w:eastAsia="宋体" w:cs="宋体"/>
                <w:kern w:val="2"/>
                <w:sz w:val="21"/>
                <w:szCs w:val="21"/>
                <w:highlight w:val="none"/>
                <w:lang w:val="en-US" w:eastAsia="zh-CN" w:bidi="ar-SA"/>
              </w:rPr>
            </w:pPr>
          </w:p>
        </w:tc>
        <w:tc>
          <w:tcPr>
            <w:tcW w:w="1545" w:type="dxa"/>
            <w:noWrap w:val="0"/>
            <w:vAlign w:val="top"/>
          </w:tcPr>
          <w:p w14:paraId="2573BACF">
            <w:pPr>
              <w:rPr>
                <w:rFonts w:hint="eastAsia" w:ascii="宋体" w:hAnsi="宋体" w:eastAsia="宋体" w:cs="宋体"/>
                <w:szCs w:val="21"/>
                <w:highlight w:val="none"/>
              </w:rPr>
            </w:pPr>
          </w:p>
        </w:tc>
        <w:tc>
          <w:tcPr>
            <w:tcW w:w="1485" w:type="dxa"/>
            <w:noWrap w:val="0"/>
            <w:vAlign w:val="top"/>
          </w:tcPr>
          <w:p w14:paraId="55DD8B13">
            <w:pPr>
              <w:rPr>
                <w:rFonts w:hint="eastAsia" w:ascii="宋体" w:hAnsi="宋体" w:eastAsia="宋体" w:cs="宋体"/>
                <w:szCs w:val="21"/>
                <w:highlight w:val="none"/>
              </w:rPr>
            </w:pPr>
          </w:p>
        </w:tc>
      </w:tr>
      <w:tr w14:paraId="7D96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8" w:type="dxa"/>
            <w:noWrap w:val="0"/>
            <w:vAlign w:val="top"/>
          </w:tcPr>
          <w:p w14:paraId="2B57F8E7">
            <w:pPr>
              <w:rPr>
                <w:rFonts w:hint="eastAsia" w:ascii="宋体" w:hAnsi="宋体" w:eastAsia="宋体" w:cs="宋体"/>
                <w:szCs w:val="21"/>
                <w:highlight w:val="none"/>
              </w:rPr>
            </w:pPr>
          </w:p>
        </w:tc>
        <w:tc>
          <w:tcPr>
            <w:tcW w:w="2087" w:type="dxa"/>
            <w:noWrap w:val="0"/>
            <w:vAlign w:val="top"/>
          </w:tcPr>
          <w:p w14:paraId="4E402131">
            <w:pPr>
              <w:rPr>
                <w:rFonts w:hint="eastAsia" w:ascii="宋体" w:hAnsi="宋体" w:eastAsia="宋体" w:cs="宋体"/>
                <w:szCs w:val="21"/>
                <w:highlight w:val="none"/>
              </w:rPr>
            </w:pPr>
          </w:p>
        </w:tc>
        <w:tc>
          <w:tcPr>
            <w:tcW w:w="1455" w:type="dxa"/>
            <w:noWrap w:val="0"/>
            <w:vAlign w:val="top"/>
          </w:tcPr>
          <w:p w14:paraId="1B157E00">
            <w:pPr>
              <w:rPr>
                <w:rFonts w:hint="eastAsia" w:ascii="宋体" w:hAnsi="宋体" w:eastAsia="宋体" w:cs="宋体"/>
                <w:szCs w:val="21"/>
                <w:highlight w:val="none"/>
              </w:rPr>
            </w:pPr>
          </w:p>
        </w:tc>
        <w:tc>
          <w:tcPr>
            <w:tcW w:w="2130" w:type="dxa"/>
            <w:noWrap w:val="0"/>
            <w:vAlign w:val="top"/>
          </w:tcPr>
          <w:p w14:paraId="69E5C638">
            <w:pPr>
              <w:rPr>
                <w:rFonts w:hint="eastAsia" w:ascii="宋体" w:hAnsi="宋体" w:eastAsia="宋体" w:cs="宋体"/>
                <w:kern w:val="2"/>
                <w:sz w:val="21"/>
                <w:szCs w:val="21"/>
                <w:highlight w:val="none"/>
                <w:lang w:val="en-US" w:eastAsia="zh-CN" w:bidi="ar-SA"/>
              </w:rPr>
            </w:pPr>
          </w:p>
        </w:tc>
        <w:tc>
          <w:tcPr>
            <w:tcW w:w="1545" w:type="dxa"/>
            <w:noWrap w:val="0"/>
            <w:vAlign w:val="top"/>
          </w:tcPr>
          <w:p w14:paraId="707BEB6B">
            <w:pPr>
              <w:rPr>
                <w:rFonts w:hint="eastAsia" w:ascii="宋体" w:hAnsi="宋体" w:eastAsia="宋体" w:cs="宋体"/>
                <w:szCs w:val="21"/>
                <w:highlight w:val="none"/>
              </w:rPr>
            </w:pPr>
          </w:p>
        </w:tc>
        <w:tc>
          <w:tcPr>
            <w:tcW w:w="1485" w:type="dxa"/>
            <w:noWrap w:val="0"/>
            <w:vAlign w:val="top"/>
          </w:tcPr>
          <w:p w14:paraId="20D03485">
            <w:pPr>
              <w:rPr>
                <w:rFonts w:hint="eastAsia" w:ascii="宋体" w:hAnsi="宋体" w:eastAsia="宋体" w:cs="宋体"/>
                <w:szCs w:val="21"/>
                <w:highlight w:val="none"/>
              </w:rPr>
            </w:pPr>
          </w:p>
        </w:tc>
      </w:tr>
      <w:tr w14:paraId="239C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8" w:type="dxa"/>
            <w:noWrap w:val="0"/>
            <w:vAlign w:val="top"/>
          </w:tcPr>
          <w:p w14:paraId="3154565A">
            <w:pPr>
              <w:rPr>
                <w:rFonts w:hint="eastAsia" w:ascii="宋体" w:hAnsi="宋体" w:eastAsia="宋体" w:cs="宋体"/>
                <w:szCs w:val="21"/>
                <w:highlight w:val="none"/>
              </w:rPr>
            </w:pPr>
          </w:p>
        </w:tc>
        <w:tc>
          <w:tcPr>
            <w:tcW w:w="2087" w:type="dxa"/>
            <w:noWrap w:val="0"/>
            <w:vAlign w:val="top"/>
          </w:tcPr>
          <w:p w14:paraId="452C7F22">
            <w:pPr>
              <w:rPr>
                <w:rFonts w:hint="eastAsia" w:ascii="宋体" w:hAnsi="宋体" w:eastAsia="宋体" w:cs="宋体"/>
                <w:szCs w:val="21"/>
                <w:highlight w:val="none"/>
              </w:rPr>
            </w:pPr>
          </w:p>
        </w:tc>
        <w:tc>
          <w:tcPr>
            <w:tcW w:w="1455" w:type="dxa"/>
            <w:noWrap w:val="0"/>
            <w:vAlign w:val="top"/>
          </w:tcPr>
          <w:p w14:paraId="0E78ACD9">
            <w:pPr>
              <w:rPr>
                <w:rFonts w:hint="eastAsia" w:ascii="宋体" w:hAnsi="宋体" w:eastAsia="宋体" w:cs="宋体"/>
                <w:szCs w:val="21"/>
                <w:highlight w:val="none"/>
              </w:rPr>
            </w:pPr>
          </w:p>
        </w:tc>
        <w:tc>
          <w:tcPr>
            <w:tcW w:w="2130" w:type="dxa"/>
            <w:noWrap w:val="0"/>
            <w:vAlign w:val="top"/>
          </w:tcPr>
          <w:p w14:paraId="7815036D">
            <w:pPr>
              <w:rPr>
                <w:rFonts w:hint="eastAsia" w:ascii="宋体" w:hAnsi="宋体" w:eastAsia="宋体" w:cs="宋体"/>
                <w:kern w:val="2"/>
                <w:sz w:val="21"/>
                <w:szCs w:val="21"/>
                <w:highlight w:val="none"/>
                <w:lang w:val="en-US" w:eastAsia="zh-CN" w:bidi="ar-SA"/>
              </w:rPr>
            </w:pPr>
          </w:p>
        </w:tc>
        <w:tc>
          <w:tcPr>
            <w:tcW w:w="1545" w:type="dxa"/>
            <w:noWrap w:val="0"/>
            <w:vAlign w:val="top"/>
          </w:tcPr>
          <w:p w14:paraId="5788F025">
            <w:pPr>
              <w:rPr>
                <w:rFonts w:hint="eastAsia" w:ascii="宋体" w:hAnsi="宋体" w:eastAsia="宋体" w:cs="宋体"/>
                <w:szCs w:val="21"/>
                <w:highlight w:val="none"/>
              </w:rPr>
            </w:pPr>
          </w:p>
        </w:tc>
        <w:tc>
          <w:tcPr>
            <w:tcW w:w="1485" w:type="dxa"/>
            <w:noWrap w:val="0"/>
            <w:vAlign w:val="top"/>
          </w:tcPr>
          <w:p w14:paraId="4A1E727C">
            <w:pPr>
              <w:rPr>
                <w:rFonts w:hint="eastAsia" w:ascii="宋体" w:hAnsi="宋体" w:eastAsia="宋体" w:cs="宋体"/>
                <w:szCs w:val="21"/>
                <w:highlight w:val="none"/>
              </w:rPr>
            </w:pPr>
          </w:p>
        </w:tc>
      </w:tr>
      <w:tr w14:paraId="529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18" w:type="dxa"/>
            <w:noWrap w:val="0"/>
            <w:vAlign w:val="top"/>
          </w:tcPr>
          <w:p w14:paraId="48029FDC">
            <w:pPr>
              <w:rPr>
                <w:rFonts w:hint="eastAsia" w:ascii="宋体" w:hAnsi="宋体" w:eastAsia="宋体" w:cs="宋体"/>
                <w:szCs w:val="21"/>
                <w:highlight w:val="none"/>
              </w:rPr>
            </w:pPr>
          </w:p>
        </w:tc>
        <w:tc>
          <w:tcPr>
            <w:tcW w:w="2087" w:type="dxa"/>
            <w:noWrap w:val="0"/>
            <w:vAlign w:val="top"/>
          </w:tcPr>
          <w:p w14:paraId="05220D90">
            <w:pPr>
              <w:rPr>
                <w:rFonts w:hint="eastAsia" w:ascii="宋体" w:hAnsi="宋体" w:eastAsia="宋体" w:cs="宋体"/>
                <w:szCs w:val="21"/>
                <w:highlight w:val="none"/>
              </w:rPr>
            </w:pPr>
          </w:p>
        </w:tc>
        <w:tc>
          <w:tcPr>
            <w:tcW w:w="1455" w:type="dxa"/>
            <w:noWrap w:val="0"/>
            <w:vAlign w:val="top"/>
          </w:tcPr>
          <w:p w14:paraId="63CAADDE">
            <w:pPr>
              <w:rPr>
                <w:rFonts w:hint="eastAsia" w:ascii="宋体" w:hAnsi="宋体" w:eastAsia="宋体" w:cs="宋体"/>
                <w:szCs w:val="21"/>
                <w:highlight w:val="none"/>
              </w:rPr>
            </w:pPr>
          </w:p>
        </w:tc>
        <w:tc>
          <w:tcPr>
            <w:tcW w:w="2130" w:type="dxa"/>
            <w:noWrap w:val="0"/>
            <w:vAlign w:val="top"/>
          </w:tcPr>
          <w:p w14:paraId="77D56B4C">
            <w:pPr>
              <w:rPr>
                <w:rFonts w:hint="eastAsia" w:ascii="宋体" w:hAnsi="宋体" w:eastAsia="宋体" w:cs="宋体"/>
                <w:kern w:val="2"/>
                <w:sz w:val="21"/>
                <w:szCs w:val="21"/>
                <w:highlight w:val="none"/>
                <w:lang w:val="en-US" w:eastAsia="zh-CN" w:bidi="ar-SA"/>
              </w:rPr>
            </w:pPr>
          </w:p>
        </w:tc>
        <w:tc>
          <w:tcPr>
            <w:tcW w:w="1545" w:type="dxa"/>
            <w:noWrap w:val="0"/>
            <w:vAlign w:val="top"/>
          </w:tcPr>
          <w:p w14:paraId="15699DFD">
            <w:pPr>
              <w:rPr>
                <w:rFonts w:hint="eastAsia" w:ascii="宋体" w:hAnsi="宋体" w:eastAsia="宋体" w:cs="宋体"/>
                <w:szCs w:val="21"/>
                <w:highlight w:val="none"/>
              </w:rPr>
            </w:pPr>
          </w:p>
        </w:tc>
        <w:tc>
          <w:tcPr>
            <w:tcW w:w="1485" w:type="dxa"/>
            <w:noWrap w:val="0"/>
            <w:vAlign w:val="top"/>
          </w:tcPr>
          <w:p w14:paraId="347DB588">
            <w:pPr>
              <w:rPr>
                <w:rFonts w:hint="eastAsia" w:ascii="宋体" w:hAnsi="宋体" w:eastAsia="宋体" w:cs="宋体"/>
                <w:szCs w:val="21"/>
                <w:highlight w:val="none"/>
              </w:rPr>
            </w:pPr>
          </w:p>
        </w:tc>
      </w:tr>
      <w:tr w14:paraId="1108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8" w:type="dxa"/>
            <w:noWrap w:val="0"/>
            <w:vAlign w:val="top"/>
          </w:tcPr>
          <w:p w14:paraId="79F5F327">
            <w:pPr>
              <w:rPr>
                <w:rFonts w:hint="eastAsia" w:ascii="宋体" w:hAnsi="宋体" w:eastAsia="宋体" w:cs="宋体"/>
                <w:szCs w:val="21"/>
                <w:highlight w:val="none"/>
              </w:rPr>
            </w:pPr>
          </w:p>
        </w:tc>
        <w:tc>
          <w:tcPr>
            <w:tcW w:w="2087" w:type="dxa"/>
            <w:noWrap w:val="0"/>
            <w:vAlign w:val="top"/>
          </w:tcPr>
          <w:p w14:paraId="6477D48C">
            <w:pPr>
              <w:rPr>
                <w:rFonts w:hint="eastAsia" w:ascii="宋体" w:hAnsi="宋体" w:eastAsia="宋体" w:cs="宋体"/>
                <w:szCs w:val="21"/>
                <w:highlight w:val="none"/>
              </w:rPr>
            </w:pPr>
          </w:p>
        </w:tc>
        <w:tc>
          <w:tcPr>
            <w:tcW w:w="1455" w:type="dxa"/>
            <w:noWrap w:val="0"/>
            <w:vAlign w:val="top"/>
          </w:tcPr>
          <w:p w14:paraId="18EA4D4D">
            <w:pPr>
              <w:rPr>
                <w:rFonts w:hint="eastAsia" w:ascii="宋体" w:hAnsi="宋体" w:eastAsia="宋体" w:cs="宋体"/>
                <w:szCs w:val="21"/>
                <w:highlight w:val="none"/>
              </w:rPr>
            </w:pPr>
          </w:p>
        </w:tc>
        <w:tc>
          <w:tcPr>
            <w:tcW w:w="2130" w:type="dxa"/>
            <w:noWrap w:val="0"/>
            <w:vAlign w:val="top"/>
          </w:tcPr>
          <w:p w14:paraId="199B24B4">
            <w:pPr>
              <w:rPr>
                <w:rFonts w:hint="eastAsia" w:ascii="宋体" w:hAnsi="宋体" w:eastAsia="宋体" w:cs="宋体"/>
                <w:kern w:val="2"/>
                <w:sz w:val="21"/>
                <w:szCs w:val="21"/>
                <w:highlight w:val="none"/>
                <w:lang w:val="en-US" w:eastAsia="zh-CN" w:bidi="ar-SA"/>
              </w:rPr>
            </w:pPr>
          </w:p>
        </w:tc>
        <w:tc>
          <w:tcPr>
            <w:tcW w:w="1545" w:type="dxa"/>
            <w:noWrap w:val="0"/>
            <w:vAlign w:val="top"/>
          </w:tcPr>
          <w:p w14:paraId="58FD831B">
            <w:pPr>
              <w:rPr>
                <w:rFonts w:hint="eastAsia" w:ascii="宋体" w:hAnsi="宋体" w:eastAsia="宋体" w:cs="宋体"/>
                <w:szCs w:val="21"/>
                <w:highlight w:val="none"/>
              </w:rPr>
            </w:pPr>
          </w:p>
        </w:tc>
        <w:tc>
          <w:tcPr>
            <w:tcW w:w="1485" w:type="dxa"/>
            <w:noWrap w:val="0"/>
            <w:vAlign w:val="top"/>
          </w:tcPr>
          <w:p w14:paraId="5BFF6F28">
            <w:pPr>
              <w:rPr>
                <w:rFonts w:hint="eastAsia" w:ascii="宋体" w:hAnsi="宋体" w:eastAsia="宋体" w:cs="宋体"/>
                <w:szCs w:val="21"/>
                <w:highlight w:val="none"/>
              </w:rPr>
            </w:pPr>
          </w:p>
        </w:tc>
      </w:tr>
    </w:tbl>
    <w:p w14:paraId="5F4D0E5F">
      <w:pPr>
        <w:rPr>
          <w:rFonts w:hint="eastAsia" w:ascii="宋体" w:hAnsi="宋体" w:eastAsia="宋体" w:cs="宋体"/>
          <w:szCs w:val="21"/>
          <w:highlight w:val="none"/>
        </w:rPr>
      </w:pPr>
    </w:p>
    <w:p w14:paraId="7BBDD7FA">
      <w:pPr>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若合格的中标候选人总得分相同且影响合格的中标候选人排序的，以答辩因素得分高的排前；若答辩因素得分相同的，以价格因素得分高的排前，若价格因素得分仍相同的，由定标委员会投票确定排序。</w:t>
      </w:r>
    </w:p>
    <w:p w14:paraId="158040C2">
      <w:pPr>
        <w:rPr>
          <w:rFonts w:hint="eastAsia" w:ascii="宋体" w:hAnsi="宋体" w:eastAsia="宋体" w:cs="宋体"/>
          <w:bCs/>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bCs/>
          <w:szCs w:val="21"/>
          <w:highlight w:val="none"/>
        </w:rPr>
        <w:t>总得分四舍五入保留两位小数。</w:t>
      </w:r>
    </w:p>
    <w:p w14:paraId="38ECCD2F">
      <w:pPr>
        <w:pStyle w:val="12"/>
        <w:rPr>
          <w:rFonts w:hint="eastAsia" w:ascii="宋体" w:hAnsi="宋体" w:cs="宋体"/>
          <w:highlight w:val="none"/>
        </w:rPr>
      </w:pPr>
    </w:p>
    <w:p w14:paraId="6947B5D5">
      <w:pPr>
        <w:pStyle w:val="12"/>
        <w:rPr>
          <w:rFonts w:hint="eastAsia" w:ascii="宋体" w:hAnsi="宋体" w:cs="宋体"/>
          <w:highlight w:val="none"/>
        </w:rPr>
      </w:pPr>
    </w:p>
    <w:p w14:paraId="4A834624">
      <w:pPr>
        <w:pStyle w:val="12"/>
        <w:rPr>
          <w:rFonts w:hint="eastAsia" w:ascii="宋体" w:hAnsi="宋体" w:cs="宋体"/>
          <w:szCs w:val="21"/>
          <w:highlight w:val="none"/>
        </w:rPr>
      </w:pPr>
    </w:p>
    <w:p w14:paraId="25E8F099">
      <w:pPr>
        <w:rPr>
          <w:rFonts w:hint="eastAsia" w:ascii="宋体" w:hAnsi="宋体" w:eastAsia="宋体" w:cs="宋体"/>
          <w:highlight w:val="none"/>
        </w:rPr>
      </w:pPr>
    </w:p>
    <w:p w14:paraId="1F0080D8">
      <w:pPr>
        <w:spacing w:line="360" w:lineRule="auto"/>
        <w:ind w:left="314" w:hanging="314" w:hangingChars="131"/>
        <w:rPr>
          <w:rFonts w:hint="eastAsia" w:ascii="宋体" w:hAnsi="宋体" w:eastAsia="宋体" w:cs="宋体"/>
          <w:sz w:val="24"/>
          <w:highlight w:val="none"/>
        </w:rPr>
      </w:pPr>
      <w:r>
        <w:rPr>
          <w:rFonts w:hint="eastAsia" w:ascii="宋体" w:hAnsi="宋体" w:eastAsia="宋体" w:cs="宋体"/>
          <w:sz w:val="24"/>
          <w:highlight w:val="none"/>
        </w:rPr>
        <w:t>定标委员会签名：                                     日期：  年  月 日</w:t>
      </w:r>
    </w:p>
    <w:p w14:paraId="43736CD7">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DF64EE1">
      <w:pPr>
        <w:pStyle w:val="3"/>
        <w:snapToGrid w:val="0"/>
        <w:spacing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第三章  合同条款</w:t>
      </w:r>
      <w:bookmarkEnd w:id="54"/>
      <w:bookmarkEnd w:id="55"/>
      <w:bookmarkEnd w:id="56"/>
      <w:bookmarkEnd w:id="57"/>
    </w:p>
    <w:p w14:paraId="25345C76">
      <w:pPr>
        <w:autoSpaceDE w:val="0"/>
        <w:autoSpaceDN w:val="0"/>
        <w:adjustRightInd w:val="0"/>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另册</w:t>
      </w:r>
      <w:r>
        <w:rPr>
          <w:rFonts w:hint="eastAsia" w:ascii="宋体" w:hAnsi="宋体" w:eastAsia="宋体" w:cs="宋体"/>
          <w:color w:val="auto"/>
          <w:sz w:val="32"/>
          <w:szCs w:val="32"/>
          <w:highlight w:val="none"/>
          <w:lang w:eastAsia="zh-CN"/>
        </w:rPr>
        <w:t>）</w:t>
      </w:r>
    </w:p>
    <w:p w14:paraId="3F0FF644">
      <w:pPr>
        <w:rPr>
          <w:rFonts w:ascii="宋体" w:hAnsi="宋体" w:cs="宋体"/>
          <w:color w:val="auto"/>
          <w:sz w:val="32"/>
          <w:szCs w:val="32"/>
          <w:highlight w:val="none"/>
        </w:rPr>
      </w:pPr>
      <w:bookmarkStart w:id="58" w:name="_Toc30083"/>
      <w:r>
        <w:rPr>
          <w:rFonts w:hint="eastAsia" w:ascii="宋体" w:hAnsi="宋体" w:cs="宋体"/>
          <w:color w:val="auto"/>
          <w:sz w:val="32"/>
          <w:szCs w:val="32"/>
          <w:highlight w:val="none"/>
        </w:rPr>
        <w:br w:type="page"/>
      </w:r>
    </w:p>
    <w:p w14:paraId="4C9160EC">
      <w:pPr>
        <w:pStyle w:val="3"/>
        <w:snapToGrid w:val="0"/>
        <w:spacing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第四章  投标文件格式</w:t>
      </w:r>
      <w:bookmarkEnd w:id="58"/>
    </w:p>
    <w:p w14:paraId="3775E6E3">
      <w:pPr>
        <w:autoSpaceDE w:val="0"/>
        <w:autoSpaceDN w:val="0"/>
        <w:adjustRightInd w:val="0"/>
        <w:snapToGrid w:val="0"/>
        <w:spacing w:line="360" w:lineRule="auto"/>
        <w:rPr>
          <w:rFonts w:ascii="宋体" w:hAnsi="宋体" w:cs="宋体"/>
          <w:color w:val="auto"/>
          <w:sz w:val="32"/>
          <w:szCs w:val="32"/>
          <w:highlight w:val="none"/>
        </w:rPr>
      </w:pPr>
    </w:p>
    <w:p w14:paraId="06729242">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14:paraId="60D34E32">
      <w:pPr>
        <w:topLinePunct/>
        <w:adjustRightInd w:val="0"/>
        <w:snapToGrid w:val="0"/>
        <w:spacing w:line="360" w:lineRule="auto"/>
        <w:jc w:val="left"/>
        <w:rPr>
          <w:rFonts w:ascii="宋体" w:hAnsi="宋体" w:cs="宋体"/>
          <w:color w:val="auto"/>
          <w:sz w:val="24"/>
          <w:szCs w:val="24"/>
          <w:highlight w:val="none"/>
        </w:rPr>
      </w:pPr>
      <w:bookmarkStart w:id="59" w:name="_Toc6493845"/>
    </w:p>
    <w:p w14:paraId="584F2A4A">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59"/>
    </w:p>
    <w:p w14:paraId="4D383F37">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60" w:name="_Toc17590"/>
      <w:bookmarkStart w:id="61" w:name="_Toc10308"/>
      <w:r>
        <w:rPr>
          <w:rFonts w:hint="eastAsia" w:ascii="宋体" w:hAnsi="宋体" w:cs="宋体"/>
          <w:b/>
          <w:bCs/>
          <w:color w:val="auto"/>
          <w:sz w:val="36"/>
          <w:szCs w:val="36"/>
          <w:highlight w:val="none"/>
          <w:lang w:val="zh-CN"/>
        </w:rPr>
        <w:t>广州建设工程施工招标投标书（技术标）</w:t>
      </w:r>
      <w:bookmarkEnd w:id="60"/>
      <w:bookmarkEnd w:id="61"/>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54A5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50E40A42">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6E23A1C9">
            <w:pPr>
              <w:autoSpaceDE w:val="0"/>
              <w:autoSpaceDN w:val="0"/>
              <w:adjustRightInd w:val="0"/>
              <w:snapToGrid w:val="0"/>
              <w:spacing w:line="360" w:lineRule="auto"/>
              <w:rPr>
                <w:rFonts w:ascii="宋体" w:hAnsi="宋体" w:cs="宋体"/>
                <w:bCs/>
                <w:color w:val="auto"/>
                <w:sz w:val="24"/>
                <w:szCs w:val="24"/>
                <w:highlight w:val="none"/>
                <w:lang w:val="zh-CN"/>
              </w:rPr>
            </w:pPr>
          </w:p>
        </w:tc>
      </w:tr>
      <w:tr w14:paraId="1DED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A75C291">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4A0359C7">
            <w:pPr>
              <w:autoSpaceDE w:val="0"/>
              <w:autoSpaceDN w:val="0"/>
              <w:adjustRightInd w:val="0"/>
              <w:snapToGrid w:val="0"/>
              <w:spacing w:line="360" w:lineRule="auto"/>
              <w:rPr>
                <w:rFonts w:ascii="宋体" w:hAnsi="宋体" w:cs="宋体"/>
                <w:bCs/>
                <w:color w:val="auto"/>
                <w:sz w:val="24"/>
                <w:szCs w:val="24"/>
                <w:highlight w:val="none"/>
                <w:lang w:val="zh-CN"/>
              </w:rPr>
            </w:pPr>
          </w:p>
        </w:tc>
      </w:tr>
      <w:tr w14:paraId="761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E6AE02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18F9878E">
            <w:pPr>
              <w:autoSpaceDE w:val="0"/>
              <w:autoSpaceDN w:val="0"/>
              <w:adjustRightInd w:val="0"/>
              <w:snapToGrid w:val="0"/>
              <w:spacing w:line="360" w:lineRule="auto"/>
              <w:rPr>
                <w:rFonts w:ascii="宋体" w:hAnsi="宋体" w:cs="宋体"/>
                <w:bCs/>
                <w:color w:val="auto"/>
                <w:sz w:val="24"/>
                <w:szCs w:val="24"/>
                <w:highlight w:val="none"/>
                <w:lang w:val="zh-CN"/>
              </w:rPr>
            </w:pPr>
          </w:p>
        </w:tc>
      </w:tr>
      <w:tr w14:paraId="3D53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8531F2C">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48F604BE">
            <w:pPr>
              <w:autoSpaceDE w:val="0"/>
              <w:autoSpaceDN w:val="0"/>
              <w:adjustRightInd w:val="0"/>
              <w:snapToGrid w:val="0"/>
              <w:spacing w:line="360" w:lineRule="auto"/>
              <w:rPr>
                <w:rFonts w:ascii="宋体" w:hAnsi="宋体" w:cs="宋体"/>
                <w:bCs/>
                <w:color w:val="auto"/>
                <w:sz w:val="24"/>
                <w:szCs w:val="24"/>
                <w:highlight w:val="none"/>
                <w:lang w:val="zh-CN"/>
              </w:rPr>
            </w:pPr>
          </w:p>
        </w:tc>
      </w:tr>
      <w:tr w14:paraId="069F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7A11486F">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41C560F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6FB40DC9">
            <w:pPr>
              <w:autoSpaceDE w:val="0"/>
              <w:autoSpaceDN w:val="0"/>
              <w:adjustRightInd w:val="0"/>
              <w:snapToGrid w:val="0"/>
              <w:spacing w:line="360" w:lineRule="auto"/>
              <w:rPr>
                <w:rFonts w:ascii="宋体" w:hAnsi="宋体" w:cs="宋体"/>
                <w:bCs/>
                <w:color w:val="auto"/>
                <w:sz w:val="24"/>
                <w:szCs w:val="24"/>
                <w:highlight w:val="none"/>
                <w:lang w:val="zh-CN"/>
              </w:rPr>
            </w:pPr>
          </w:p>
        </w:tc>
      </w:tr>
      <w:tr w14:paraId="3595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16E20C15">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2FD8803F">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2D8DB0CF">
            <w:pPr>
              <w:autoSpaceDE w:val="0"/>
              <w:autoSpaceDN w:val="0"/>
              <w:adjustRightInd w:val="0"/>
              <w:snapToGrid w:val="0"/>
              <w:spacing w:line="360" w:lineRule="auto"/>
              <w:rPr>
                <w:rFonts w:ascii="宋体" w:hAnsi="宋体" w:cs="宋体"/>
                <w:bCs/>
                <w:color w:val="auto"/>
                <w:sz w:val="24"/>
                <w:szCs w:val="24"/>
                <w:highlight w:val="none"/>
                <w:lang w:val="zh-CN"/>
              </w:rPr>
            </w:pPr>
          </w:p>
        </w:tc>
      </w:tr>
    </w:tbl>
    <w:p w14:paraId="0F95658A">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14:paraId="1A4B1BB5">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14:paraId="0AAF5A77">
      <w:pPr>
        <w:topLinePunct/>
        <w:adjustRightInd w:val="0"/>
        <w:snapToGrid w:val="0"/>
        <w:spacing w:line="360" w:lineRule="auto"/>
        <w:rPr>
          <w:rFonts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广州智达新能源有限公司</w:t>
      </w:r>
    </w:p>
    <w:p w14:paraId="09A5B25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智达新能源产业化生产基地二期施工总承</w:t>
      </w:r>
      <w:r>
        <w:rPr>
          <w:rFonts w:hint="eastAsia" w:ascii="宋体" w:hAnsi="宋体" w:cs="宋体"/>
          <w:color w:val="auto"/>
          <w:sz w:val="24"/>
          <w:szCs w:val="24"/>
          <w:highlight w:val="none"/>
          <w:u w:val="single"/>
          <w:lang w:val="en-US" w:eastAsia="zh-CN"/>
        </w:rPr>
        <w:t>包</w:t>
      </w:r>
      <w:r>
        <w:rPr>
          <w:rFonts w:hint="eastAsia" w:ascii="宋体" w:hAnsi="宋体" w:cs="宋体"/>
          <w:color w:val="auto"/>
          <w:sz w:val="24"/>
          <w:szCs w:val="24"/>
          <w:highlight w:val="none"/>
        </w:rPr>
        <w:t>的招标文件，并已详细审核了全部招标文件及有关附件。</w:t>
      </w:r>
    </w:p>
    <w:p w14:paraId="5086E4C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328694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4FADA9A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5327C5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14:paraId="09035A9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要求</w:t>
      </w:r>
      <w:r>
        <w:rPr>
          <w:rFonts w:hint="eastAsia" w:ascii="宋体" w:hAnsi="宋体" w:cs="宋体"/>
          <w:color w:val="auto"/>
          <w:sz w:val="24"/>
          <w:szCs w:val="24"/>
          <w:highlight w:val="none"/>
        </w:rPr>
        <w:t>。</w:t>
      </w:r>
    </w:p>
    <w:p w14:paraId="0A7FD47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14:paraId="2AFF63B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14:paraId="59C152B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767FE0B">
      <w:pPr>
        <w:snapToGrid w:val="0"/>
        <w:spacing w:line="360" w:lineRule="auto"/>
        <w:ind w:firstLine="481"/>
        <w:rPr>
          <w:rFonts w:ascii="宋体" w:hAnsi="宋体" w:cs="宋体"/>
          <w:snapToGrid w:val="0"/>
          <w:color w:val="auto"/>
          <w:spacing w:val="4"/>
          <w:kern w:val="0"/>
          <w:sz w:val="24"/>
          <w:szCs w:val="24"/>
          <w:highlight w:val="none"/>
        </w:rPr>
      </w:pPr>
    </w:p>
    <w:p w14:paraId="03971AAC">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14:paraId="4317EBA0">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5BB0E531">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14:paraId="3E79ABE1">
      <w:pPr>
        <w:snapToGrid w:val="0"/>
        <w:spacing w:line="360" w:lineRule="auto"/>
        <w:jc w:val="left"/>
        <w:rPr>
          <w:rFonts w:ascii="宋体" w:hAnsi="宋体" w:cs="宋体"/>
          <w:color w:val="auto"/>
          <w:sz w:val="24"/>
          <w:szCs w:val="24"/>
          <w:highlight w:val="none"/>
        </w:rPr>
      </w:pPr>
    </w:p>
    <w:p w14:paraId="4C9A828B">
      <w:pPr>
        <w:snapToGrid w:val="0"/>
        <w:spacing w:line="360" w:lineRule="auto"/>
        <w:jc w:val="left"/>
        <w:rPr>
          <w:rFonts w:ascii="宋体" w:hAnsi="宋体" w:cs="宋体"/>
          <w:color w:val="auto"/>
          <w:szCs w:val="21"/>
          <w:highlight w:val="none"/>
        </w:rPr>
      </w:pPr>
    </w:p>
    <w:p w14:paraId="11B99DCF">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14:paraId="0C1F5F98">
      <w:pPr>
        <w:snapToGrid w:val="0"/>
        <w:spacing w:line="360" w:lineRule="auto"/>
        <w:jc w:val="left"/>
        <w:rPr>
          <w:rFonts w:ascii="宋体" w:hAnsi="宋体" w:cs="宋体"/>
          <w:color w:val="auto"/>
          <w:szCs w:val="21"/>
          <w:highlight w:val="none"/>
        </w:rPr>
      </w:pPr>
      <w:bookmarkStart w:id="62" w:name="_Toc478375101"/>
      <w:bookmarkStart w:id="63" w:name="_Toc474749524"/>
    </w:p>
    <w:p w14:paraId="7B9C76B2">
      <w:pPr>
        <w:widowControl/>
        <w:snapToGrid w:val="0"/>
        <w:spacing w:line="360" w:lineRule="auto"/>
        <w:ind w:right="102"/>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p>
    <w:p w14:paraId="1192A109">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标函承诺书</w:t>
      </w:r>
    </w:p>
    <w:p w14:paraId="3A37302B">
      <w:pPr>
        <w:pStyle w:val="44"/>
        <w:shd w:val="clear" w:color="auto" w:fill="auto"/>
        <w:spacing w:line="360" w:lineRule="auto"/>
        <w:ind w:left="339" w:leftChars="101" w:hanging="127" w:hangingChars="53"/>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致：广州智达新能源有限公司</w:t>
      </w:r>
    </w:p>
    <w:p w14:paraId="3C6EA0BA">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如果在本招标工程中我司中标，我司将积极响应贵单位提出的合同条件及招标文件的要求，并做出如下承诺：</w:t>
      </w:r>
    </w:p>
    <w:p w14:paraId="71E0CC9B">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1、若我公司中标，我公司承诺按时交纳履约保证金。</w:t>
      </w:r>
    </w:p>
    <w:p w14:paraId="4100445C">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2、在本工程施工期间，拟投入的人力不少于下表中的人数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6E1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726FA82">
            <w:pPr>
              <w:shd w:val="clear" w:color="auto" w:fill="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112D1DE">
            <w:pPr>
              <w:shd w:val="clear" w:color="auto" w:fill="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施工低峰期数量</w:t>
            </w:r>
          </w:p>
        </w:tc>
      </w:tr>
      <w:tr w14:paraId="097D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31CE2C6">
            <w:pPr>
              <w:shd w:val="clear" w:color="auto" w:fill="auto"/>
              <w:ind w:left="-422" w:leftChars="-201"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061E3DA">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1A6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4CCFAD5">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F2046F4">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3A10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7B0CE60B">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509EB2D7">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7FA4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683BDD29">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F141E14">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38ED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ED0D18F">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DBE98E8">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05D8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605E094D">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8059E13">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692E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ED664E2">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0C16961F">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4B67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07880798">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CC6AC75">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2D92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B680398">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9906AF0">
            <w:pPr>
              <w:shd w:val="clear" w:color="auto" w:fill="auto"/>
              <w:ind w:firstLine="420" w:firstLineChars="200"/>
              <w:jc w:val="center"/>
              <w:rPr>
                <w:rFonts w:hint="eastAsia" w:ascii="宋体" w:hAnsi="宋体" w:eastAsia="宋体" w:cs="宋体"/>
                <w:color w:val="auto"/>
                <w:kern w:val="0"/>
                <w:szCs w:val="21"/>
                <w:highlight w:val="none"/>
                <w:u w:val="single"/>
              </w:rPr>
            </w:pPr>
          </w:p>
        </w:tc>
      </w:tr>
    </w:tbl>
    <w:p w14:paraId="57410A7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3、在工程施工期间，拟投入的主要机械设备按投标文件所附的《拟投入本工程施工的主要机械设备配备表》。</w:t>
      </w:r>
    </w:p>
    <w:p w14:paraId="70F84B07">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4、所选用的主要材料品牌符合招标文件的要求。</w:t>
      </w:r>
    </w:p>
    <w:p w14:paraId="63099B0F">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5、拟投入到本工程的主要技术人员、经济和管理人员按投标文件所附的《</w:t>
      </w:r>
      <w:r>
        <w:rPr>
          <w:rFonts w:hint="eastAsia" w:ascii="宋体" w:hAnsi="宋体" w:cs="宋体"/>
          <w:color w:val="auto"/>
          <w:sz w:val="24"/>
          <w:szCs w:val="24"/>
          <w:highlight w:val="none"/>
        </w:rPr>
        <w:t>施工项目管理团队人员信息表</w:t>
      </w:r>
      <w:r>
        <w:rPr>
          <w:rFonts w:hint="eastAsia" w:ascii="宋体" w:hAnsi="宋体" w:eastAsia="宋体" w:cs="宋体"/>
          <w:color w:val="auto"/>
          <w:sz w:val="24"/>
          <w:szCs w:val="24"/>
          <w:highlight w:val="none"/>
        </w:rPr>
        <w:t>》。中标后，拟投入到本工程安全员人数不得低于住建部相关文件的最低要求。</w:t>
      </w:r>
    </w:p>
    <w:p w14:paraId="2383597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的处罚措施。</w:t>
      </w:r>
    </w:p>
    <w:p w14:paraId="069DAF1B">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7、本工程施工过程中，我司将严格按照国家、省、市有关施工及验收规范、标准进行施工，确保本工程质量至少达到</w:t>
      </w:r>
      <w:r>
        <w:rPr>
          <w:rFonts w:hint="eastAsia" w:ascii="宋体" w:hAnsi="宋体" w:eastAsia="宋体" w:cs="宋体"/>
          <w:color w:val="000000" w:themeColor="text1"/>
          <w:sz w:val="24"/>
          <w:szCs w:val="24"/>
          <w:highlight w:val="none"/>
          <w:u w:val="single"/>
          <w14:textFill>
            <w14:solidFill>
              <w14:schemeClr w14:val="tx1"/>
            </w14:solidFill>
          </w14:textFill>
        </w:rPr>
        <w:t>招标文件规定的质量标准</w:t>
      </w:r>
      <w:r>
        <w:rPr>
          <w:rFonts w:hint="eastAsia" w:ascii="宋体" w:hAnsi="宋体" w:eastAsia="宋体" w:cs="宋体"/>
          <w:color w:val="000000" w:themeColor="text1"/>
          <w:sz w:val="24"/>
          <w:szCs w:val="24"/>
          <w:highlight w:val="none"/>
          <w14:textFill>
            <w14:solidFill>
              <w14:schemeClr w14:val="tx1"/>
            </w14:solidFill>
          </w14:textFill>
        </w:rPr>
        <w:t>要求。</w:t>
      </w:r>
    </w:p>
    <w:p w14:paraId="5C8BD547">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8、在确保工程质量的前提下，我司严格控制工程工期，确保工程在招标文件规定的工期内完成。</w:t>
      </w:r>
    </w:p>
    <w:p w14:paraId="4F1659C0">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9、严格按照国家、省、市有关安全生产、文明施工要求，积极制定安全生产、文明施工措施，并严格执行，确保施工中符合安全生产、文明施工要求。在施工过程中,若发生重大伤亡事故，我方自愿接受贵</w:t>
      </w:r>
      <w:r>
        <w:rPr>
          <w:rFonts w:hint="eastAsia" w:ascii="宋体" w:hAnsi="宋体" w:eastAsia="宋体" w:cs="宋体"/>
          <w:color w:val="000000" w:themeColor="text1"/>
          <w:sz w:val="24"/>
          <w:szCs w:val="24"/>
          <w:highlight w:val="none"/>
          <w:lang w:val="en-US" w:eastAsia="zh-CN"/>
          <w14:textFill>
            <w14:solidFill>
              <w14:schemeClr w14:val="tx1"/>
            </w14:solidFill>
          </w14:textFill>
        </w:rPr>
        <w:t>司</w:t>
      </w:r>
      <w:r>
        <w:rPr>
          <w:rFonts w:hint="eastAsia" w:ascii="宋体" w:hAnsi="宋体" w:eastAsia="宋体" w:cs="宋体"/>
          <w:color w:val="000000" w:themeColor="text1"/>
          <w:sz w:val="24"/>
          <w:szCs w:val="24"/>
          <w:highlight w:val="none"/>
          <w14:textFill>
            <w14:solidFill>
              <w14:schemeClr w14:val="tx1"/>
            </w14:solidFill>
          </w14:textFill>
        </w:rPr>
        <w:t>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29CD6CF4">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10、按照发包人、监理工程师的要求及时为各专业工程（电信、电力管线、电力走廊、煤气、道路绿化、路灯、交通设施等）提供工作面，并为专业工程穿插施工所需各项配合工作给予方便。</w:t>
      </w:r>
    </w:p>
    <w:p w14:paraId="76AA7339">
      <w:pPr>
        <w:tabs>
          <w:tab w:val="left" w:pos="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auto"/>
          <w:sz w:val="24"/>
          <w:szCs w:val="24"/>
          <w:highlight w:val="none"/>
        </w:rPr>
        <w:t>我司承诺按照招标文件的要求和合同有关规定履行总包单位的职责，依法依规实施工程分包。</w:t>
      </w:r>
    </w:p>
    <w:p w14:paraId="1BB7BAED">
      <w:pPr>
        <w:tabs>
          <w:tab w:val="left" w:pos="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12、我司保证在中标后，严格按照 《广州市住房和城乡建设委员会关于印发&lt;广州市建筑施工实名制管理办法&gt;的通知》（穗建规字[2020]18号）、《关于印发广州市建设领域工人工资支付分账管理实施细则的通知》（穗建规字[2020]37号）等最新规定及广州市黄埔区、开发区对应出台的相关文件规定办理建筑工地实名制管理和工人工资支付分账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7911934B">
      <w:pPr>
        <w:tabs>
          <w:tab w:val="left" w:pos="31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13、我司保证在中标后，根据工程特点，编制本工程详细的施工组织设计和施工方案，并报监理和发包人审核批准，并严格按审批的意见和要求组织施工。</w:t>
      </w:r>
    </w:p>
    <w:p w14:paraId="4492508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14、我司承诺积极响应并接受招标文件中合同专用专款关于合同价款的调整办法。</w:t>
      </w:r>
    </w:p>
    <w:p w14:paraId="2DECA65E">
      <w:pPr>
        <w:pStyle w:val="46"/>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我司保证在中标后，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开发区建设和交通局《关于在全区建设项目推广使用封闭式外脚手架金属防护网的通知》（房建工程及桥梁工程要求使用）、广州市住房和城乡建设委员会关于《广州市建设工程绿色施工围蔽指导图集(V2.0试行版 )》(穗建质〔2020〕1号）、《关于进一步落实我区市政建设项目施工围蔽提升工作的通知》（穗埔建[2019]123号）及《黄埔区住房和城乡建设局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0BE6C410">
      <w:pPr>
        <w:pStyle w:val="44"/>
        <w:spacing w:line="360" w:lineRule="auto"/>
        <w:ind w:firstLine="5040" w:firstLineChars="2100"/>
        <w:jc w:val="left"/>
        <w:rPr>
          <w:rFonts w:ascii="宋体" w:hAnsi="宋体" w:eastAsia="宋体" w:cs="宋体"/>
          <w:color w:val="000000" w:themeColor="text1"/>
          <w:sz w:val="24"/>
          <w:szCs w:val="24"/>
          <w:highlight w:val="none"/>
          <w14:textFill>
            <w14:solidFill>
              <w14:schemeClr w14:val="tx1"/>
            </w14:solidFill>
          </w14:textFill>
        </w:rPr>
      </w:pPr>
    </w:p>
    <w:p w14:paraId="657D9910">
      <w:pPr>
        <w:pStyle w:val="44"/>
        <w:spacing w:line="360" w:lineRule="auto"/>
        <w:ind w:firstLine="5040" w:firstLineChars="21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p>
    <w:p w14:paraId="005353B4">
      <w:pPr>
        <w:pStyle w:val="44"/>
        <w:spacing w:line="360" w:lineRule="auto"/>
        <w:ind w:right="560"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32D5CCFC">
      <w:pPr>
        <w:pStyle w:val="44"/>
        <w:spacing w:line="360" w:lineRule="auto"/>
        <w:ind w:left="0" w:leftChars="0"/>
        <w:jc w:val="left"/>
        <w:rPr>
          <w:rFonts w:ascii="宋体" w:hAnsi="宋体" w:eastAsia="宋体" w:cs="宋体"/>
          <w:color w:val="000000" w:themeColor="text1"/>
          <w:sz w:val="24"/>
          <w:szCs w:val="24"/>
          <w:highlight w:val="none"/>
          <w:u w:val="single"/>
          <w14:textFill>
            <w14:solidFill>
              <w14:schemeClr w14:val="tx1"/>
            </w14:solidFill>
          </w14:textFill>
        </w:rPr>
      </w:pPr>
    </w:p>
    <w:p w14:paraId="5C7AE195">
      <w:pPr>
        <w:tabs>
          <w:tab w:val="left" w:pos="720"/>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注：1、《标函承诺书》作为投标文件的“实质性响应”文件，投标</w:t>
      </w:r>
      <w:r>
        <w:rPr>
          <w:rFonts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应如实填写，中标后必须按填报内容如期实施，否则按“弄虚作假骗取中标”处理。中标后，工程的监理单位将经常核验投标</w:t>
      </w:r>
      <w:r>
        <w:rPr>
          <w:rFonts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是否按填报内容实施，行政管理机构也将随时抽查。</w:t>
      </w:r>
    </w:p>
    <w:p w14:paraId="16982DCE">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62"/>
    <w:bookmarkEnd w:id="63"/>
    <w:p w14:paraId="0646BD87">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rPr>
        <w:t>四</w:t>
      </w:r>
    </w:p>
    <w:p w14:paraId="5123ADCE">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项目负责人驻场承诺书</w:t>
      </w:r>
    </w:p>
    <w:p w14:paraId="2D722637">
      <w:pPr>
        <w:shd w:val="clear" w:color="auto" w:fill="auto"/>
        <w:spacing w:line="336"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广州智达新能源有限公司</w:t>
      </w:r>
    </w:p>
    <w:p w14:paraId="42CAF5AB">
      <w:pPr>
        <w:snapToGrid w:val="0"/>
        <w:spacing w:line="360" w:lineRule="auto"/>
        <w:ind w:firstLine="523" w:firstLineChars="218"/>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本人（姓名）        ，项目负责人证书注册编号：               受（投标人名称）                 委派，拟在（项目名称）                       担任项目负责人一职。</w:t>
      </w:r>
      <w:r>
        <w:rPr>
          <w:rFonts w:hint="eastAsia" w:ascii="宋体" w:hAnsi="宋体" w:cs="宋体"/>
          <w:color w:val="auto"/>
          <w:sz w:val="24"/>
          <w:szCs w:val="24"/>
          <w:highlight w:val="none"/>
        </w:rPr>
        <w:t>为加强本工程项目管理，保证我公司在中标后严格履行与业主签定的工程建设承包合同，圆满的完成本项工程，我愿就此做出以下承诺；</w:t>
      </w:r>
    </w:p>
    <w:p w14:paraId="11896EA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67E00BE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3F5F715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712D9AA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4．项目负责人本人身份证扫描件和相片扫描件：</w:t>
      </w:r>
    </w:p>
    <w:p w14:paraId="35897EF3">
      <w:pPr>
        <w:snapToGrid w:val="0"/>
        <w:rPr>
          <w:rFonts w:ascii="宋体" w:hAnsi="宋体" w:cs="宋体"/>
          <w:color w:val="auto"/>
          <w:sz w:val="24"/>
          <w:szCs w:val="24"/>
          <w:highlight w:val="none"/>
          <w:u w:val="single"/>
        </w:rPr>
      </w:pP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4CD0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020E5913">
            <w:pPr>
              <w:snapToGrid w:val="0"/>
              <w:spacing w:line="360" w:lineRule="auto"/>
              <w:jc w:val="center"/>
              <w:rPr>
                <w:rFonts w:ascii="宋体" w:hAnsi="宋体" w:cs="宋体"/>
                <w:color w:val="auto"/>
                <w:szCs w:val="21"/>
                <w:highlight w:val="none"/>
                <w:u w:val="single"/>
              </w:rPr>
            </w:pPr>
          </w:p>
          <w:p w14:paraId="2565CD82">
            <w:pPr>
              <w:snapToGrid w:val="0"/>
              <w:spacing w:line="360" w:lineRule="auto"/>
              <w:jc w:val="center"/>
              <w:rPr>
                <w:rFonts w:ascii="宋体" w:hAnsi="宋体" w:cs="宋体"/>
                <w:color w:val="auto"/>
                <w:szCs w:val="21"/>
                <w:highlight w:val="none"/>
                <w:u w:val="single"/>
              </w:rPr>
            </w:pPr>
          </w:p>
          <w:p w14:paraId="6860D605">
            <w:pPr>
              <w:snapToGrid w:val="0"/>
              <w:spacing w:line="360" w:lineRule="auto"/>
              <w:jc w:val="center"/>
              <w:rPr>
                <w:rFonts w:ascii="宋体" w:hAnsi="宋体" w:cs="宋体"/>
                <w:color w:val="auto"/>
                <w:szCs w:val="21"/>
                <w:highlight w:val="none"/>
                <w:u w:val="single"/>
              </w:rPr>
            </w:pPr>
          </w:p>
          <w:p w14:paraId="1C809212">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22E67994">
            <w:pPr>
              <w:snapToGrid w:val="0"/>
              <w:spacing w:line="360" w:lineRule="auto"/>
              <w:jc w:val="center"/>
              <w:rPr>
                <w:rFonts w:ascii="宋体" w:hAnsi="宋体" w:cs="宋体"/>
                <w:color w:val="auto"/>
                <w:szCs w:val="21"/>
                <w:highlight w:val="none"/>
                <w:u w:val="single"/>
              </w:rPr>
            </w:pPr>
          </w:p>
          <w:p w14:paraId="65D5FA88">
            <w:pPr>
              <w:snapToGrid w:val="0"/>
              <w:spacing w:line="360" w:lineRule="auto"/>
              <w:jc w:val="center"/>
              <w:rPr>
                <w:rFonts w:ascii="宋体" w:hAnsi="宋体" w:cs="宋体"/>
                <w:color w:val="auto"/>
                <w:szCs w:val="21"/>
                <w:highlight w:val="none"/>
                <w:u w:val="single"/>
              </w:rPr>
            </w:pPr>
          </w:p>
          <w:p w14:paraId="0C872083">
            <w:pPr>
              <w:snapToGrid w:val="0"/>
              <w:spacing w:line="360" w:lineRule="auto"/>
              <w:jc w:val="center"/>
              <w:rPr>
                <w:rFonts w:ascii="宋体" w:hAnsi="宋体" w:cs="宋体"/>
                <w:color w:val="auto"/>
                <w:szCs w:val="21"/>
                <w:highlight w:val="none"/>
                <w:u w:val="single"/>
              </w:rPr>
            </w:pPr>
          </w:p>
          <w:p w14:paraId="7ADF8C3B">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相片扫描件</w:t>
            </w:r>
          </w:p>
        </w:tc>
      </w:tr>
    </w:tbl>
    <w:p w14:paraId="309945B1">
      <w:pPr>
        <w:snapToGrid w:val="0"/>
        <w:spacing w:line="360" w:lineRule="auto"/>
        <w:rPr>
          <w:rFonts w:ascii="宋体" w:hAnsi="宋体" w:cs="宋体"/>
          <w:color w:val="auto"/>
          <w:sz w:val="24"/>
          <w:szCs w:val="24"/>
          <w:highlight w:val="none"/>
          <w:u w:val="single"/>
        </w:rPr>
      </w:pPr>
    </w:p>
    <w:p w14:paraId="64A5F540">
      <w:pPr>
        <w:snapToGrid w:val="0"/>
        <w:spacing w:line="360" w:lineRule="auto"/>
        <w:ind w:left="0" w:leftChars="0" w:firstLine="3998" w:firstLineChars="1666"/>
        <w:rPr>
          <w:rFonts w:ascii="宋体" w:hAnsi="宋体" w:cs="宋体"/>
          <w:color w:val="auto"/>
          <w:sz w:val="24"/>
          <w:szCs w:val="24"/>
          <w:highlight w:val="none"/>
          <w:u w:val="single"/>
        </w:rPr>
      </w:pPr>
      <w:r>
        <w:rPr>
          <w:rFonts w:hint="eastAsia" w:ascii="宋体" w:hAnsi="宋体" w:cs="宋体"/>
          <w:color w:val="auto"/>
          <w:sz w:val="24"/>
          <w:szCs w:val="20"/>
          <w:highlight w:val="none"/>
        </w:rPr>
        <w:t>投标人名称（盖章）</w:t>
      </w:r>
      <w:r>
        <w:rPr>
          <w:rFonts w:hint="eastAsia" w:ascii="宋体" w:hAnsi="宋体" w:cs="宋体"/>
          <w:color w:val="auto"/>
          <w:sz w:val="24"/>
          <w:szCs w:val="24"/>
          <w:highlight w:val="none"/>
        </w:rPr>
        <w:t>：</w:t>
      </w:r>
    </w:p>
    <w:p w14:paraId="1401AFF3">
      <w:pPr>
        <w:snapToGrid w:val="0"/>
        <w:spacing w:line="360" w:lineRule="auto"/>
        <w:ind w:left="0" w:leftChars="0" w:firstLine="3998" w:firstLineChars="1666"/>
        <w:jc w:val="left"/>
        <w:rPr>
          <w:rFonts w:ascii="宋体" w:hAnsi="宋体" w:cs="宋体"/>
          <w:color w:val="auto"/>
          <w:sz w:val="24"/>
          <w:szCs w:val="20"/>
          <w:highlight w:val="none"/>
        </w:rPr>
      </w:pPr>
      <w:r>
        <w:rPr>
          <w:rFonts w:hint="eastAsia" w:ascii="宋体" w:hAnsi="宋体" w:cs="宋体"/>
          <w:color w:val="auto"/>
          <w:sz w:val="24"/>
          <w:szCs w:val="24"/>
          <w:highlight w:val="none"/>
        </w:rPr>
        <w:t>项目负责人签名：</w:t>
      </w:r>
    </w:p>
    <w:p w14:paraId="6DC2745E">
      <w:pPr>
        <w:ind w:left="0" w:leftChars="0" w:firstLine="3998" w:firstLineChars="1666"/>
        <w:rPr>
          <w:rFonts w:hint="eastAsia"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     年   月   日</w:t>
      </w:r>
    </w:p>
    <w:p w14:paraId="2AD381E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B4008BE">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lang w:val="en-US" w:eastAsia="zh-CN"/>
        </w:rPr>
        <w:t>五</w:t>
      </w:r>
    </w:p>
    <w:p w14:paraId="56197948">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2684449D">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2A6161AE">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致：广州智达新能源有限公司：</w:t>
      </w:r>
    </w:p>
    <w:p w14:paraId="77048D51">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7B1D9393">
      <w:pPr>
        <w:widowControl/>
        <w:numPr>
          <w:ilvl w:val="0"/>
          <w:numId w:val="0"/>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lang w:val="en-US" w:eastAsia="zh-CN" w:bidi="ar-SA"/>
        </w:rPr>
        <w:t>一、</w:t>
      </w: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拟在本项目担任专职安全员一职。</w:t>
      </w:r>
    </w:p>
    <w:p w14:paraId="2248AF5F">
      <w:pPr>
        <w:widowControl/>
        <w:numPr>
          <w:ilvl w:val="0"/>
          <w:numId w:val="0"/>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eastAsia="宋体" w:cs="宋体"/>
          <w:snapToGrid w:val="0"/>
          <w:color w:val="auto"/>
          <w:spacing w:val="-4"/>
          <w:kern w:val="0"/>
          <w:sz w:val="24"/>
          <w:szCs w:val="21"/>
          <w:lang w:val="en-US" w:eastAsia="zh-CN" w:bidi="ar-SA"/>
        </w:rPr>
        <w:t>二、</w:t>
      </w: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14:paraId="556C1494">
      <w:pPr>
        <w:widowControl/>
        <w:topLinePunct/>
        <w:adjustRightInd w:val="0"/>
        <w:snapToGrid w:val="0"/>
        <w:spacing w:line="360" w:lineRule="auto"/>
        <w:ind w:firstLine="3472" w:firstLineChars="1400"/>
        <w:jc w:val="left"/>
        <w:rPr>
          <w:rFonts w:ascii="宋体" w:hAnsi="宋体" w:cs="宋体"/>
          <w:snapToGrid w:val="0"/>
          <w:color w:val="auto"/>
          <w:spacing w:val="4"/>
          <w:kern w:val="0"/>
          <w:sz w:val="24"/>
          <w:szCs w:val="24"/>
          <w:highlight w:val="none"/>
        </w:rPr>
      </w:pPr>
    </w:p>
    <w:p w14:paraId="7EA41D69">
      <w:pPr>
        <w:spacing w:after="120"/>
        <w:rPr>
          <w:color w:val="auto"/>
          <w:kern w:val="0"/>
          <w:sz w:val="20"/>
          <w:szCs w:val="20"/>
          <w:highlight w:val="none"/>
        </w:rPr>
      </w:pPr>
    </w:p>
    <w:p w14:paraId="3A87CE5D">
      <w:pPr>
        <w:spacing w:after="120"/>
        <w:rPr>
          <w:color w:val="auto"/>
          <w:kern w:val="0"/>
          <w:sz w:val="20"/>
          <w:szCs w:val="20"/>
          <w:highlight w:val="none"/>
        </w:rPr>
      </w:pPr>
    </w:p>
    <w:p w14:paraId="2EB60DB5">
      <w:pPr>
        <w:spacing w:after="120"/>
        <w:rPr>
          <w:color w:val="auto"/>
          <w:kern w:val="0"/>
          <w:sz w:val="20"/>
          <w:szCs w:val="20"/>
          <w:highlight w:val="none"/>
        </w:rPr>
      </w:pPr>
    </w:p>
    <w:p w14:paraId="291FB4FE">
      <w:pPr>
        <w:spacing w:after="120"/>
        <w:rPr>
          <w:color w:val="auto"/>
          <w:kern w:val="0"/>
          <w:sz w:val="20"/>
          <w:szCs w:val="20"/>
          <w:highlight w:val="none"/>
        </w:rPr>
      </w:pPr>
    </w:p>
    <w:p w14:paraId="367187AB">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14:paraId="0C876B76">
      <w:pPr>
        <w:topLinePunct/>
        <w:adjustRightInd w:val="0"/>
        <w:snapToGrid w:val="0"/>
        <w:spacing w:line="360" w:lineRule="auto"/>
        <w:ind w:right="1046" w:rightChars="498"/>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4DCCBFEC">
      <w:pPr>
        <w:shd w:val="clear" w:color="auto" w:fill="auto"/>
        <w:topLinePunct/>
        <w:adjustRightInd w:val="0"/>
        <w:spacing w:line="360" w:lineRule="auto"/>
        <w:jc w:val="right"/>
        <w:rPr>
          <w:rFonts w:hint="eastAsia" w:hAnsi="宋体" w:eastAsia="宋体" w:cs="宋体"/>
          <w:color w:val="auto"/>
          <w:sz w:val="21"/>
          <w:szCs w:val="21"/>
          <w:highlight w:val="none"/>
          <w:u w:val="none"/>
          <w:lang w:val="en-US" w:eastAsia="zh-CN"/>
        </w:rPr>
      </w:pPr>
    </w:p>
    <w:p w14:paraId="436A5A01">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ascii="宋体" w:hAnsi="宋体" w:eastAsia="宋体" w:cs="宋体"/>
          <w:b/>
          <w:color w:val="auto"/>
          <w:sz w:val="36"/>
          <w:szCs w:val="36"/>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格式六</w:t>
      </w:r>
    </w:p>
    <w:p w14:paraId="0693D86A">
      <w:pPr>
        <w:topLinePunct/>
        <w:adjustRightInd w:val="0"/>
        <w:snapToGrid w:val="0"/>
        <w:spacing w:line="360" w:lineRule="auto"/>
        <w:jc w:val="center"/>
        <w:rPr>
          <w:rFonts w:ascii="宋体" w:hAnsi="宋体" w:cs="宋体"/>
          <w:bCs/>
          <w:color w:val="auto"/>
          <w:spacing w:val="4"/>
          <w:kern w:val="0"/>
          <w:sz w:val="24"/>
          <w:szCs w:val="24"/>
          <w:highlight w:val="none"/>
        </w:rPr>
      </w:pPr>
    </w:p>
    <w:p w14:paraId="23BFDBC1">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3"/>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337F94D3">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731BE7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vAlign w:val="center"/>
          </w:tcPr>
          <w:p w14:paraId="61A9C42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vAlign w:val="center"/>
          </w:tcPr>
          <w:p w14:paraId="714D014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vAlign w:val="center"/>
          </w:tcPr>
          <w:p w14:paraId="197F3AF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vAlign w:val="center"/>
          </w:tcPr>
          <w:p w14:paraId="07782E0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0FDD29A">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59135F49">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31000266">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75900D27">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45DDF54">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733094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9CD627B">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76905E6B">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4B6F5D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4BE845BF">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49D2DB71">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19510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4ED64AC">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6B3E552C">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1517DF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0EE9FD0F">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E7E78B2">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71321E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7FC8BD7">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2C935C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36DCBA21">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09BADD86">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9B815DF">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ED6A792">
            <w:pPr>
              <w:widowControl/>
              <w:jc w:val="center"/>
              <w:rPr>
                <w:rFonts w:ascii="宋体" w:hAnsi="宋体" w:cs="宋体"/>
                <w:color w:val="auto"/>
                <w:kern w:val="0"/>
                <w:szCs w:val="21"/>
                <w:highlight w:val="none"/>
              </w:rPr>
            </w:pPr>
          </w:p>
        </w:tc>
      </w:tr>
      <w:tr w14:paraId="15AC557A">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703A9F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1332D8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6C6B4716">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814A9FC">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7F8BF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CE037EC">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vAlign w:val="center"/>
          </w:tcPr>
          <w:p w14:paraId="3AE3741D">
            <w:pPr>
              <w:widowControl/>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50EDEF24">
            <w:pPr>
              <w:widowControl/>
              <w:spacing w:line="380" w:lineRule="exact"/>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28AD4B5">
            <w:pPr>
              <w:widowControl/>
              <w:spacing w:line="380" w:lineRule="exac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98CD20F">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14:paraId="4299B215">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14:paraId="0706F94C">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2.上述人员须为投标单位人员，并须提供</w:t>
      </w:r>
      <w:r>
        <w:rPr>
          <w:rFonts w:ascii="宋体" w:hAnsi="宋体" w:cs="宋体"/>
          <w:b/>
          <w:color w:val="auto"/>
          <w:spacing w:val="4"/>
          <w:kern w:val="0"/>
          <w:sz w:val="22"/>
          <w:highlight w:val="none"/>
        </w:rPr>
        <w:t>2025年</w:t>
      </w:r>
      <w:r>
        <w:rPr>
          <w:rFonts w:hint="eastAsia" w:ascii="宋体" w:hAnsi="宋体" w:cs="宋体"/>
          <w:b/>
          <w:color w:val="auto"/>
          <w:spacing w:val="4"/>
          <w:kern w:val="0"/>
          <w:sz w:val="22"/>
          <w:highlight w:val="none"/>
          <w:lang w:val="en-US" w:eastAsia="zh-CN"/>
        </w:rPr>
        <w:t>9</w:t>
      </w:r>
      <w:r>
        <w:rPr>
          <w:rFonts w:hint="eastAsia" w:ascii="宋体" w:hAnsi="宋体" w:cs="宋体"/>
          <w:b/>
          <w:color w:val="auto"/>
          <w:spacing w:val="4"/>
          <w:kern w:val="0"/>
          <w:sz w:val="22"/>
          <w:highlight w:val="none"/>
          <w:lang w:eastAsia="zh-CN"/>
        </w:rPr>
        <w:t>月或</w:t>
      </w:r>
      <w:r>
        <w:rPr>
          <w:rFonts w:hint="eastAsia" w:ascii="宋体" w:hAnsi="宋体" w:cs="宋体"/>
          <w:b/>
          <w:color w:val="auto"/>
          <w:spacing w:val="4"/>
          <w:kern w:val="0"/>
          <w:sz w:val="22"/>
          <w:highlight w:val="none"/>
          <w:lang w:val="en-US" w:eastAsia="zh-CN"/>
        </w:rPr>
        <w:t>10</w:t>
      </w:r>
      <w:r>
        <w:rPr>
          <w:rFonts w:hint="eastAsia" w:ascii="宋体" w:hAnsi="宋体" w:cs="宋体"/>
          <w:b/>
          <w:color w:val="auto"/>
          <w:spacing w:val="4"/>
          <w:kern w:val="0"/>
          <w:sz w:val="22"/>
          <w:highlight w:val="none"/>
          <w:lang w:eastAsia="zh-CN"/>
        </w:rPr>
        <w:t>月</w:t>
      </w:r>
      <w:r>
        <w:rPr>
          <w:rFonts w:hint="eastAsia" w:ascii="宋体" w:hAnsi="宋体" w:cs="宋体"/>
          <w:color w:val="auto"/>
          <w:spacing w:val="4"/>
          <w:kern w:val="0"/>
          <w:sz w:val="22"/>
          <w:highlight w:val="none"/>
        </w:rPr>
        <w:t>在本公司缴纳社保的有效社保证明。</w:t>
      </w:r>
    </w:p>
    <w:p w14:paraId="38EC70DE">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3.上述人员须按招标公告相应要求提供相关证明资料。</w:t>
      </w:r>
    </w:p>
    <w:p w14:paraId="20A88C32">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4.本表中填报的所有人员均需接《主要人员简历表》格式要求提交《主要人员简历表》。</w:t>
      </w:r>
    </w:p>
    <w:p w14:paraId="088504C2">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14:paraId="6957018F">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71A13593">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     年   月   日</w:t>
      </w:r>
    </w:p>
    <w:p w14:paraId="09195CE2">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0BFED23">
      <w:pPr>
        <w:pStyle w:val="18"/>
        <w:snapToGrid w:val="0"/>
        <w:spacing w:line="360" w:lineRule="auto"/>
        <w:rPr>
          <w:rFonts w:hAnsi="宋体" w:cs="宋体"/>
          <w:color w:val="auto"/>
          <w:sz w:val="24"/>
          <w:szCs w:val="24"/>
          <w:highlight w:val="none"/>
        </w:rPr>
      </w:pPr>
      <w:r>
        <w:rPr>
          <w:rFonts w:hint="eastAsia" w:hAnsi="宋体" w:cs="宋体"/>
          <w:color w:val="auto"/>
          <w:sz w:val="24"/>
          <w:szCs w:val="24"/>
          <w:highlight w:val="none"/>
        </w:rPr>
        <w:t>技术标</w:t>
      </w:r>
      <w:r>
        <w:rPr>
          <w:rFonts w:hint="eastAsia" w:hAnsi="宋体" w:cs="宋体"/>
          <w:bCs/>
          <w:color w:val="auto"/>
          <w:sz w:val="24"/>
          <w:szCs w:val="24"/>
          <w:highlight w:val="none"/>
        </w:rPr>
        <w:t>格式七</w:t>
      </w:r>
    </w:p>
    <w:p w14:paraId="4BE72EFC">
      <w:pPr>
        <w:topLinePunct/>
        <w:adjustRightInd w:val="0"/>
        <w:snapToGrid w:val="0"/>
        <w:spacing w:line="360" w:lineRule="auto"/>
        <w:jc w:val="center"/>
        <w:rPr>
          <w:rFonts w:ascii="宋体" w:hAnsi="宋体" w:cs="宋体"/>
          <w:bCs/>
          <w:color w:val="auto"/>
          <w:spacing w:val="4"/>
          <w:kern w:val="0"/>
          <w:sz w:val="24"/>
          <w:szCs w:val="24"/>
          <w:highlight w:val="none"/>
        </w:rPr>
      </w:pPr>
    </w:p>
    <w:p w14:paraId="5B7FC9A7">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5BC017E1">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33"/>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03"/>
        <w:gridCol w:w="1359"/>
        <w:gridCol w:w="932"/>
        <w:gridCol w:w="521"/>
        <w:gridCol w:w="197"/>
        <w:gridCol w:w="1389"/>
        <w:gridCol w:w="1013"/>
        <w:gridCol w:w="1297"/>
        <w:gridCol w:w="1399"/>
      </w:tblGrid>
      <w:tr w14:paraId="0F83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7407BA5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37" w:type="pct"/>
            <w:tcBorders>
              <w:tl2br w:val="nil"/>
              <w:tr2bl w:val="nil"/>
            </w:tcBorders>
            <w:noWrap/>
            <w:vAlign w:val="center"/>
          </w:tcPr>
          <w:p w14:paraId="1FFA2C5B">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0901F5B1">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144" w:type="pct"/>
            <w:gridSpan w:val="3"/>
            <w:tcBorders>
              <w:tl2br w:val="nil"/>
              <w:tr2bl w:val="nil"/>
            </w:tcBorders>
            <w:noWrap/>
            <w:vAlign w:val="center"/>
          </w:tcPr>
          <w:p w14:paraId="25A3E554">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7A0330D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7" w:type="pct"/>
            <w:tcBorders>
              <w:tl2br w:val="nil"/>
              <w:tr2bl w:val="nil"/>
            </w:tcBorders>
            <w:noWrap/>
            <w:vAlign w:val="center"/>
          </w:tcPr>
          <w:p w14:paraId="5F8D9FB8">
            <w:pPr>
              <w:snapToGrid w:val="0"/>
              <w:spacing w:line="360" w:lineRule="auto"/>
              <w:jc w:val="left"/>
              <w:rPr>
                <w:rFonts w:ascii="宋体" w:hAnsi="宋体" w:cs="宋体"/>
                <w:color w:val="auto"/>
                <w:sz w:val="24"/>
                <w:szCs w:val="24"/>
                <w:highlight w:val="none"/>
              </w:rPr>
            </w:pPr>
          </w:p>
        </w:tc>
      </w:tr>
      <w:tr w14:paraId="01623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1084DED">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737" w:type="pct"/>
            <w:tcBorders>
              <w:tl2br w:val="nil"/>
              <w:tr2bl w:val="nil"/>
            </w:tcBorders>
            <w:noWrap/>
            <w:vAlign w:val="center"/>
          </w:tcPr>
          <w:p w14:paraId="127B2B80">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37958AA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144" w:type="pct"/>
            <w:gridSpan w:val="3"/>
            <w:tcBorders>
              <w:tl2br w:val="nil"/>
              <w:tr2bl w:val="nil"/>
            </w:tcBorders>
            <w:noWrap/>
            <w:vAlign w:val="center"/>
          </w:tcPr>
          <w:p w14:paraId="3F3ECDDB">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4829F48F">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757" w:type="pct"/>
            <w:tcBorders>
              <w:tl2br w:val="nil"/>
              <w:tr2bl w:val="nil"/>
            </w:tcBorders>
            <w:noWrap/>
            <w:vAlign w:val="center"/>
          </w:tcPr>
          <w:p w14:paraId="61CF6E79">
            <w:pPr>
              <w:snapToGrid w:val="0"/>
              <w:spacing w:line="360" w:lineRule="auto"/>
              <w:jc w:val="left"/>
              <w:rPr>
                <w:rFonts w:ascii="宋体" w:hAnsi="宋体" w:cs="宋体"/>
                <w:color w:val="auto"/>
                <w:sz w:val="24"/>
                <w:szCs w:val="24"/>
                <w:highlight w:val="none"/>
              </w:rPr>
            </w:pPr>
          </w:p>
        </w:tc>
      </w:tr>
      <w:tr w14:paraId="1C73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02F64D3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96" w:type="pct"/>
            <w:gridSpan w:val="3"/>
            <w:tcBorders>
              <w:tl2br w:val="nil"/>
              <w:tr2bl w:val="nil"/>
            </w:tcBorders>
            <w:noWrap/>
            <w:vAlign w:val="center"/>
          </w:tcPr>
          <w:p w14:paraId="15F0B7CD">
            <w:pPr>
              <w:snapToGrid w:val="0"/>
              <w:spacing w:line="360" w:lineRule="auto"/>
              <w:jc w:val="left"/>
              <w:rPr>
                <w:rFonts w:ascii="宋体" w:hAnsi="宋体" w:cs="宋体"/>
                <w:color w:val="auto"/>
                <w:sz w:val="24"/>
                <w:szCs w:val="24"/>
                <w:highlight w:val="none"/>
              </w:rPr>
            </w:pPr>
          </w:p>
        </w:tc>
        <w:tc>
          <w:tcPr>
            <w:tcW w:w="1304" w:type="pct"/>
            <w:gridSpan w:val="2"/>
            <w:tcBorders>
              <w:tl2br w:val="nil"/>
              <w:tr2bl w:val="nil"/>
            </w:tcBorders>
            <w:noWrap/>
            <w:vAlign w:val="center"/>
          </w:tcPr>
          <w:p w14:paraId="2E78D8E2">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462" w:type="pct"/>
            <w:gridSpan w:val="2"/>
            <w:tcBorders>
              <w:tl2br w:val="nil"/>
              <w:tr2bl w:val="nil"/>
            </w:tcBorders>
            <w:noWrap/>
            <w:vAlign w:val="center"/>
          </w:tcPr>
          <w:p w14:paraId="3D3EFD95">
            <w:pPr>
              <w:snapToGrid w:val="0"/>
              <w:spacing w:line="360" w:lineRule="auto"/>
              <w:jc w:val="left"/>
              <w:rPr>
                <w:rFonts w:ascii="宋体" w:hAnsi="宋体" w:cs="宋体"/>
                <w:color w:val="auto"/>
                <w:sz w:val="24"/>
                <w:szCs w:val="24"/>
                <w:highlight w:val="none"/>
              </w:rPr>
            </w:pPr>
          </w:p>
        </w:tc>
      </w:tr>
      <w:tr w14:paraId="146C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55963401">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662" w:type="pct"/>
            <w:gridSpan w:val="7"/>
            <w:tcBorders>
              <w:tl2br w:val="nil"/>
              <w:tr2bl w:val="nil"/>
            </w:tcBorders>
            <w:noWrap/>
            <w:vAlign w:val="center"/>
          </w:tcPr>
          <w:p w14:paraId="391D20C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年月毕业于学校系，学制年</w:t>
            </w:r>
          </w:p>
        </w:tc>
      </w:tr>
      <w:tr w14:paraId="5E25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4888204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662" w:type="pct"/>
            <w:gridSpan w:val="7"/>
            <w:tcBorders>
              <w:tl2br w:val="nil"/>
              <w:tr2bl w:val="nil"/>
            </w:tcBorders>
            <w:noWrap/>
            <w:vAlign w:val="center"/>
          </w:tcPr>
          <w:p w14:paraId="37B1BCDD">
            <w:pPr>
              <w:snapToGrid w:val="0"/>
              <w:spacing w:line="360" w:lineRule="auto"/>
              <w:jc w:val="left"/>
              <w:rPr>
                <w:rFonts w:ascii="宋体" w:hAnsi="宋体" w:cs="宋体"/>
                <w:color w:val="auto"/>
                <w:sz w:val="24"/>
                <w:szCs w:val="24"/>
                <w:highlight w:val="none"/>
              </w:rPr>
            </w:pPr>
          </w:p>
        </w:tc>
      </w:tr>
      <w:tr w14:paraId="079E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24F60ADD">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业绩简介</w:t>
            </w:r>
          </w:p>
        </w:tc>
      </w:tr>
      <w:tr w14:paraId="09DD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BB62F36">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737" w:type="pct"/>
            <w:tcBorders>
              <w:tl2br w:val="nil"/>
              <w:tr2bl w:val="nil"/>
            </w:tcBorders>
            <w:noWrap/>
            <w:vAlign w:val="center"/>
          </w:tcPr>
          <w:p w14:paraId="3F0E3009">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9" w:type="pct"/>
            <w:gridSpan w:val="2"/>
            <w:tcBorders>
              <w:tl2br w:val="nil"/>
              <w:tr2bl w:val="nil"/>
            </w:tcBorders>
            <w:noWrap/>
            <w:vAlign w:val="center"/>
          </w:tcPr>
          <w:p w14:paraId="50588A60">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61" w:type="pct"/>
            <w:gridSpan w:val="2"/>
            <w:tcBorders>
              <w:tl2br w:val="nil"/>
              <w:tr2bl w:val="nil"/>
            </w:tcBorders>
            <w:noWrap/>
            <w:vAlign w:val="center"/>
          </w:tcPr>
          <w:p w14:paraId="7B6396D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254" w:type="pct"/>
            <w:gridSpan w:val="2"/>
            <w:tcBorders>
              <w:tl2br w:val="nil"/>
              <w:tr2bl w:val="nil"/>
            </w:tcBorders>
            <w:noWrap/>
            <w:vAlign w:val="center"/>
          </w:tcPr>
          <w:p w14:paraId="4CFA38C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757" w:type="pct"/>
            <w:tcBorders>
              <w:tl2br w:val="nil"/>
              <w:tr2bl w:val="nil"/>
            </w:tcBorders>
            <w:noWrap/>
            <w:vAlign w:val="center"/>
          </w:tcPr>
          <w:p w14:paraId="09F53A1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0D9F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30B41948">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3BE3CEF8">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21528D71">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5155E200">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19C9E52B">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7DA9733C">
            <w:pPr>
              <w:snapToGrid w:val="0"/>
              <w:spacing w:line="360" w:lineRule="auto"/>
              <w:jc w:val="left"/>
              <w:rPr>
                <w:rFonts w:ascii="宋体" w:hAnsi="宋体" w:cs="宋体"/>
                <w:color w:val="auto"/>
                <w:sz w:val="24"/>
                <w:szCs w:val="24"/>
                <w:highlight w:val="none"/>
              </w:rPr>
            </w:pPr>
          </w:p>
        </w:tc>
      </w:tr>
      <w:tr w14:paraId="7E6F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71CBB14">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3DE3B260">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4D72FFA0">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3C4F9EB">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1D21706F">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1B58EF1E">
            <w:pPr>
              <w:snapToGrid w:val="0"/>
              <w:spacing w:line="360" w:lineRule="auto"/>
              <w:jc w:val="left"/>
              <w:rPr>
                <w:rFonts w:ascii="宋体" w:hAnsi="宋体" w:cs="宋体"/>
                <w:color w:val="auto"/>
                <w:sz w:val="24"/>
                <w:szCs w:val="24"/>
                <w:highlight w:val="none"/>
              </w:rPr>
            </w:pPr>
          </w:p>
        </w:tc>
      </w:tr>
      <w:tr w14:paraId="0048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5CD2624">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16D27B3A">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56997C05">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49D8975">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48684864">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3F6934F7">
            <w:pPr>
              <w:snapToGrid w:val="0"/>
              <w:spacing w:line="360" w:lineRule="auto"/>
              <w:jc w:val="left"/>
              <w:rPr>
                <w:rFonts w:ascii="宋体" w:hAnsi="宋体" w:cs="宋体"/>
                <w:color w:val="auto"/>
                <w:sz w:val="24"/>
                <w:szCs w:val="24"/>
                <w:highlight w:val="none"/>
              </w:rPr>
            </w:pPr>
          </w:p>
        </w:tc>
      </w:tr>
    </w:tbl>
    <w:p w14:paraId="0EC0D8B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CCD9C48">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2E9198A1">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     年   月   日</w:t>
      </w:r>
    </w:p>
    <w:p w14:paraId="0F3684BA">
      <w:pPr>
        <w:snapToGrid w:val="0"/>
        <w:spacing w:line="360" w:lineRule="auto"/>
        <w:rPr>
          <w:rFonts w:ascii="宋体" w:hAnsi="宋体" w:cs="宋体"/>
          <w:color w:val="auto"/>
          <w:highlight w:val="none"/>
        </w:rPr>
      </w:pPr>
    </w:p>
    <w:p w14:paraId="4088B811">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p>
    <w:p w14:paraId="31D03C28">
      <w:pPr>
        <w:snapToGrid w:val="0"/>
        <w:spacing w:line="360" w:lineRule="auto"/>
        <w:ind w:firstLine="3000" w:firstLineChars="1250"/>
        <w:rPr>
          <w:rFonts w:ascii="宋体" w:hAnsi="宋体" w:cs="宋体"/>
          <w:color w:val="auto"/>
          <w:sz w:val="24"/>
          <w:highlight w:val="none"/>
        </w:rPr>
      </w:pPr>
    </w:p>
    <w:p w14:paraId="0AE47614">
      <w:pPr>
        <w:pStyle w:val="47"/>
        <w:ind w:firstLine="0" w:firstLineChars="0"/>
        <w:rPr>
          <w:rFonts w:hint="eastAsia" w:eastAsia="宋体" w:cs="宋体"/>
          <w:color w:val="auto"/>
          <w:highlight w:val="none"/>
          <w:lang w:val="en-US" w:eastAsia="zh-CN"/>
        </w:rPr>
      </w:pPr>
      <w:r>
        <w:rPr>
          <w:rFonts w:hint="eastAsia" w:cs="宋体"/>
          <w:color w:val="auto"/>
          <w:highlight w:val="none"/>
        </w:rPr>
        <w:t>技术标</w:t>
      </w:r>
      <w:r>
        <w:rPr>
          <w:rFonts w:hint="eastAsia" w:cs="宋体"/>
          <w:bCs/>
          <w:color w:val="auto"/>
          <w:kern w:val="0"/>
          <w:highlight w:val="none"/>
        </w:rPr>
        <w:t>格式</w:t>
      </w:r>
      <w:r>
        <w:rPr>
          <w:rFonts w:hint="eastAsia" w:cs="宋体"/>
          <w:bCs/>
          <w:color w:val="auto"/>
          <w:kern w:val="0"/>
          <w:highlight w:val="none"/>
          <w:lang w:val="en-US" w:eastAsia="zh-CN"/>
        </w:rPr>
        <w:t>八</w:t>
      </w:r>
    </w:p>
    <w:p w14:paraId="3EFA1364">
      <w:pPr>
        <w:snapToGrid w:val="0"/>
        <w:spacing w:line="360" w:lineRule="auto"/>
        <w:jc w:val="center"/>
        <w:rPr>
          <w:rFonts w:ascii="宋体" w:hAnsi="宋体" w:cs="宋体"/>
          <w:bCs/>
          <w:color w:val="auto"/>
          <w:sz w:val="36"/>
          <w:szCs w:val="36"/>
          <w:highlight w:val="none"/>
        </w:rPr>
      </w:pPr>
    </w:p>
    <w:p w14:paraId="5B228B0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09464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D02FBFC">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0DB7682E">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46E64DEF">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55CBE484">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来源(自有/租赁)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18B9AD85">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14:paraId="6099C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EAF2A89">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0E0A1F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AA38BB8">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088A245">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6FDB1653">
            <w:pPr>
              <w:snapToGrid w:val="0"/>
              <w:spacing w:line="360" w:lineRule="auto"/>
              <w:jc w:val="center"/>
              <w:textAlignment w:val="center"/>
              <w:rPr>
                <w:rFonts w:ascii="宋体" w:hAnsi="宋体" w:cs="宋体"/>
                <w:color w:val="auto"/>
                <w:szCs w:val="21"/>
                <w:highlight w:val="none"/>
              </w:rPr>
            </w:pPr>
          </w:p>
        </w:tc>
      </w:tr>
      <w:tr w14:paraId="70B3F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C7C3656">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5745761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6789450C">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EA88119">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1223A2B1">
            <w:pPr>
              <w:snapToGrid w:val="0"/>
              <w:spacing w:line="360" w:lineRule="auto"/>
              <w:jc w:val="center"/>
              <w:textAlignment w:val="center"/>
              <w:rPr>
                <w:rFonts w:ascii="宋体" w:hAnsi="宋体" w:cs="宋体"/>
                <w:color w:val="auto"/>
                <w:szCs w:val="21"/>
                <w:highlight w:val="none"/>
              </w:rPr>
            </w:pPr>
          </w:p>
        </w:tc>
      </w:tr>
      <w:tr w14:paraId="0EB88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B17816D">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54593CE2">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8F55C95">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B82DF4D">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233820F">
            <w:pPr>
              <w:snapToGrid w:val="0"/>
              <w:spacing w:line="360" w:lineRule="auto"/>
              <w:jc w:val="center"/>
              <w:textAlignment w:val="center"/>
              <w:rPr>
                <w:rFonts w:ascii="宋体" w:hAnsi="宋体" w:cs="宋体"/>
                <w:color w:val="auto"/>
                <w:szCs w:val="21"/>
                <w:highlight w:val="none"/>
              </w:rPr>
            </w:pPr>
          </w:p>
        </w:tc>
      </w:tr>
      <w:tr w14:paraId="71570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D2F5DBE">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3D1A0292">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B1DB97E">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72174FE">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93BECE0">
            <w:pPr>
              <w:snapToGrid w:val="0"/>
              <w:spacing w:line="360" w:lineRule="auto"/>
              <w:jc w:val="center"/>
              <w:textAlignment w:val="center"/>
              <w:rPr>
                <w:rFonts w:ascii="宋体" w:hAnsi="宋体" w:cs="宋体"/>
                <w:color w:val="auto"/>
                <w:szCs w:val="21"/>
                <w:highlight w:val="none"/>
              </w:rPr>
            </w:pPr>
          </w:p>
        </w:tc>
      </w:tr>
      <w:tr w14:paraId="2BC7E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2D02113">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03AB33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1FA90702">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05D2A7E">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5AEFCD96">
            <w:pPr>
              <w:snapToGrid w:val="0"/>
              <w:spacing w:line="360" w:lineRule="auto"/>
              <w:jc w:val="center"/>
              <w:textAlignment w:val="center"/>
              <w:rPr>
                <w:rFonts w:ascii="宋体" w:hAnsi="宋体" w:cs="宋体"/>
                <w:color w:val="auto"/>
                <w:szCs w:val="21"/>
                <w:highlight w:val="none"/>
              </w:rPr>
            </w:pPr>
          </w:p>
        </w:tc>
      </w:tr>
    </w:tbl>
    <w:p w14:paraId="62A5C381">
      <w:pPr>
        <w:numPr>
          <w:ilvl w:val="255"/>
          <w:numId w:val="0"/>
        </w:numPr>
        <w:tabs>
          <w:tab w:val="left" w:pos="720"/>
        </w:tabs>
        <w:snapToGrid w:val="0"/>
        <w:spacing w:line="360" w:lineRule="auto"/>
        <w:rPr>
          <w:rFonts w:ascii="宋体" w:hAnsi="宋体" w:cs="宋体"/>
          <w:color w:val="auto"/>
          <w:highlight w:val="none"/>
        </w:rPr>
      </w:pPr>
      <w:r>
        <w:rPr>
          <w:rFonts w:hint="eastAsia" w:ascii="宋体" w:hAnsi="宋体" w:cs="宋体"/>
          <w:color w:val="auto"/>
          <w:highlight w:val="none"/>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cs="宋体"/>
          <w:color w:val="auto"/>
          <w:sz w:val="24"/>
          <w:szCs w:val="24"/>
          <w:highlight w:val="none"/>
        </w:rPr>
        <w:t>。</w:t>
      </w:r>
    </w:p>
    <w:p w14:paraId="2B559240">
      <w:pPr>
        <w:snapToGrid w:val="0"/>
        <w:spacing w:line="360" w:lineRule="auto"/>
        <w:ind w:right="-130" w:rightChars="-62"/>
        <w:rPr>
          <w:rFonts w:ascii="宋体" w:hAnsi="宋体" w:cs="宋体"/>
          <w:color w:val="auto"/>
          <w:highlight w:val="none"/>
        </w:rPr>
      </w:pPr>
    </w:p>
    <w:p w14:paraId="4DF60F78">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p>
    <w:p w14:paraId="23EE2CE5">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投标人（盖章）：</w:t>
      </w:r>
    </w:p>
    <w:p w14:paraId="60D44EB5">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     年   月   日</w:t>
      </w:r>
    </w:p>
    <w:p w14:paraId="1BB66D26">
      <w:pPr>
        <w:snapToGrid w:val="0"/>
        <w:spacing w:line="360" w:lineRule="auto"/>
        <w:ind w:right="-130" w:rightChars="-62"/>
        <w:rPr>
          <w:rFonts w:ascii="宋体" w:hAnsi="宋体" w:cs="宋体"/>
          <w:color w:val="auto"/>
          <w:highlight w:val="none"/>
        </w:rPr>
      </w:pPr>
    </w:p>
    <w:p w14:paraId="5CC4A474">
      <w:pPr>
        <w:snapToGrid w:val="0"/>
        <w:spacing w:line="360" w:lineRule="auto"/>
        <w:ind w:right="-130" w:rightChars="-62"/>
        <w:rPr>
          <w:rFonts w:ascii="宋体" w:hAnsi="宋体" w:cs="宋体"/>
          <w:color w:val="auto"/>
          <w:highlight w:val="none"/>
        </w:rPr>
      </w:pPr>
    </w:p>
    <w:p w14:paraId="4CA23342">
      <w:pPr>
        <w:rPr>
          <w:rFonts w:ascii="宋体" w:hAnsi="宋体" w:cs="宋体"/>
          <w:bCs/>
          <w:color w:val="auto"/>
          <w:kern w:val="0"/>
          <w:highlight w:val="none"/>
        </w:rPr>
      </w:pPr>
      <w:bookmarkStart w:id="64" w:name="_Toc22483"/>
      <w:r>
        <w:rPr>
          <w:rFonts w:hint="eastAsia" w:ascii="宋体" w:hAnsi="宋体" w:cs="宋体"/>
          <w:bCs/>
          <w:color w:val="auto"/>
          <w:kern w:val="0"/>
          <w:highlight w:val="none"/>
        </w:rPr>
        <w:br w:type="page"/>
      </w:r>
    </w:p>
    <w:p w14:paraId="229EC125">
      <w:pPr>
        <w:pStyle w:val="47"/>
        <w:ind w:firstLine="0" w:firstLineChars="0"/>
        <w:rPr>
          <w:rFonts w:hint="eastAsia" w:eastAsia="宋体" w:cs="宋体"/>
          <w:bCs/>
          <w:color w:val="auto"/>
          <w:kern w:val="0"/>
          <w:highlight w:val="none"/>
          <w:lang w:val="en-US" w:eastAsia="zh-CN"/>
        </w:rPr>
      </w:pPr>
      <w:r>
        <w:rPr>
          <w:rFonts w:hint="eastAsia" w:cs="宋体"/>
          <w:bCs/>
          <w:color w:val="auto"/>
          <w:kern w:val="0"/>
          <w:highlight w:val="none"/>
        </w:rPr>
        <w:t>技术标格式</w:t>
      </w:r>
      <w:r>
        <w:rPr>
          <w:rFonts w:hint="eastAsia" w:cs="宋体"/>
          <w:bCs/>
          <w:color w:val="auto"/>
          <w:kern w:val="0"/>
          <w:highlight w:val="none"/>
          <w:lang w:val="en-US" w:eastAsia="zh-CN"/>
        </w:rPr>
        <w:t>九</w:t>
      </w:r>
    </w:p>
    <w:p w14:paraId="1CF42CE0">
      <w:pPr>
        <w:jc w:val="center"/>
        <w:rPr>
          <w:rFonts w:ascii="宋体" w:hAnsi="宋体" w:cs="宋体"/>
          <w:bCs/>
          <w:color w:val="auto"/>
          <w:spacing w:val="4"/>
          <w:kern w:val="0"/>
          <w:sz w:val="24"/>
          <w:szCs w:val="24"/>
          <w:highlight w:val="none"/>
        </w:rPr>
      </w:pPr>
    </w:p>
    <w:p w14:paraId="76D8295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bookmarkEnd w:id="64"/>
    </w:p>
    <w:p w14:paraId="3D137B7F">
      <w:pPr>
        <w:widowControl/>
        <w:numPr>
          <w:ilvl w:val="0"/>
          <w:numId w:val="3"/>
        </w:numPr>
        <w:autoSpaceDE w:val="0"/>
        <w:autoSpaceDN w:val="0"/>
        <w:adjustRightInd w:val="0"/>
        <w:snapToGrid w:val="0"/>
        <w:spacing w:line="360" w:lineRule="auto"/>
        <w:jc w:val="left"/>
        <w:rPr>
          <w:rFonts w:ascii="宋体" w:hAnsi="宋体" w:cs="宋体"/>
          <w:snapToGrid w:val="0"/>
          <w:color w:val="auto"/>
          <w:spacing w:val="4"/>
          <w:kern w:val="0"/>
          <w:sz w:val="22"/>
          <w:highlight w:val="none"/>
        </w:rPr>
      </w:pPr>
      <w:r>
        <w:rPr>
          <w:rFonts w:hint="eastAsia" w:ascii="宋体" w:hAnsi="宋体" w:cs="宋体"/>
          <w:color w:val="auto"/>
          <w:kern w:val="0"/>
          <w:sz w:val="22"/>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17B3BEDF">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2"/>
          <w:szCs w:val="32"/>
          <w:highlight w:val="none"/>
        </w:rPr>
        <w:t>√”标识。</w:t>
      </w:r>
    </w:p>
    <w:p w14:paraId="712AD3E8">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投标单位同意建设单位在清单中标识的该项请在对应项打“</w:t>
      </w:r>
      <w:r>
        <w:rPr>
          <w:rFonts w:hint="eastAsia" w:ascii="宋体" w:hAnsi="宋体" w:cs="宋体"/>
          <w:color w:val="auto"/>
          <w:kern w:val="0"/>
          <w:sz w:val="22"/>
          <w:szCs w:val="32"/>
          <w:highlight w:val="none"/>
        </w:rPr>
        <w:t>√”标识，并在投标文件中提供相应的安全管理措施。</w:t>
      </w:r>
    </w:p>
    <w:p w14:paraId="11487865">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投标单位对清单中认为需要补充的该项请在对应项打“</w:t>
      </w:r>
      <w:r>
        <w:rPr>
          <w:rFonts w:hint="eastAsia" w:ascii="宋体" w:hAnsi="宋体" w:cs="宋体"/>
          <w:color w:val="auto"/>
          <w:kern w:val="0"/>
          <w:sz w:val="22"/>
          <w:szCs w:val="32"/>
          <w:highlight w:val="none"/>
        </w:rPr>
        <w:t>√”标识，并在投标文件中提供相应的安全管理措施。</w:t>
      </w:r>
    </w:p>
    <w:p w14:paraId="00390A62">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32"/>
          <w:highlight w:val="none"/>
        </w:rPr>
        <w:t>投标单位不同意建设单位</w:t>
      </w:r>
      <w:r>
        <w:rPr>
          <w:rFonts w:hint="eastAsia" w:ascii="宋体" w:hAnsi="宋体" w:cs="宋体"/>
          <w:color w:val="auto"/>
          <w:kern w:val="0"/>
          <w:sz w:val="22"/>
          <w:szCs w:val="24"/>
          <w:highlight w:val="none"/>
        </w:rPr>
        <w:t>在清单中标识的该项</w:t>
      </w:r>
      <w:r>
        <w:rPr>
          <w:rFonts w:hint="eastAsia" w:ascii="宋体" w:hAnsi="宋体" w:cs="宋体"/>
          <w:color w:val="auto"/>
          <w:kern w:val="0"/>
          <w:sz w:val="22"/>
          <w:szCs w:val="32"/>
          <w:highlight w:val="none"/>
        </w:rPr>
        <w:t>请在对应项打“×”标识，并在备注栏填上相关说明。</w:t>
      </w:r>
    </w:p>
    <w:p w14:paraId="41915E2F">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投标单位应当在投标时根据招标人提供的下述第5点清单，在投标文件中编制专项施工方案。</w:t>
      </w:r>
    </w:p>
    <w:p w14:paraId="2431A4BC">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1A0F78D">
      <w:pPr>
        <w:numPr>
          <w:ilvl w:val="255"/>
          <w:numId w:val="0"/>
        </w:numPr>
        <w:autoSpaceDE w:val="0"/>
        <w:autoSpaceDN w:val="0"/>
        <w:adjustRightInd w:val="0"/>
        <w:snapToGrid w:val="0"/>
        <w:spacing w:line="360" w:lineRule="auto"/>
        <w:jc w:val="left"/>
        <w:rPr>
          <w:rFonts w:ascii="宋体" w:hAnsi="宋体" w:cs="宋体"/>
          <w:color w:val="auto"/>
          <w:sz w:val="24"/>
          <w:szCs w:val="28"/>
          <w:highlight w:val="none"/>
        </w:rPr>
      </w:pPr>
      <w:r>
        <w:rPr>
          <w:rFonts w:hint="eastAsia" w:ascii="宋体" w:hAnsi="宋体" w:cs="宋体"/>
          <w:color w:val="auto"/>
          <w:kern w:val="0"/>
          <w:sz w:val="22"/>
          <w:szCs w:val="24"/>
          <w:highlight w:val="none"/>
        </w:rPr>
        <w:t>5、危险性较大的分部分项工程清单及超过一定规模的危险性较大的分部分项工程清单</w:t>
      </w:r>
    </w:p>
    <w:tbl>
      <w:tblPr>
        <w:tblStyle w:val="33"/>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6"/>
        <w:gridCol w:w="1355"/>
        <w:gridCol w:w="1357"/>
        <w:gridCol w:w="1069"/>
      </w:tblGrid>
      <w:tr w14:paraId="059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6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7C57D870">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13121CFF">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3E2143E5">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投标单位</w:t>
            </w:r>
          </w:p>
        </w:tc>
        <w:tc>
          <w:tcPr>
            <w:tcW w:w="575" w:type="pct"/>
            <w:tcBorders>
              <w:top w:val="single" w:color="auto" w:sz="4" w:space="0"/>
              <w:left w:val="nil"/>
              <w:bottom w:val="single" w:color="auto" w:sz="4" w:space="0"/>
              <w:right w:val="single" w:color="auto" w:sz="4" w:space="0"/>
            </w:tcBorders>
            <w:shd w:val="clear" w:color="auto" w:fill="D8D8D8"/>
            <w:noWrap w:val="0"/>
            <w:vAlign w:val="center"/>
          </w:tcPr>
          <w:p w14:paraId="7A2D613A">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6201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C17F819">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一、基坑支护</w:t>
            </w:r>
          </w:p>
        </w:tc>
      </w:tr>
      <w:tr w14:paraId="76FC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5283CB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（一）开挖深度超过3m（含3m）的基坑（槽）的土方开挖、支护、降水工程。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1A16DDF0">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77847D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E8982CA">
            <w:pPr>
              <w:shd w:val="clear" w:color="auto" w:fill="auto"/>
              <w:jc w:val="center"/>
              <w:rPr>
                <w:rFonts w:hint="eastAsia" w:ascii="宋体" w:hAnsi="宋体" w:eastAsia="宋体" w:cs="宋体"/>
                <w:color w:val="auto"/>
                <w:highlight w:val="none"/>
              </w:rPr>
            </w:pPr>
          </w:p>
        </w:tc>
      </w:tr>
      <w:tr w14:paraId="0A63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DDECB4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（二）开挖深度虽未超过3m，但地质条件、周围环境和地下管线复杂，或影响毗邻建、构筑物安全的基坑（槽）的土方开挖、支护、降水工程。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2004C23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08B16B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27E3AF4">
            <w:pPr>
              <w:shd w:val="clear" w:color="auto" w:fill="auto"/>
              <w:jc w:val="center"/>
              <w:rPr>
                <w:rFonts w:hint="eastAsia" w:ascii="宋体" w:hAnsi="宋体" w:eastAsia="宋体" w:cs="宋体"/>
                <w:color w:val="auto"/>
                <w:highlight w:val="none"/>
              </w:rPr>
            </w:pPr>
          </w:p>
        </w:tc>
      </w:tr>
      <w:tr w14:paraId="117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C94F334">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7B2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FCDF5EE">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564C7F02">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194262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6FF11A14">
            <w:pPr>
              <w:shd w:val="clear" w:color="auto" w:fill="auto"/>
              <w:jc w:val="center"/>
              <w:rPr>
                <w:rFonts w:hint="eastAsia" w:ascii="宋体" w:hAnsi="宋体" w:eastAsia="宋体" w:cs="宋体"/>
                <w:color w:val="auto"/>
                <w:highlight w:val="none"/>
              </w:rPr>
            </w:pPr>
          </w:p>
        </w:tc>
      </w:tr>
      <w:tr w14:paraId="3737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D782F08">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color="auto" w:sz="4" w:space="0"/>
              <w:left w:val="nil"/>
              <w:bottom w:val="single" w:color="auto" w:sz="4" w:space="0"/>
              <w:right w:val="single" w:color="auto" w:sz="4" w:space="0"/>
            </w:tcBorders>
            <w:noWrap w:val="0"/>
            <w:vAlign w:val="center"/>
          </w:tcPr>
          <w:p w14:paraId="79AFC40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9EF613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99597BB">
            <w:pPr>
              <w:shd w:val="clear" w:color="auto" w:fill="auto"/>
              <w:jc w:val="center"/>
              <w:rPr>
                <w:rFonts w:hint="eastAsia" w:ascii="宋体" w:hAnsi="宋体" w:eastAsia="宋体" w:cs="宋体"/>
                <w:color w:val="auto"/>
                <w:highlight w:val="none"/>
              </w:rPr>
            </w:pPr>
          </w:p>
        </w:tc>
      </w:tr>
      <w:tr w14:paraId="1507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73E9E16">
            <w:pPr>
              <w:widowControl/>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w:t>
            </w:r>
          </w:p>
        </w:tc>
        <w:tc>
          <w:tcPr>
            <w:tcW w:w="731" w:type="pct"/>
            <w:tcBorders>
              <w:top w:val="single" w:color="auto" w:sz="4" w:space="0"/>
              <w:left w:val="nil"/>
              <w:bottom w:val="single" w:color="auto" w:sz="4" w:space="0"/>
              <w:right w:val="single" w:color="auto" w:sz="4" w:space="0"/>
            </w:tcBorders>
            <w:noWrap w:val="0"/>
            <w:vAlign w:val="center"/>
          </w:tcPr>
          <w:p w14:paraId="5E21F1E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E7CD49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82A3EAB">
            <w:pPr>
              <w:shd w:val="clear" w:color="auto" w:fill="auto"/>
              <w:jc w:val="center"/>
              <w:rPr>
                <w:rFonts w:hint="eastAsia" w:ascii="宋体" w:hAnsi="宋体" w:eastAsia="宋体" w:cs="宋体"/>
                <w:color w:val="auto"/>
                <w:highlight w:val="none"/>
              </w:rPr>
            </w:pPr>
          </w:p>
        </w:tc>
      </w:tr>
      <w:tr w14:paraId="49B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D212CF9">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7591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D1A0395">
            <w:pPr>
              <w:widowControl/>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（一）采用非常规起重设备、方法，且单件起吊重量在10kN及以上的起重吊装工程。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464119D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7149DE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81BA6C4">
            <w:pPr>
              <w:shd w:val="clear" w:color="auto" w:fill="auto"/>
              <w:jc w:val="center"/>
              <w:rPr>
                <w:rFonts w:hint="eastAsia" w:ascii="宋体" w:hAnsi="宋体" w:eastAsia="宋体" w:cs="宋体"/>
                <w:color w:val="auto"/>
                <w:highlight w:val="none"/>
              </w:rPr>
            </w:pPr>
          </w:p>
        </w:tc>
      </w:tr>
      <w:tr w14:paraId="32F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F84AE8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（二）采用起重机械进行安装的工程。</w:t>
            </w:r>
          </w:p>
        </w:tc>
        <w:tc>
          <w:tcPr>
            <w:tcW w:w="731" w:type="pct"/>
            <w:tcBorders>
              <w:top w:val="single" w:color="auto" w:sz="4" w:space="0"/>
              <w:left w:val="nil"/>
              <w:bottom w:val="single" w:color="auto" w:sz="4" w:space="0"/>
              <w:right w:val="single" w:color="auto" w:sz="4" w:space="0"/>
            </w:tcBorders>
            <w:noWrap w:val="0"/>
            <w:vAlign w:val="center"/>
          </w:tcPr>
          <w:p w14:paraId="2CF55669">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559DA0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59B2065">
            <w:pPr>
              <w:shd w:val="clear" w:color="auto" w:fill="auto"/>
              <w:jc w:val="center"/>
              <w:rPr>
                <w:rFonts w:hint="eastAsia" w:ascii="宋体" w:hAnsi="宋体" w:eastAsia="宋体" w:cs="宋体"/>
                <w:color w:val="auto"/>
                <w:highlight w:val="none"/>
              </w:rPr>
            </w:pPr>
          </w:p>
        </w:tc>
      </w:tr>
      <w:tr w14:paraId="35A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A5A542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39C42373">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EC393B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5079085">
            <w:pPr>
              <w:shd w:val="clear" w:color="auto" w:fill="auto"/>
              <w:jc w:val="center"/>
              <w:rPr>
                <w:rFonts w:hint="eastAsia" w:ascii="宋体" w:hAnsi="宋体" w:eastAsia="宋体" w:cs="宋体"/>
                <w:color w:val="auto"/>
                <w:highlight w:val="none"/>
              </w:rPr>
            </w:pPr>
          </w:p>
        </w:tc>
      </w:tr>
      <w:tr w14:paraId="1E4B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6E78159">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四、脚手架工程</w:t>
            </w:r>
          </w:p>
        </w:tc>
      </w:tr>
      <w:tr w14:paraId="563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93BCE9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（一）搭设高度24m及以上的落地式钢管脚手架工程（包括采光井、电梯井脚手架）。</w:t>
            </w:r>
          </w:p>
        </w:tc>
        <w:tc>
          <w:tcPr>
            <w:tcW w:w="731" w:type="pct"/>
            <w:tcBorders>
              <w:top w:val="single" w:color="auto" w:sz="4" w:space="0"/>
              <w:left w:val="nil"/>
              <w:bottom w:val="single" w:color="auto" w:sz="4" w:space="0"/>
              <w:right w:val="single" w:color="auto" w:sz="4" w:space="0"/>
            </w:tcBorders>
            <w:noWrap w:val="0"/>
            <w:vAlign w:val="center"/>
          </w:tcPr>
          <w:p w14:paraId="5132B0FC">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C47C5D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6EE8D7">
            <w:pPr>
              <w:shd w:val="clear" w:color="auto" w:fill="auto"/>
              <w:jc w:val="center"/>
              <w:rPr>
                <w:rFonts w:hint="eastAsia" w:ascii="宋体" w:hAnsi="宋体" w:eastAsia="宋体" w:cs="宋体"/>
                <w:color w:val="auto"/>
                <w:highlight w:val="none"/>
              </w:rPr>
            </w:pPr>
          </w:p>
        </w:tc>
      </w:tr>
      <w:tr w14:paraId="22EC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41FCAF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（二）附着式升降脚手架工程。</w:t>
            </w:r>
          </w:p>
        </w:tc>
        <w:tc>
          <w:tcPr>
            <w:tcW w:w="731" w:type="pct"/>
            <w:tcBorders>
              <w:top w:val="single" w:color="auto" w:sz="4" w:space="0"/>
              <w:left w:val="nil"/>
              <w:bottom w:val="single" w:color="auto" w:sz="4" w:space="0"/>
              <w:right w:val="single" w:color="auto" w:sz="4" w:space="0"/>
            </w:tcBorders>
            <w:noWrap w:val="0"/>
            <w:vAlign w:val="center"/>
          </w:tcPr>
          <w:p w14:paraId="295DC7A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990EA9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6AC1E2A">
            <w:pPr>
              <w:shd w:val="clear" w:color="auto" w:fill="auto"/>
              <w:jc w:val="center"/>
              <w:rPr>
                <w:rFonts w:hint="eastAsia" w:ascii="宋体" w:hAnsi="宋体" w:eastAsia="宋体" w:cs="宋体"/>
                <w:color w:val="auto"/>
                <w:highlight w:val="none"/>
              </w:rPr>
            </w:pPr>
          </w:p>
        </w:tc>
      </w:tr>
      <w:tr w14:paraId="3DA0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A88338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（三）悬挑式脚手架工程。</w:t>
            </w:r>
          </w:p>
        </w:tc>
        <w:tc>
          <w:tcPr>
            <w:tcW w:w="731" w:type="pct"/>
            <w:tcBorders>
              <w:top w:val="single" w:color="auto" w:sz="4" w:space="0"/>
              <w:left w:val="nil"/>
              <w:bottom w:val="single" w:color="auto" w:sz="4" w:space="0"/>
              <w:right w:val="single" w:color="auto" w:sz="4" w:space="0"/>
            </w:tcBorders>
            <w:noWrap w:val="0"/>
            <w:vAlign w:val="center"/>
          </w:tcPr>
          <w:p w14:paraId="35DEE36C">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6419815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62299033">
            <w:pPr>
              <w:shd w:val="clear" w:color="auto" w:fill="auto"/>
              <w:jc w:val="center"/>
              <w:rPr>
                <w:rFonts w:hint="eastAsia" w:ascii="宋体" w:hAnsi="宋体" w:eastAsia="宋体" w:cs="宋体"/>
                <w:color w:val="auto"/>
                <w:highlight w:val="none"/>
              </w:rPr>
            </w:pPr>
          </w:p>
        </w:tc>
      </w:tr>
      <w:tr w14:paraId="7AF3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BBD694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（四）高处作业吊篮。</w:t>
            </w:r>
          </w:p>
        </w:tc>
        <w:tc>
          <w:tcPr>
            <w:tcW w:w="731" w:type="pct"/>
            <w:tcBorders>
              <w:top w:val="single" w:color="auto" w:sz="4" w:space="0"/>
              <w:left w:val="nil"/>
              <w:bottom w:val="single" w:color="auto" w:sz="4" w:space="0"/>
              <w:right w:val="single" w:color="auto" w:sz="4" w:space="0"/>
            </w:tcBorders>
            <w:noWrap w:val="0"/>
            <w:vAlign w:val="center"/>
          </w:tcPr>
          <w:p w14:paraId="16F26ED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2210E00">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63349CB">
            <w:pPr>
              <w:shd w:val="clear" w:color="auto" w:fill="auto"/>
              <w:jc w:val="center"/>
              <w:rPr>
                <w:rFonts w:hint="eastAsia" w:ascii="宋体" w:hAnsi="宋体" w:eastAsia="宋体" w:cs="宋体"/>
                <w:color w:val="auto"/>
                <w:highlight w:val="none"/>
              </w:rPr>
            </w:pPr>
          </w:p>
        </w:tc>
      </w:tr>
      <w:tr w14:paraId="3F80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94DC59E">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（五）卸料平台、操作平台工程。</w:t>
            </w:r>
          </w:p>
        </w:tc>
        <w:tc>
          <w:tcPr>
            <w:tcW w:w="731" w:type="pct"/>
            <w:tcBorders>
              <w:top w:val="single" w:color="auto" w:sz="4" w:space="0"/>
              <w:left w:val="nil"/>
              <w:bottom w:val="single" w:color="auto" w:sz="4" w:space="0"/>
              <w:right w:val="single" w:color="auto" w:sz="4" w:space="0"/>
            </w:tcBorders>
            <w:noWrap w:val="0"/>
            <w:vAlign w:val="center"/>
          </w:tcPr>
          <w:p w14:paraId="7B7C471D">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1E7F43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D6D4DBA">
            <w:pPr>
              <w:shd w:val="clear" w:color="auto" w:fill="auto"/>
              <w:jc w:val="center"/>
              <w:rPr>
                <w:rFonts w:hint="eastAsia" w:ascii="宋体" w:hAnsi="宋体" w:eastAsia="宋体" w:cs="宋体"/>
                <w:color w:val="auto"/>
                <w:highlight w:val="none"/>
              </w:rPr>
            </w:pPr>
          </w:p>
        </w:tc>
      </w:tr>
      <w:tr w14:paraId="215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52186FC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（六）异型脚手架工程。</w:t>
            </w:r>
          </w:p>
        </w:tc>
        <w:tc>
          <w:tcPr>
            <w:tcW w:w="731" w:type="pct"/>
            <w:tcBorders>
              <w:top w:val="single" w:color="auto" w:sz="4" w:space="0"/>
              <w:left w:val="nil"/>
              <w:bottom w:val="single" w:color="auto" w:sz="4" w:space="0"/>
              <w:right w:val="single" w:color="auto" w:sz="4" w:space="0"/>
            </w:tcBorders>
            <w:noWrap w:val="0"/>
            <w:vAlign w:val="center"/>
          </w:tcPr>
          <w:p w14:paraId="612889BE">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1C24A4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A8AEC33">
            <w:pPr>
              <w:shd w:val="clear" w:color="auto" w:fill="auto"/>
              <w:jc w:val="center"/>
              <w:rPr>
                <w:rFonts w:hint="eastAsia" w:ascii="宋体" w:hAnsi="宋体" w:eastAsia="宋体" w:cs="宋体"/>
                <w:color w:val="auto"/>
                <w:highlight w:val="none"/>
              </w:rPr>
            </w:pPr>
          </w:p>
        </w:tc>
      </w:tr>
      <w:tr w14:paraId="2C5E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C86B830">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五、拆除工程</w:t>
            </w:r>
          </w:p>
        </w:tc>
      </w:tr>
      <w:tr w14:paraId="1CB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6F346B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可能影响行人、交通、电力设施、通讯设施或其它建、构筑物安全的拆除工程。</w:t>
            </w:r>
          </w:p>
        </w:tc>
        <w:tc>
          <w:tcPr>
            <w:tcW w:w="731" w:type="pct"/>
            <w:tcBorders>
              <w:top w:val="single" w:color="auto" w:sz="4" w:space="0"/>
              <w:left w:val="nil"/>
              <w:bottom w:val="single" w:color="auto" w:sz="4" w:space="0"/>
              <w:right w:val="single" w:color="auto" w:sz="4" w:space="0"/>
            </w:tcBorders>
            <w:noWrap w:val="0"/>
            <w:vAlign w:val="center"/>
          </w:tcPr>
          <w:p w14:paraId="01BD208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D7E20D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BE5E813">
            <w:pPr>
              <w:shd w:val="clear" w:color="auto" w:fill="auto"/>
              <w:jc w:val="center"/>
              <w:rPr>
                <w:rFonts w:hint="eastAsia" w:ascii="宋体" w:hAnsi="宋体" w:eastAsia="宋体" w:cs="宋体"/>
                <w:color w:val="auto"/>
                <w:highlight w:val="none"/>
              </w:rPr>
            </w:pPr>
          </w:p>
        </w:tc>
      </w:tr>
      <w:tr w14:paraId="6B48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A349DA3">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六、暗挖工程</w:t>
            </w:r>
          </w:p>
        </w:tc>
      </w:tr>
      <w:tr w14:paraId="1C90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0" w:type="pct"/>
            <w:tcBorders>
              <w:top w:val="single" w:color="auto" w:sz="4" w:space="0"/>
              <w:left w:val="single" w:color="auto" w:sz="4" w:space="0"/>
              <w:bottom w:val="single" w:color="auto" w:sz="4" w:space="0"/>
              <w:right w:val="single" w:color="auto" w:sz="4" w:space="0"/>
            </w:tcBorders>
            <w:noWrap w:val="0"/>
            <w:vAlign w:val="center"/>
          </w:tcPr>
          <w:p w14:paraId="4474319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479EED04">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F12944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CBA5D0F">
            <w:pPr>
              <w:shd w:val="clear" w:color="auto" w:fill="auto"/>
              <w:jc w:val="center"/>
              <w:rPr>
                <w:rFonts w:hint="eastAsia" w:ascii="宋体" w:hAnsi="宋体" w:eastAsia="宋体" w:cs="宋体"/>
                <w:color w:val="auto"/>
                <w:highlight w:val="none"/>
              </w:rPr>
            </w:pPr>
          </w:p>
        </w:tc>
      </w:tr>
      <w:tr w14:paraId="635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5A758B">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七、其它</w:t>
            </w:r>
          </w:p>
        </w:tc>
      </w:tr>
      <w:tr w14:paraId="4C77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C79113A">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（一）建筑幕墙安装工程。</w:t>
            </w:r>
          </w:p>
        </w:tc>
        <w:tc>
          <w:tcPr>
            <w:tcW w:w="731" w:type="pct"/>
            <w:tcBorders>
              <w:top w:val="single" w:color="auto" w:sz="4" w:space="0"/>
              <w:left w:val="nil"/>
              <w:bottom w:val="single" w:color="auto" w:sz="4" w:space="0"/>
              <w:right w:val="single" w:color="auto" w:sz="4" w:space="0"/>
            </w:tcBorders>
            <w:noWrap w:val="0"/>
            <w:vAlign w:val="center"/>
          </w:tcPr>
          <w:p w14:paraId="348E380A">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C83520F">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A36B8AA">
            <w:pPr>
              <w:shd w:val="clear" w:color="auto" w:fill="auto"/>
              <w:jc w:val="center"/>
              <w:rPr>
                <w:rFonts w:hint="eastAsia" w:ascii="宋体" w:hAnsi="宋体" w:eastAsia="宋体" w:cs="宋体"/>
                <w:color w:val="auto"/>
                <w:highlight w:val="none"/>
              </w:rPr>
            </w:pPr>
          </w:p>
        </w:tc>
      </w:tr>
      <w:tr w14:paraId="4AFA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CD63894">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（二）钢结构、网架和索膜结构安装工程。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0C1D26C8">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52DEBB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413FC0B">
            <w:pPr>
              <w:shd w:val="clear" w:color="auto" w:fill="auto"/>
              <w:jc w:val="center"/>
              <w:rPr>
                <w:rFonts w:hint="eastAsia" w:ascii="宋体" w:hAnsi="宋体" w:eastAsia="宋体" w:cs="宋体"/>
                <w:color w:val="auto"/>
                <w:highlight w:val="none"/>
              </w:rPr>
            </w:pPr>
          </w:p>
        </w:tc>
      </w:tr>
      <w:tr w14:paraId="1108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F539C2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（三）人工挖孔桩工程。</w:t>
            </w:r>
          </w:p>
        </w:tc>
        <w:tc>
          <w:tcPr>
            <w:tcW w:w="731" w:type="pct"/>
            <w:tcBorders>
              <w:top w:val="single" w:color="auto" w:sz="4" w:space="0"/>
              <w:left w:val="nil"/>
              <w:bottom w:val="single" w:color="auto" w:sz="4" w:space="0"/>
              <w:right w:val="single" w:color="auto" w:sz="4" w:space="0"/>
            </w:tcBorders>
            <w:noWrap w:val="0"/>
            <w:vAlign w:val="center"/>
          </w:tcPr>
          <w:p w14:paraId="3203430F">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3F6ADB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BF3A601">
            <w:pPr>
              <w:shd w:val="clear" w:color="auto" w:fill="auto"/>
              <w:jc w:val="center"/>
              <w:rPr>
                <w:rFonts w:hint="eastAsia" w:ascii="宋体" w:hAnsi="宋体" w:eastAsia="宋体" w:cs="宋体"/>
                <w:color w:val="auto"/>
                <w:highlight w:val="none"/>
              </w:rPr>
            </w:pPr>
          </w:p>
        </w:tc>
      </w:tr>
      <w:tr w14:paraId="610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43BCDB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55127B13">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379357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3B5F022">
            <w:pPr>
              <w:shd w:val="clear" w:color="auto" w:fill="auto"/>
              <w:jc w:val="center"/>
              <w:rPr>
                <w:rFonts w:hint="eastAsia" w:ascii="宋体" w:hAnsi="宋体" w:eastAsia="宋体" w:cs="宋体"/>
                <w:color w:val="auto"/>
                <w:highlight w:val="none"/>
              </w:rPr>
            </w:pPr>
          </w:p>
        </w:tc>
      </w:tr>
      <w:tr w14:paraId="428F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FBF128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（五）装配式建筑混凝土预制构件安装工程。</w:t>
            </w:r>
          </w:p>
        </w:tc>
        <w:tc>
          <w:tcPr>
            <w:tcW w:w="731" w:type="pct"/>
            <w:tcBorders>
              <w:top w:val="single" w:color="auto" w:sz="4" w:space="0"/>
              <w:left w:val="nil"/>
              <w:bottom w:val="single" w:color="auto" w:sz="4" w:space="0"/>
              <w:right w:val="single" w:color="auto" w:sz="4" w:space="0"/>
            </w:tcBorders>
            <w:noWrap w:val="0"/>
            <w:vAlign w:val="center"/>
          </w:tcPr>
          <w:p w14:paraId="1B9D955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1307E80">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8C297C">
            <w:pPr>
              <w:shd w:val="clear" w:color="auto" w:fill="auto"/>
              <w:jc w:val="center"/>
              <w:rPr>
                <w:rFonts w:hint="eastAsia" w:ascii="宋体" w:hAnsi="宋体" w:eastAsia="宋体" w:cs="宋体"/>
                <w:color w:val="auto"/>
                <w:highlight w:val="none"/>
              </w:rPr>
            </w:pPr>
          </w:p>
        </w:tc>
      </w:tr>
      <w:tr w14:paraId="0034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53B93877">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2E8F8DA5">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C374106">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6C8A196">
            <w:pPr>
              <w:shd w:val="clear" w:color="auto" w:fill="auto"/>
              <w:jc w:val="center"/>
              <w:rPr>
                <w:rFonts w:hint="eastAsia" w:ascii="宋体" w:hAnsi="宋体" w:eastAsia="宋体" w:cs="宋体"/>
                <w:color w:val="auto"/>
                <w:highlight w:val="none"/>
              </w:rPr>
            </w:pPr>
          </w:p>
        </w:tc>
      </w:tr>
      <w:tr w14:paraId="08B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42E8A521">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超过一定规模的危险性较大的分部分项工程清单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44E9B878">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3A2C46B5">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投标单位</w:t>
            </w:r>
          </w:p>
        </w:tc>
        <w:tc>
          <w:tcPr>
            <w:tcW w:w="575" w:type="pct"/>
            <w:tcBorders>
              <w:top w:val="single" w:color="auto" w:sz="4" w:space="0"/>
              <w:left w:val="nil"/>
              <w:bottom w:val="single" w:color="auto" w:sz="4" w:space="0"/>
              <w:right w:val="single" w:color="auto" w:sz="4" w:space="0"/>
            </w:tcBorders>
            <w:shd w:val="clear" w:color="auto" w:fill="D8D8D8"/>
            <w:noWrap w:val="0"/>
            <w:vAlign w:val="center"/>
          </w:tcPr>
          <w:p w14:paraId="1B7FFFC0">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420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EEC4973">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一、深基坑工程</w:t>
            </w:r>
          </w:p>
        </w:tc>
      </w:tr>
      <w:tr w14:paraId="1D4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182102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开挖深度超过5m（含5m）的基坑（槽）的土方开挖、支护、降水工程。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7B402638">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341E27A7">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03E5F8C">
            <w:pPr>
              <w:shd w:val="clear" w:color="auto" w:fill="auto"/>
              <w:jc w:val="center"/>
              <w:rPr>
                <w:rFonts w:hint="eastAsia" w:ascii="宋体" w:hAnsi="宋体" w:eastAsia="宋体" w:cs="宋体"/>
                <w:color w:val="auto"/>
                <w:highlight w:val="none"/>
              </w:rPr>
            </w:pPr>
          </w:p>
        </w:tc>
      </w:tr>
      <w:tr w14:paraId="4C0F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42C666A">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77B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D6E800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5BA2528D">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17EC25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9B302CF">
            <w:pPr>
              <w:shd w:val="clear" w:color="auto" w:fill="auto"/>
              <w:jc w:val="center"/>
              <w:rPr>
                <w:rFonts w:hint="eastAsia" w:ascii="宋体" w:hAnsi="宋体" w:eastAsia="宋体" w:cs="宋体"/>
                <w:color w:val="auto"/>
                <w:highlight w:val="none"/>
              </w:rPr>
            </w:pPr>
          </w:p>
        </w:tc>
      </w:tr>
      <w:tr w14:paraId="7BCA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C5D85E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（二）混凝土模板支撑工程：搭设高度8m及以上，或搭设跨度18m及以上，或施工总荷载（设计值）15kN/m2及以上，或集中线荷载（设计值）20kN/m及以上。</w:t>
            </w:r>
          </w:p>
        </w:tc>
        <w:tc>
          <w:tcPr>
            <w:tcW w:w="731" w:type="pct"/>
            <w:tcBorders>
              <w:top w:val="single" w:color="auto" w:sz="4" w:space="0"/>
              <w:left w:val="nil"/>
              <w:bottom w:val="single" w:color="auto" w:sz="4" w:space="0"/>
              <w:right w:val="single" w:color="auto" w:sz="4" w:space="0"/>
            </w:tcBorders>
            <w:noWrap w:val="0"/>
            <w:vAlign w:val="center"/>
          </w:tcPr>
          <w:p w14:paraId="2B606B8C">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7F4415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BB7293C">
            <w:pPr>
              <w:shd w:val="clear" w:color="auto" w:fill="auto"/>
              <w:jc w:val="center"/>
              <w:rPr>
                <w:rFonts w:hint="eastAsia" w:ascii="宋体" w:hAnsi="宋体" w:eastAsia="宋体" w:cs="宋体"/>
                <w:color w:val="auto"/>
                <w:highlight w:val="none"/>
              </w:rPr>
            </w:pPr>
          </w:p>
        </w:tc>
      </w:tr>
      <w:tr w14:paraId="324A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C644BF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（三）承重支撑体系：用于钢结构安装等满堂支撑体系，承受单点集中荷载7kN及以上。</w:t>
            </w:r>
          </w:p>
        </w:tc>
        <w:tc>
          <w:tcPr>
            <w:tcW w:w="731" w:type="pct"/>
            <w:tcBorders>
              <w:top w:val="single" w:color="auto" w:sz="4" w:space="0"/>
              <w:left w:val="nil"/>
              <w:bottom w:val="single" w:color="auto" w:sz="4" w:space="0"/>
              <w:right w:val="single" w:color="auto" w:sz="4" w:space="0"/>
            </w:tcBorders>
            <w:noWrap w:val="0"/>
            <w:vAlign w:val="center"/>
          </w:tcPr>
          <w:p w14:paraId="6B6E0E2E">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D25224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E4B8067">
            <w:pPr>
              <w:shd w:val="clear" w:color="auto" w:fill="auto"/>
              <w:jc w:val="center"/>
              <w:rPr>
                <w:rFonts w:hint="eastAsia" w:ascii="宋体" w:hAnsi="宋体" w:eastAsia="宋体" w:cs="宋体"/>
                <w:color w:val="auto"/>
                <w:highlight w:val="none"/>
              </w:rPr>
            </w:pPr>
          </w:p>
        </w:tc>
      </w:tr>
      <w:tr w14:paraId="020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E55623F">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1EE9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58D591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（一）采用非常规起重设备、方法，且单件起吊重量在100kN及以上的起重吊装工程。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0BBF116C">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628759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BB4BCF8">
            <w:pPr>
              <w:shd w:val="clear" w:color="auto" w:fill="auto"/>
              <w:jc w:val="center"/>
              <w:rPr>
                <w:rFonts w:hint="eastAsia" w:ascii="宋体" w:hAnsi="宋体" w:eastAsia="宋体" w:cs="宋体"/>
                <w:color w:val="auto"/>
                <w:highlight w:val="none"/>
              </w:rPr>
            </w:pPr>
          </w:p>
        </w:tc>
      </w:tr>
      <w:tr w14:paraId="0DC5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043CFE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（二）起重量300kN及以上，或搭设总高度200m及以上，或搭设基础标高在200m及以上的起重机械安装和拆卸工程。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1EE8943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0DAE487">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84107A5">
            <w:pPr>
              <w:shd w:val="clear" w:color="auto" w:fill="auto"/>
              <w:jc w:val="center"/>
              <w:rPr>
                <w:rFonts w:hint="eastAsia" w:ascii="宋体" w:hAnsi="宋体" w:eastAsia="宋体" w:cs="宋体"/>
                <w:color w:val="auto"/>
                <w:highlight w:val="none"/>
              </w:rPr>
            </w:pPr>
          </w:p>
        </w:tc>
      </w:tr>
      <w:tr w14:paraId="4E42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7E69D5E">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四、脚手架工程</w:t>
            </w:r>
          </w:p>
        </w:tc>
      </w:tr>
      <w:tr w14:paraId="5C97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445D09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（一）搭设高度50m及以上的落地式钢管脚手架工程。</w:t>
            </w:r>
          </w:p>
        </w:tc>
        <w:tc>
          <w:tcPr>
            <w:tcW w:w="731" w:type="pct"/>
            <w:tcBorders>
              <w:top w:val="single" w:color="auto" w:sz="4" w:space="0"/>
              <w:left w:val="nil"/>
              <w:bottom w:val="single" w:color="auto" w:sz="4" w:space="0"/>
              <w:right w:val="single" w:color="auto" w:sz="4" w:space="0"/>
            </w:tcBorders>
            <w:noWrap w:val="0"/>
            <w:vAlign w:val="center"/>
          </w:tcPr>
          <w:p w14:paraId="08E4CCDE">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910F7F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9B05025">
            <w:pPr>
              <w:shd w:val="clear" w:color="auto" w:fill="auto"/>
              <w:jc w:val="center"/>
              <w:rPr>
                <w:rFonts w:hint="eastAsia" w:ascii="宋体" w:hAnsi="宋体" w:eastAsia="宋体" w:cs="宋体"/>
                <w:color w:val="auto"/>
                <w:highlight w:val="none"/>
              </w:rPr>
            </w:pPr>
          </w:p>
        </w:tc>
      </w:tr>
      <w:tr w14:paraId="431A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04EC20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（二）提升高度在150m及以上的附着式升降脚手架工程或附着式升降操作平台工程。</w:t>
            </w:r>
          </w:p>
        </w:tc>
        <w:tc>
          <w:tcPr>
            <w:tcW w:w="731" w:type="pct"/>
            <w:tcBorders>
              <w:top w:val="single" w:color="auto" w:sz="4" w:space="0"/>
              <w:left w:val="nil"/>
              <w:bottom w:val="single" w:color="auto" w:sz="4" w:space="0"/>
              <w:right w:val="single" w:color="auto" w:sz="4" w:space="0"/>
            </w:tcBorders>
            <w:noWrap w:val="0"/>
            <w:vAlign w:val="center"/>
          </w:tcPr>
          <w:p w14:paraId="7B71F064">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6D5407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9706D8A">
            <w:pPr>
              <w:shd w:val="clear" w:color="auto" w:fill="auto"/>
              <w:jc w:val="center"/>
              <w:rPr>
                <w:rFonts w:hint="eastAsia" w:ascii="宋体" w:hAnsi="宋体" w:eastAsia="宋体" w:cs="宋体"/>
                <w:color w:val="auto"/>
                <w:highlight w:val="none"/>
              </w:rPr>
            </w:pPr>
          </w:p>
        </w:tc>
      </w:tr>
      <w:tr w14:paraId="621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0F5E554">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（三）分段架体搭设高度20m及以上的悬挑式脚手架工程。</w:t>
            </w:r>
          </w:p>
        </w:tc>
        <w:tc>
          <w:tcPr>
            <w:tcW w:w="731" w:type="pct"/>
            <w:tcBorders>
              <w:top w:val="single" w:color="auto" w:sz="4" w:space="0"/>
              <w:left w:val="nil"/>
              <w:bottom w:val="single" w:color="auto" w:sz="4" w:space="0"/>
              <w:right w:val="single" w:color="auto" w:sz="4" w:space="0"/>
            </w:tcBorders>
            <w:noWrap w:val="0"/>
            <w:vAlign w:val="center"/>
          </w:tcPr>
          <w:p w14:paraId="5EB8483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477DFF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6FA3A75">
            <w:pPr>
              <w:shd w:val="clear" w:color="auto" w:fill="auto"/>
              <w:jc w:val="center"/>
              <w:rPr>
                <w:rFonts w:hint="eastAsia" w:ascii="宋体" w:hAnsi="宋体" w:eastAsia="宋体" w:cs="宋体"/>
                <w:color w:val="auto"/>
                <w:highlight w:val="none"/>
              </w:rPr>
            </w:pPr>
          </w:p>
        </w:tc>
      </w:tr>
      <w:tr w14:paraId="788A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455935E">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五、拆除工程</w:t>
            </w:r>
          </w:p>
        </w:tc>
      </w:tr>
      <w:tr w14:paraId="5BF7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9E3470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（一）码头、桥梁、高架、烟囱、水塔或拆除中容易引起有毒有害气（液）体或粉尘扩散、易燃易爆事故发生的特殊建、构筑物的拆除工程。</w:t>
            </w:r>
          </w:p>
        </w:tc>
        <w:tc>
          <w:tcPr>
            <w:tcW w:w="731" w:type="pct"/>
            <w:tcBorders>
              <w:top w:val="single" w:color="auto" w:sz="4" w:space="0"/>
              <w:left w:val="nil"/>
              <w:bottom w:val="single" w:color="auto" w:sz="4" w:space="0"/>
              <w:right w:val="single" w:color="auto" w:sz="4" w:space="0"/>
            </w:tcBorders>
            <w:noWrap w:val="0"/>
            <w:vAlign w:val="center"/>
          </w:tcPr>
          <w:p w14:paraId="7C0F37C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7FFA4E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8526C24">
            <w:pPr>
              <w:shd w:val="clear" w:color="auto" w:fill="auto"/>
              <w:jc w:val="center"/>
              <w:rPr>
                <w:rFonts w:hint="eastAsia" w:ascii="宋体" w:hAnsi="宋体" w:eastAsia="宋体" w:cs="宋体"/>
                <w:color w:val="auto"/>
                <w:highlight w:val="none"/>
              </w:rPr>
            </w:pPr>
          </w:p>
        </w:tc>
      </w:tr>
      <w:tr w14:paraId="5DB5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9BF5FF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（二）文物保护建筑、优秀历史建筑或历史文化风貌区影响范围内的拆除工程。</w:t>
            </w:r>
          </w:p>
        </w:tc>
        <w:tc>
          <w:tcPr>
            <w:tcW w:w="731" w:type="pct"/>
            <w:tcBorders>
              <w:top w:val="single" w:color="auto" w:sz="4" w:space="0"/>
              <w:left w:val="nil"/>
              <w:bottom w:val="single" w:color="auto" w:sz="4" w:space="0"/>
              <w:right w:val="single" w:color="auto" w:sz="4" w:space="0"/>
            </w:tcBorders>
            <w:noWrap w:val="0"/>
            <w:vAlign w:val="center"/>
          </w:tcPr>
          <w:p w14:paraId="31A7DDC5">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1E29B1C">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E0ADC73">
            <w:pPr>
              <w:shd w:val="clear" w:color="auto" w:fill="auto"/>
              <w:jc w:val="center"/>
              <w:rPr>
                <w:rFonts w:hint="eastAsia" w:ascii="宋体" w:hAnsi="宋体" w:eastAsia="宋体" w:cs="宋体"/>
                <w:color w:val="auto"/>
                <w:highlight w:val="none"/>
              </w:rPr>
            </w:pPr>
          </w:p>
        </w:tc>
      </w:tr>
      <w:tr w14:paraId="2A6F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7AC9DAF">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六、暗挖工程</w:t>
            </w:r>
          </w:p>
        </w:tc>
      </w:tr>
      <w:tr w14:paraId="7B59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7EA0C8A">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67430B20">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6E039E4">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CC731CC">
            <w:pPr>
              <w:shd w:val="clear" w:color="auto" w:fill="auto"/>
              <w:jc w:val="center"/>
              <w:rPr>
                <w:rFonts w:hint="eastAsia" w:ascii="宋体" w:hAnsi="宋体" w:eastAsia="宋体" w:cs="宋体"/>
                <w:color w:val="auto"/>
                <w:highlight w:val="none"/>
              </w:rPr>
            </w:pPr>
          </w:p>
        </w:tc>
      </w:tr>
      <w:tr w14:paraId="297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C8D813F">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七、其它</w:t>
            </w:r>
          </w:p>
        </w:tc>
      </w:tr>
      <w:tr w14:paraId="5020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938718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（一）施工高度50m及以上的建筑幕墙安装工程。</w:t>
            </w:r>
          </w:p>
        </w:tc>
        <w:tc>
          <w:tcPr>
            <w:tcW w:w="731" w:type="pct"/>
            <w:tcBorders>
              <w:top w:val="single" w:color="auto" w:sz="4" w:space="0"/>
              <w:left w:val="nil"/>
              <w:bottom w:val="single" w:color="auto" w:sz="4" w:space="0"/>
              <w:right w:val="single" w:color="auto" w:sz="4" w:space="0"/>
            </w:tcBorders>
            <w:noWrap w:val="0"/>
            <w:vAlign w:val="center"/>
          </w:tcPr>
          <w:p w14:paraId="44E2FC50">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8DD753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966056C">
            <w:pPr>
              <w:shd w:val="clear" w:color="auto" w:fill="auto"/>
              <w:jc w:val="center"/>
              <w:rPr>
                <w:rFonts w:hint="eastAsia" w:ascii="宋体" w:hAnsi="宋体" w:eastAsia="宋体" w:cs="宋体"/>
                <w:color w:val="auto"/>
                <w:highlight w:val="none"/>
              </w:rPr>
            </w:pPr>
          </w:p>
        </w:tc>
      </w:tr>
      <w:tr w14:paraId="625C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A7BBB37">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（二）跨度36m及以上的钢结构安装工程，或跨度60m及以上的网架和索膜结构安装工程。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0452EF8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BC7BA3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5AFF86B">
            <w:pPr>
              <w:shd w:val="clear" w:color="auto" w:fill="auto"/>
              <w:jc w:val="center"/>
              <w:rPr>
                <w:rFonts w:hint="eastAsia" w:ascii="宋体" w:hAnsi="宋体" w:eastAsia="宋体" w:cs="宋体"/>
                <w:color w:val="auto"/>
                <w:highlight w:val="none"/>
              </w:rPr>
            </w:pPr>
          </w:p>
        </w:tc>
      </w:tr>
      <w:tr w14:paraId="762D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83BD182">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（三）开挖深度16m及以上的人工挖孔桩工程。</w:t>
            </w:r>
          </w:p>
        </w:tc>
        <w:tc>
          <w:tcPr>
            <w:tcW w:w="731" w:type="pct"/>
            <w:tcBorders>
              <w:top w:val="single" w:color="auto" w:sz="4" w:space="0"/>
              <w:left w:val="nil"/>
              <w:bottom w:val="single" w:color="auto" w:sz="4" w:space="0"/>
              <w:right w:val="single" w:color="auto" w:sz="4" w:space="0"/>
            </w:tcBorders>
            <w:noWrap w:val="0"/>
            <w:vAlign w:val="center"/>
          </w:tcPr>
          <w:p w14:paraId="1BF677C7">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E7DF46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B24FF0B">
            <w:pPr>
              <w:shd w:val="clear" w:color="auto" w:fill="auto"/>
              <w:jc w:val="center"/>
              <w:rPr>
                <w:rFonts w:hint="eastAsia" w:ascii="宋体" w:hAnsi="宋体" w:eastAsia="宋体" w:cs="宋体"/>
                <w:color w:val="auto"/>
                <w:highlight w:val="none"/>
              </w:rPr>
            </w:pPr>
          </w:p>
        </w:tc>
      </w:tr>
      <w:tr w14:paraId="1025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F45F662">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761894F1">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F91455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E16AC3">
            <w:pPr>
              <w:shd w:val="clear" w:color="auto" w:fill="auto"/>
              <w:jc w:val="center"/>
              <w:rPr>
                <w:rFonts w:hint="eastAsia" w:ascii="宋体" w:hAnsi="宋体" w:eastAsia="宋体" w:cs="宋体"/>
                <w:color w:val="auto"/>
                <w:highlight w:val="none"/>
              </w:rPr>
            </w:pPr>
          </w:p>
        </w:tc>
      </w:tr>
      <w:tr w14:paraId="20B0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1C3A3B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（五）重量1000kN及以上的大型结构整体顶升、平移、转体等施工工艺。</w:t>
            </w:r>
          </w:p>
        </w:tc>
        <w:tc>
          <w:tcPr>
            <w:tcW w:w="731" w:type="pct"/>
            <w:tcBorders>
              <w:top w:val="single" w:color="auto" w:sz="4" w:space="0"/>
              <w:left w:val="nil"/>
              <w:bottom w:val="single" w:color="auto" w:sz="4" w:space="0"/>
              <w:right w:val="single" w:color="auto" w:sz="4" w:space="0"/>
            </w:tcBorders>
            <w:noWrap w:val="0"/>
            <w:vAlign w:val="center"/>
          </w:tcPr>
          <w:p w14:paraId="521574DB">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E0197A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A3D2020">
            <w:pPr>
              <w:shd w:val="clear" w:color="auto" w:fill="auto"/>
              <w:jc w:val="center"/>
              <w:rPr>
                <w:rFonts w:hint="eastAsia" w:ascii="宋体" w:hAnsi="宋体" w:eastAsia="宋体" w:cs="宋体"/>
                <w:color w:val="auto"/>
                <w:highlight w:val="none"/>
              </w:rPr>
            </w:pPr>
          </w:p>
        </w:tc>
      </w:tr>
      <w:tr w14:paraId="469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6EB5E5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26E3200C">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B56F11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E20B16B">
            <w:pPr>
              <w:shd w:val="clear" w:color="auto" w:fill="auto"/>
              <w:jc w:val="center"/>
              <w:rPr>
                <w:rFonts w:hint="eastAsia" w:ascii="宋体" w:hAnsi="宋体" w:eastAsia="宋体" w:cs="宋体"/>
                <w:color w:val="auto"/>
                <w:highlight w:val="none"/>
              </w:rPr>
            </w:pPr>
          </w:p>
        </w:tc>
      </w:tr>
      <w:tr w14:paraId="7EF4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CAD3DF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lang w:eastAsia="zh-CN"/>
              </w:rPr>
              <w:t>）高边坡</w:t>
            </w:r>
          </w:p>
        </w:tc>
        <w:tc>
          <w:tcPr>
            <w:tcW w:w="731" w:type="pct"/>
            <w:tcBorders>
              <w:top w:val="single" w:color="auto" w:sz="4" w:space="0"/>
              <w:left w:val="nil"/>
              <w:bottom w:val="single" w:color="auto" w:sz="4" w:space="0"/>
              <w:right w:val="single" w:color="auto" w:sz="4" w:space="0"/>
            </w:tcBorders>
            <w:noWrap w:val="0"/>
            <w:vAlign w:val="center"/>
          </w:tcPr>
          <w:p w14:paraId="1EF36AE8">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2CFC25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FB3B75B">
            <w:pPr>
              <w:shd w:val="clear" w:color="auto" w:fill="auto"/>
              <w:jc w:val="center"/>
              <w:rPr>
                <w:rFonts w:hint="eastAsia" w:ascii="宋体" w:hAnsi="宋体" w:eastAsia="宋体" w:cs="宋体"/>
                <w:color w:val="auto"/>
                <w:highlight w:val="none"/>
              </w:rPr>
            </w:pPr>
          </w:p>
        </w:tc>
      </w:tr>
      <w:tr w14:paraId="0371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41215C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雨水管顶管施工</w:t>
            </w:r>
          </w:p>
        </w:tc>
        <w:tc>
          <w:tcPr>
            <w:tcW w:w="731" w:type="pct"/>
            <w:tcBorders>
              <w:top w:val="single" w:color="auto" w:sz="4" w:space="0"/>
              <w:left w:val="nil"/>
              <w:bottom w:val="single" w:color="auto" w:sz="4" w:space="0"/>
              <w:right w:val="single" w:color="auto" w:sz="4" w:space="0"/>
            </w:tcBorders>
            <w:noWrap w:val="0"/>
            <w:vAlign w:val="center"/>
          </w:tcPr>
          <w:p w14:paraId="511F07C9">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6AEF8E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C509297">
            <w:pPr>
              <w:shd w:val="clear" w:color="auto" w:fill="auto"/>
              <w:jc w:val="center"/>
              <w:rPr>
                <w:rFonts w:hint="eastAsia" w:ascii="宋体" w:hAnsi="宋体" w:eastAsia="宋体" w:cs="宋体"/>
                <w:color w:val="auto"/>
                <w:highlight w:val="none"/>
              </w:rPr>
            </w:pPr>
          </w:p>
        </w:tc>
      </w:tr>
    </w:tbl>
    <w:p w14:paraId="20BCB3BE">
      <w:pPr>
        <w:topLinePunct/>
        <w:adjustRightInd w:val="0"/>
        <w:snapToGrid w:val="0"/>
        <w:spacing w:line="360" w:lineRule="auto"/>
        <w:rPr>
          <w:rFonts w:hint="eastAsia" w:ascii="宋体" w:hAnsi="宋体"/>
          <w:color w:val="auto"/>
          <w:spacing w:val="4"/>
          <w:kern w:val="0"/>
          <w:sz w:val="24"/>
          <w:szCs w:val="24"/>
          <w:highlight w:val="none"/>
        </w:rPr>
      </w:pPr>
    </w:p>
    <w:p w14:paraId="27403EE7">
      <w:pPr>
        <w:topLinePunct/>
        <w:adjustRightInd w:val="0"/>
        <w:snapToGrid w:val="0"/>
        <w:spacing w:line="360" w:lineRule="auto"/>
        <w:ind w:firstLine="436" w:firstLineChars="200"/>
        <w:rPr>
          <w:rFonts w:ascii="宋体" w:hAnsi="宋体" w:cs="宋体"/>
          <w:color w:val="auto"/>
          <w:spacing w:val="4"/>
          <w:kern w:val="0"/>
          <w:szCs w:val="21"/>
          <w:highlight w:val="none"/>
        </w:rPr>
      </w:pPr>
    </w:p>
    <w:p w14:paraId="00C8959D">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投标人名称（盖章）：</w:t>
      </w:r>
    </w:p>
    <w:p w14:paraId="622A18D0">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日期：     年   月   日</w:t>
      </w:r>
    </w:p>
    <w:p w14:paraId="732646C8">
      <w:pPr>
        <w:rPr>
          <w:rFonts w:ascii="宋体" w:hAnsi="宋体" w:cs="宋体"/>
          <w:color w:val="auto"/>
          <w:sz w:val="32"/>
          <w:szCs w:val="32"/>
          <w:highlight w:val="none"/>
        </w:rPr>
      </w:pPr>
      <w:bookmarkStart w:id="65" w:name="_Toc26315"/>
      <w:r>
        <w:rPr>
          <w:rFonts w:hint="eastAsia" w:ascii="宋体" w:hAnsi="宋体" w:cs="宋体"/>
          <w:color w:val="auto"/>
          <w:sz w:val="32"/>
          <w:szCs w:val="32"/>
          <w:highlight w:val="none"/>
        </w:rPr>
        <w:br w:type="page"/>
      </w:r>
    </w:p>
    <w:p w14:paraId="3E4A658A">
      <w:pPr>
        <w:snapToGrid w:val="0"/>
        <w:spacing w:line="360" w:lineRule="auto"/>
        <w:rPr>
          <w:rFonts w:ascii="宋体" w:hAnsi="宋体" w:cs="宋体"/>
          <w:bCs/>
          <w:color w:val="auto"/>
          <w:sz w:val="24"/>
          <w:szCs w:val="24"/>
          <w:highlight w:val="none"/>
        </w:rPr>
      </w:pPr>
      <w:r>
        <w:rPr>
          <w:rFonts w:hint="eastAsia" w:cs="宋体"/>
          <w:bCs/>
          <w:color w:val="auto"/>
          <w:kern w:val="0"/>
          <w:sz w:val="24"/>
          <w:szCs w:val="24"/>
          <w:highlight w:val="none"/>
        </w:rPr>
        <w:t>技术标格式十</w:t>
      </w:r>
    </w:p>
    <w:p w14:paraId="5A700D94">
      <w:pPr>
        <w:snapToGrid w:val="0"/>
        <w:spacing w:line="360" w:lineRule="auto"/>
        <w:jc w:val="center"/>
        <w:rPr>
          <w:rFonts w:ascii="宋体" w:hAnsi="宋体" w:cs="宋体"/>
          <w:bCs/>
          <w:color w:val="auto"/>
          <w:sz w:val="24"/>
          <w:szCs w:val="24"/>
          <w:highlight w:val="none"/>
        </w:rPr>
      </w:pPr>
    </w:p>
    <w:p w14:paraId="4F14EE35">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2ED3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3D3D1D6C">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14:paraId="50C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B6B4167">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33E7537B">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45BD4F94">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70F45EAD">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5C101728">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4A2D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08A73711">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DE960A8">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D0B65AD">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341DE5E">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57BC266">
            <w:pPr>
              <w:tabs>
                <w:tab w:val="left" w:pos="720"/>
              </w:tabs>
              <w:snapToGrid w:val="0"/>
              <w:spacing w:line="360" w:lineRule="auto"/>
              <w:jc w:val="center"/>
              <w:rPr>
                <w:rFonts w:ascii="宋体" w:hAnsi="宋体" w:cs="宋体"/>
                <w:color w:val="auto"/>
                <w:szCs w:val="21"/>
                <w:highlight w:val="none"/>
              </w:rPr>
            </w:pPr>
          </w:p>
        </w:tc>
      </w:tr>
      <w:tr w14:paraId="25B1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60B4595">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BEE6EB0">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3273B68">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C27D07D">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3B6C2CE5">
            <w:pPr>
              <w:tabs>
                <w:tab w:val="left" w:pos="720"/>
              </w:tabs>
              <w:snapToGrid w:val="0"/>
              <w:spacing w:line="360" w:lineRule="auto"/>
              <w:jc w:val="center"/>
              <w:rPr>
                <w:rFonts w:ascii="宋体" w:hAnsi="宋体" w:cs="宋体"/>
                <w:color w:val="auto"/>
                <w:szCs w:val="21"/>
                <w:highlight w:val="none"/>
              </w:rPr>
            </w:pPr>
          </w:p>
        </w:tc>
      </w:tr>
      <w:tr w14:paraId="179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72B3BB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40724E4">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086F55C">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94CD78F">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0C3F772">
            <w:pPr>
              <w:tabs>
                <w:tab w:val="left" w:pos="720"/>
              </w:tabs>
              <w:snapToGrid w:val="0"/>
              <w:spacing w:line="360" w:lineRule="auto"/>
              <w:jc w:val="center"/>
              <w:rPr>
                <w:rFonts w:ascii="宋体" w:hAnsi="宋体" w:cs="宋体"/>
                <w:color w:val="auto"/>
                <w:szCs w:val="21"/>
                <w:highlight w:val="none"/>
              </w:rPr>
            </w:pPr>
          </w:p>
        </w:tc>
      </w:tr>
      <w:tr w14:paraId="3C14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F78D79B">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35271D1">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F9C137E">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6D1C30D5">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3B4516E">
            <w:pPr>
              <w:tabs>
                <w:tab w:val="left" w:pos="720"/>
              </w:tabs>
              <w:snapToGrid w:val="0"/>
              <w:spacing w:line="360" w:lineRule="auto"/>
              <w:jc w:val="center"/>
              <w:rPr>
                <w:rFonts w:ascii="宋体" w:hAnsi="宋体" w:cs="宋体"/>
                <w:color w:val="auto"/>
                <w:szCs w:val="21"/>
                <w:highlight w:val="none"/>
              </w:rPr>
            </w:pPr>
          </w:p>
        </w:tc>
      </w:tr>
      <w:tr w14:paraId="48EB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F5DCB4C">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34FB1A5">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C486B5B">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1FB56D7">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5715AB8">
            <w:pPr>
              <w:tabs>
                <w:tab w:val="left" w:pos="720"/>
              </w:tabs>
              <w:snapToGrid w:val="0"/>
              <w:spacing w:line="360" w:lineRule="auto"/>
              <w:jc w:val="center"/>
              <w:rPr>
                <w:rFonts w:ascii="宋体" w:hAnsi="宋体" w:cs="宋体"/>
                <w:color w:val="auto"/>
                <w:szCs w:val="21"/>
                <w:highlight w:val="none"/>
              </w:rPr>
            </w:pPr>
          </w:p>
        </w:tc>
      </w:tr>
      <w:tr w14:paraId="5BFE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B8149BF">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737F429">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9ED8CAB">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5A977882">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577BDF3">
            <w:pPr>
              <w:tabs>
                <w:tab w:val="left" w:pos="720"/>
              </w:tabs>
              <w:snapToGrid w:val="0"/>
              <w:spacing w:line="360" w:lineRule="auto"/>
              <w:jc w:val="center"/>
              <w:rPr>
                <w:rFonts w:ascii="宋体" w:hAnsi="宋体" w:cs="宋体"/>
                <w:color w:val="auto"/>
                <w:szCs w:val="21"/>
                <w:highlight w:val="none"/>
              </w:rPr>
            </w:pPr>
          </w:p>
        </w:tc>
      </w:tr>
      <w:tr w14:paraId="1A40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A164782">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48CBF0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815CA86">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6AD3D5F6">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879B64">
            <w:pPr>
              <w:tabs>
                <w:tab w:val="left" w:pos="720"/>
              </w:tabs>
              <w:snapToGrid w:val="0"/>
              <w:spacing w:line="360" w:lineRule="auto"/>
              <w:jc w:val="center"/>
              <w:rPr>
                <w:rFonts w:ascii="宋体" w:hAnsi="宋体" w:cs="宋体"/>
                <w:color w:val="auto"/>
                <w:szCs w:val="21"/>
                <w:highlight w:val="none"/>
              </w:rPr>
            </w:pPr>
          </w:p>
        </w:tc>
      </w:tr>
      <w:tr w14:paraId="010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689FB1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DD5D3CA">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F8956E5">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64AB564">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6A4F992">
            <w:pPr>
              <w:tabs>
                <w:tab w:val="left" w:pos="720"/>
              </w:tabs>
              <w:snapToGrid w:val="0"/>
              <w:spacing w:line="360" w:lineRule="auto"/>
              <w:jc w:val="center"/>
              <w:rPr>
                <w:rFonts w:ascii="宋体" w:hAnsi="宋体" w:cs="宋体"/>
                <w:color w:val="auto"/>
                <w:szCs w:val="21"/>
                <w:highlight w:val="none"/>
              </w:rPr>
            </w:pPr>
          </w:p>
        </w:tc>
      </w:tr>
    </w:tbl>
    <w:p w14:paraId="1E83D4B7">
      <w:pPr>
        <w:autoSpaceDE w:val="0"/>
        <w:autoSpaceDN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注：1.参与编制技术标书所有人员名单应包括如编制技术投标方案、负责清样校对、负责打印及复印等所有人员在内的人员名单。</w:t>
      </w:r>
    </w:p>
    <w:p w14:paraId="4ABABFE0">
      <w:pPr>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2.上述人员须为投标单位人员，须提供</w:t>
      </w:r>
      <w:r>
        <w:rPr>
          <w:rFonts w:ascii="宋体" w:hAnsi="宋体" w:cs="宋体"/>
          <w:b/>
          <w:color w:val="auto"/>
          <w:sz w:val="24"/>
          <w:szCs w:val="24"/>
          <w:highlight w:val="none"/>
        </w:rPr>
        <w:t>2025年</w:t>
      </w: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lang w:eastAsia="zh-CN"/>
        </w:rPr>
        <w:t>月或</w:t>
      </w: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lang w:eastAsia="zh-CN"/>
        </w:rPr>
        <w:t>月</w:t>
      </w:r>
      <w:r>
        <w:rPr>
          <w:rFonts w:hint="eastAsia" w:ascii="宋体" w:hAnsi="宋体" w:cs="宋体"/>
          <w:color w:val="auto"/>
          <w:sz w:val="24"/>
          <w:szCs w:val="24"/>
          <w:highlight w:val="none"/>
        </w:rPr>
        <w:t>在本公司缴纳社保的有效社保证明。</w:t>
      </w:r>
    </w:p>
    <w:p w14:paraId="197698C8">
      <w:pPr>
        <w:pStyle w:val="2"/>
        <w:rPr>
          <w:color w:val="auto"/>
          <w:highlight w:val="none"/>
        </w:rPr>
      </w:pPr>
    </w:p>
    <w:p w14:paraId="757492BD">
      <w:pPr>
        <w:rPr>
          <w:rFonts w:ascii="宋体" w:hAnsi="宋体" w:cs="宋体"/>
          <w:color w:val="auto"/>
          <w:sz w:val="24"/>
          <w:szCs w:val="24"/>
          <w:highlight w:val="none"/>
        </w:rPr>
      </w:pPr>
    </w:p>
    <w:p w14:paraId="661F5FAD">
      <w:pPr>
        <w:rPr>
          <w:rFonts w:ascii="宋体" w:hAnsi="宋体" w:cs="宋体"/>
          <w:color w:val="auto"/>
          <w:sz w:val="24"/>
          <w:szCs w:val="24"/>
          <w:highlight w:val="none"/>
        </w:rPr>
        <w:sectPr>
          <w:pgSz w:w="11906" w:h="16838"/>
          <w:pgMar w:top="1247" w:right="1418" w:bottom="1191" w:left="1418" w:header="851" w:footer="992" w:gutter="0"/>
          <w:cols w:space="720" w:num="1"/>
          <w:docGrid w:type="lines" w:linePitch="312" w:charSpace="0"/>
        </w:sectPr>
      </w:pPr>
    </w:p>
    <w:p w14:paraId="0D5A0161">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65"/>
    </w:p>
    <w:p w14:paraId="6AC7AD97">
      <w:pPr>
        <w:widowControl/>
        <w:snapToGrid w:val="0"/>
        <w:spacing w:line="360" w:lineRule="auto"/>
        <w:jc w:val="left"/>
        <w:outlineLvl w:val="2"/>
        <w:rPr>
          <w:rFonts w:ascii="宋体" w:hAnsi="宋体" w:cs="宋体"/>
          <w:bCs/>
          <w:color w:val="auto"/>
          <w:spacing w:val="4"/>
          <w:sz w:val="24"/>
          <w:szCs w:val="24"/>
          <w:highlight w:val="none"/>
        </w:rPr>
      </w:pPr>
      <w:bookmarkStart w:id="66" w:name="_Toc16171"/>
    </w:p>
    <w:p w14:paraId="34A07066">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66"/>
    </w:p>
    <w:p w14:paraId="1D935587">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7" w:name="_Toc21286"/>
    </w:p>
    <w:p w14:paraId="29787939">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67"/>
    </w:p>
    <w:tbl>
      <w:tblPr>
        <w:tblStyle w:val="3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0D6C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43A6FF33">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0497B01E">
            <w:pPr>
              <w:autoSpaceDE w:val="0"/>
              <w:autoSpaceDN w:val="0"/>
              <w:adjustRightInd w:val="0"/>
              <w:snapToGrid w:val="0"/>
              <w:rPr>
                <w:rFonts w:ascii="宋体" w:hAnsi="宋体" w:cs="宋体"/>
                <w:bCs/>
                <w:color w:val="auto"/>
                <w:sz w:val="24"/>
                <w:szCs w:val="24"/>
                <w:highlight w:val="none"/>
                <w:lang w:val="zh-CN"/>
              </w:rPr>
            </w:pPr>
          </w:p>
        </w:tc>
      </w:tr>
      <w:tr w14:paraId="4D0E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2BDAC999">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A70E63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126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5CD0BC8D">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9663971">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3AE0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0D279FCA">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DC42AC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07DA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0CA604BB">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27E232A">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51FB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710A1BF3">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37E0F97">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6A40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6E12765B">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1BBB1364">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1FCE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656D4D61">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1CF56AD">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4620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06E62178">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032403EC">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5695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362A84B3">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64311FE">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2CD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4B18893C">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58FD14A">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14:paraId="49E6BD4C">
      <w:pPr>
        <w:widowControl/>
        <w:snapToGrid w:val="0"/>
        <w:spacing w:line="360" w:lineRule="auto"/>
        <w:jc w:val="left"/>
        <w:outlineLvl w:val="2"/>
        <w:rPr>
          <w:rFonts w:ascii="宋体" w:hAnsi="宋体" w:cs="宋体"/>
          <w:color w:val="auto"/>
          <w:kern w:val="0"/>
          <w:sz w:val="24"/>
          <w:szCs w:val="24"/>
          <w:highlight w:val="none"/>
        </w:rPr>
      </w:pPr>
    </w:p>
    <w:p w14:paraId="528A8E2E">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68" w:name="_Toc30992"/>
      <w:r>
        <w:rPr>
          <w:rFonts w:hint="eastAsia" w:ascii="宋体" w:hAnsi="宋体" w:cs="宋体"/>
          <w:bCs/>
          <w:color w:val="auto"/>
          <w:spacing w:val="4"/>
          <w:sz w:val="24"/>
          <w:szCs w:val="24"/>
          <w:highlight w:val="none"/>
        </w:rPr>
        <w:t>经济标格式二</w:t>
      </w:r>
      <w:bookmarkEnd w:id="68"/>
    </w:p>
    <w:p w14:paraId="0D5EE4EE">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9" w:name="_Toc30258"/>
      <w:r>
        <w:rPr>
          <w:rFonts w:hint="eastAsia" w:ascii="宋体" w:hAnsi="宋体" w:cs="宋体"/>
          <w:b/>
          <w:bCs/>
          <w:color w:val="auto"/>
          <w:spacing w:val="4"/>
          <w:kern w:val="0"/>
          <w:sz w:val="36"/>
          <w:szCs w:val="36"/>
          <w:highlight w:val="none"/>
        </w:rPr>
        <w:t>参与编制经济标投标文件人员名单</w:t>
      </w:r>
      <w:bookmarkEnd w:id="6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1FBB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73F349D1">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14:paraId="4524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DEB8DEA">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14:paraId="79FEE4B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14:paraId="16CA312E">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14:paraId="0992B904">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14:paraId="5C343DA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79E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69F2BB9">
            <w:pPr>
              <w:tabs>
                <w:tab w:val="left" w:pos="720"/>
              </w:tabs>
              <w:snapToGrid w:val="0"/>
              <w:jc w:val="center"/>
              <w:rPr>
                <w:rFonts w:ascii="宋体" w:hAnsi="宋体" w:cs="宋体"/>
                <w:color w:val="auto"/>
                <w:sz w:val="24"/>
                <w:szCs w:val="24"/>
                <w:highlight w:val="none"/>
              </w:rPr>
            </w:pPr>
          </w:p>
        </w:tc>
        <w:tc>
          <w:tcPr>
            <w:tcW w:w="1441" w:type="dxa"/>
            <w:noWrap/>
            <w:vAlign w:val="center"/>
          </w:tcPr>
          <w:p w14:paraId="47F6D555">
            <w:pPr>
              <w:tabs>
                <w:tab w:val="left" w:pos="720"/>
              </w:tabs>
              <w:snapToGrid w:val="0"/>
              <w:jc w:val="center"/>
              <w:rPr>
                <w:rFonts w:ascii="宋体" w:hAnsi="宋体" w:cs="宋体"/>
                <w:color w:val="auto"/>
                <w:sz w:val="24"/>
                <w:szCs w:val="24"/>
                <w:highlight w:val="none"/>
              </w:rPr>
            </w:pPr>
          </w:p>
        </w:tc>
        <w:tc>
          <w:tcPr>
            <w:tcW w:w="2461" w:type="dxa"/>
            <w:noWrap/>
            <w:vAlign w:val="center"/>
          </w:tcPr>
          <w:p w14:paraId="5F005395">
            <w:pPr>
              <w:tabs>
                <w:tab w:val="left" w:pos="720"/>
              </w:tabs>
              <w:snapToGrid w:val="0"/>
              <w:jc w:val="center"/>
              <w:rPr>
                <w:rFonts w:ascii="宋体" w:hAnsi="宋体" w:cs="宋体"/>
                <w:color w:val="auto"/>
                <w:sz w:val="24"/>
                <w:szCs w:val="24"/>
                <w:highlight w:val="none"/>
              </w:rPr>
            </w:pPr>
          </w:p>
        </w:tc>
        <w:tc>
          <w:tcPr>
            <w:tcW w:w="2359" w:type="dxa"/>
            <w:noWrap/>
            <w:vAlign w:val="center"/>
          </w:tcPr>
          <w:p w14:paraId="0FFB71DD">
            <w:pPr>
              <w:tabs>
                <w:tab w:val="left" w:pos="720"/>
              </w:tabs>
              <w:snapToGrid w:val="0"/>
              <w:jc w:val="center"/>
              <w:rPr>
                <w:rFonts w:ascii="宋体" w:hAnsi="宋体" w:cs="宋体"/>
                <w:color w:val="auto"/>
                <w:sz w:val="24"/>
                <w:szCs w:val="24"/>
                <w:highlight w:val="none"/>
              </w:rPr>
            </w:pPr>
          </w:p>
        </w:tc>
        <w:tc>
          <w:tcPr>
            <w:tcW w:w="1419" w:type="dxa"/>
            <w:noWrap/>
            <w:vAlign w:val="center"/>
          </w:tcPr>
          <w:p w14:paraId="50AD805C">
            <w:pPr>
              <w:tabs>
                <w:tab w:val="left" w:pos="720"/>
              </w:tabs>
              <w:snapToGrid w:val="0"/>
              <w:jc w:val="center"/>
              <w:rPr>
                <w:rFonts w:ascii="宋体" w:hAnsi="宋体" w:cs="宋体"/>
                <w:color w:val="auto"/>
                <w:sz w:val="24"/>
                <w:szCs w:val="24"/>
                <w:highlight w:val="none"/>
              </w:rPr>
            </w:pPr>
          </w:p>
        </w:tc>
      </w:tr>
      <w:tr w14:paraId="519D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01438C8">
            <w:pPr>
              <w:tabs>
                <w:tab w:val="left" w:pos="720"/>
              </w:tabs>
              <w:snapToGrid w:val="0"/>
              <w:jc w:val="center"/>
              <w:rPr>
                <w:rFonts w:ascii="宋体" w:hAnsi="宋体" w:cs="宋体"/>
                <w:color w:val="auto"/>
                <w:sz w:val="24"/>
                <w:szCs w:val="24"/>
                <w:highlight w:val="none"/>
              </w:rPr>
            </w:pPr>
          </w:p>
        </w:tc>
        <w:tc>
          <w:tcPr>
            <w:tcW w:w="1441" w:type="dxa"/>
            <w:noWrap/>
            <w:vAlign w:val="center"/>
          </w:tcPr>
          <w:p w14:paraId="2D4FC606">
            <w:pPr>
              <w:tabs>
                <w:tab w:val="left" w:pos="720"/>
              </w:tabs>
              <w:snapToGrid w:val="0"/>
              <w:jc w:val="center"/>
              <w:rPr>
                <w:rFonts w:ascii="宋体" w:hAnsi="宋体" w:cs="宋体"/>
                <w:color w:val="auto"/>
                <w:sz w:val="24"/>
                <w:szCs w:val="24"/>
                <w:highlight w:val="none"/>
              </w:rPr>
            </w:pPr>
          </w:p>
        </w:tc>
        <w:tc>
          <w:tcPr>
            <w:tcW w:w="2461" w:type="dxa"/>
            <w:noWrap/>
            <w:vAlign w:val="center"/>
          </w:tcPr>
          <w:p w14:paraId="654353D7">
            <w:pPr>
              <w:tabs>
                <w:tab w:val="left" w:pos="720"/>
              </w:tabs>
              <w:snapToGrid w:val="0"/>
              <w:jc w:val="center"/>
              <w:rPr>
                <w:rFonts w:ascii="宋体" w:hAnsi="宋体" w:cs="宋体"/>
                <w:color w:val="auto"/>
                <w:sz w:val="24"/>
                <w:szCs w:val="24"/>
                <w:highlight w:val="none"/>
              </w:rPr>
            </w:pPr>
          </w:p>
        </w:tc>
        <w:tc>
          <w:tcPr>
            <w:tcW w:w="2359" w:type="dxa"/>
            <w:noWrap/>
            <w:vAlign w:val="center"/>
          </w:tcPr>
          <w:p w14:paraId="72660DFD">
            <w:pPr>
              <w:tabs>
                <w:tab w:val="left" w:pos="720"/>
              </w:tabs>
              <w:snapToGrid w:val="0"/>
              <w:jc w:val="center"/>
              <w:rPr>
                <w:rFonts w:ascii="宋体" w:hAnsi="宋体" w:cs="宋体"/>
                <w:color w:val="auto"/>
                <w:sz w:val="24"/>
                <w:szCs w:val="24"/>
                <w:highlight w:val="none"/>
              </w:rPr>
            </w:pPr>
          </w:p>
        </w:tc>
        <w:tc>
          <w:tcPr>
            <w:tcW w:w="1419" w:type="dxa"/>
            <w:noWrap/>
            <w:vAlign w:val="center"/>
          </w:tcPr>
          <w:p w14:paraId="56D3E846">
            <w:pPr>
              <w:tabs>
                <w:tab w:val="left" w:pos="720"/>
              </w:tabs>
              <w:snapToGrid w:val="0"/>
              <w:jc w:val="center"/>
              <w:rPr>
                <w:rFonts w:ascii="宋体" w:hAnsi="宋体" w:cs="宋体"/>
                <w:color w:val="auto"/>
                <w:sz w:val="24"/>
                <w:szCs w:val="24"/>
                <w:highlight w:val="none"/>
              </w:rPr>
            </w:pPr>
          </w:p>
        </w:tc>
      </w:tr>
      <w:tr w14:paraId="16D9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1BFA03B">
            <w:pPr>
              <w:tabs>
                <w:tab w:val="left" w:pos="720"/>
              </w:tabs>
              <w:snapToGrid w:val="0"/>
              <w:jc w:val="center"/>
              <w:rPr>
                <w:rFonts w:ascii="宋体" w:hAnsi="宋体" w:cs="宋体"/>
                <w:color w:val="auto"/>
                <w:sz w:val="24"/>
                <w:szCs w:val="24"/>
                <w:highlight w:val="none"/>
              </w:rPr>
            </w:pPr>
          </w:p>
        </w:tc>
        <w:tc>
          <w:tcPr>
            <w:tcW w:w="1441" w:type="dxa"/>
            <w:noWrap/>
            <w:vAlign w:val="center"/>
          </w:tcPr>
          <w:p w14:paraId="579406DE">
            <w:pPr>
              <w:tabs>
                <w:tab w:val="left" w:pos="720"/>
              </w:tabs>
              <w:snapToGrid w:val="0"/>
              <w:jc w:val="center"/>
              <w:rPr>
                <w:rFonts w:ascii="宋体" w:hAnsi="宋体" w:cs="宋体"/>
                <w:color w:val="auto"/>
                <w:sz w:val="24"/>
                <w:szCs w:val="24"/>
                <w:highlight w:val="none"/>
              </w:rPr>
            </w:pPr>
          </w:p>
        </w:tc>
        <w:tc>
          <w:tcPr>
            <w:tcW w:w="2461" w:type="dxa"/>
            <w:noWrap/>
            <w:vAlign w:val="center"/>
          </w:tcPr>
          <w:p w14:paraId="2254F67E">
            <w:pPr>
              <w:tabs>
                <w:tab w:val="left" w:pos="720"/>
              </w:tabs>
              <w:snapToGrid w:val="0"/>
              <w:jc w:val="center"/>
              <w:rPr>
                <w:rFonts w:ascii="宋体" w:hAnsi="宋体" w:cs="宋体"/>
                <w:color w:val="auto"/>
                <w:sz w:val="24"/>
                <w:szCs w:val="24"/>
                <w:highlight w:val="none"/>
              </w:rPr>
            </w:pPr>
          </w:p>
        </w:tc>
        <w:tc>
          <w:tcPr>
            <w:tcW w:w="2359" w:type="dxa"/>
            <w:noWrap/>
            <w:vAlign w:val="center"/>
          </w:tcPr>
          <w:p w14:paraId="2E7DE9AE">
            <w:pPr>
              <w:tabs>
                <w:tab w:val="left" w:pos="720"/>
              </w:tabs>
              <w:snapToGrid w:val="0"/>
              <w:jc w:val="center"/>
              <w:rPr>
                <w:rFonts w:ascii="宋体" w:hAnsi="宋体" w:cs="宋体"/>
                <w:color w:val="auto"/>
                <w:sz w:val="24"/>
                <w:szCs w:val="24"/>
                <w:highlight w:val="none"/>
              </w:rPr>
            </w:pPr>
          </w:p>
        </w:tc>
        <w:tc>
          <w:tcPr>
            <w:tcW w:w="1419" w:type="dxa"/>
            <w:noWrap/>
            <w:vAlign w:val="center"/>
          </w:tcPr>
          <w:p w14:paraId="3C3F074D">
            <w:pPr>
              <w:tabs>
                <w:tab w:val="left" w:pos="720"/>
              </w:tabs>
              <w:snapToGrid w:val="0"/>
              <w:jc w:val="center"/>
              <w:rPr>
                <w:rFonts w:ascii="宋体" w:hAnsi="宋体" w:cs="宋体"/>
                <w:color w:val="auto"/>
                <w:sz w:val="24"/>
                <w:szCs w:val="24"/>
                <w:highlight w:val="none"/>
              </w:rPr>
            </w:pPr>
          </w:p>
        </w:tc>
      </w:tr>
      <w:tr w14:paraId="493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6D1BD8E">
            <w:pPr>
              <w:tabs>
                <w:tab w:val="left" w:pos="720"/>
              </w:tabs>
              <w:snapToGrid w:val="0"/>
              <w:jc w:val="center"/>
              <w:rPr>
                <w:rFonts w:ascii="宋体" w:hAnsi="宋体" w:cs="宋体"/>
                <w:color w:val="auto"/>
                <w:sz w:val="24"/>
                <w:szCs w:val="24"/>
                <w:highlight w:val="none"/>
              </w:rPr>
            </w:pPr>
          </w:p>
        </w:tc>
        <w:tc>
          <w:tcPr>
            <w:tcW w:w="1441" w:type="dxa"/>
            <w:noWrap/>
            <w:vAlign w:val="center"/>
          </w:tcPr>
          <w:p w14:paraId="37B7C685">
            <w:pPr>
              <w:tabs>
                <w:tab w:val="left" w:pos="720"/>
              </w:tabs>
              <w:snapToGrid w:val="0"/>
              <w:jc w:val="center"/>
              <w:rPr>
                <w:rFonts w:ascii="宋体" w:hAnsi="宋体" w:cs="宋体"/>
                <w:color w:val="auto"/>
                <w:sz w:val="24"/>
                <w:szCs w:val="24"/>
                <w:highlight w:val="none"/>
              </w:rPr>
            </w:pPr>
          </w:p>
        </w:tc>
        <w:tc>
          <w:tcPr>
            <w:tcW w:w="2461" w:type="dxa"/>
            <w:noWrap/>
            <w:vAlign w:val="center"/>
          </w:tcPr>
          <w:p w14:paraId="7254762E">
            <w:pPr>
              <w:tabs>
                <w:tab w:val="left" w:pos="720"/>
              </w:tabs>
              <w:snapToGrid w:val="0"/>
              <w:jc w:val="center"/>
              <w:rPr>
                <w:rFonts w:ascii="宋体" w:hAnsi="宋体" w:cs="宋体"/>
                <w:color w:val="auto"/>
                <w:sz w:val="24"/>
                <w:szCs w:val="24"/>
                <w:highlight w:val="none"/>
              </w:rPr>
            </w:pPr>
          </w:p>
        </w:tc>
        <w:tc>
          <w:tcPr>
            <w:tcW w:w="2359" w:type="dxa"/>
            <w:noWrap/>
            <w:vAlign w:val="center"/>
          </w:tcPr>
          <w:p w14:paraId="56AB221A">
            <w:pPr>
              <w:tabs>
                <w:tab w:val="left" w:pos="720"/>
              </w:tabs>
              <w:snapToGrid w:val="0"/>
              <w:jc w:val="center"/>
              <w:rPr>
                <w:rFonts w:ascii="宋体" w:hAnsi="宋体" w:cs="宋体"/>
                <w:color w:val="auto"/>
                <w:sz w:val="24"/>
                <w:szCs w:val="24"/>
                <w:highlight w:val="none"/>
              </w:rPr>
            </w:pPr>
          </w:p>
        </w:tc>
        <w:tc>
          <w:tcPr>
            <w:tcW w:w="1419" w:type="dxa"/>
            <w:noWrap/>
            <w:vAlign w:val="center"/>
          </w:tcPr>
          <w:p w14:paraId="48F6ED24">
            <w:pPr>
              <w:tabs>
                <w:tab w:val="left" w:pos="720"/>
              </w:tabs>
              <w:snapToGrid w:val="0"/>
              <w:jc w:val="center"/>
              <w:rPr>
                <w:rFonts w:ascii="宋体" w:hAnsi="宋体" w:cs="宋体"/>
                <w:color w:val="auto"/>
                <w:sz w:val="24"/>
                <w:szCs w:val="24"/>
                <w:highlight w:val="none"/>
              </w:rPr>
            </w:pPr>
          </w:p>
        </w:tc>
      </w:tr>
      <w:tr w14:paraId="4A0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F4BB3C6">
            <w:pPr>
              <w:tabs>
                <w:tab w:val="left" w:pos="720"/>
              </w:tabs>
              <w:snapToGrid w:val="0"/>
              <w:jc w:val="center"/>
              <w:rPr>
                <w:rFonts w:ascii="宋体" w:hAnsi="宋体" w:cs="宋体"/>
                <w:color w:val="auto"/>
                <w:sz w:val="24"/>
                <w:szCs w:val="24"/>
                <w:highlight w:val="none"/>
              </w:rPr>
            </w:pPr>
          </w:p>
        </w:tc>
        <w:tc>
          <w:tcPr>
            <w:tcW w:w="1441" w:type="dxa"/>
            <w:noWrap/>
            <w:vAlign w:val="center"/>
          </w:tcPr>
          <w:p w14:paraId="2C1B64F7">
            <w:pPr>
              <w:tabs>
                <w:tab w:val="left" w:pos="720"/>
              </w:tabs>
              <w:snapToGrid w:val="0"/>
              <w:jc w:val="center"/>
              <w:rPr>
                <w:rFonts w:ascii="宋体" w:hAnsi="宋体" w:cs="宋体"/>
                <w:color w:val="auto"/>
                <w:sz w:val="24"/>
                <w:szCs w:val="24"/>
                <w:highlight w:val="none"/>
              </w:rPr>
            </w:pPr>
          </w:p>
        </w:tc>
        <w:tc>
          <w:tcPr>
            <w:tcW w:w="2461" w:type="dxa"/>
            <w:noWrap/>
            <w:vAlign w:val="center"/>
          </w:tcPr>
          <w:p w14:paraId="3C57ED66">
            <w:pPr>
              <w:tabs>
                <w:tab w:val="left" w:pos="720"/>
              </w:tabs>
              <w:snapToGrid w:val="0"/>
              <w:jc w:val="center"/>
              <w:rPr>
                <w:rFonts w:ascii="宋体" w:hAnsi="宋体" w:cs="宋体"/>
                <w:color w:val="auto"/>
                <w:sz w:val="24"/>
                <w:szCs w:val="24"/>
                <w:highlight w:val="none"/>
              </w:rPr>
            </w:pPr>
          </w:p>
        </w:tc>
        <w:tc>
          <w:tcPr>
            <w:tcW w:w="2359" w:type="dxa"/>
            <w:noWrap/>
            <w:vAlign w:val="center"/>
          </w:tcPr>
          <w:p w14:paraId="19823CDF">
            <w:pPr>
              <w:tabs>
                <w:tab w:val="left" w:pos="720"/>
              </w:tabs>
              <w:snapToGrid w:val="0"/>
              <w:jc w:val="center"/>
              <w:rPr>
                <w:rFonts w:ascii="宋体" w:hAnsi="宋体" w:cs="宋体"/>
                <w:color w:val="auto"/>
                <w:sz w:val="24"/>
                <w:szCs w:val="24"/>
                <w:highlight w:val="none"/>
              </w:rPr>
            </w:pPr>
          </w:p>
        </w:tc>
        <w:tc>
          <w:tcPr>
            <w:tcW w:w="1419" w:type="dxa"/>
            <w:noWrap/>
            <w:vAlign w:val="center"/>
          </w:tcPr>
          <w:p w14:paraId="426832B1">
            <w:pPr>
              <w:tabs>
                <w:tab w:val="left" w:pos="720"/>
              </w:tabs>
              <w:snapToGrid w:val="0"/>
              <w:jc w:val="center"/>
              <w:rPr>
                <w:rFonts w:ascii="宋体" w:hAnsi="宋体" w:cs="宋体"/>
                <w:color w:val="auto"/>
                <w:sz w:val="24"/>
                <w:szCs w:val="24"/>
                <w:highlight w:val="none"/>
              </w:rPr>
            </w:pPr>
          </w:p>
        </w:tc>
      </w:tr>
      <w:tr w14:paraId="709D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B7EB568">
            <w:pPr>
              <w:tabs>
                <w:tab w:val="left" w:pos="720"/>
              </w:tabs>
              <w:snapToGrid w:val="0"/>
              <w:jc w:val="center"/>
              <w:rPr>
                <w:rFonts w:ascii="宋体" w:hAnsi="宋体" w:cs="宋体"/>
                <w:color w:val="auto"/>
                <w:sz w:val="24"/>
                <w:szCs w:val="24"/>
                <w:highlight w:val="none"/>
              </w:rPr>
            </w:pPr>
          </w:p>
        </w:tc>
        <w:tc>
          <w:tcPr>
            <w:tcW w:w="1441" w:type="dxa"/>
            <w:noWrap/>
            <w:vAlign w:val="center"/>
          </w:tcPr>
          <w:p w14:paraId="7E5E308B">
            <w:pPr>
              <w:tabs>
                <w:tab w:val="left" w:pos="720"/>
              </w:tabs>
              <w:snapToGrid w:val="0"/>
              <w:jc w:val="center"/>
              <w:rPr>
                <w:rFonts w:ascii="宋体" w:hAnsi="宋体" w:cs="宋体"/>
                <w:color w:val="auto"/>
                <w:sz w:val="24"/>
                <w:szCs w:val="24"/>
                <w:highlight w:val="none"/>
              </w:rPr>
            </w:pPr>
          </w:p>
        </w:tc>
        <w:tc>
          <w:tcPr>
            <w:tcW w:w="2461" w:type="dxa"/>
            <w:noWrap/>
            <w:vAlign w:val="center"/>
          </w:tcPr>
          <w:p w14:paraId="319DA533">
            <w:pPr>
              <w:tabs>
                <w:tab w:val="left" w:pos="720"/>
              </w:tabs>
              <w:snapToGrid w:val="0"/>
              <w:jc w:val="center"/>
              <w:rPr>
                <w:rFonts w:ascii="宋体" w:hAnsi="宋体" w:cs="宋体"/>
                <w:color w:val="auto"/>
                <w:sz w:val="24"/>
                <w:szCs w:val="24"/>
                <w:highlight w:val="none"/>
              </w:rPr>
            </w:pPr>
          </w:p>
        </w:tc>
        <w:tc>
          <w:tcPr>
            <w:tcW w:w="2359" w:type="dxa"/>
            <w:noWrap/>
            <w:vAlign w:val="center"/>
          </w:tcPr>
          <w:p w14:paraId="4828A320">
            <w:pPr>
              <w:tabs>
                <w:tab w:val="left" w:pos="720"/>
              </w:tabs>
              <w:snapToGrid w:val="0"/>
              <w:jc w:val="center"/>
              <w:rPr>
                <w:rFonts w:ascii="宋体" w:hAnsi="宋体" w:cs="宋体"/>
                <w:color w:val="auto"/>
                <w:sz w:val="24"/>
                <w:szCs w:val="24"/>
                <w:highlight w:val="none"/>
              </w:rPr>
            </w:pPr>
          </w:p>
        </w:tc>
        <w:tc>
          <w:tcPr>
            <w:tcW w:w="1419" w:type="dxa"/>
            <w:noWrap/>
            <w:vAlign w:val="center"/>
          </w:tcPr>
          <w:p w14:paraId="0B843189">
            <w:pPr>
              <w:tabs>
                <w:tab w:val="left" w:pos="720"/>
              </w:tabs>
              <w:snapToGrid w:val="0"/>
              <w:jc w:val="center"/>
              <w:rPr>
                <w:rFonts w:ascii="宋体" w:hAnsi="宋体" w:cs="宋体"/>
                <w:color w:val="auto"/>
                <w:sz w:val="24"/>
                <w:szCs w:val="24"/>
                <w:highlight w:val="none"/>
              </w:rPr>
            </w:pPr>
          </w:p>
        </w:tc>
      </w:tr>
      <w:tr w14:paraId="75F9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7AFD0B8">
            <w:pPr>
              <w:tabs>
                <w:tab w:val="left" w:pos="720"/>
              </w:tabs>
              <w:snapToGrid w:val="0"/>
              <w:jc w:val="center"/>
              <w:rPr>
                <w:rFonts w:ascii="宋体" w:hAnsi="宋体" w:cs="宋体"/>
                <w:color w:val="auto"/>
                <w:sz w:val="24"/>
                <w:szCs w:val="24"/>
                <w:highlight w:val="none"/>
              </w:rPr>
            </w:pPr>
          </w:p>
        </w:tc>
        <w:tc>
          <w:tcPr>
            <w:tcW w:w="1441" w:type="dxa"/>
            <w:noWrap/>
            <w:vAlign w:val="center"/>
          </w:tcPr>
          <w:p w14:paraId="55FDD677">
            <w:pPr>
              <w:tabs>
                <w:tab w:val="left" w:pos="720"/>
              </w:tabs>
              <w:snapToGrid w:val="0"/>
              <w:jc w:val="center"/>
              <w:rPr>
                <w:rFonts w:ascii="宋体" w:hAnsi="宋体" w:cs="宋体"/>
                <w:color w:val="auto"/>
                <w:sz w:val="24"/>
                <w:szCs w:val="24"/>
                <w:highlight w:val="none"/>
              </w:rPr>
            </w:pPr>
          </w:p>
        </w:tc>
        <w:tc>
          <w:tcPr>
            <w:tcW w:w="2461" w:type="dxa"/>
            <w:noWrap/>
            <w:vAlign w:val="center"/>
          </w:tcPr>
          <w:p w14:paraId="5824E805">
            <w:pPr>
              <w:tabs>
                <w:tab w:val="left" w:pos="720"/>
              </w:tabs>
              <w:snapToGrid w:val="0"/>
              <w:jc w:val="center"/>
              <w:rPr>
                <w:rFonts w:ascii="宋体" w:hAnsi="宋体" w:cs="宋体"/>
                <w:color w:val="auto"/>
                <w:sz w:val="24"/>
                <w:szCs w:val="24"/>
                <w:highlight w:val="none"/>
              </w:rPr>
            </w:pPr>
          </w:p>
        </w:tc>
        <w:tc>
          <w:tcPr>
            <w:tcW w:w="2359" w:type="dxa"/>
            <w:noWrap/>
            <w:vAlign w:val="center"/>
          </w:tcPr>
          <w:p w14:paraId="124CB633">
            <w:pPr>
              <w:tabs>
                <w:tab w:val="left" w:pos="720"/>
              </w:tabs>
              <w:snapToGrid w:val="0"/>
              <w:jc w:val="center"/>
              <w:rPr>
                <w:rFonts w:ascii="宋体" w:hAnsi="宋体" w:cs="宋体"/>
                <w:color w:val="auto"/>
                <w:sz w:val="24"/>
                <w:szCs w:val="24"/>
                <w:highlight w:val="none"/>
              </w:rPr>
            </w:pPr>
          </w:p>
        </w:tc>
        <w:tc>
          <w:tcPr>
            <w:tcW w:w="1419" w:type="dxa"/>
            <w:noWrap/>
            <w:vAlign w:val="center"/>
          </w:tcPr>
          <w:p w14:paraId="112F3F2A">
            <w:pPr>
              <w:tabs>
                <w:tab w:val="left" w:pos="720"/>
              </w:tabs>
              <w:snapToGrid w:val="0"/>
              <w:jc w:val="center"/>
              <w:rPr>
                <w:rFonts w:ascii="宋体" w:hAnsi="宋体" w:cs="宋体"/>
                <w:color w:val="auto"/>
                <w:sz w:val="24"/>
                <w:szCs w:val="24"/>
                <w:highlight w:val="none"/>
              </w:rPr>
            </w:pPr>
          </w:p>
        </w:tc>
      </w:tr>
      <w:tr w14:paraId="6241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1048FD3">
            <w:pPr>
              <w:tabs>
                <w:tab w:val="left" w:pos="720"/>
              </w:tabs>
              <w:snapToGrid w:val="0"/>
              <w:jc w:val="center"/>
              <w:rPr>
                <w:rFonts w:ascii="宋体" w:hAnsi="宋体" w:cs="宋体"/>
                <w:color w:val="auto"/>
                <w:sz w:val="24"/>
                <w:szCs w:val="24"/>
                <w:highlight w:val="none"/>
              </w:rPr>
            </w:pPr>
          </w:p>
        </w:tc>
        <w:tc>
          <w:tcPr>
            <w:tcW w:w="1441" w:type="dxa"/>
            <w:noWrap/>
            <w:vAlign w:val="center"/>
          </w:tcPr>
          <w:p w14:paraId="1BE4F2E2">
            <w:pPr>
              <w:tabs>
                <w:tab w:val="left" w:pos="720"/>
              </w:tabs>
              <w:snapToGrid w:val="0"/>
              <w:jc w:val="center"/>
              <w:rPr>
                <w:rFonts w:ascii="宋体" w:hAnsi="宋体" w:cs="宋体"/>
                <w:color w:val="auto"/>
                <w:sz w:val="24"/>
                <w:szCs w:val="24"/>
                <w:highlight w:val="none"/>
              </w:rPr>
            </w:pPr>
          </w:p>
        </w:tc>
        <w:tc>
          <w:tcPr>
            <w:tcW w:w="2461" w:type="dxa"/>
            <w:noWrap/>
            <w:vAlign w:val="center"/>
          </w:tcPr>
          <w:p w14:paraId="4717BD11">
            <w:pPr>
              <w:tabs>
                <w:tab w:val="left" w:pos="720"/>
              </w:tabs>
              <w:snapToGrid w:val="0"/>
              <w:jc w:val="center"/>
              <w:rPr>
                <w:rFonts w:ascii="宋体" w:hAnsi="宋体" w:cs="宋体"/>
                <w:color w:val="auto"/>
                <w:sz w:val="24"/>
                <w:szCs w:val="24"/>
                <w:highlight w:val="none"/>
              </w:rPr>
            </w:pPr>
          </w:p>
        </w:tc>
        <w:tc>
          <w:tcPr>
            <w:tcW w:w="2359" w:type="dxa"/>
            <w:noWrap/>
            <w:vAlign w:val="center"/>
          </w:tcPr>
          <w:p w14:paraId="73A12F76">
            <w:pPr>
              <w:tabs>
                <w:tab w:val="left" w:pos="720"/>
              </w:tabs>
              <w:snapToGrid w:val="0"/>
              <w:jc w:val="center"/>
              <w:rPr>
                <w:rFonts w:ascii="宋体" w:hAnsi="宋体" w:cs="宋体"/>
                <w:color w:val="auto"/>
                <w:sz w:val="24"/>
                <w:szCs w:val="24"/>
                <w:highlight w:val="none"/>
              </w:rPr>
            </w:pPr>
          </w:p>
        </w:tc>
        <w:tc>
          <w:tcPr>
            <w:tcW w:w="1419" w:type="dxa"/>
            <w:noWrap/>
            <w:vAlign w:val="center"/>
          </w:tcPr>
          <w:p w14:paraId="19284D3A">
            <w:pPr>
              <w:tabs>
                <w:tab w:val="left" w:pos="720"/>
              </w:tabs>
              <w:snapToGrid w:val="0"/>
              <w:jc w:val="center"/>
              <w:rPr>
                <w:rFonts w:ascii="宋体" w:hAnsi="宋体" w:cs="宋体"/>
                <w:color w:val="auto"/>
                <w:sz w:val="24"/>
                <w:szCs w:val="24"/>
                <w:highlight w:val="none"/>
              </w:rPr>
            </w:pPr>
          </w:p>
        </w:tc>
      </w:tr>
    </w:tbl>
    <w:p w14:paraId="1CA0B82B">
      <w:pPr>
        <w:tabs>
          <w:tab w:val="left" w:pos="720"/>
        </w:tabs>
        <w:snapToGrid w:val="0"/>
        <w:spacing w:line="360" w:lineRule="auto"/>
        <w:rPr>
          <w:rFonts w:ascii="宋体" w:hAnsi="宋体" w:cs="宋体"/>
          <w:color w:val="auto"/>
          <w:sz w:val="24"/>
          <w:szCs w:val="24"/>
          <w:highlight w:val="none"/>
        </w:rPr>
      </w:pPr>
    </w:p>
    <w:p w14:paraId="2CFDEFBA">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注：1.参与编制经济标书所有人员名单应包括如编制各种专业工程量清单投标报价、负责清样校对、负责打印及复印等所有人员在内的人员名单。</w:t>
      </w:r>
    </w:p>
    <w:p w14:paraId="7D7764DC">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2.上述人员须为投标单位人员，须提供</w:t>
      </w:r>
      <w:r>
        <w:rPr>
          <w:rFonts w:ascii="宋体" w:hAnsi="宋体" w:cs="宋体"/>
          <w:b/>
          <w:color w:val="auto"/>
          <w:spacing w:val="4"/>
          <w:kern w:val="0"/>
          <w:sz w:val="24"/>
          <w:szCs w:val="24"/>
          <w:highlight w:val="none"/>
        </w:rPr>
        <w:t>2025年</w:t>
      </w:r>
      <w:r>
        <w:rPr>
          <w:rFonts w:hint="eastAsia" w:ascii="宋体" w:hAnsi="宋体" w:cs="宋体"/>
          <w:b/>
          <w:color w:val="auto"/>
          <w:spacing w:val="4"/>
          <w:kern w:val="0"/>
          <w:sz w:val="24"/>
          <w:szCs w:val="24"/>
          <w:highlight w:val="none"/>
          <w:lang w:val="en-US" w:eastAsia="zh-CN"/>
        </w:rPr>
        <w:t>9</w:t>
      </w:r>
      <w:r>
        <w:rPr>
          <w:rFonts w:hint="eastAsia" w:ascii="宋体" w:hAnsi="宋体" w:cs="宋体"/>
          <w:b/>
          <w:color w:val="auto"/>
          <w:spacing w:val="4"/>
          <w:kern w:val="0"/>
          <w:sz w:val="24"/>
          <w:szCs w:val="24"/>
          <w:highlight w:val="none"/>
          <w:lang w:eastAsia="zh-CN"/>
        </w:rPr>
        <w:t>月或</w:t>
      </w:r>
      <w:r>
        <w:rPr>
          <w:rFonts w:hint="eastAsia" w:ascii="宋体" w:hAnsi="宋体" w:cs="宋体"/>
          <w:b/>
          <w:color w:val="auto"/>
          <w:spacing w:val="4"/>
          <w:kern w:val="0"/>
          <w:sz w:val="24"/>
          <w:szCs w:val="24"/>
          <w:highlight w:val="none"/>
          <w:lang w:val="en-US" w:eastAsia="zh-CN"/>
        </w:rPr>
        <w:t>10</w:t>
      </w:r>
      <w:r>
        <w:rPr>
          <w:rFonts w:hint="eastAsia" w:ascii="宋体" w:hAnsi="宋体" w:cs="宋体"/>
          <w:b/>
          <w:color w:val="auto"/>
          <w:spacing w:val="4"/>
          <w:kern w:val="0"/>
          <w:sz w:val="24"/>
          <w:szCs w:val="24"/>
          <w:highlight w:val="none"/>
          <w:lang w:eastAsia="zh-CN"/>
        </w:rPr>
        <w:t>月</w:t>
      </w:r>
      <w:r>
        <w:rPr>
          <w:rFonts w:hint="eastAsia" w:ascii="宋体" w:hAnsi="宋体" w:cs="宋体"/>
          <w:color w:val="auto"/>
          <w:spacing w:val="4"/>
          <w:kern w:val="0"/>
          <w:sz w:val="24"/>
          <w:szCs w:val="24"/>
          <w:highlight w:val="none"/>
        </w:rPr>
        <w:t>在本公司缴纳社保的有效社保证明。</w:t>
      </w:r>
    </w:p>
    <w:p w14:paraId="0F097DF6">
      <w:pPr>
        <w:snapToGrid w:val="0"/>
        <w:spacing w:line="360" w:lineRule="auto"/>
        <w:rPr>
          <w:rFonts w:ascii="宋体" w:hAnsi="宋体" w:cs="宋体"/>
          <w:color w:val="auto"/>
          <w:szCs w:val="21"/>
          <w:highlight w:val="none"/>
        </w:rPr>
      </w:pPr>
    </w:p>
    <w:p w14:paraId="1F86849C">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14:paraId="269CA261">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14:paraId="1C01BFBC">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70" w:name="_Toc13531"/>
      <w:r>
        <w:rPr>
          <w:rFonts w:hint="eastAsia" w:ascii="宋体" w:hAnsi="宋体" w:cs="宋体"/>
          <w:b/>
          <w:bCs/>
          <w:color w:val="auto"/>
          <w:spacing w:val="4"/>
          <w:kern w:val="0"/>
          <w:sz w:val="36"/>
          <w:szCs w:val="36"/>
          <w:highlight w:val="none"/>
        </w:rPr>
        <w:t>对投标文件编制的承诺</w:t>
      </w:r>
      <w:bookmarkEnd w:id="70"/>
    </w:p>
    <w:p w14:paraId="1E68052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rPr>
        <w:t xml:space="preserve">        </w:t>
      </w:r>
      <w:r>
        <w:rPr>
          <w:rFonts w:hint="eastAsia" w:ascii="宋体" w:hAnsi="宋体" w:cs="宋体"/>
          <w:color w:val="auto"/>
          <w:kern w:val="0"/>
          <w:sz w:val="24"/>
          <w:szCs w:val="24"/>
          <w:highlight w:val="none"/>
          <w:u w:val="single"/>
        </w:rPr>
        <w:t>（身份证号：                ）</w:t>
      </w:r>
      <w:r>
        <w:rPr>
          <w:rFonts w:hint="eastAsia" w:ascii="宋体" w:hAnsi="宋体" w:cs="宋体"/>
          <w:color w:val="auto"/>
          <w:kern w:val="0"/>
          <w:sz w:val="24"/>
          <w:szCs w:val="24"/>
          <w:highlight w:val="none"/>
        </w:rPr>
        <w:t>负责对投标文件的编制及内容进行解释、说明，并承诺以下事项：</w:t>
      </w:r>
    </w:p>
    <w:p w14:paraId="5B540B83">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14:paraId="7B607E9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14:paraId="5C9C04CE">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14:paraId="338340C6">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14:paraId="4F769DBF">
      <w:pPr>
        <w:snapToGrid w:val="0"/>
        <w:spacing w:line="360" w:lineRule="auto"/>
        <w:ind w:firstLine="360" w:firstLineChars="150"/>
        <w:rPr>
          <w:rFonts w:ascii="宋体" w:hAnsi="宋体" w:cs="宋体"/>
          <w:color w:val="auto"/>
          <w:kern w:val="0"/>
          <w:sz w:val="24"/>
          <w:szCs w:val="24"/>
          <w:highlight w:val="none"/>
        </w:rPr>
      </w:pPr>
    </w:p>
    <w:p w14:paraId="3339FF1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14:paraId="31217B6C">
      <w:pPr>
        <w:snapToGrid w:val="0"/>
        <w:spacing w:line="360" w:lineRule="auto"/>
        <w:ind w:right="90" w:firstLine="3240" w:firstLineChars="1350"/>
        <w:rPr>
          <w:rFonts w:ascii="宋体" w:hAnsi="宋体" w:cs="宋体"/>
          <w:color w:val="auto"/>
          <w:sz w:val="24"/>
          <w:szCs w:val="24"/>
          <w:highlight w:val="none"/>
        </w:rPr>
      </w:pPr>
    </w:p>
    <w:p w14:paraId="75499E92">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投标人名称（盖章）：</w:t>
      </w:r>
    </w:p>
    <w:p w14:paraId="7AE879D6">
      <w:pPr>
        <w:snapToGrid w:val="0"/>
        <w:spacing w:line="360" w:lineRule="auto"/>
        <w:ind w:firstLine="4080" w:firstLineChars="1700"/>
        <w:outlineLvl w:val="1"/>
        <w:rPr>
          <w:rFonts w:ascii="宋体" w:hAnsi="宋体" w:cs="宋体"/>
          <w:color w:val="auto"/>
          <w:sz w:val="24"/>
          <w:szCs w:val="24"/>
          <w:highlight w:val="none"/>
        </w:rPr>
      </w:pPr>
      <w:bookmarkStart w:id="71" w:name="_Toc3751"/>
      <w:r>
        <w:rPr>
          <w:rFonts w:hint="eastAsia" w:ascii="宋体" w:hAnsi="宋体" w:cs="宋体"/>
          <w:color w:val="auto"/>
          <w:sz w:val="24"/>
          <w:szCs w:val="24"/>
          <w:highlight w:val="none"/>
        </w:rPr>
        <w:t>日期：    年   月   日</w:t>
      </w:r>
      <w:bookmarkEnd w:id="71"/>
    </w:p>
    <w:p w14:paraId="766F4513">
      <w:pPr>
        <w:rPr>
          <w:rFonts w:ascii="宋体" w:hAnsi="宋体" w:cs="宋体"/>
          <w:color w:val="auto"/>
          <w:szCs w:val="21"/>
          <w:highlight w:val="none"/>
        </w:rPr>
      </w:pPr>
    </w:p>
    <w:p w14:paraId="295A2833">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72" w:name="_Toc22554"/>
      <w:r>
        <w:rPr>
          <w:rFonts w:hint="eastAsia" w:ascii="宋体" w:hAnsi="宋体" w:cs="宋体"/>
          <w:b/>
          <w:bCs/>
          <w:color w:val="auto"/>
          <w:spacing w:val="4"/>
          <w:kern w:val="0"/>
          <w:sz w:val="36"/>
          <w:szCs w:val="36"/>
          <w:highlight w:val="none"/>
        </w:rPr>
        <w:t>投标文件编制情况</w:t>
      </w:r>
      <w:bookmarkEnd w:id="72"/>
    </w:p>
    <w:p w14:paraId="559F07EA">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14:paraId="5DDB630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3"/>
        <w:tblW w:w="0" w:type="auto"/>
        <w:tblInd w:w="0" w:type="dxa"/>
        <w:tblLayout w:type="fixed"/>
        <w:tblCellMar>
          <w:top w:w="0" w:type="dxa"/>
          <w:left w:w="108" w:type="dxa"/>
          <w:bottom w:w="0" w:type="dxa"/>
          <w:right w:w="108" w:type="dxa"/>
        </w:tblCellMar>
      </w:tblPr>
      <w:tblGrid>
        <w:gridCol w:w="9234"/>
      </w:tblGrid>
      <w:tr w14:paraId="4ABDA6FD">
        <w:tblPrEx>
          <w:tblCellMar>
            <w:top w:w="0" w:type="dxa"/>
            <w:left w:w="108" w:type="dxa"/>
            <w:bottom w:w="0" w:type="dxa"/>
            <w:right w:w="108" w:type="dxa"/>
          </w:tblCellMar>
        </w:tblPrEx>
        <w:trPr>
          <w:trHeight w:val="2185" w:hRule="atLeast"/>
        </w:trPr>
        <w:tc>
          <w:tcPr>
            <w:tcW w:w="9234" w:type="dxa"/>
            <w:noWrap/>
          </w:tcPr>
          <w:p w14:paraId="0CFBB8DD">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14:paraId="716B5E58">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1EDAB0D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0BED0A9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14:paraId="5A7252D0">
      <w:pPr>
        <w:rPr>
          <w:rFonts w:ascii="宋体" w:hAnsi="宋体" w:cs="宋体"/>
          <w:color w:val="auto"/>
          <w:szCs w:val="21"/>
          <w:highlight w:val="none"/>
        </w:rPr>
      </w:pPr>
    </w:p>
    <w:p w14:paraId="597FBB45">
      <w:pPr>
        <w:rPr>
          <w:color w:val="auto"/>
          <w:highlight w:val="none"/>
        </w:rPr>
        <w:sectPr>
          <w:headerReference r:id="rId14" w:type="default"/>
          <w:footerReference r:id="rId15" w:type="default"/>
          <w:pgSz w:w="11906" w:h="16838"/>
          <w:pgMar w:top="1383" w:right="1383" w:bottom="1383" w:left="1383" w:header="851" w:footer="992" w:gutter="0"/>
          <w:cols w:space="720" w:num="1"/>
          <w:docGrid w:type="lines" w:linePitch="312" w:charSpace="0"/>
        </w:sectPr>
      </w:pPr>
    </w:p>
    <w:p w14:paraId="5D571CBD">
      <w:pPr>
        <w:pStyle w:val="12"/>
        <w:ind w:firstLine="0"/>
        <w:rPr>
          <w:color w:val="auto"/>
          <w:highlight w:val="none"/>
        </w:rPr>
      </w:pPr>
    </w:p>
    <w:p w14:paraId="276F585C">
      <w:pPr>
        <w:numPr>
          <w:ilvl w:val="0"/>
          <w:numId w:val="0"/>
        </w:numPr>
        <w:ind w:left="0" w:leftChars="0" w:firstLine="0" w:firstLineChars="0"/>
        <w:jc w:val="center"/>
        <w:rPr>
          <w:rFonts w:hint="eastAsia" w:ascii="宋体" w:hAnsi="宋体" w:cs="宋体"/>
          <w:color w:val="auto"/>
          <w:sz w:val="32"/>
          <w:szCs w:val="32"/>
          <w:highlight w:val="none"/>
        </w:rPr>
      </w:pPr>
      <w:bookmarkStart w:id="73" w:name="_Toc2272568"/>
      <w:bookmarkStart w:id="74" w:name="_Toc9312"/>
      <w:bookmarkStart w:id="75" w:name="_Toc2272569"/>
      <w:r>
        <w:rPr>
          <w:rFonts w:hint="eastAsia" w:ascii="宋体" w:hAnsi="宋体" w:eastAsia="宋体" w:cs="宋体"/>
          <w:color w:val="auto"/>
          <w:kern w:val="2"/>
          <w:sz w:val="32"/>
          <w:szCs w:val="32"/>
          <w:lang w:val="en-US" w:eastAsia="zh-CN" w:bidi="ar-SA"/>
        </w:rPr>
        <w:t>三、</w:t>
      </w:r>
      <w:r>
        <w:rPr>
          <w:rFonts w:hint="eastAsia" w:ascii="宋体" w:hAnsi="宋体" w:cs="宋体"/>
          <w:color w:val="auto"/>
          <w:sz w:val="32"/>
          <w:szCs w:val="32"/>
          <w:highlight w:val="none"/>
        </w:rPr>
        <w:t>定标文件格式</w:t>
      </w:r>
    </w:p>
    <w:p w14:paraId="03AAF6A0">
      <w:pPr>
        <w:topLinePunct/>
        <w:adjustRightInd w:val="0"/>
        <w:snapToGrid w:val="0"/>
        <w:spacing w:after="156" w:afterLines="50"/>
        <w:jc w:val="left"/>
        <w:rPr>
          <w:rFonts w:hint="eastAsia"/>
          <w:color w:val="000000"/>
          <w:sz w:val="24"/>
          <w:szCs w:val="24"/>
        </w:rPr>
      </w:pPr>
      <w:r>
        <w:rPr>
          <w:color w:val="000000"/>
          <w:sz w:val="24"/>
          <w:szCs w:val="24"/>
        </w:rPr>
        <w:t>定标文件</w:t>
      </w:r>
      <w:r>
        <w:rPr>
          <w:rFonts w:hint="eastAsia"/>
          <w:color w:val="000000"/>
          <w:sz w:val="24"/>
          <w:szCs w:val="24"/>
        </w:rPr>
        <w:t xml:space="preserve">格式一 </w:t>
      </w:r>
    </w:p>
    <w:p w14:paraId="62F1EF4C">
      <w:pPr>
        <w:pStyle w:val="47"/>
        <w:ind w:firstLine="496"/>
        <w:rPr>
          <w:rFonts w:hint="eastAsia" w:cs="宋体"/>
          <w:color w:val="000000"/>
        </w:rPr>
      </w:pPr>
    </w:p>
    <w:p w14:paraId="6DF62567">
      <w:pPr>
        <w:pStyle w:val="47"/>
        <w:ind w:firstLine="496"/>
        <w:rPr>
          <w:rFonts w:hint="eastAsia" w:cs="宋体"/>
          <w:color w:val="000000"/>
        </w:rPr>
      </w:pPr>
    </w:p>
    <w:p w14:paraId="0EF53927">
      <w:pPr>
        <w:pStyle w:val="54"/>
        <w:rPr>
          <w:rFonts w:hint="eastAsia" w:eastAsia="宋体" w:cs="宋体"/>
          <w:b w:val="0"/>
          <w:color w:val="000000"/>
          <w:u w:val="single"/>
        </w:rPr>
      </w:pPr>
      <w:r>
        <w:rPr>
          <w:rFonts w:hint="eastAsia" w:eastAsia="宋体" w:cs="宋体"/>
          <w:b w:val="0"/>
          <w:color w:val="000000"/>
          <w:u w:val="single"/>
        </w:rPr>
        <w:t xml:space="preserve">[工程名称] </w:t>
      </w:r>
    </w:p>
    <w:p w14:paraId="0A807EAF">
      <w:pPr>
        <w:pStyle w:val="47"/>
        <w:ind w:firstLine="496"/>
        <w:rPr>
          <w:rFonts w:hint="eastAsia" w:cs="宋体"/>
          <w:color w:val="000000"/>
        </w:rPr>
      </w:pPr>
    </w:p>
    <w:p w14:paraId="6D270394">
      <w:pPr>
        <w:pStyle w:val="47"/>
        <w:ind w:firstLine="496"/>
        <w:rPr>
          <w:rFonts w:hint="eastAsia" w:cs="宋体"/>
          <w:color w:val="000000"/>
        </w:rPr>
      </w:pPr>
    </w:p>
    <w:p w14:paraId="00D98EEF">
      <w:pPr>
        <w:pStyle w:val="47"/>
        <w:ind w:firstLine="496"/>
        <w:rPr>
          <w:rFonts w:hint="eastAsia" w:cs="宋体"/>
          <w:color w:val="000000"/>
        </w:rPr>
      </w:pPr>
    </w:p>
    <w:p w14:paraId="0D1663EE">
      <w:pPr>
        <w:pStyle w:val="47"/>
        <w:ind w:firstLine="496"/>
        <w:rPr>
          <w:rFonts w:hint="eastAsia" w:cs="宋体"/>
          <w:color w:val="000000"/>
        </w:rPr>
      </w:pPr>
    </w:p>
    <w:p w14:paraId="34F9E908">
      <w:pPr>
        <w:pStyle w:val="55"/>
        <w:rPr>
          <w:rFonts w:hint="eastAsia" w:eastAsia="宋体" w:cs="宋体"/>
          <w:b w:val="0"/>
          <w:color w:val="000000"/>
        </w:rPr>
      </w:pPr>
      <w:r>
        <w:rPr>
          <w:rFonts w:hint="eastAsia" w:eastAsia="宋体" w:cs="宋体"/>
          <w:b w:val="0"/>
          <w:color w:val="000000"/>
        </w:rPr>
        <w:t>投标文件</w:t>
      </w:r>
    </w:p>
    <w:p w14:paraId="06A9439C">
      <w:pPr>
        <w:pStyle w:val="54"/>
        <w:rPr>
          <w:rFonts w:hint="eastAsia" w:eastAsia="宋体" w:cs="宋体"/>
          <w:b w:val="0"/>
          <w:color w:val="000000"/>
        </w:rPr>
      </w:pPr>
      <w:r>
        <w:rPr>
          <w:rFonts w:hint="eastAsia" w:eastAsia="宋体" w:cs="宋体"/>
          <w:b w:val="0"/>
          <w:color w:val="000000"/>
        </w:rPr>
        <w:t>定标文件</w:t>
      </w:r>
    </w:p>
    <w:p w14:paraId="02B3E7D4">
      <w:pPr>
        <w:pStyle w:val="47"/>
        <w:ind w:firstLine="496"/>
        <w:rPr>
          <w:rFonts w:hint="eastAsia" w:cs="宋体"/>
          <w:color w:val="000000"/>
        </w:rPr>
      </w:pPr>
      <w:r>
        <w:rPr>
          <w:rFonts w:hint="eastAsia" w:cs="宋体"/>
          <w:color w:val="000000"/>
        </w:rPr>
        <w:t xml:space="preserve">   </w:t>
      </w:r>
    </w:p>
    <w:p w14:paraId="174E6186">
      <w:pPr>
        <w:pStyle w:val="47"/>
        <w:ind w:firstLine="496"/>
        <w:rPr>
          <w:rFonts w:hint="eastAsia" w:cs="宋体"/>
          <w:color w:val="000000"/>
        </w:rPr>
      </w:pPr>
    </w:p>
    <w:p w14:paraId="1FA8B5B9">
      <w:pPr>
        <w:pStyle w:val="47"/>
        <w:ind w:firstLine="496"/>
        <w:rPr>
          <w:rFonts w:hint="eastAsia" w:cs="宋体"/>
          <w:color w:val="000000"/>
        </w:rPr>
      </w:pPr>
    </w:p>
    <w:p w14:paraId="3119F194">
      <w:pPr>
        <w:pStyle w:val="47"/>
        <w:ind w:firstLine="496"/>
        <w:rPr>
          <w:rFonts w:hint="eastAsia" w:cs="宋体"/>
          <w:color w:val="000000"/>
        </w:rPr>
      </w:pPr>
    </w:p>
    <w:p w14:paraId="7091DAF3">
      <w:pPr>
        <w:pStyle w:val="47"/>
        <w:ind w:firstLine="496"/>
        <w:rPr>
          <w:rFonts w:hint="eastAsia" w:cs="宋体"/>
          <w:color w:val="000000"/>
        </w:rPr>
      </w:pPr>
    </w:p>
    <w:p w14:paraId="5D2CF60B">
      <w:pPr>
        <w:pStyle w:val="47"/>
        <w:ind w:firstLine="496"/>
        <w:rPr>
          <w:rFonts w:hint="eastAsia" w:cs="宋体"/>
          <w:color w:val="000000"/>
        </w:rPr>
      </w:pPr>
    </w:p>
    <w:p w14:paraId="768D76F2">
      <w:pPr>
        <w:pStyle w:val="56"/>
        <w:ind w:firstLine="616"/>
        <w:rPr>
          <w:rFonts w:hint="eastAsia" w:cs="宋体"/>
          <w:color w:val="000000"/>
        </w:rPr>
      </w:pPr>
      <w:r>
        <w:rPr>
          <w:rFonts w:hint="eastAsia" w:cs="宋体"/>
          <w:color w:val="000000"/>
        </w:rPr>
        <w:t>投标人：</w:t>
      </w:r>
      <w:r>
        <w:rPr>
          <w:rFonts w:hint="eastAsia" w:cs="宋体"/>
          <w:color w:val="000000"/>
          <w:u w:val="single"/>
        </w:rPr>
        <w:t xml:space="preserve">      （填写投标人单位名称）       （盖章）</w:t>
      </w:r>
    </w:p>
    <w:p w14:paraId="62D085AA">
      <w:pPr>
        <w:pStyle w:val="56"/>
        <w:ind w:firstLine="616"/>
        <w:rPr>
          <w:rFonts w:hint="eastAsia" w:cs="宋体"/>
          <w:color w:val="000000"/>
        </w:rPr>
      </w:pPr>
    </w:p>
    <w:p w14:paraId="40080D81">
      <w:pPr>
        <w:pStyle w:val="56"/>
        <w:ind w:firstLine="616"/>
        <w:rPr>
          <w:rFonts w:hint="eastAsia" w:cs="宋体"/>
          <w:color w:val="000000"/>
        </w:rPr>
      </w:pPr>
      <w:r>
        <w:rPr>
          <w:rFonts w:hint="eastAsia" w:cs="宋体"/>
          <w:color w:val="000000"/>
        </w:rPr>
        <w:t>法定代表人或</w:t>
      </w:r>
    </w:p>
    <w:p w14:paraId="1360667C">
      <w:pPr>
        <w:pStyle w:val="56"/>
        <w:ind w:firstLine="616"/>
        <w:rPr>
          <w:rFonts w:hint="eastAsia" w:cs="宋体"/>
          <w:color w:val="000000"/>
        </w:rPr>
      </w:pPr>
      <w:r>
        <w:rPr>
          <w:rFonts w:hint="eastAsia" w:cs="宋体"/>
          <w:color w:val="000000"/>
        </w:rPr>
        <w:t>其委托代理人：</w:t>
      </w:r>
      <w:r>
        <w:rPr>
          <w:rFonts w:hint="eastAsia" w:cs="宋体"/>
          <w:color w:val="000000"/>
          <w:u w:val="single"/>
        </w:rPr>
        <w:t xml:space="preserve">                     （签字或盖章）</w:t>
      </w:r>
    </w:p>
    <w:p w14:paraId="5D25B4C4">
      <w:pPr>
        <w:ind w:firstLine="616" w:firstLineChars="200"/>
        <w:rPr>
          <w:rFonts w:hint="eastAsia" w:ascii="宋体" w:hAnsi="宋体" w:cs="宋体"/>
          <w:color w:val="000000"/>
          <w:spacing w:val="4"/>
          <w:kern w:val="0"/>
          <w:sz w:val="30"/>
          <w:szCs w:val="30"/>
        </w:rPr>
      </w:pPr>
      <w:r>
        <w:rPr>
          <w:rFonts w:hint="eastAsia" w:ascii="宋体" w:hAnsi="宋体" w:cs="宋体"/>
          <w:color w:val="000000"/>
          <w:spacing w:val="4"/>
          <w:kern w:val="0"/>
          <w:sz w:val="30"/>
          <w:szCs w:val="30"/>
        </w:rPr>
        <w:t xml:space="preserve">日  期：             </w:t>
      </w:r>
    </w:p>
    <w:p w14:paraId="792093BD">
      <w:pPr>
        <w:topLinePunct/>
        <w:adjustRightInd w:val="0"/>
        <w:snapToGrid w:val="0"/>
        <w:spacing w:after="156" w:afterLines="50"/>
        <w:jc w:val="center"/>
        <w:rPr>
          <w:rFonts w:hint="eastAsia"/>
          <w:color w:val="000000"/>
          <w:sz w:val="24"/>
          <w:szCs w:val="24"/>
        </w:rPr>
      </w:pPr>
    </w:p>
    <w:p w14:paraId="08366062">
      <w:pPr>
        <w:rPr>
          <w:rFonts w:hint="eastAsia"/>
          <w:color w:val="000000"/>
          <w:sz w:val="24"/>
          <w:szCs w:val="24"/>
        </w:rPr>
      </w:pPr>
      <w:r>
        <w:rPr>
          <w:rFonts w:hint="eastAsia"/>
          <w:color w:val="000000"/>
          <w:sz w:val="24"/>
          <w:szCs w:val="24"/>
        </w:rPr>
        <w:br w:type="page"/>
      </w:r>
    </w:p>
    <w:p w14:paraId="5B16D1D0">
      <w:pPr>
        <w:topLinePunct/>
        <w:adjustRightInd w:val="0"/>
        <w:snapToGrid w:val="0"/>
        <w:spacing w:after="156" w:afterLines="50"/>
        <w:jc w:val="both"/>
        <w:rPr>
          <w:rFonts w:hint="eastAsia"/>
          <w:color w:val="000000"/>
          <w:sz w:val="24"/>
          <w:szCs w:val="24"/>
        </w:rPr>
      </w:pPr>
      <w:r>
        <w:rPr>
          <w:color w:val="000000"/>
          <w:sz w:val="24"/>
          <w:szCs w:val="24"/>
        </w:rPr>
        <w:t>定标文件</w:t>
      </w:r>
      <w:r>
        <w:rPr>
          <w:rFonts w:hint="eastAsia"/>
          <w:color w:val="000000"/>
          <w:sz w:val="24"/>
          <w:szCs w:val="24"/>
        </w:rPr>
        <w:t>格式一</w:t>
      </w:r>
    </w:p>
    <w:p w14:paraId="47A7EB5D">
      <w:pPr>
        <w:topLinePunct/>
        <w:adjustRightInd w:val="0"/>
        <w:snapToGrid w:val="0"/>
        <w:spacing w:after="156" w:afterLines="50"/>
        <w:jc w:val="center"/>
        <w:rPr>
          <w:rFonts w:hint="eastAsia"/>
          <w:color w:val="000000"/>
          <w:sz w:val="24"/>
          <w:szCs w:val="24"/>
        </w:rPr>
      </w:pPr>
      <w:r>
        <w:rPr>
          <w:rFonts w:hint="eastAsia"/>
          <w:color w:val="000000"/>
          <w:sz w:val="24"/>
          <w:szCs w:val="24"/>
        </w:rPr>
        <w:t>定标文件资料（参考定标因素需求格式自拟）</w:t>
      </w:r>
    </w:p>
    <w:p w14:paraId="39FA445B">
      <w:pPr>
        <w:numPr>
          <w:ilvl w:val="0"/>
          <w:numId w:val="0"/>
        </w:numPr>
        <w:ind w:left="0" w:leftChars="0" w:firstLine="643" w:firstLineChars="200"/>
        <w:jc w:val="center"/>
        <w:rPr>
          <w:rStyle w:val="49"/>
          <w:rFonts w:hint="eastAsia" w:ascii="宋体" w:hAnsi="宋体" w:cs="宋体"/>
          <w:b/>
          <w:color w:val="auto"/>
          <w:sz w:val="32"/>
          <w:szCs w:val="32"/>
          <w:highlight w:val="none"/>
        </w:rPr>
      </w:pPr>
      <w:r>
        <w:rPr>
          <w:rStyle w:val="49"/>
          <w:rFonts w:hint="eastAsia" w:ascii="宋体" w:hAnsi="宋体" w:cs="宋体"/>
          <w:b/>
          <w:color w:val="auto"/>
          <w:sz w:val="32"/>
          <w:szCs w:val="32"/>
          <w:highlight w:val="none"/>
        </w:rPr>
        <w:br w:type="page"/>
      </w:r>
    </w:p>
    <w:p w14:paraId="2EE2B9B1">
      <w:pPr>
        <w:tabs>
          <w:tab w:val="left" w:pos="720"/>
        </w:tabs>
        <w:snapToGrid w:val="0"/>
        <w:spacing w:line="360" w:lineRule="auto"/>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第五章  技术条件（工程建设标准）</w:t>
      </w:r>
      <w:bookmarkEnd w:id="73"/>
    </w:p>
    <w:bookmarkEnd w:id="74"/>
    <w:p w14:paraId="25F495CD">
      <w:pPr>
        <w:snapToGrid w:val="0"/>
        <w:rPr>
          <w:rFonts w:ascii="宋体" w:hAnsi="宋体" w:cs="宋体"/>
          <w:b/>
          <w:color w:val="auto"/>
          <w:sz w:val="24"/>
          <w:szCs w:val="24"/>
          <w:highlight w:val="none"/>
        </w:rPr>
      </w:pPr>
    </w:p>
    <w:p w14:paraId="6AF86FFE">
      <w:pPr>
        <w:snapToGrid w:val="0"/>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021046D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3B5B7BEF">
      <w:pPr>
        <w:snapToGrid w:val="0"/>
        <w:spacing w:line="440" w:lineRule="exact"/>
        <w:rPr>
          <w:rFonts w:ascii="宋体" w:hAnsi="宋体" w:cs="宋体"/>
          <w:b/>
          <w:color w:val="auto"/>
          <w:sz w:val="24"/>
          <w:szCs w:val="24"/>
          <w:highlight w:val="none"/>
        </w:rPr>
      </w:pPr>
    </w:p>
    <w:p w14:paraId="141A70E3">
      <w:pPr>
        <w:snapToGrid w:val="0"/>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00CD404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77C7723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7F81079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67C016B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1A77B22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5AFA1FA4">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4442C7D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112EF7D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11E0A8B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564FC1A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29F962F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4D2250F4">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5078682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1AA6D24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069434F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25615D9D">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26412C8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2CDA7E3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5B4A5FE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4CE03F0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0925D60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432AB32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50996E8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2B9D353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6CD83BF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0A769F7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7B346BE9">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3CB9140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05FDDEE5">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0FCAAB4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1EB833D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本工程要求的质量目标：工程质量达到国家或行业质量检验评定的合格标准。</w:t>
      </w:r>
    </w:p>
    <w:p w14:paraId="08712E8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342AAD0A">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11509FA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57CED28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1F12B42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34DCA90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38D532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3CD3BD4F">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5769CA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50267E1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31C45E8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7578E91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3680197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70C6033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03CB55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79529A8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7B4D82A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5268C1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14:paraId="37A4169A">
      <w:pPr>
        <w:snapToGrid w:val="0"/>
        <w:spacing w:line="440" w:lineRule="exact"/>
        <w:ind w:firstLine="424" w:firstLineChars="177"/>
        <w:rPr>
          <w:rFonts w:ascii="宋体" w:hAnsi="宋体" w:cs="宋体"/>
          <w:color w:val="auto"/>
          <w:sz w:val="24"/>
          <w:szCs w:val="24"/>
          <w:highlight w:val="none"/>
        </w:rPr>
      </w:pPr>
      <w:bookmarkStart w:id="76" w:name="_Hlt531956504"/>
      <w:r>
        <w:rPr>
          <w:rFonts w:hint="eastAsia" w:ascii="宋体" w:hAnsi="宋体" w:cs="宋体"/>
          <w:color w:val="auto"/>
          <w:sz w:val="24"/>
          <w:szCs w:val="24"/>
          <w:highlight w:val="none"/>
        </w:rPr>
        <w:t>安全生产目标：杜绝本项目施工人员重大伤亡事故。</w:t>
      </w:r>
      <w:bookmarkEnd w:id="76"/>
    </w:p>
    <w:p w14:paraId="72C2672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0432EFCD">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278023E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4F2EA7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2269831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74EC5AD0">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243A34B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4472696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28534DC0">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21A0B8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55F8F747">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29252BA3">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0FFDE32C">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（十）建筑垃圾减量及利用要求</w:t>
      </w:r>
    </w:p>
    <w:p w14:paraId="5EEC5F61">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239F7500">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10.2建筑垃圾处理方案应当包括下列内容：</w:t>
      </w:r>
    </w:p>
    <w:p w14:paraId="3AB85263">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10.2.1工程概况和施工单位基本信息；</w:t>
      </w:r>
    </w:p>
    <w:p w14:paraId="22AC38B1">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10.2.2建筑垃圾产生量与种类；</w:t>
      </w:r>
    </w:p>
    <w:p w14:paraId="3ED38898">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10.2.3建筑垃圾源头减量、分类收集、综合利用、污染防治的措施和目标；</w:t>
      </w:r>
    </w:p>
    <w:p w14:paraId="6577499E">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10.2.4需要外运的建筑垃圾种类、数量与运输的时间、路线、方式和运输单位；</w:t>
      </w:r>
    </w:p>
    <w:p w14:paraId="01F25EFD">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10.2.5建筑垃圾回填、消纳、综合利用场所名称；</w:t>
      </w:r>
    </w:p>
    <w:p w14:paraId="2E7DF1E9">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10.2.6法律、法规规定的其他内容。</w:t>
      </w:r>
    </w:p>
    <w:p w14:paraId="57880B7C">
      <w:pPr>
        <w:snapToGrid w:val="0"/>
        <w:spacing w:line="440" w:lineRule="exact"/>
        <w:ind w:firstLine="424" w:firstLineChars="177"/>
        <w:jc w:val="left"/>
        <w:rPr>
          <w:rFonts w:ascii="宋体" w:hAnsi="宋体" w:cs="宋体"/>
          <w:color w:val="auto"/>
          <w:sz w:val="24"/>
          <w:szCs w:val="24"/>
          <w:highlight w:val="none"/>
        </w:rPr>
      </w:pPr>
    </w:p>
    <w:p w14:paraId="0491FE53">
      <w:pPr>
        <w:snapToGrid w:val="0"/>
        <w:spacing w:line="440" w:lineRule="exact"/>
        <w:rPr>
          <w:rFonts w:ascii="宋体" w:hAnsi="宋体" w:cs="宋体"/>
          <w:b/>
          <w:color w:val="auto"/>
          <w:sz w:val="24"/>
          <w:szCs w:val="24"/>
          <w:highlight w:val="none"/>
        </w:rPr>
      </w:pPr>
    </w:p>
    <w:p w14:paraId="2710C0B5">
      <w:pPr>
        <w:snapToGrid w:val="0"/>
        <w:spacing w:line="360" w:lineRule="auto"/>
        <w:jc w:val="center"/>
        <w:rPr>
          <w:rFonts w:ascii="宋体" w:hAnsi="宋体" w:cs="宋体"/>
          <w:color w:val="auto"/>
          <w:sz w:val="24"/>
          <w:szCs w:val="24"/>
          <w:highlight w:val="none"/>
        </w:rPr>
      </w:pPr>
      <w:bookmarkStart w:id="77" w:name="_Toc9353"/>
      <w:r>
        <w:rPr>
          <w:rFonts w:hint="eastAsia" w:ascii="宋体" w:hAnsi="宋体" w:cs="宋体"/>
          <w:color w:val="auto"/>
          <w:sz w:val="24"/>
          <w:szCs w:val="24"/>
          <w:highlight w:val="none"/>
        </w:rPr>
        <w:br w:type="page"/>
      </w:r>
    </w:p>
    <w:p w14:paraId="76E0A09E">
      <w:pPr>
        <w:tabs>
          <w:tab w:val="left" w:pos="720"/>
        </w:tabs>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第六章  图纸及勘察资料</w:t>
      </w:r>
      <w:bookmarkEnd w:id="75"/>
      <w:bookmarkEnd w:id="77"/>
    </w:p>
    <w:p w14:paraId="01486EB6">
      <w:pPr>
        <w:snapToGrid w:val="0"/>
        <w:spacing w:line="360" w:lineRule="auto"/>
        <w:rPr>
          <w:rFonts w:ascii="宋体" w:hAnsi="宋体" w:cs="宋体"/>
          <w:color w:val="auto"/>
          <w:sz w:val="24"/>
          <w:szCs w:val="24"/>
          <w:highlight w:val="none"/>
        </w:rPr>
      </w:pPr>
    </w:p>
    <w:p w14:paraId="62C02CB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注：本章由招标人自行制定。</w:t>
      </w:r>
    </w:p>
    <w:p w14:paraId="5A68E074">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4DCEA981">
      <w:pPr>
        <w:snapToGrid w:val="0"/>
        <w:spacing w:line="360" w:lineRule="auto"/>
        <w:ind w:firstLine="360" w:firstLineChars="150"/>
        <w:rPr>
          <w:rFonts w:ascii="宋体" w:hAnsi="宋体" w:cs="宋体"/>
          <w:color w:val="auto"/>
          <w:kern w:val="0"/>
          <w:sz w:val="24"/>
          <w:szCs w:val="24"/>
          <w:highlight w:val="none"/>
        </w:rPr>
      </w:pPr>
    </w:p>
    <w:p w14:paraId="22BFC0BF">
      <w:pPr>
        <w:snapToGrid w:val="0"/>
        <w:spacing w:line="360" w:lineRule="auto"/>
        <w:ind w:firstLine="360" w:firstLineChars="150"/>
        <w:rPr>
          <w:rFonts w:ascii="宋体" w:hAnsi="宋体" w:cs="宋体"/>
          <w:color w:val="auto"/>
          <w:kern w:val="0"/>
          <w:sz w:val="24"/>
          <w:szCs w:val="24"/>
          <w:highlight w:val="none"/>
        </w:rPr>
      </w:pPr>
    </w:p>
    <w:p w14:paraId="1EAF64A3">
      <w:pPr>
        <w:pStyle w:val="3"/>
        <w:snapToGrid w:val="0"/>
        <w:spacing w:after="0"/>
        <w:jc w:val="center"/>
        <w:rPr>
          <w:rStyle w:val="49"/>
          <w:rFonts w:ascii="宋体" w:hAnsi="宋体" w:cs="宋体"/>
          <w:b/>
          <w:color w:val="auto"/>
          <w:sz w:val="32"/>
          <w:szCs w:val="32"/>
          <w:highlight w:val="none"/>
        </w:rPr>
      </w:pPr>
      <w:r>
        <w:rPr>
          <w:rFonts w:hint="eastAsia" w:ascii="宋体" w:hAnsi="宋体" w:cs="宋体"/>
          <w:color w:val="auto"/>
          <w:sz w:val="24"/>
          <w:szCs w:val="24"/>
          <w:highlight w:val="none"/>
        </w:rPr>
        <w:br w:type="page"/>
      </w:r>
      <w:bookmarkStart w:id="78" w:name="_Toc22481"/>
      <w:bookmarkStart w:id="79" w:name="_Toc2272570"/>
      <w:r>
        <w:rPr>
          <w:rStyle w:val="49"/>
          <w:rFonts w:hint="eastAsia" w:ascii="宋体" w:hAnsi="宋体" w:cs="宋体"/>
          <w:b/>
          <w:color w:val="auto"/>
          <w:sz w:val="32"/>
          <w:szCs w:val="32"/>
          <w:highlight w:val="none"/>
        </w:rPr>
        <w:t>第七章  工程量清单</w:t>
      </w:r>
      <w:bookmarkEnd w:id="78"/>
      <w:bookmarkEnd w:id="79"/>
    </w:p>
    <w:p w14:paraId="5F909B5F">
      <w:pPr>
        <w:snapToGrid w:val="0"/>
        <w:spacing w:line="360" w:lineRule="auto"/>
        <w:rPr>
          <w:rFonts w:ascii="宋体" w:hAnsi="宋体" w:cs="宋体"/>
          <w:color w:val="auto"/>
          <w:sz w:val="24"/>
          <w:szCs w:val="24"/>
          <w:highlight w:val="none"/>
        </w:rPr>
      </w:pPr>
    </w:p>
    <w:p w14:paraId="76FC49E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注：本章由招标人自行制定。</w:t>
      </w:r>
    </w:p>
    <w:p w14:paraId="3EED0015">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23A6078C">
      <w:pPr>
        <w:spacing w:line="360" w:lineRule="auto"/>
        <w:jc w:val="left"/>
        <w:rPr>
          <w:rFonts w:ascii="宋体" w:hAnsi="宋体" w:cs="宋体"/>
          <w:color w:val="auto"/>
          <w:sz w:val="24"/>
          <w:szCs w:val="28"/>
          <w:highlight w:val="none"/>
        </w:rPr>
      </w:pPr>
    </w:p>
    <w:p w14:paraId="1875E9BB">
      <w:pPr>
        <w:spacing w:line="360" w:lineRule="auto"/>
        <w:jc w:val="left"/>
        <w:rPr>
          <w:rFonts w:ascii="宋体" w:hAnsi="宋体" w:cs="宋体"/>
          <w:color w:val="auto"/>
          <w:sz w:val="24"/>
          <w:szCs w:val="28"/>
          <w:highlight w:val="none"/>
        </w:rPr>
      </w:pPr>
    </w:p>
    <w:p w14:paraId="6E52CD1A">
      <w:pPr>
        <w:pStyle w:val="3"/>
        <w:snapToGrid w:val="0"/>
        <w:spacing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80" w:name="_Toc3710"/>
      <w:bookmarkStart w:id="81" w:name="_Toc2272571"/>
      <w:r>
        <w:rPr>
          <w:rStyle w:val="49"/>
          <w:rFonts w:hint="eastAsia" w:ascii="宋体" w:hAnsi="宋体" w:cs="宋体"/>
          <w:color w:val="auto"/>
          <w:sz w:val="32"/>
          <w:szCs w:val="32"/>
          <w:highlight w:val="none"/>
        </w:rPr>
        <w:t>第八章  最高投标限价</w:t>
      </w:r>
      <w:bookmarkEnd w:id="80"/>
      <w:bookmarkEnd w:id="81"/>
    </w:p>
    <w:p w14:paraId="3FC07F10">
      <w:pPr>
        <w:snapToGrid w:val="0"/>
        <w:spacing w:line="360" w:lineRule="auto"/>
        <w:ind w:firstLine="480"/>
        <w:rPr>
          <w:rFonts w:ascii="宋体" w:hAnsi="宋体" w:cs="宋体"/>
          <w:color w:val="auto"/>
          <w:sz w:val="24"/>
          <w:szCs w:val="24"/>
          <w:highlight w:val="none"/>
        </w:rPr>
      </w:pPr>
    </w:p>
    <w:p w14:paraId="60A443FB">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73122A1C">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14:paraId="72EDD1DA">
      <w:pPr>
        <w:snapToGrid w:val="0"/>
        <w:spacing w:line="360" w:lineRule="auto"/>
        <w:ind w:firstLine="480"/>
        <w:rPr>
          <w:rFonts w:ascii="宋体" w:hAnsi="宋体" w:cs="宋体"/>
          <w:color w:val="auto"/>
          <w:sz w:val="24"/>
          <w:szCs w:val="24"/>
          <w:highlight w:val="none"/>
          <w:u w:val="single"/>
        </w:rPr>
      </w:pPr>
    </w:p>
    <w:p w14:paraId="0095CD77">
      <w:pPr>
        <w:snapToGrid w:val="0"/>
        <w:spacing w:line="360" w:lineRule="auto"/>
        <w:rPr>
          <w:rFonts w:ascii="宋体" w:hAnsi="宋体" w:cs="宋体"/>
          <w:color w:val="auto"/>
          <w:highlight w:val="none"/>
        </w:rPr>
      </w:pPr>
    </w:p>
    <w:p w14:paraId="5D04AD6E">
      <w:pPr>
        <w:snapToGrid w:val="0"/>
        <w:spacing w:line="360" w:lineRule="auto"/>
        <w:rPr>
          <w:rFonts w:ascii="宋体" w:hAnsi="宋体" w:cs="宋体"/>
          <w:color w:val="auto"/>
          <w:highlight w:val="none"/>
        </w:rPr>
      </w:pPr>
    </w:p>
    <w:p w14:paraId="42B0D656">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E5BE">
    <w:pPr>
      <w:pStyle w:val="22"/>
      <w:ind w:firstLine="392"/>
      <w:rPr>
        <w:rStyle w:val="3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6B84">
    <w:pPr>
      <w:pStyle w:val="22"/>
      <w:ind w:firstLine="392"/>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14:paraId="2D19BC43">
    <w:pPr>
      <w:pStyle w:val="2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8E00">
    <w:pPr>
      <w:pStyle w:val="2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6160">
    <w:pPr>
      <w:pStyle w:val="22"/>
      <w:jc w:val="center"/>
      <w:rPr>
        <w:rStyle w:val="37"/>
      </w:rPr>
    </w:pPr>
    <w:r>
      <w:fldChar w:fldCharType="begin"/>
    </w:r>
    <w:r>
      <w:instrText xml:space="preserve"> PAGE   \* MERGEFORMAT </w:instrText>
    </w:r>
    <w:r>
      <w:fldChar w:fldCharType="separate"/>
    </w:r>
    <w:r>
      <w:rPr>
        <w:lang w:val="zh-CN"/>
      </w:rPr>
      <w:t>54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E6D2">
    <w:pPr>
      <w:pStyle w:val="22"/>
      <w:jc w:val="center"/>
    </w:pPr>
    <w:r>
      <w:fldChar w:fldCharType="begin"/>
    </w:r>
    <w:r>
      <w:instrText xml:space="preserve"> PAGE   \* MERGEFORMAT </w:instrText>
    </w:r>
    <w:r>
      <w:fldChar w:fldCharType="separate"/>
    </w:r>
    <w:r>
      <w:rPr>
        <w:lang w:val="zh-CN"/>
      </w:rPr>
      <w:t>57</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9C53">
    <w:pPr>
      <w:pStyle w:val="22"/>
      <w:jc w:val="center"/>
    </w:pPr>
    <w:r>
      <w:fldChar w:fldCharType="begin"/>
    </w:r>
    <w:r>
      <w:instrText xml:space="preserve"> PAGE   \* MERGEFORMAT </w:instrText>
    </w:r>
    <w:r>
      <w:fldChar w:fldCharType="separate"/>
    </w:r>
    <w:r>
      <w:t>60</w:t>
    </w:r>
    <w:r>
      <w:fldChar w:fldCharType="end"/>
    </w:r>
  </w:p>
  <w:p w14:paraId="5430E282">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600C">
    <w:pPr>
      <w:pStyle w:val="22"/>
      <w:jc w:val="center"/>
    </w:pPr>
    <w:r>
      <w:fldChar w:fldCharType="begin"/>
    </w:r>
    <w:r>
      <w:instrText xml:space="preserve"> PAGE   \* MERGEFORMAT </w:instrText>
    </w:r>
    <w:r>
      <w:fldChar w:fldCharType="separate"/>
    </w:r>
    <w:r>
      <w:rPr>
        <w:lang w:val="zh-CN"/>
      </w:rPr>
      <w:t>68</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3980">
    <w:pPr>
      <w:pStyle w:val="2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30A2C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108</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30A2C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FE60">
    <w:pPr>
      <w:pStyle w:val="23"/>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F009">
    <w:pPr>
      <w:pStyle w:val="2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18922">
    <w:pPr>
      <w:pStyle w:val="2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BE67">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050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B363877"/>
    <w:multiLevelType w:val="singleLevel"/>
    <w:tmpl w:val="3B363877"/>
    <w:lvl w:ilvl="0" w:tentative="0">
      <w:start w:val="1"/>
      <w:numFmt w:val="decimal"/>
      <w:suff w:val="nothing"/>
      <w:lvlText w:val="%1、"/>
      <w:lvlJc w:val="left"/>
    </w:lvl>
  </w:abstractNum>
  <w:abstractNum w:abstractNumId="3">
    <w:nsid w:val="5CADBC91"/>
    <w:multiLevelType w:val="singleLevel"/>
    <w:tmpl w:val="5CADBC9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56C63"/>
    <w:rsid w:val="00067699"/>
    <w:rsid w:val="000C3AA7"/>
    <w:rsid w:val="000C627B"/>
    <w:rsid w:val="000D601B"/>
    <w:rsid w:val="000F2460"/>
    <w:rsid w:val="000F540A"/>
    <w:rsid w:val="00110495"/>
    <w:rsid w:val="00123E47"/>
    <w:rsid w:val="001245DC"/>
    <w:rsid w:val="00130DBB"/>
    <w:rsid w:val="00137431"/>
    <w:rsid w:val="00141CEF"/>
    <w:rsid w:val="001542C4"/>
    <w:rsid w:val="001563F2"/>
    <w:rsid w:val="00161690"/>
    <w:rsid w:val="00173B81"/>
    <w:rsid w:val="00175646"/>
    <w:rsid w:val="0018560A"/>
    <w:rsid w:val="001E1D19"/>
    <w:rsid w:val="001F7F7E"/>
    <w:rsid w:val="00203BB3"/>
    <w:rsid w:val="00233F06"/>
    <w:rsid w:val="0025252E"/>
    <w:rsid w:val="00260693"/>
    <w:rsid w:val="002A3757"/>
    <w:rsid w:val="002B40C0"/>
    <w:rsid w:val="002B44AD"/>
    <w:rsid w:val="002E4C68"/>
    <w:rsid w:val="0032377A"/>
    <w:rsid w:val="003336FF"/>
    <w:rsid w:val="00344D23"/>
    <w:rsid w:val="00352104"/>
    <w:rsid w:val="00363F19"/>
    <w:rsid w:val="003815CF"/>
    <w:rsid w:val="003839B3"/>
    <w:rsid w:val="00384C73"/>
    <w:rsid w:val="003A4132"/>
    <w:rsid w:val="003C799A"/>
    <w:rsid w:val="003D401C"/>
    <w:rsid w:val="003D5750"/>
    <w:rsid w:val="003F5287"/>
    <w:rsid w:val="004208C8"/>
    <w:rsid w:val="00450B5F"/>
    <w:rsid w:val="004C2D92"/>
    <w:rsid w:val="004F7BCF"/>
    <w:rsid w:val="0051206E"/>
    <w:rsid w:val="00526CE4"/>
    <w:rsid w:val="00562057"/>
    <w:rsid w:val="00564A11"/>
    <w:rsid w:val="00570E96"/>
    <w:rsid w:val="00582E03"/>
    <w:rsid w:val="00592A19"/>
    <w:rsid w:val="005A3BEE"/>
    <w:rsid w:val="005B5E13"/>
    <w:rsid w:val="005C03A7"/>
    <w:rsid w:val="005C0625"/>
    <w:rsid w:val="005C078C"/>
    <w:rsid w:val="005C2C32"/>
    <w:rsid w:val="005C46DA"/>
    <w:rsid w:val="005E5BD1"/>
    <w:rsid w:val="005F06C3"/>
    <w:rsid w:val="006023D3"/>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444E1"/>
    <w:rsid w:val="00766913"/>
    <w:rsid w:val="007946F9"/>
    <w:rsid w:val="007D07F6"/>
    <w:rsid w:val="00840E97"/>
    <w:rsid w:val="00844261"/>
    <w:rsid w:val="00853940"/>
    <w:rsid w:val="00857912"/>
    <w:rsid w:val="0086535E"/>
    <w:rsid w:val="00875D91"/>
    <w:rsid w:val="0087773F"/>
    <w:rsid w:val="00884899"/>
    <w:rsid w:val="008954B9"/>
    <w:rsid w:val="008A3D76"/>
    <w:rsid w:val="008C08D2"/>
    <w:rsid w:val="00903CEE"/>
    <w:rsid w:val="00931C40"/>
    <w:rsid w:val="00937917"/>
    <w:rsid w:val="00945D7E"/>
    <w:rsid w:val="00973FB8"/>
    <w:rsid w:val="00974BE2"/>
    <w:rsid w:val="00984671"/>
    <w:rsid w:val="009870AB"/>
    <w:rsid w:val="009971DB"/>
    <w:rsid w:val="009A5C4C"/>
    <w:rsid w:val="009B4D8E"/>
    <w:rsid w:val="009C587B"/>
    <w:rsid w:val="009C61A9"/>
    <w:rsid w:val="009C6215"/>
    <w:rsid w:val="00A07871"/>
    <w:rsid w:val="00A11B2B"/>
    <w:rsid w:val="00A1716B"/>
    <w:rsid w:val="00A24B21"/>
    <w:rsid w:val="00A33DAE"/>
    <w:rsid w:val="00A57997"/>
    <w:rsid w:val="00A62687"/>
    <w:rsid w:val="00A80F2E"/>
    <w:rsid w:val="00A958F8"/>
    <w:rsid w:val="00AA49BE"/>
    <w:rsid w:val="00AA627A"/>
    <w:rsid w:val="00AB3CE8"/>
    <w:rsid w:val="00AC4B76"/>
    <w:rsid w:val="00B1036C"/>
    <w:rsid w:val="00B2698E"/>
    <w:rsid w:val="00B46297"/>
    <w:rsid w:val="00B46ABF"/>
    <w:rsid w:val="00B66174"/>
    <w:rsid w:val="00BA0120"/>
    <w:rsid w:val="00BB12DB"/>
    <w:rsid w:val="00BB6012"/>
    <w:rsid w:val="00BC6DE7"/>
    <w:rsid w:val="00BF0D9D"/>
    <w:rsid w:val="00BF7719"/>
    <w:rsid w:val="00C0644F"/>
    <w:rsid w:val="00C1345D"/>
    <w:rsid w:val="00C418E9"/>
    <w:rsid w:val="00C7761E"/>
    <w:rsid w:val="00C8090E"/>
    <w:rsid w:val="00C810AD"/>
    <w:rsid w:val="00C92668"/>
    <w:rsid w:val="00C96234"/>
    <w:rsid w:val="00CA197C"/>
    <w:rsid w:val="00CB242D"/>
    <w:rsid w:val="00CC4864"/>
    <w:rsid w:val="00D02356"/>
    <w:rsid w:val="00D42137"/>
    <w:rsid w:val="00D42BE4"/>
    <w:rsid w:val="00D4383C"/>
    <w:rsid w:val="00D56B60"/>
    <w:rsid w:val="00D87BAB"/>
    <w:rsid w:val="00D939B5"/>
    <w:rsid w:val="00D95AE5"/>
    <w:rsid w:val="00DA7254"/>
    <w:rsid w:val="00DC4FE8"/>
    <w:rsid w:val="00DD1A7B"/>
    <w:rsid w:val="00DD2BBB"/>
    <w:rsid w:val="00DE2E4F"/>
    <w:rsid w:val="00E00B5D"/>
    <w:rsid w:val="00E278DF"/>
    <w:rsid w:val="00E3744B"/>
    <w:rsid w:val="00E46FED"/>
    <w:rsid w:val="00E6483A"/>
    <w:rsid w:val="00E65645"/>
    <w:rsid w:val="00E856FE"/>
    <w:rsid w:val="00EA2F10"/>
    <w:rsid w:val="00EC73C3"/>
    <w:rsid w:val="00ED64C1"/>
    <w:rsid w:val="00EE310D"/>
    <w:rsid w:val="00EF16FF"/>
    <w:rsid w:val="00EF58DA"/>
    <w:rsid w:val="00F4443C"/>
    <w:rsid w:val="00F53B91"/>
    <w:rsid w:val="00F56310"/>
    <w:rsid w:val="00F60CAF"/>
    <w:rsid w:val="00F75D97"/>
    <w:rsid w:val="00FA1E91"/>
    <w:rsid w:val="00FA3B33"/>
    <w:rsid w:val="00FA41A6"/>
    <w:rsid w:val="00FC0A1E"/>
    <w:rsid w:val="00FC3E1B"/>
    <w:rsid w:val="01260DB8"/>
    <w:rsid w:val="012B0DF9"/>
    <w:rsid w:val="016025FC"/>
    <w:rsid w:val="019D4E55"/>
    <w:rsid w:val="01A83C46"/>
    <w:rsid w:val="01B3097E"/>
    <w:rsid w:val="01B81995"/>
    <w:rsid w:val="020236B3"/>
    <w:rsid w:val="02182ED7"/>
    <w:rsid w:val="022C5CCC"/>
    <w:rsid w:val="025A417D"/>
    <w:rsid w:val="02823D95"/>
    <w:rsid w:val="029562D6"/>
    <w:rsid w:val="02B7624C"/>
    <w:rsid w:val="02C31095"/>
    <w:rsid w:val="02EF1E8A"/>
    <w:rsid w:val="02FA082F"/>
    <w:rsid w:val="030A0A72"/>
    <w:rsid w:val="034D4E02"/>
    <w:rsid w:val="03922815"/>
    <w:rsid w:val="03B86720"/>
    <w:rsid w:val="03C81A86"/>
    <w:rsid w:val="03E2158B"/>
    <w:rsid w:val="03E5503B"/>
    <w:rsid w:val="04351B1E"/>
    <w:rsid w:val="04352076"/>
    <w:rsid w:val="04446019"/>
    <w:rsid w:val="0455289B"/>
    <w:rsid w:val="048B2A85"/>
    <w:rsid w:val="049D76C3"/>
    <w:rsid w:val="04BE5FB8"/>
    <w:rsid w:val="04E23328"/>
    <w:rsid w:val="04F74C3F"/>
    <w:rsid w:val="04F875A0"/>
    <w:rsid w:val="05015EA4"/>
    <w:rsid w:val="05045364"/>
    <w:rsid w:val="051C0402"/>
    <w:rsid w:val="05266D05"/>
    <w:rsid w:val="05423841"/>
    <w:rsid w:val="05502988"/>
    <w:rsid w:val="05571F68"/>
    <w:rsid w:val="057B6B0A"/>
    <w:rsid w:val="05B72A07"/>
    <w:rsid w:val="06011F07"/>
    <w:rsid w:val="06351F74"/>
    <w:rsid w:val="066F6E3E"/>
    <w:rsid w:val="06915006"/>
    <w:rsid w:val="06950CBD"/>
    <w:rsid w:val="06B900B8"/>
    <w:rsid w:val="06C27BA7"/>
    <w:rsid w:val="070E2AFA"/>
    <w:rsid w:val="07146C2B"/>
    <w:rsid w:val="07247C28"/>
    <w:rsid w:val="07391925"/>
    <w:rsid w:val="07593D76"/>
    <w:rsid w:val="0782145E"/>
    <w:rsid w:val="07867FE9"/>
    <w:rsid w:val="078B7CA7"/>
    <w:rsid w:val="079E5DD1"/>
    <w:rsid w:val="07A656A9"/>
    <w:rsid w:val="07DE427B"/>
    <w:rsid w:val="07EA0E72"/>
    <w:rsid w:val="07F77C97"/>
    <w:rsid w:val="080D6E43"/>
    <w:rsid w:val="082A3964"/>
    <w:rsid w:val="083E2F6B"/>
    <w:rsid w:val="085D113C"/>
    <w:rsid w:val="089B79AC"/>
    <w:rsid w:val="08F5187C"/>
    <w:rsid w:val="09242161"/>
    <w:rsid w:val="09285B97"/>
    <w:rsid w:val="099A1FD0"/>
    <w:rsid w:val="09D92E75"/>
    <w:rsid w:val="09E85885"/>
    <w:rsid w:val="09FF3965"/>
    <w:rsid w:val="0A081EEC"/>
    <w:rsid w:val="0A1B49A5"/>
    <w:rsid w:val="0A2166A1"/>
    <w:rsid w:val="0A4E2023"/>
    <w:rsid w:val="0A6014F4"/>
    <w:rsid w:val="0A6A568E"/>
    <w:rsid w:val="0A6B0357"/>
    <w:rsid w:val="0A7D43AC"/>
    <w:rsid w:val="0AB00EA5"/>
    <w:rsid w:val="0ABD0ABF"/>
    <w:rsid w:val="0ACE6829"/>
    <w:rsid w:val="0ADF27E4"/>
    <w:rsid w:val="0AFD710E"/>
    <w:rsid w:val="0B0E00ED"/>
    <w:rsid w:val="0B2A34D9"/>
    <w:rsid w:val="0B631E61"/>
    <w:rsid w:val="0B750B02"/>
    <w:rsid w:val="0B7B1FE3"/>
    <w:rsid w:val="0BC301D9"/>
    <w:rsid w:val="0BCB0E68"/>
    <w:rsid w:val="0BE502CE"/>
    <w:rsid w:val="0BF56F71"/>
    <w:rsid w:val="0C0149DC"/>
    <w:rsid w:val="0C175FAD"/>
    <w:rsid w:val="0C395792"/>
    <w:rsid w:val="0C3C3C66"/>
    <w:rsid w:val="0C5B233E"/>
    <w:rsid w:val="0C7B320A"/>
    <w:rsid w:val="0C8278CB"/>
    <w:rsid w:val="0C8A2C23"/>
    <w:rsid w:val="0CA77331"/>
    <w:rsid w:val="0CB832EC"/>
    <w:rsid w:val="0CB96280"/>
    <w:rsid w:val="0CD4440C"/>
    <w:rsid w:val="0D0C3638"/>
    <w:rsid w:val="0D110C4F"/>
    <w:rsid w:val="0D15439D"/>
    <w:rsid w:val="0D1F07B3"/>
    <w:rsid w:val="0D4508F8"/>
    <w:rsid w:val="0D47449D"/>
    <w:rsid w:val="0D821B4C"/>
    <w:rsid w:val="0D837D9E"/>
    <w:rsid w:val="0DB735A4"/>
    <w:rsid w:val="0DB8731C"/>
    <w:rsid w:val="0DC91AF9"/>
    <w:rsid w:val="0DEB5823"/>
    <w:rsid w:val="0E061B47"/>
    <w:rsid w:val="0E3746E5"/>
    <w:rsid w:val="0E4137B5"/>
    <w:rsid w:val="0E576B35"/>
    <w:rsid w:val="0E883192"/>
    <w:rsid w:val="0EAE1EA5"/>
    <w:rsid w:val="0EC500BE"/>
    <w:rsid w:val="0F0C69BC"/>
    <w:rsid w:val="0F3D2FCE"/>
    <w:rsid w:val="0F5D63CD"/>
    <w:rsid w:val="0F6C03BE"/>
    <w:rsid w:val="0F8C280E"/>
    <w:rsid w:val="0F9C5147"/>
    <w:rsid w:val="0FF3288D"/>
    <w:rsid w:val="1001144E"/>
    <w:rsid w:val="100D0BBD"/>
    <w:rsid w:val="103C2486"/>
    <w:rsid w:val="10537FDE"/>
    <w:rsid w:val="105F163C"/>
    <w:rsid w:val="106F63B8"/>
    <w:rsid w:val="10810921"/>
    <w:rsid w:val="10B14C22"/>
    <w:rsid w:val="10E02E12"/>
    <w:rsid w:val="10ED3781"/>
    <w:rsid w:val="11203B56"/>
    <w:rsid w:val="115A7A4D"/>
    <w:rsid w:val="11647F5F"/>
    <w:rsid w:val="1165155B"/>
    <w:rsid w:val="118E0AC0"/>
    <w:rsid w:val="119360D6"/>
    <w:rsid w:val="11BF336F"/>
    <w:rsid w:val="12255CD4"/>
    <w:rsid w:val="123B7E78"/>
    <w:rsid w:val="12681311"/>
    <w:rsid w:val="1283026C"/>
    <w:rsid w:val="128A7BF7"/>
    <w:rsid w:val="129C0FBA"/>
    <w:rsid w:val="12C43AFC"/>
    <w:rsid w:val="12CF313E"/>
    <w:rsid w:val="12F708E7"/>
    <w:rsid w:val="134231CE"/>
    <w:rsid w:val="13494BFB"/>
    <w:rsid w:val="13AE71F7"/>
    <w:rsid w:val="14166484"/>
    <w:rsid w:val="143C4803"/>
    <w:rsid w:val="146E4BD8"/>
    <w:rsid w:val="1484618D"/>
    <w:rsid w:val="14BF5434"/>
    <w:rsid w:val="14EB6229"/>
    <w:rsid w:val="15267261"/>
    <w:rsid w:val="15472268"/>
    <w:rsid w:val="154F4A0A"/>
    <w:rsid w:val="1557566D"/>
    <w:rsid w:val="15830BD9"/>
    <w:rsid w:val="15AF7257"/>
    <w:rsid w:val="15B34F99"/>
    <w:rsid w:val="15B75AF7"/>
    <w:rsid w:val="15CB46A6"/>
    <w:rsid w:val="15CC6A4F"/>
    <w:rsid w:val="15EF3AF7"/>
    <w:rsid w:val="16300FD1"/>
    <w:rsid w:val="163F05DA"/>
    <w:rsid w:val="164026E0"/>
    <w:rsid w:val="164D02A2"/>
    <w:rsid w:val="165D4F05"/>
    <w:rsid w:val="16815D1C"/>
    <w:rsid w:val="16D76A65"/>
    <w:rsid w:val="16EA1425"/>
    <w:rsid w:val="170F4451"/>
    <w:rsid w:val="171A4BA4"/>
    <w:rsid w:val="17215F32"/>
    <w:rsid w:val="1728413E"/>
    <w:rsid w:val="172B6DB1"/>
    <w:rsid w:val="17375756"/>
    <w:rsid w:val="173B3498"/>
    <w:rsid w:val="1745083A"/>
    <w:rsid w:val="174F244F"/>
    <w:rsid w:val="17546308"/>
    <w:rsid w:val="1767603B"/>
    <w:rsid w:val="177644D0"/>
    <w:rsid w:val="177C0994"/>
    <w:rsid w:val="178A7F7B"/>
    <w:rsid w:val="17AA5713"/>
    <w:rsid w:val="17BD5C5B"/>
    <w:rsid w:val="17E23913"/>
    <w:rsid w:val="17FF34EC"/>
    <w:rsid w:val="180C0990"/>
    <w:rsid w:val="184E0FA9"/>
    <w:rsid w:val="186C142F"/>
    <w:rsid w:val="187F5606"/>
    <w:rsid w:val="18A24E51"/>
    <w:rsid w:val="18E64ACF"/>
    <w:rsid w:val="190D676E"/>
    <w:rsid w:val="192F4936"/>
    <w:rsid w:val="196547FC"/>
    <w:rsid w:val="19A370D2"/>
    <w:rsid w:val="19A5109C"/>
    <w:rsid w:val="19AC22AE"/>
    <w:rsid w:val="19BA0760"/>
    <w:rsid w:val="19C3747C"/>
    <w:rsid w:val="19C86B39"/>
    <w:rsid w:val="19D662F2"/>
    <w:rsid w:val="1A141D7E"/>
    <w:rsid w:val="1A511840"/>
    <w:rsid w:val="1AA90718"/>
    <w:rsid w:val="1AAE3F81"/>
    <w:rsid w:val="1AF8095D"/>
    <w:rsid w:val="1B027E29"/>
    <w:rsid w:val="1B0F20CB"/>
    <w:rsid w:val="1B394F38"/>
    <w:rsid w:val="1B3B0933"/>
    <w:rsid w:val="1B6E5356"/>
    <w:rsid w:val="1B862808"/>
    <w:rsid w:val="1B8973D1"/>
    <w:rsid w:val="1B99757B"/>
    <w:rsid w:val="1BD5051A"/>
    <w:rsid w:val="1C2E0CC8"/>
    <w:rsid w:val="1C3E1334"/>
    <w:rsid w:val="1C5B13F8"/>
    <w:rsid w:val="1C5F19D6"/>
    <w:rsid w:val="1C88068E"/>
    <w:rsid w:val="1CC7757C"/>
    <w:rsid w:val="1CE123EB"/>
    <w:rsid w:val="1D0E6F59"/>
    <w:rsid w:val="1D100F23"/>
    <w:rsid w:val="1D2E7836"/>
    <w:rsid w:val="1D2F1B6F"/>
    <w:rsid w:val="1D34296E"/>
    <w:rsid w:val="1D430810"/>
    <w:rsid w:val="1D554B87"/>
    <w:rsid w:val="1D724E0F"/>
    <w:rsid w:val="1D8D798A"/>
    <w:rsid w:val="1D8F0242"/>
    <w:rsid w:val="1DB418AE"/>
    <w:rsid w:val="1DD96785"/>
    <w:rsid w:val="1DDC0E05"/>
    <w:rsid w:val="1DFF6B1C"/>
    <w:rsid w:val="1E263889"/>
    <w:rsid w:val="1E28404A"/>
    <w:rsid w:val="1E3E73CA"/>
    <w:rsid w:val="1E436F14"/>
    <w:rsid w:val="1E5B7F7C"/>
    <w:rsid w:val="1E651EA7"/>
    <w:rsid w:val="1E65704C"/>
    <w:rsid w:val="1E674B72"/>
    <w:rsid w:val="1E676920"/>
    <w:rsid w:val="1E8E65A3"/>
    <w:rsid w:val="1EBD055F"/>
    <w:rsid w:val="1ED3045A"/>
    <w:rsid w:val="1EE753C6"/>
    <w:rsid w:val="1EEC53C1"/>
    <w:rsid w:val="1EF614DB"/>
    <w:rsid w:val="1F037ABF"/>
    <w:rsid w:val="1F0C58DF"/>
    <w:rsid w:val="1F212F73"/>
    <w:rsid w:val="1F3E6060"/>
    <w:rsid w:val="1F8025E1"/>
    <w:rsid w:val="1FBD6F7C"/>
    <w:rsid w:val="1FD50B49"/>
    <w:rsid w:val="1FF64400"/>
    <w:rsid w:val="1FFF1208"/>
    <w:rsid w:val="201F2242"/>
    <w:rsid w:val="203D2686"/>
    <w:rsid w:val="205F3053"/>
    <w:rsid w:val="208F215E"/>
    <w:rsid w:val="20B274B1"/>
    <w:rsid w:val="20B932A5"/>
    <w:rsid w:val="20C77B4A"/>
    <w:rsid w:val="20DE30A5"/>
    <w:rsid w:val="20F766A2"/>
    <w:rsid w:val="211D31AF"/>
    <w:rsid w:val="212705E9"/>
    <w:rsid w:val="212D7572"/>
    <w:rsid w:val="213F231A"/>
    <w:rsid w:val="21470119"/>
    <w:rsid w:val="21687C5B"/>
    <w:rsid w:val="21750403"/>
    <w:rsid w:val="217911FA"/>
    <w:rsid w:val="2184175C"/>
    <w:rsid w:val="218E2416"/>
    <w:rsid w:val="21FA5CFD"/>
    <w:rsid w:val="221413B9"/>
    <w:rsid w:val="22145011"/>
    <w:rsid w:val="22242D54"/>
    <w:rsid w:val="222F59A7"/>
    <w:rsid w:val="223D0F38"/>
    <w:rsid w:val="223F7CBE"/>
    <w:rsid w:val="22464D3A"/>
    <w:rsid w:val="225A62E9"/>
    <w:rsid w:val="227B0906"/>
    <w:rsid w:val="22981523"/>
    <w:rsid w:val="229B6D53"/>
    <w:rsid w:val="22B3118F"/>
    <w:rsid w:val="22C95DFC"/>
    <w:rsid w:val="22F8223D"/>
    <w:rsid w:val="230A4E08"/>
    <w:rsid w:val="230D3D84"/>
    <w:rsid w:val="231921B3"/>
    <w:rsid w:val="23241235"/>
    <w:rsid w:val="233E1DDF"/>
    <w:rsid w:val="236569E5"/>
    <w:rsid w:val="23812232"/>
    <w:rsid w:val="23831BB7"/>
    <w:rsid w:val="23E3562A"/>
    <w:rsid w:val="23FA0237"/>
    <w:rsid w:val="240001E8"/>
    <w:rsid w:val="243F6D24"/>
    <w:rsid w:val="24431BDE"/>
    <w:rsid w:val="24527C03"/>
    <w:rsid w:val="247B4ED4"/>
    <w:rsid w:val="247C4C34"/>
    <w:rsid w:val="247D6E9D"/>
    <w:rsid w:val="24861ACA"/>
    <w:rsid w:val="24AC2947"/>
    <w:rsid w:val="24B86128"/>
    <w:rsid w:val="24FC3F2A"/>
    <w:rsid w:val="25040446"/>
    <w:rsid w:val="2546353E"/>
    <w:rsid w:val="254774AC"/>
    <w:rsid w:val="254F5042"/>
    <w:rsid w:val="255F65A3"/>
    <w:rsid w:val="258626E3"/>
    <w:rsid w:val="25B34B41"/>
    <w:rsid w:val="25BF5294"/>
    <w:rsid w:val="25EB1F7C"/>
    <w:rsid w:val="25F4564B"/>
    <w:rsid w:val="25F969F8"/>
    <w:rsid w:val="25FA62CC"/>
    <w:rsid w:val="26043392"/>
    <w:rsid w:val="26123616"/>
    <w:rsid w:val="26153106"/>
    <w:rsid w:val="2628488E"/>
    <w:rsid w:val="262E41C8"/>
    <w:rsid w:val="2637307C"/>
    <w:rsid w:val="26796F4A"/>
    <w:rsid w:val="26924756"/>
    <w:rsid w:val="26A624FC"/>
    <w:rsid w:val="26AE0482"/>
    <w:rsid w:val="26BE3237"/>
    <w:rsid w:val="26BE554B"/>
    <w:rsid w:val="26CF1507"/>
    <w:rsid w:val="26D63BC5"/>
    <w:rsid w:val="26F96584"/>
    <w:rsid w:val="271B4697"/>
    <w:rsid w:val="2725381D"/>
    <w:rsid w:val="27262C32"/>
    <w:rsid w:val="273861E8"/>
    <w:rsid w:val="273D00F1"/>
    <w:rsid w:val="276B18D7"/>
    <w:rsid w:val="277125BE"/>
    <w:rsid w:val="2778394C"/>
    <w:rsid w:val="27840543"/>
    <w:rsid w:val="278E3170"/>
    <w:rsid w:val="27A1606E"/>
    <w:rsid w:val="27A74232"/>
    <w:rsid w:val="27A95429"/>
    <w:rsid w:val="27BA76BA"/>
    <w:rsid w:val="27C80812"/>
    <w:rsid w:val="27EE2D21"/>
    <w:rsid w:val="280E605F"/>
    <w:rsid w:val="283F446A"/>
    <w:rsid w:val="287C121A"/>
    <w:rsid w:val="288B5901"/>
    <w:rsid w:val="28B9246E"/>
    <w:rsid w:val="28D7460F"/>
    <w:rsid w:val="28D9666D"/>
    <w:rsid w:val="29465F48"/>
    <w:rsid w:val="29496766"/>
    <w:rsid w:val="296C128F"/>
    <w:rsid w:val="2973448D"/>
    <w:rsid w:val="29E61671"/>
    <w:rsid w:val="29F86FC6"/>
    <w:rsid w:val="2A3873C3"/>
    <w:rsid w:val="2A3E56F6"/>
    <w:rsid w:val="2A3F69A3"/>
    <w:rsid w:val="2A573CED"/>
    <w:rsid w:val="2A633263"/>
    <w:rsid w:val="2A675350"/>
    <w:rsid w:val="2AEC4567"/>
    <w:rsid w:val="2B230073"/>
    <w:rsid w:val="2B2A5829"/>
    <w:rsid w:val="2B2C7808"/>
    <w:rsid w:val="2B376B27"/>
    <w:rsid w:val="2B485D2C"/>
    <w:rsid w:val="2B4A417A"/>
    <w:rsid w:val="2B7E34FB"/>
    <w:rsid w:val="2BB331A5"/>
    <w:rsid w:val="2BDF4B0D"/>
    <w:rsid w:val="2BF67536"/>
    <w:rsid w:val="2C0C6D59"/>
    <w:rsid w:val="2C2C5AB4"/>
    <w:rsid w:val="2C602C01"/>
    <w:rsid w:val="2C730B86"/>
    <w:rsid w:val="2C954FA0"/>
    <w:rsid w:val="2C99503A"/>
    <w:rsid w:val="2CB82A3D"/>
    <w:rsid w:val="2CD06DD8"/>
    <w:rsid w:val="2D102879"/>
    <w:rsid w:val="2D14731D"/>
    <w:rsid w:val="2D3E1194"/>
    <w:rsid w:val="2D4A5D8B"/>
    <w:rsid w:val="2D4B38B1"/>
    <w:rsid w:val="2D71156A"/>
    <w:rsid w:val="2D7B31C8"/>
    <w:rsid w:val="2D9E7E85"/>
    <w:rsid w:val="2DCE2518"/>
    <w:rsid w:val="2DF33D2D"/>
    <w:rsid w:val="2E0B749A"/>
    <w:rsid w:val="2E112C5C"/>
    <w:rsid w:val="2E340801"/>
    <w:rsid w:val="2E633FFB"/>
    <w:rsid w:val="2E8203DE"/>
    <w:rsid w:val="2E9B2390"/>
    <w:rsid w:val="2EB27755"/>
    <w:rsid w:val="2EBE3905"/>
    <w:rsid w:val="2EC863C7"/>
    <w:rsid w:val="2ED27DE6"/>
    <w:rsid w:val="2ED81174"/>
    <w:rsid w:val="2EF04710"/>
    <w:rsid w:val="2EFA19CE"/>
    <w:rsid w:val="2F230642"/>
    <w:rsid w:val="2F2A2D4D"/>
    <w:rsid w:val="2F5E19D9"/>
    <w:rsid w:val="2F654979"/>
    <w:rsid w:val="2F7964B4"/>
    <w:rsid w:val="2FB16D2B"/>
    <w:rsid w:val="2FB7406E"/>
    <w:rsid w:val="2FC751F2"/>
    <w:rsid w:val="2FD75B1D"/>
    <w:rsid w:val="2FDB1D24"/>
    <w:rsid w:val="2FEA6375"/>
    <w:rsid w:val="3010766D"/>
    <w:rsid w:val="3044215D"/>
    <w:rsid w:val="3054538E"/>
    <w:rsid w:val="30753757"/>
    <w:rsid w:val="3095731D"/>
    <w:rsid w:val="30D53BBD"/>
    <w:rsid w:val="30E107B4"/>
    <w:rsid w:val="31131091"/>
    <w:rsid w:val="312476AC"/>
    <w:rsid w:val="313D7346"/>
    <w:rsid w:val="31464ABB"/>
    <w:rsid w:val="319A4CEA"/>
    <w:rsid w:val="31AC7601"/>
    <w:rsid w:val="31B639EF"/>
    <w:rsid w:val="31C477D6"/>
    <w:rsid w:val="322B465C"/>
    <w:rsid w:val="32544FB6"/>
    <w:rsid w:val="32C06869"/>
    <w:rsid w:val="32C57C62"/>
    <w:rsid w:val="32ED471A"/>
    <w:rsid w:val="3331759D"/>
    <w:rsid w:val="33353039"/>
    <w:rsid w:val="33865643"/>
    <w:rsid w:val="33AB0F87"/>
    <w:rsid w:val="33BA52ED"/>
    <w:rsid w:val="33CB0C74"/>
    <w:rsid w:val="33CB12A8"/>
    <w:rsid w:val="33D62126"/>
    <w:rsid w:val="33DF6B01"/>
    <w:rsid w:val="34244371"/>
    <w:rsid w:val="346439C6"/>
    <w:rsid w:val="346F257B"/>
    <w:rsid w:val="34AA5361"/>
    <w:rsid w:val="34C74165"/>
    <w:rsid w:val="34CA155F"/>
    <w:rsid w:val="34E15963"/>
    <w:rsid w:val="34EF1615"/>
    <w:rsid w:val="34F315EC"/>
    <w:rsid w:val="35220BDF"/>
    <w:rsid w:val="35727C2D"/>
    <w:rsid w:val="357C0AAC"/>
    <w:rsid w:val="359B0B00"/>
    <w:rsid w:val="35B212FA"/>
    <w:rsid w:val="35B9585C"/>
    <w:rsid w:val="35CD711E"/>
    <w:rsid w:val="35CE47D2"/>
    <w:rsid w:val="35CF536D"/>
    <w:rsid w:val="35D65462"/>
    <w:rsid w:val="3624775F"/>
    <w:rsid w:val="364D41F6"/>
    <w:rsid w:val="36603F29"/>
    <w:rsid w:val="36933369"/>
    <w:rsid w:val="36997E62"/>
    <w:rsid w:val="369A6CA3"/>
    <w:rsid w:val="36A25157"/>
    <w:rsid w:val="36BD576F"/>
    <w:rsid w:val="36CC5A63"/>
    <w:rsid w:val="36D36F20"/>
    <w:rsid w:val="36DB190F"/>
    <w:rsid w:val="36F823B4"/>
    <w:rsid w:val="3701042F"/>
    <w:rsid w:val="370138CA"/>
    <w:rsid w:val="371422F1"/>
    <w:rsid w:val="371D536D"/>
    <w:rsid w:val="37373A04"/>
    <w:rsid w:val="373F7FE3"/>
    <w:rsid w:val="3748158D"/>
    <w:rsid w:val="37A60062"/>
    <w:rsid w:val="37ED0850"/>
    <w:rsid w:val="37F232A7"/>
    <w:rsid w:val="38136029"/>
    <w:rsid w:val="3814321D"/>
    <w:rsid w:val="38601C2C"/>
    <w:rsid w:val="387E2D8D"/>
    <w:rsid w:val="389425B0"/>
    <w:rsid w:val="3894435E"/>
    <w:rsid w:val="389E45F0"/>
    <w:rsid w:val="38C015D8"/>
    <w:rsid w:val="38C62993"/>
    <w:rsid w:val="39095285"/>
    <w:rsid w:val="3913591C"/>
    <w:rsid w:val="39184F8F"/>
    <w:rsid w:val="391B523E"/>
    <w:rsid w:val="392A6A70"/>
    <w:rsid w:val="39595C88"/>
    <w:rsid w:val="39700927"/>
    <w:rsid w:val="398919E9"/>
    <w:rsid w:val="39926182"/>
    <w:rsid w:val="39BF18AF"/>
    <w:rsid w:val="39CE38A0"/>
    <w:rsid w:val="39FA4B0D"/>
    <w:rsid w:val="3A0A5499"/>
    <w:rsid w:val="3A1A0893"/>
    <w:rsid w:val="3A2F1883"/>
    <w:rsid w:val="3A323E2F"/>
    <w:rsid w:val="3A377697"/>
    <w:rsid w:val="3A661D2A"/>
    <w:rsid w:val="3A7E52C6"/>
    <w:rsid w:val="3A815E0A"/>
    <w:rsid w:val="3A85143D"/>
    <w:rsid w:val="3AB14612"/>
    <w:rsid w:val="3AC00B93"/>
    <w:rsid w:val="3AC6527A"/>
    <w:rsid w:val="3AD44EE6"/>
    <w:rsid w:val="3ADB6274"/>
    <w:rsid w:val="3ADC4083"/>
    <w:rsid w:val="3ADF03A2"/>
    <w:rsid w:val="3B2B6D8A"/>
    <w:rsid w:val="3B3A743F"/>
    <w:rsid w:val="3B615D4B"/>
    <w:rsid w:val="3B7A783B"/>
    <w:rsid w:val="3BEE1FD7"/>
    <w:rsid w:val="3BF45CEC"/>
    <w:rsid w:val="3C17152E"/>
    <w:rsid w:val="3C2B4FD9"/>
    <w:rsid w:val="3C466D4E"/>
    <w:rsid w:val="3C525E6D"/>
    <w:rsid w:val="3C683B38"/>
    <w:rsid w:val="3C7E335B"/>
    <w:rsid w:val="3C942B7F"/>
    <w:rsid w:val="3C9568F7"/>
    <w:rsid w:val="3C9B0F57"/>
    <w:rsid w:val="3CAB7EC8"/>
    <w:rsid w:val="3CB03D04"/>
    <w:rsid w:val="3CB46D7D"/>
    <w:rsid w:val="3CB84BBF"/>
    <w:rsid w:val="3CC80A7A"/>
    <w:rsid w:val="3CE36C30"/>
    <w:rsid w:val="3CE60F00"/>
    <w:rsid w:val="3CEC0482"/>
    <w:rsid w:val="3CF17FD1"/>
    <w:rsid w:val="3D0C77D1"/>
    <w:rsid w:val="3D1D0C51"/>
    <w:rsid w:val="3D31435C"/>
    <w:rsid w:val="3D4C3459"/>
    <w:rsid w:val="3D51281E"/>
    <w:rsid w:val="3D6A1B31"/>
    <w:rsid w:val="3D8E75CE"/>
    <w:rsid w:val="3DAE273F"/>
    <w:rsid w:val="3DD504CF"/>
    <w:rsid w:val="3DE84B6C"/>
    <w:rsid w:val="3DFC6C2D"/>
    <w:rsid w:val="3E0D0E3B"/>
    <w:rsid w:val="3E135CE6"/>
    <w:rsid w:val="3E155F41"/>
    <w:rsid w:val="3E475944"/>
    <w:rsid w:val="3E6D3687"/>
    <w:rsid w:val="3E725142"/>
    <w:rsid w:val="3E813523"/>
    <w:rsid w:val="3E8804C1"/>
    <w:rsid w:val="3E9277BD"/>
    <w:rsid w:val="3EC17D95"/>
    <w:rsid w:val="3EDC0ECC"/>
    <w:rsid w:val="3EE6343A"/>
    <w:rsid w:val="3EE871B2"/>
    <w:rsid w:val="3F2F6EBF"/>
    <w:rsid w:val="3F386265"/>
    <w:rsid w:val="3F4A7E6C"/>
    <w:rsid w:val="3F5F279F"/>
    <w:rsid w:val="3F797F77"/>
    <w:rsid w:val="3FC96FE3"/>
    <w:rsid w:val="3FCE0B50"/>
    <w:rsid w:val="3FEA2069"/>
    <w:rsid w:val="3FEF3F72"/>
    <w:rsid w:val="4010076F"/>
    <w:rsid w:val="40414DCB"/>
    <w:rsid w:val="405368AD"/>
    <w:rsid w:val="40662CB8"/>
    <w:rsid w:val="4067023A"/>
    <w:rsid w:val="407960B9"/>
    <w:rsid w:val="408847A8"/>
    <w:rsid w:val="40905D53"/>
    <w:rsid w:val="409B0BC1"/>
    <w:rsid w:val="40AB650D"/>
    <w:rsid w:val="40F26D3D"/>
    <w:rsid w:val="41175B2C"/>
    <w:rsid w:val="41190E7E"/>
    <w:rsid w:val="41232723"/>
    <w:rsid w:val="4126113F"/>
    <w:rsid w:val="412A3AB2"/>
    <w:rsid w:val="413E4F19"/>
    <w:rsid w:val="415E375B"/>
    <w:rsid w:val="416F5968"/>
    <w:rsid w:val="419B49AF"/>
    <w:rsid w:val="41E622FE"/>
    <w:rsid w:val="41E81BDE"/>
    <w:rsid w:val="41EC73B9"/>
    <w:rsid w:val="42254279"/>
    <w:rsid w:val="42312FB9"/>
    <w:rsid w:val="42555758"/>
    <w:rsid w:val="42756FAE"/>
    <w:rsid w:val="428B04D9"/>
    <w:rsid w:val="428C60A6"/>
    <w:rsid w:val="428D6C56"/>
    <w:rsid w:val="42A5126A"/>
    <w:rsid w:val="42CE10AD"/>
    <w:rsid w:val="42D37FA3"/>
    <w:rsid w:val="42D41AA6"/>
    <w:rsid w:val="42D572D3"/>
    <w:rsid w:val="42EB101F"/>
    <w:rsid w:val="42F52F66"/>
    <w:rsid w:val="42FB288E"/>
    <w:rsid w:val="43212B30"/>
    <w:rsid w:val="43486471"/>
    <w:rsid w:val="434D6E78"/>
    <w:rsid w:val="43566DE0"/>
    <w:rsid w:val="435C3C0F"/>
    <w:rsid w:val="436B215F"/>
    <w:rsid w:val="43761230"/>
    <w:rsid w:val="43A713E9"/>
    <w:rsid w:val="43AF5C05"/>
    <w:rsid w:val="43F91ACE"/>
    <w:rsid w:val="44004F9E"/>
    <w:rsid w:val="440E6793"/>
    <w:rsid w:val="44230431"/>
    <w:rsid w:val="4425491B"/>
    <w:rsid w:val="4476700E"/>
    <w:rsid w:val="44896D41"/>
    <w:rsid w:val="448B5B41"/>
    <w:rsid w:val="44BC7116"/>
    <w:rsid w:val="44BD25D7"/>
    <w:rsid w:val="44EB3558"/>
    <w:rsid w:val="44F71EFD"/>
    <w:rsid w:val="45060392"/>
    <w:rsid w:val="450A60D4"/>
    <w:rsid w:val="451B27E5"/>
    <w:rsid w:val="454D4212"/>
    <w:rsid w:val="456926CF"/>
    <w:rsid w:val="4571572A"/>
    <w:rsid w:val="45773005"/>
    <w:rsid w:val="459A44BE"/>
    <w:rsid w:val="459C4852"/>
    <w:rsid w:val="45CC1B37"/>
    <w:rsid w:val="464B166D"/>
    <w:rsid w:val="465D0485"/>
    <w:rsid w:val="466963C3"/>
    <w:rsid w:val="467620AA"/>
    <w:rsid w:val="467D6E06"/>
    <w:rsid w:val="46CC47DE"/>
    <w:rsid w:val="46D02A05"/>
    <w:rsid w:val="46F956FF"/>
    <w:rsid w:val="4700361B"/>
    <w:rsid w:val="476D294A"/>
    <w:rsid w:val="477517FF"/>
    <w:rsid w:val="47835CCA"/>
    <w:rsid w:val="47AB7721"/>
    <w:rsid w:val="47B40579"/>
    <w:rsid w:val="47B95B8F"/>
    <w:rsid w:val="47D97FDF"/>
    <w:rsid w:val="47E72C10"/>
    <w:rsid w:val="47FE7C7B"/>
    <w:rsid w:val="48030BB8"/>
    <w:rsid w:val="482F7BFF"/>
    <w:rsid w:val="483C5694"/>
    <w:rsid w:val="48435459"/>
    <w:rsid w:val="484F3AB2"/>
    <w:rsid w:val="4860600B"/>
    <w:rsid w:val="49125FFB"/>
    <w:rsid w:val="491A265E"/>
    <w:rsid w:val="491C4628"/>
    <w:rsid w:val="49291099"/>
    <w:rsid w:val="492E0F85"/>
    <w:rsid w:val="49374014"/>
    <w:rsid w:val="4953791E"/>
    <w:rsid w:val="49542533"/>
    <w:rsid w:val="497A283B"/>
    <w:rsid w:val="49845D29"/>
    <w:rsid w:val="49A40179"/>
    <w:rsid w:val="49D547D7"/>
    <w:rsid w:val="49F11610"/>
    <w:rsid w:val="49FB423D"/>
    <w:rsid w:val="49FC0FEE"/>
    <w:rsid w:val="49FD2121"/>
    <w:rsid w:val="4A007AA5"/>
    <w:rsid w:val="4A144EDF"/>
    <w:rsid w:val="4A190B67"/>
    <w:rsid w:val="4A2B42BD"/>
    <w:rsid w:val="4A3241BC"/>
    <w:rsid w:val="4A7D314E"/>
    <w:rsid w:val="4A7E62C5"/>
    <w:rsid w:val="4A8B45A5"/>
    <w:rsid w:val="4A9106FD"/>
    <w:rsid w:val="4AC24D5B"/>
    <w:rsid w:val="4B01452B"/>
    <w:rsid w:val="4B0709C0"/>
    <w:rsid w:val="4B1C083A"/>
    <w:rsid w:val="4B236A53"/>
    <w:rsid w:val="4B6E6C91"/>
    <w:rsid w:val="4B751DCD"/>
    <w:rsid w:val="4BDC377E"/>
    <w:rsid w:val="4BF058F8"/>
    <w:rsid w:val="4C017E1B"/>
    <w:rsid w:val="4C1363D0"/>
    <w:rsid w:val="4C261319"/>
    <w:rsid w:val="4C2B6930"/>
    <w:rsid w:val="4C3479F8"/>
    <w:rsid w:val="4C3677AE"/>
    <w:rsid w:val="4C4B0ACB"/>
    <w:rsid w:val="4C52210E"/>
    <w:rsid w:val="4C8D1398"/>
    <w:rsid w:val="4CDB7E70"/>
    <w:rsid w:val="4CDE38DC"/>
    <w:rsid w:val="4CE73F87"/>
    <w:rsid w:val="4CF11927"/>
    <w:rsid w:val="4DB36BDD"/>
    <w:rsid w:val="4DB56DF9"/>
    <w:rsid w:val="4DC94652"/>
    <w:rsid w:val="4DD47E42"/>
    <w:rsid w:val="4DD66399"/>
    <w:rsid w:val="4E3715BC"/>
    <w:rsid w:val="4E3C24E9"/>
    <w:rsid w:val="4E915170"/>
    <w:rsid w:val="4E9B5052"/>
    <w:rsid w:val="4E9E5ADF"/>
    <w:rsid w:val="4EA2737D"/>
    <w:rsid w:val="4EB50C10"/>
    <w:rsid w:val="4EBD5F65"/>
    <w:rsid w:val="4ED92673"/>
    <w:rsid w:val="4EDE7C89"/>
    <w:rsid w:val="4F0612C4"/>
    <w:rsid w:val="4F132029"/>
    <w:rsid w:val="4F2953A8"/>
    <w:rsid w:val="4F2E2832"/>
    <w:rsid w:val="4F381A8F"/>
    <w:rsid w:val="4F557D94"/>
    <w:rsid w:val="4F60450C"/>
    <w:rsid w:val="4F691C49"/>
    <w:rsid w:val="4F6939F7"/>
    <w:rsid w:val="4FE45773"/>
    <w:rsid w:val="4FE9510E"/>
    <w:rsid w:val="4FF02E34"/>
    <w:rsid w:val="500C606C"/>
    <w:rsid w:val="50250266"/>
    <w:rsid w:val="50263CE3"/>
    <w:rsid w:val="50461608"/>
    <w:rsid w:val="504F0E3F"/>
    <w:rsid w:val="505253AB"/>
    <w:rsid w:val="508042D9"/>
    <w:rsid w:val="50A17CA4"/>
    <w:rsid w:val="50AD00DD"/>
    <w:rsid w:val="50AD7D29"/>
    <w:rsid w:val="50BC61A9"/>
    <w:rsid w:val="50CC248F"/>
    <w:rsid w:val="50D15CF8"/>
    <w:rsid w:val="50DC644B"/>
    <w:rsid w:val="50E75A22"/>
    <w:rsid w:val="50E81293"/>
    <w:rsid w:val="512027DB"/>
    <w:rsid w:val="513E350D"/>
    <w:rsid w:val="516A1CA8"/>
    <w:rsid w:val="517A41A6"/>
    <w:rsid w:val="518E5997"/>
    <w:rsid w:val="519434E5"/>
    <w:rsid w:val="51C21AE4"/>
    <w:rsid w:val="51DC4954"/>
    <w:rsid w:val="51E22D94"/>
    <w:rsid w:val="51F11680"/>
    <w:rsid w:val="521F0CE5"/>
    <w:rsid w:val="522C172E"/>
    <w:rsid w:val="522F4A6C"/>
    <w:rsid w:val="524424F9"/>
    <w:rsid w:val="52532C9B"/>
    <w:rsid w:val="5283444E"/>
    <w:rsid w:val="52AA6800"/>
    <w:rsid w:val="52BA10C9"/>
    <w:rsid w:val="52C00A54"/>
    <w:rsid w:val="52C16224"/>
    <w:rsid w:val="52C35B14"/>
    <w:rsid w:val="52CA29FF"/>
    <w:rsid w:val="52DA15FD"/>
    <w:rsid w:val="52EF3383"/>
    <w:rsid w:val="5316330F"/>
    <w:rsid w:val="53163E96"/>
    <w:rsid w:val="53525315"/>
    <w:rsid w:val="5356503E"/>
    <w:rsid w:val="53681F20"/>
    <w:rsid w:val="537072A8"/>
    <w:rsid w:val="53873BB8"/>
    <w:rsid w:val="53C07DB2"/>
    <w:rsid w:val="53E24AE6"/>
    <w:rsid w:val="54371DFE"/>
    <w:rsid w:val="545C3B2A"/>
    <w:rsid w:val="546926EB"/>
    <w:rsid w:val="54931516"/>
    <w:rsid w:val="54F41C89"/>
    <w:rsid w:val="54F46459"/>
    <w:rsid w:val="54FE4BE1"/>
    <w:rsid w:val="550C072E"/>
    <w:rsid w:val="553C6CEB"/>
    <w:rsid w:val="554C0043"/>
    <w:rsid w:val="55532F8B"/>
    <w:rsid w:val="555B2034"/>
    <w:rsid w:val="556C5FEF"/>
    <w:rsid w:val="55941547"/>
    <w:rsid w:val="559A36FF"/>
    <w:rsid w:val="55A51501"/>
    <w:rsid w:val="55BA1450"/>
    <w:rsid w:val="55E55DA1"/>
    <w:rsid w:val="55EB2205"/>
    <w:rsid w:val="560A5808"/>
    <w:rsid w:val="564725B8"/>
    <w:rsid w:val="564B20A8"/>
    <w:rsid w:val="567B088A"/>
    <w:rsid w:val="5689496C"/>
    <w:rsid w:val="56BD3C31"/>
    <w:rsid w:val="56E85B49"/>
    <w:rsid w:val="56E90F5B"/>
    <w:rsid w:val="56FE536D"/>
    <w:rsid w:val="571701DC"/>
    <w:rsid w:val="57174FB2"/>
    <w:rsid w:val="571B2AA2"/>
    <w:rsid w:val="5730129E"/>
    <w:rsid w:val="57342B3C"/>
    <w:rsid w:val="573434A1"/>
    <w:rsid w:val="573C16D0"/>
    <w:rsid w:val="576215A8"/>
    <w:rsid w:val="57686C8A"/>
    <w:rsid w:val="576B22D6"/>
    <w:rsid w:val="57776ECD"/>
    <w:rsid w:val="578D049F"/>
    <w:rsid w:val="57931F59"/>
    <w:rsid w:val="57B35F6D"/>
    <w:rsid w:val="57B462A2"/>
    <w:rsid w:val="57E417E0"/>
    <w:rsid w:val="580E7831"/>
    <w:rsid w:val="581F559B"/>
    <w:rsid w:val="582C7CB7"/>
    <w:rsid w:val="58466FCB"/>
    <w:rsid w:val="58482E44"/>
    <w:rsid w:val="585D4208"/>
    <w:rsid w:val="58634CBB"/>
    <w:rsid w:val="58694BDF"/>
    <w:rsid w:val="58704048"/>
    <w:rsid w:val="58737694"/>
    <w:rsid w:val="589B3CDA"/>
    <w:rsid w:val="589F66DB"/>
    <w:rsid w:val="58FA2E94"/>
    <w:rsid w:val="58FE78A6"/>
    <w:rsid w:val="590E560F"/>
    <w:rsid w:val="591311F4"/>
    <w:rsid w:val="59727A97"/>
    <w:rsid w:val="598B6E78"/>
    <w:rsid w:val="59BD150F"/>
    <w:rsid w:val="59E3160A"/>
    <w:rsid w:val="59E45EB5"/>
    <w:rsid w:val="59F36F78"/>
    <w:rsid w:val="5A0A04CC"/>
    <w:rsid w:val="5A222E87"/>
    <w:rsid w:val="5A5D23AA"/>
    <w:rsid w:val="5A67064A"/>
    <w:rsid w:val="5A7125EE"/>
    <w:rsid w:val="5A9D1E29"/>
    <w:rsid w:val="5AAB580B"/>
    <w:rsid w:val="5AB521E6"/>
    <w:rsid w:val="5AF25EAC"/>
    <w:rsid w:val="5B286E2D"/>
    <w:rsid w:val="5B294982"/>
    <w:rsid w:val="5B303F63"/>
    <w:rsid w:val="5B557525"/>
    <w:rsid w:val="5B622594"/>
    <w:rsid w:val="5B9938B6"/>
    <w:rsid w:val="5B9A46F8"/>
    <w:rsid w:val="5BA84668"/>
    <w:rsid w:val="5BC14BBB"/>
    <w:rsid w:val="5BE018CB"/>
    <w:rsid w:val="5BE82147"/>
    <w:rsid w:val="5C0E15D9"/>
    <w:rsid w:val="5C125416"/>
    <w:rsid w:val="5C6F53A4"/>
    <w:rsid w:val="5C8F6A67"/>
    <w:rsid w:val="5C9E3C9E"/>
    <w:rsid w:val="5CC93D27"/>
    <w:rsid w:val="5CD94A7D"/>
    <w:rsid w:val="5D0134C1"/>
    <w:rsid w:val="5D061443"/>
    <w:rsid w:val="5D083339"/>
    <w:rsid w:val="5D423AD9"/>
    <w:rsid w:val="5D465377"/>
    <w:rsid w:val="5D50269A"/>
    <w:rsid w:val="5D505083"/>
    <w:rsid w:val="5D7C7518"/>
    <w:rsid w:val="5D953743"/>
    <w:rsid w:val="5DB9023F"/>
    <w:rsid w:val="5DC6470A"/>
    <w:rsid w:val="5E196F30"/>
    <w:rsid w:val="5E3552D9"/>
    <w:rsid w:val="5E5341F0"/>
    <w:rsid w:val="5E793C16"/>
    <w:rsid w:val="5E814C0F"/>
    <w:rsid w:val="5EAA7B88"/>
    <w:rsid w:val="5EB01642"/>
    <w:rsid w:val="5EF332DD"/>
    <w:rsid w:val="5EFD0600"/>
    <w:rsid w:val="5F192012"/>
    <w:rsid w:val="5F2F3AC7"/>
    <w:rsid w:val="5F555D46"/>
    <w:rsid w:val="5F7206A6"/>
    <w:rsid w:val="5F766D30"/>
    <w:rsid w:val="5FCD7FD2"/>
    <w:rsid w:val="5FD0361E"/>
    <w:rsid w:val="5FDE5D3B"/>
    <w:rsid w:val="5FEA46E0"/>
    <w:rsid w:val="5FFE018B"/>
    <w:rsid w:val="600F4147"/>
    <w:rsid w:val="601812AE"/>
    <w:rsid w:val="604C498D"/>
    <w:rsid w:val="604C539B"/>
    <w:rsid w:val="604D4C6F"/>
    <w:rsid w:val="6065020A"/>
    <w:rsid w:val="609B00D0"/>
    <w:rsid w:val="60C16F3B"/>
    <w:rsid w:val="60DF7FBD"/>
    <w:rsid w:val="60F65306"/>
    <w:rsid w:val="6106379C"/>
    <w:rsid w:val="612A0AF8"/>
    <w:rsid w:val="617526CF"/>
    <w:rsid w:val="619568CD"/>
    <w:rsid w:val="61A92379"/>
    <w:rsid w:val="61B054B5"/>
    <w:rsid w:val="61C55405"/>
    <w:rsid w:val="61D07906"/>
    <w:rsid w:val="61FD4BCF"/>
    <w:rsid w:val="62257C51"/>
    <w:rsid w:val="623E513D"/>
    <w:rsid w:val="624C33EF"/>
    <w:rsid w:val="62522A10"/>
    <w:rsid w:val="626C5880"/>
    <w:rsid w:val="62A3501A"/>
    <w:rsid w:val="62AE553F"/>
    <w:rsid w:val="62CA07F9"/>
    <w:rsid w:val="62EC4C13"/>
    <w:rsid w:val="631B2E02"/>
    <w:rsid w:val="633436C2"/>
    <w:rsid w:val="63462575"/>
    <w:rsid w:val="63506F50"/>
    <w:rsid w:val="636E7A2E"/>
    <w:rsid w:val="637D18D6"/>
    <w:rsid w:val="639F1C85"/>
    <w:rsid w:val="63AB23D8"/>
    <w:rsid w:val="63B70D7D"/>
    <w:rsid w:val="63E328D4"/>
    <w:rsid w:val="64076927"/>
    <w:rsid w:val="64106469"/>
    <w:rsid w:val="642168F6"/>
    <w:rsid w:val="643150EF"/>
    <w:rsid w:val="64430863"/>
    <w:rsid w:val="64943E02"/>
    <w:rsid w:val="649C269E"/>
    <w:rsid w:val="64A50DAF"/>
    <w:rsid w:val="64DD3107"/>
    <w:rsid w:val="64E97686"/>
    <w:rsid w:val="650049A6"/>
    <w:rsid w:val="6502071E"/>
    <w:rsid w:val="65051FBC"/>
    <w:rsid w:val="65143E8E"/>
    <w:rsid w:val="65312DB1"/>
    <w:rsid w:val="654B3E0B"/>
    <w:rsid w:val="65701DAF"/>
    <w:rsid w:val="65734A62"/>
    <w:rsid w:val="65C94D98"/>
    <w:rsid w:val="65E73470"/>
    <w:rsid w:val="65EF6895"/>
    <w:rsid w:val="65F242EE"/>
    <w:rsid w:val="65F57186"/>
    <w:rsid w:val="66081D64"/>
    <w:rsid w:val="66356F3C"/>
    <w:rsid w:val="664F1741"/>
    <w:rsid w:val="668D2E4E"/>
    <w:rsid w:val="66976C44"/>
    <w:rsid w:val="66FE6CC3"/>
    <w:rsid w:val="67224816"/>
    <w:rsid w:val="67235FBE"/>
    <w:rsid w:val="673152EA"/>
    <w:rsid w:val="673B3A73"/>
    <w:rsid w:val="673E3563"/>
    <w:rsid w:val="673F0C0E"/>
    <w:rsid w:val="67420095"/>
    <w:rsid w:val="67697CCC"/>
    <w:rsid w:val="67A755AC"/>
    <w:rsid w:val="67BE6D26"/>
    <w:rsid w:val="67C044C4"/>
    <w:rsid w:val="67C93707"/>
    <w:rsid w:val="67DB7004"/>
    <w:rsid w:val="67E857A9"/>
    <w:rsid w:val="68072700"/>
    <w:rsid w:val="68384D1D"/>
    <w:rsid w:val="684923CA"/>
    <w:rsid w:val="68556DB7"/>
    <w:rsid w:val="685748DD"/>
    <w:rsid w:val="687E6A36"/>
    <w:rsid w:val="68DD2EC8"/>
    <w:rsid w:val="68F41FE7"/>
    <w:rsid w:val="692073C4"/>
    <w:rsid w:val="69236EB5"/>
    <w:rsid w:val="6926728F"/>
    <w:rsid w:val="69356E2B"/>
    <w:rsid w:val="69362DAC"/>
    <w:rsid w:val="696D5485"/>
    <w:rsid w:val="69735746"/>
    <w:rsid w:val="69910253"/>
    <w:rsid w:val="69A9560C"/>
    <w:rsid w:val="69AA4EE0"/>
    <w:rsid w:val="69AD2726"/>
    <w:rsid w:val="69C53915"/>
    <w:rsid w:val="69CF1EED"/>
    <w:rsid w:val="69D05529"/>
    <w:rsid w:val="69E629B4"/>
    <w:rsid w:val="69FB056C"/>
    <w:rsid w:val="6A0E1913"/>
    <w:rsid w:val="6A1A3E14"/>
    <w:rsid w:val="6A303F94"/>
    <w:rsid w:val="6A3D3FA6"/>
    <w:rsid w:val="6A8614A9"/>
    <w:rsid w:val="6A9260A0"/>
    <w:rsid w:val="6A942CE9"/>
    <w:rsid w:val="6A955B90"/>
    <w:rsid w:val="6A9C3978"/>
    <w:rsid w:val="6AF503DD"/>
    <w:rsid w:val="6AF873C8"/>
    <w:rsid w:val="6B1000B4"/>
    <w:rsid w:val="6B43739A"/>
    <w:rsid w:val="6B50669B"/>
    <w:rsid w:val="6B7E4876"/>
    <w:rsid w:val="6B8005EE"/>
    <w:rsid w:val="6B80239C"/>
    <w:rsid w:val="6B8430CD"/>
    <w:rsid w:val="6B8725DB"/>
    <w:rsid w:val="6B964637"/>
    <w:rsid w:val="6BBE4C73"/>
    <w:rsid w:val="6BC404DB"/>
    <w:rsid w:val="6BCD756D"/>
    <w:rsid w:val="6BEC358E"/>
    <w:rsid w:val="6C092392"/>
    <w:rsid w:val="6C0F54CE"/>
    <w:rsid w:val="6C127F06"/>
    <w:rsid w:val="6C341B31"/>
    <w:rsid w:val="6C465394"/>
    <w:rsid w:val="6C6256CC"/>
    <w:rsid w:val="6C82094F"/>
    <w:rsid w:val="6C9E6F7E"/>
    <w:rsid w:val="6CB43A23"/>
    <w:rsid w:val="6CB90C75"/>
    <w:rsid w:val="6CBE48F7"/>
    <w:rsid w:val="6CF7043C"/>
    <w:rsid w:val="6CFA1FFE"/>
    <w:rsid w:val="6CFC5A53"/>
    <w:rsid w:val="6D48139B"/>
    <w:rsid w:val="6D4D2752"/>
    <w:rsid w:val="6D6D6950"/>
    <w:rsid w:val="6D920779"/>
    <w:rsid w:val="6DA36D8A"/>
    <w:rsid w:val="6DA87988"/>
    <w:rsid w:val="6DD51EC1"/>
    <w:rsid w:val="6DE05374"/>
    <w:rsid w:val="6E021FD1"/>
    <w:rsid w:val="6E4F0506"/>
    <w:rsid w:val="6E8977BA"/>
    <w:rsid w:val="6E8F15D9"/>
    <w:rsid w:val="6E9220EF"/>
    <w:rsid w:val="6E953C97"/>
    <w:rsid w:val="6E9F0D8B"/>
    <w:rsid w:val="6EA23008"/>
    <w:rsid w:val="6ECA11E3"/>
    <w:rsid w:val="6EDC3D8E"/>
    <w:rsid w:val="6EDF562C"/>
    <w:rsid w:val="6F007327"/>
    <w:rsid w:val="6F077D6E"/>
    <w:rsid w:val="6F116045"/>
    <w:rsid w:val="6F434296"/>
    <w:rsid w:val="6F464419"/>
    <w:rsid w:val="6F5361F2"/>
    <w:rsid w:val="6F6E1395"/>
    <w:rsid w:val="6F814935"/>
    <w:rsid w:val="6F8D5088"/>
    <w:rsid w:val="6F906926"/>
    <w:rsid w:val="6FA32AFD"/>
    <w:rsid w:val="6FBA7BE3"/>
    <w:rsid w:val="6FC54822"/>
    <w:rsid w:val="6FD42CB7"/>
    <w:rsid w:val="6FDD7DBD"/>
    <w:rsid w:val="6FDE5199"/>
    <w:rsid w:val="6FFE7D34"/>
    <w:rsid w:val="702B4B0F"/>
    <w:rsid w:val="70425E72"/>
    <w:rsid w:val="7056191E"/>
    <w:rsid w:val="708332C1"/>
    <w:rsid w:val="708C533F"/>
    <w:rsid w:val="70995B4F"/>
    <w:rsid w:val="70C1323B"/>
    <w:rsid w:val="71123A97"/>
    <w:rsid w:val="71167A14"/>
    <w:rsid w:val="711C37A7"/>
    <w:rsid w:val="711D0E2F"/>
    <w:rsid w:val="71290DE0"/>
    <w:rsid w:val="714F4A2B"/>
    <w:rsid w:val="715274D7"/>
    <w:rsid w:val="716751E6"/>
    <w:rsid w:val="71CF4C44"/>
    <w:rsid w:val="71EA67C2"/>
    <w:rsid w:val="71FE04BF"/>
    <w:rsid w:val="72120F22"/>
    <w:rsid w:val="722D66AE"/>
    <w:rsid w:val="7246140B"/>
    <w:rsid w:val="725D3437"/>
    <w:rsid w:val="72693B8A"/>
    <w:rsid w:val="7278201F"/>
    <w:rsid w:val="727D13E4"/>
    <w:rsid w:val="728F7281"/>
    <w:rsid w:val="72930C07"/>
    <w:rsid w:val="729E05F7"/>
    <w:rsid w:val="72DB4A4B"/>
    <w:rsid w:val="72FB1927"/>
    <w:rsid w:val="735859AD"/>
    <w:rsid w:val="737230F7"/>
    <w:rsid w:val="73775F65"/>
    <w:rsid w:val="739C1D3D"/>
    <w:rsid w:val="73A17354"/>
    <w:rsid w:val="73AD7AA7"/>
    <w:rsid w:val="73D239B1"/>
    <w:rsid w:val="73D72D76"/>
    <w:rsid w:val="73F00EDB"/>
    <w:rsid w:val="74031E70"/>
    <w:rsid w:val="74035919"/>
    <w:rsid w:val="740D1C1E"/>
    <w:rsid w:val="74566390"/>
    <w:rsid w:val="74967468"/>
    <w:rsid w:val="74A36100"/>
    <w:rsid w:val="74C35F1C"/>
    <w:rsid w:val="74FD4A5E"/>
    <w:rsid w:val="75087A63"/>
    <w:rsid w:val="7533222E"/>
    <w:rsid w:val="75610B49"/>
    <w:rsid w:val="7561323F"/>
    <w:rsid w:val="75671ED7"/>
    <w:rsid w:val="7577493F"/>
    <w:rsid w:val="757A7E5C"/>
    <w:rsid w:val="75885447"/>
    <w:rsid w:val="75986535"/>
    <w:rsid w:val="75AA6994"/>
    <w:rsid w:val="75BE4EBA"/>
    <w:rsid w:val="76004806"/>
    <w:rsid w:val="760360A4"/>
    <w:rsid w:val="761920DD"/>
    <w:rsid w:val="76252C4D"/>
    <w:rsid w:val="763F1AD3"/>
    <w:rsid w:val="764566BC"/>
    <w:rsid w:val="76683E52"/>
    <w:rsid w:val="766A24B2"/>
    <w:rsid w:val="769D3E02"/>
    <w:rsid w:val="76A07565"/>
    <w:rsid w:val="76BD26F7"/>
    <w:rsid w:val="76D811AB"/>
    <w:rsid w:val="76E00193"/>
    <w:rsid w:val="7709603C"/>
    <w:rsid w:val="771244E7"/>
    <w:rsid w:val="771479EA"/>
    <w:rsid w:val="772A38D2"/>
    <w:rsid w:val="774C75D7"/>
    <w:rsid w:val="775B27D0"/>
    <w:rsid w:val="77626DFA"/>
    <w:rsid w:val="776C5995"/>
    <w:rsid w:val="778833A0"/>
    <w:rsid w:val="77974CF6"/>
    <w:rsid w:val="77D0645A"/>
    <w:rsid w:val="77E05E39"/>
    <w:rsid w:val="77F9150C"/>
    <w:rsid w:val="781A5362"/>
    <w:rsid w:val="782B6736"/>
    <w:rsid w:val="783764D9"/>
    <w:rsid w:val="783F0DAF"/>
    <w:rsid w:val="7858337E"/>
    <w:rsid w:val="786C6182"/>
    <w:rsid w:val="788A03B6"/>
    <w:rsid w:val="78992CEF"/>
    <w:rsid w:val="78BC6AA1"/>
    <w:rsid w:val="78C16034"/>
    <w:rsid w:val="78DD498A"/>
    <w:rsid w:val="79237F98"/>
    <w:rsid w:val="792E7984"/>
    <w:rsid w:val="793E15F9"/>
    <w:rsid w:val="796B468C"/>
    <w:rsid w:val="7973709D"/>
    <w:rsid w:val="797D616D"/>
    <w:rsid w:val="798219D5"/>
    <w:rsid w:val="79863274"/>
    <w:rsid w:val="79892D64"/>
    <w:rsid w:val="798D1378"/>
    <w:rsid w:val="798F00FE"/>
    <w:rsid w:val="79A33E26"/>
    <w:rsid w:val="79A67472"/>
    <w:rsid w:val="79B00633"/>
    <w:rsid w:val="79BC6C95"/>
    <w:rsid w:val="79F44419"/>
    <w:rsid w:val="7A036672"/>
    <w:rsid w:val="7A041C7B"/>
    <w:rsid w:val="7A1748A8"/>
    <w:rsid w:val="7A2A5D7E"/>
    <w:rsid w:val="7A316896"/>
    <w:rsid w:val="7A340040"/>
    <w:rsid w:val="7A36055E"/>
    <w:rsid w:val="7A360F8A"/>
    <w:rsid w:val="7A3A405E"/>
    <w:rsid w:val="7A4E5572"/>
    <w:rsid w:val="7AA159BD"/>
    <w:rsid w:val="7AA339B1"/>
    <w:rsid w:val="7ADE49EA"/>
    <w:rsid w:val="7AE85868"/>
    <w:rsid w:val="7AF4245F"/>
    <w:rsid w:val="7B095F8D"/>
    <w:rsid w:val="7B315461"/>
    <w:rsid w:val="7B352923"/>
    <w:rsid w:val="7B430CF1"/>
    <w:rsid w:val="7B46413C"/>
    <w:rsid w:val="7B915F00"/>
    <w:rsid w:val="7B9F686F"/>
    <w:rsid w:val="7BD712BD"/>
    <w:rsid w:val="7BDF4EBD"/>
    <w:rsid w:val="7C136915"/>
    <w:rsid w:val="7C4C3032"/>
    <w:rsid w:val="7C572CA5"/>
    <w:rsid w:val="7C75312C"/>
    <w:rsid w:val="7C9F72EF"/>
    <w:rsid w:val="7CB2612E"/>
    <w:rsid w:val="7CB93960"/>
    <w:rsid w:val="7CDD764F"/>
    <w:rsid w:val="7CE87DA1"/>
    <w:rsid w:val="7D175611"/>
    <w:rsid w:val="7D3F20B7"/>
    <w:rsid w:val="7D494CE4"/>
    <w:rsid w:val="7D4E22FA"/>
    <w:rsid w:val="7D690EE2"/>
    <w:rsid w:val="7D7653AD"/>
    <w:rsid w:val="7E141BF3"/>
    <w:rsid w:val="7E391383"/>
    <w:rsid w:val="7E521976"/>
    <w:rsid w:val="7E6F077A"/>
    <w:rsid w:val="7E7D7343"/>
    <w:rsid w:val="7E9C7095"/>
    <w:rsid w:val="7E9E7B50"/>
    <w:rsid w:val="7EAF6879"/>
    <w:rsid w:val="7F0E027B"/>
    <w:rsid w:val="7F402117"/>
    <w:rsid w:val="7F4514DB"/>
    <w:rsid w:val="7F6776A3"/>
    <w:rsid w:val="7F8903C9"/>
    <w:rsid w:val="7FAC3308"/>
    <w:rsid w:val="7FC127C8"/>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9"/>
    <w:qFormat/>
    <w:uiPriority w:val="0"/>
    <w:pPr>
      <w:keepNext/>
      <w:keepLines/>
      <w:spacing w:after="120" w:line="360" w:lineRule="auto"/>
      <w:jc w:val="left"/>
      <w:outlineLvl w:val="0"/>
    </w:pPr>
    <w:rPr>
      <w:kern w:val="44"/>
      <w:sz w:val="28"/>
      <w:szCs w:val="28"/>
    </w:rPr>
  </w:style>
  <w:style w:type="paragraph" w:styleId="4">
    <w:name w:val="heading 2"/>
    <w:basedOn w:val="1"/>
    <w:next w:val="1"/>
    <w:link w:val="7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link w:val="157"/>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1"/>
    <w:next w:val="1"/>
    <w:link w:val="70"/>
    <w:qFormat/>
    <w:uiPriority w:val="0"/>
    <w:pPr>
      <w:keepNext/>
      <w:keepLines/>
      <w:spacing w:beforeLines="50" w:afterLines="50" w:line="360" w:lineRule="auto"/>
      <w:ind w:left="284" w:hanging="284"/>
      <w:jc w:val="center"/>
      <w:outlineLvl w:val="3"/>
    </w:pPr>
    <w:rPr>
      <w:rFonts w:ascii="Arial" w:hAnsi="Arial"/>
      <w:color w:val="000000"/>
      <w:sz w:val="24"/>
      <w:szCs w:val="24"/>
    </w:rPr>
  </w:style>
  <w:style w:type="paragraph" w:styleId="7">
    <w:name w:val="heading 5"/>
    <w:basedOn w:val="6"/>
    <w:next w:val="8"/>
    <w:link w:val="71"/>
    <w:qFormat/>
    <w:uiPriority w:val="0"/>
    <w:pPr>
      <w:spacing w:line="240" w:lineRule="exact"/>
      <w:ind w:left="0" w:firstLine="0"/>
      <w:outlineLvl w:val="4"/>
    </w:pPr>
  </w:style>
  <w:style w:type="paragraph" w:styleId="9">
    <w:name w:val="heading 7"/>
    <w:basedOn w:val="1"/>
    <w:next w:val="8"/>
    <w:link w:val="72"/>
    <w:qFormat/>
    <w:uiPriority w:val="0"/>
    <w:pPr>
      <w:keepNext/>
      <w:keepLines/>
      <w:spacing w:line="320" w:lineRule="auto"/>
      <w:outlineLvl w:val="6"/>
    </w:pPr>
    <w:rPr>
      <w:b/>
      <w:sz w:val="24"/>
      <w:szCs w:val="20"/>
    </w:rPr>
  </w:style>
  <w:style w:type="paragraph" w:styleId="10">
    <w:name w:val="heading 8"/>
    <w:basedOn w:val="1"/>
    <w:next w:val="8"/>
    <w:link w:val="73"/>
    <w:qFormat/>
    <w:uiPriority w:val="0"/>
    <w:pPr>
      <w:keepNext/>
      <w:keepLines/>
      <w:spacing w:line="320" w:lineRule="auto"/>
      <w:outlineLvl w:val="7"/>
    </w:pPr>
    <w:rPr>
      <w:rFonts w:ascii="Arial" w:hAnsi="Arial" w:eastAsia="黑体"/>
      <w:sz w:val="24"/>
      <w:szCs w:val="20"/>
    </w:rPr>
  </w:style>
  <w:style w:type="paragraph" w:styleId="11">
    <w:name w:val="heading 9"/>
    <w:basedOn w:val="1"/>
    <w:next w:val="8"/>
    <w:link w:val="74"/>
    <w:qFormat/>
    <w:uiPriority w:val="0"/>
    <w:pPr>
      <w:keepNext/>
      <w:keepLines/>
      <w:spacing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customStyle="1" w:styleId="8">
    <w:name w:val="Normal Indent1"/>
    <w:basedOn w:val="1"/>
    <w:qFormat/>
    <w:uiPriority w:val="0"/>
    <w:pPr>
      <w:ind w:firstLine="420" w:firstLineChars="200"/>
    </w:pPr>
    <w:rPr>
      <w:sz w:val="30"/>
      <w:szCs w:val="24"/>
    </w:rPr>
  </w:style>
  <w:style w:type="paragraph" w:styleId="12">
    <w:name w:val="Normal Indent"/>
    <w:basedOn w:val="1"/>
    <w:next w:val="1"/>
    <w:qFormat/>
    <w:uiPriority w:val="0"/>
    <w:pPr>
      <w:ind w:firstLine="420"/>
    </w:pPr>
    <w:rPr>
      <w:szCs w:val="20"/>
    </w:rPr>
  </w:style>
  <w:style w:type="paragraph" w:styleId="13">
    <w:name w:val="annotation text"/>
    <w:basedOn w:val="1"/>
    <w:link w:val="67"/>
    <w:qFormat/>
    <w:uiPriority w:val="0"/>
    <w:pPr>
      <w:spacing w:line="360" w:lineRule="auto"/>
      <w:ind w:firstLine="523" w:firstLineChars="218"/>
      <w:jc w:val="left"/>
    </w:pPr>
    <w:rPr>
      <w:rFonts w:ascii="宋体" w:hAnsi="宋体"/>
      <w:kern w:val="0"/>
      <w:sz w:val="24"/>
      <w:szCs w:val="24"/>
    </w:rPr>
  </w:style>
  <w:style w:type="paragraph" w:styleId="14">
    <w:name w:val="Body Text"/>
    <w:basedOn w:val="1"/>
    <w:next w:val="1"/>
    <w:link w:val="78"/>
    <w:qFormat/>
    <w:uiPriority w:val="0"/>
    <w:pPr>
      <w:spacing w:after="120"/>
    </w:pPr>
    <w:rPr>
      <w:kern w:val="0"/>
      <w:sz w:val="20"/>
      <w:szCs w:val="20"/>
    </w:rPr>
  </w:style>
  <w:style w:type="paragraph" w:styleId="15">
    <w:name w:val="Body Text Indent"/>
    <w:basedOn w:val="1"/>
    <w:link w:val="79"/>
    <w:qFormat/>
    <w:uiPriority w:val="0"/>
    <w:pPr>
      <w:ind w:firstLine="570"/>
    </w:pPr>
    <w:rPr>
      <w:kern w:val="0"/>
      <w:sz w:val="28"/>
      <w:szCs w:val="20"/>
    </w:rPr>
  </w:style>
  <w:style w:type="paragraph" w:styleId="16">
    <w:name w:val="toc 5"/>
    <w:basedOn w:val="1"/>
    <w:next w:val="1"/>
    <w:unhideWhenUsed/>
    <w:qFormat/>
    <w:uiPriority w:val="39"/>
    <w:pPr>
      <w:ind w:left="1680" w:leftChars="800"/>
    </w:pPr>
    <w:rPr>
      <w:szCs w:val="24"/>
    </w:rPr>
  </w:style>
  <w:style w:type="paragraph" w:styleId="17">
    <w:name w:val="toc 3"/>
    <w:basedOn w:val="1"/>
    <w:next w:val="1"/>
    <w:qFormat/>
    <w:uiPriority w:val="0"/>
    <w:pPr>
      <w:snapToGrid w:val="0"/>
      <w:spacing w:line="360" w:lineRule="auto"/>
      <w:ind w:left="400" w:leftChars="400"/>
      <w:jc w:val="left"/>
    </w:pPr>
    <w:rPr>
      <w:sz w:val="24"/>
      <w:szCs w:val="20"/>
    </w:rPr>
  </w:style>
  <w:style w:type="paragraph" w:styleId="18">
    <w:name w:val="Plain Text"/>
    <w:basedOn w:val="1"/>
    <w:link w:val="80"/>
    <w:qFormat/>
    <w:uiPriority w:val="0"/>
    <w:rPr>
      <w:rFonts w:ascii="宋体" w:hAnsi="Courier New"/>
      <w:kern w:val="0"/>
      <w:sz w:val="20"/>
      <w:szCs w:val="20"/>
    </w:rPr>
  </w:style>
  <w:style w:type="paragraph" w:styleId="19">
    <w:name w:val="Date"/>
    <w:basedOn w:val="1"/>
    <w:next w:val="1"/>
    <w:link w:val="156"/>
    <w:qFormat/>
    <w:uiPriority w:val="99"/>
    <w:rPr>
      <w:kern w:val="0"/>
      <w:sz w:val="20"/>
      <w:szCs w:val="20"/>
    </w:rPr>
  </w:style>
  <w:style w:type="paragraph" w:styleId="20">
    <w:name w:val="Body Text Indent 2"/>
    <w:basedOn w:val="1"/>
    <w:link w:val="75"/>
    <w:qFormat/>
    <w:uiPriority w:val="0"/>
    <w:pPr>
      <w:spacing w:line="480" w:lineRule="auto"/>
      <w:ind w:left="420" w:leftChars="200"/>
    </w:pPr>
    <w:rPr>
      <w:sz w:val="30"/>
      <w:szCs w:val="24"/>
    </w:rPr>
  </w:style>
  <w:style w:type="paragraph" w:styleId="21">
    <w:name w:val="Balloon Text"/>
    <w:basedOn w:val="1"/>
    <w:link w:val="69"/>
    <w:qFormat/>
    <w:uiPriority w:val="0"/>
    <w:rPr>
      <w:sz w:val="18"/>
      <w:szCs w:val="18"/>
    </w:rPr>
  </w:style>
  <w:style w:type="paragraph" w:styleId="22">
    <w:name w:val="footer"/>
    <w:basedOn w:val="1"/>
    <w:link w:val="81"/>
    <w:unhideWhenUsed/>
    <w:qFormat/>
    <w:uiPriority w:val="0"/>
    <w:pPr>
      <w:tabs>
        <w:tab w:val="center" w:pos="4153"/>
        <w:tab w:val="right" w:pos="8306"/>
      </w:tabs>
      <w:snapToGrid w:val="0"/>
      <w:jc w:val="left"/>
    </w:pPr>
    <w:rPr>
      <w:rFonts w:ascii="Calibri" w:hAnsi="Calibri"/>
      <w:kern w:val="0"/>
      <w:sz w:val="18"/>
      <w:szCs w:val="18"/>
    </w:rPr>
  </w:style>
  <w:style w:type="paragraph" w:styleId="23">
    <w:name w:val="header"/>
    <w:basedOn w:val="1"/>
    <w:link w:val="82"/>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4">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76"/>
    <w:qFormat/>
    <w:uiPriority w:val="0"/>
    <w:pPr>
      <w:ind w:left="420" w:leftChars="200"/>
    </w:pPr>
    <w:rPr>
      <w:sz w:val="16"/>
      <w:szCs w:val="16"/>
    </w:rPr>
  </w:style>
  <w:style w:type="paragraph" w:styleId="27">
    <w:name w:val="Body Text 2"/>
    <w:basedOn w:val="1"/>
    <w:link w:val="132"/>
    <w:qFormat/>
    <w:uiPriority w:val="0"/>
    <w:rPr>
      <w:rFonts w:ascii="宋体" w:hAnsi="宋体"/>
      <w:kern w:val="0"/>
      <w:sz w:val="20"/>
      <w:szCs w:val="24"/>
      <w:u w:val="single"/>
    </w:rPr>
  </w:style>
  <w:style w:type="paragraph" w:styleId="28">
    <w:name w:val="Normal (Web)"/>
    <w:basedOn w:val="1"/>
    <w:qFormat/>
    <w:uiPriority w:val="0"/>
    <w:pPr>
      <w:spacing w:beforeAutospacing="1" w:afterAutospacing="1"/>
      <w:jc w:val="left"/>
    </w:pPr>
    <w:rPr>
      <w:kern w:val="0"/>
      <w:sz w:val="24"/>
    </w:rPr>
  </w:style>
  <w:style w:type="paragraph" w:styleId="29">
    <w:name w:val="Title"/>
    <w:basedOn w:val="1"/>
    <w:next w:val="1"/>
    <w:qFormat/>
    <w:uiPriority w:val="0"/>
    <w:pPr>
      <w:spacing w:before="120" w:after="60"/>
      <w:jc w:val="center"/>
    </w:pPr>
    <w:rPr>
      <w:rFonts w:ascii="Arial" w:hAnsi="Arial"/>
      <w:b/>
      <w:kern w:val="0"/>
      <w:sz w:val="44"/>
      <w:szCs w:val="20"/>
    </w:rPr>
  </w:style>
  <w:style w:type="paragraph" w:styleId="30">
    <w:name w:val="annotation subject"/>
    <w:basedOn w:val="13"/>
    <w:next w:val="13"/>
    <w:link w:val="68"/>
    <w:qFormat/>
    <w:uiPriority w:val="0"/>
    <w:pPr>
      <w:spacing w:line="240" w:lineRule="auto"/>
      <w:ind w:firstLine="0" w:firstLineChars="0"/>
    </w:pPr>
    <w:rPr>
      <w:rFonts w:ascii="Times New Roman" w:hAnsi="Times New Roman"/>
      <w:b/>
      <w:bCs/>
      <w:kern w:val="2"/>
      <w:sz w:val="21"/>
      <w:szCs w:val="22"/>
    </w:rPr>
  </w:style>
  <w:style w:type="paragraph" w:styleId="31">
    <w:name w:val="Body Text First Indent"/>
    <w:basedOn w:val="14"/>
    <w:link w:val="83"/>
    <w:qFormat/>
    <w:uiPriority w:val="0"/>
    <w:pPr>
      <w:ind w:firstLine="420"/>
    </w:pPr>
  </w:style>
  <w:style w:type="paragraph" w:styleId="32">
    <w:name w:val="Body Text First Indent 2"/>
    <w:basedOn w:val="15"/>
    <w:unhideWhenUsed/>
    <w:qFormat/>
    <w:uiPriority w:val="0"/>
    <w:pPr>
      <w:ind w:firstLine="42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6">
    <w:name w:val="Strong"/>
    <w:basedOn w:val="35"/>
    <w:qFormat/>
    <w:uiPriority w:val="0"/>
    <w:rPr>
      <w:b/>
    </w:rPr>
  </w:style>
  <w:style w:type="character" w:styleId="37">
    <w:name w:val="page number"/>
    <w:basedOn w:val="35"/>
    <w:qFormat/>
    <w:uiPriority w:val="0"/>
    <w:rPr>
      <w:rFonts w:cs="Times New Roman"/>
    </w:rPr>
  </w:style>
  <w:style w:type="character" w:styleId="38">
    <w:name w:val="Hyperlink"/>
    <w:qFormat/>
    <w:uiPriority w:val="0"/>
    <w:rPr>
      <w:color w:val="0000FF"/>
      <w:u w:val="single"/>
    </w:rPr>
  </w:style>
  <w:style w:type="character" w:styleId="39">
    <w:name w:val="annotation reference"/>
    <w:basedOn w:val="35"/>
    <w:qFormat/>
    <w:uiPriority w:val="0"/>
    <w:rPr>
      <w:sz w:val="21"/>
      <w:szCs w:val="21"/>
    </w:rPr>
  </w:style>
  <w:style w:type="character" w:customStyle="1" w:styleId="40">
    <w:name w:val="font51"/>
    <w:basedOn w:val="35"/>
    <w:qFormat/>
    <w:uiPriority w:val="0"/>
    <w:rPr>
      <w:rFonts w:hint="eastAsia" w:ascii="宋体" w:hAnsi="宋体" w:eastAsia="宋体"/>
      <w:color w:val="000000"/>
      <w:sz w:val="24"/>
      <w:szCs w:val="24"/>
      <w:u w:val="none"/>
    </w:rPr>
  </w:style>
  <w:style w:type="character" w:customStyle="1" w:styleId="41">
    <w:name w:val="font11"/>
    <w:basedOn w:val="35"/>
    <w:qFormat/>
    <w:uiPriority w:val="0"/>
    <w:rPr>
      <w:rFonts w:hint="eastAsia" w:ascii="宋体" w:hAnsi="宋体" w:eastAsia="宋体"/>
      <w:color w:val="000000"/>
      <w:sz w:val="24"/>
      <w:szCs w:val="24"/>
      <w:u w:val="single"/>
    </w:rPr>
  </w:style>
  <w:style w:type="paragraph" w:customStyle="1" w:styleId="4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1"/>
    <w:qFormat/>
    <w:uiPriority w:val="0"/>
    <w:pPr>
      <w:spacing w:after="120"/>
      <w:ind w:left="420" w:leftChars="200"/>
    </w:pPr>
    <w:rPr>
      <w:rFonts w:eastAsia="楷体_GB2312"/>
      <w:szCs w:val="20"/>
    </w:rPr>
  </w:style>
  <w:style w:type="paragraph" w:customStyle="1" w:styleId="45">
    <w:name w:val="表头"/>
    <w:basedOn w:val="1"/>
    <w:qFormat/>
    <w:uiPriority w:val="0"/>
    <w:pPr>
      <w:spacing w:line="360" w:lineRule="auto"/>
      <w:jc w:val="center"/>
    </w:pPr>
    <w:rPr>
      <w:rFonts w:ascii="黑体" w:eastAsia="黑体"/>
      <w:kern w:val="0"/>
      <w:sz w:val="24"/>
      <w:szCs w:val="20"/>
    </w:rPr>
  </w:style>
  <w:style w:type="paragraph" w:customStyle="1" w:styleId="4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7">
    <w:name w:val="文一"/>
    <w:basedOn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8">
    <w:name w:val="正题"/>
    <w:basedOn w:val="47"/>
    <w:next w:val="47"/>
    <w:qFormat/>
    <w:uiPriority w:val="0"/>
    <w:pPr>
      <w:ind w:firstLine="0" w:firstLineChars="0"/>
      <w:jc w:val="center"/>
    </w:pPr>
    <w:rPr>
      <w:rFonts w:eastAsia="黑体"/>
      <w:b/>
      <w:sz w:val="36"/>
      <w:szCs w:val="36"/>
    </w:rPr>
  </w:style>
  <w:style w:type="character" w:customStyle="1" w:styleId="49">
    <w:name w:val="标题 1 Char"/>
    <w:link w:val="3"/>
    <w:qFormat/>
    <w:uiPriority w:val="0"/>
    <w:rPr>
      <w:kern w:val="44"/>
      <w:sz w:val="28"/>
      <w:szCs w:val="28"/>
    </w:rPr>
  </w:style>
  <w:style w:type="paragraph" w:customStyle="1" w:styleId="50">
    <w:name w:val="样式 宋体 四号 首行缩进:  2 字符"/>
    <w:basedOn w:val="1"/>
    <w:qFormat/>
    <w:uiPriority w:val="0"/>
    <w:pPr>
      <w:widowControl/>
    </w:pPr>
    <w:rPr>
      <w:rFonts w:cs="宋体"/>
      <w:color w:val="000000"/>
      <w:kern w:val="0"/>
      <w:szCs w:val="20"/>
    </w:rPr>
  </w:style>
  <w:style w:type="paragraph" w:styleId="51">
    <w:name w:val="No Spacing"/>
    <w:basedOn w:val="1"/>
    <w:qFormat/>
    <w:uiPriority w:val="0"/>
    <w:rPr>
      <w:sz w:val="22"/>
      <w:szCs w:val="20"/>
    </w:rPr>
  </w:style>
  <w:style w:type="paragraph" w:customStyle="1" w:styleId="52">
    <w:name w:val="PlainText"/>
    <w:basedOn w:val="1"/>
    <w:qFormat/>
    <w:uiPriority w:val="0"/>
    <w:rPr>
      <w:rFonts w:ascii="宋体" w:hAnsi="Courier New"/>
      <w:kern w:val="0"/>
      <w:sz w:val="20"/>
      <w:szCs w:val="20"/>
    </w:rPr>
  </w:style>
  <w:style w:type="paragraph" w:customStyle="1" w:styleId="53">
    <w:name w:val="章节三"/>
    <w:basedOn w:val="47"/>
    <w:next w:val="1"/>
    <w:qFormat/>
    <w:uiPriority w:val="0"/>
    <w:pPr>
      <w:spacing w:beforeLines="50" w:line="240" w:lineRule="auto"/>
      <w:ind w:firstLine="0" w:firstLineChars="0"/>
      <w:jc w:val="left"/>
      <w:outlineLvl w:val="2"/>
    </w:pPr>
    <w:rPr>
      <w:rFonts w:ascii="黑体" w:eastAsia="黑体"/>
      <w:b/>
    </w:rPr>
  </w:style>
  <w:style w:type="paragraph" w:customStyle="1" w:styleId="54">
    <w:name w:val="封二"/>
    <w:basedOn w:val="47"/>
    <w:next w:val="47"/>
    <w:qFormat/>
    <w:uiPriority w:val="0"/>
    <w:pPr>
      <w:ind w:firstLine="0" w:firstLineChars="0"/>
      <w:jc w:val="center"/>
    </w:pPr>
    <w:rPr>
      <w:rFonts w:eastAsia="黑体"/>
      <w:b/>
      <w:sz w:val="36"/>
      <w:szCs w:val="36"/>
    </w:rPr>
  </w:style>
  <w:style w:type="paragraph" w:customStyle="1" w:styleId="55">
    <w:name w:val="封一"/>
    <w:basedOn w:val="47"/>
    <w:next w:val="47"/>
    <w:qFormat/>
    <w:uiPriority w:val="0"/>
    <w:pPr>
      <w:ind w:firstLine="0" w:firstLineChars="0"/>
      <w:jc w:val="center"/>
    </w:pPr>
    <w:rPr>
      <w:rFonts w:eastAsia="黑体"/>
      <w:b/>
      <w:sz w:val="84"/>
      <w:szCs w:val="84"/>
    </w:rPr>
  </w:style>
  <w:style w:type="paragraph" w:customStyle="1" w:styleId="56">
    <w:name w:val="封四"/>
    <w:basedOn w:val="47"/>
    <w:next w:val="47"/>
    <w:qFormat/>
    <w:uiPriority w:val="0"/>
    <w:pPr>
      <w:jc w:val="left"/>
    </w:pPr>
    <w:rPr>
      <w:sz w:val="30"/>
      <w:szCs w:val="30"/>
    </w:rPr>
  </w:style>
  <w:style w:type="paragraph" w:customStyle="1" w:styleId="57">
    <w:name w:val="正文文本缩进1"/>
    <w:basedOn w:val="1"/>
    <w:qFormat/>
    <w:uiPriority w:val="0"/>
    <w:pPr>
      <w:ind w:firstLine="480"/>
    </w:pPr>
    <w:rPr>
      <w:sz w:val="24"/>
      <w:szCs w:val="20"/>
    </w:rPr>
  </w:style>
  <w:style w:type="paragraph" w:customStyle="1" w:styleId="58">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4">
    <w:name w:val="正文缩进 New"/>
    <w:basedOn w:val="63"/>
    <w:qFormat/>
    <w:uiPriority w:val="0"/>
    <w:pPr>
      <w:ind w:firstLine="420"/>
    </w:pPr>
    <w:rPr>
      <w:rFonts w:ascii="Times New Roman" w:hAnsi="Times New Roman" w:cs="Times New Roman"/>
      <w:snapToGrid/>
      <w:kern w:val="2"/>
      <w:szCs w:val="20"/>
    </w:rPr>
  </w:style>
  <w:style w:type="paragraph" w:customStyle="1" w:styleId="65">
    <w:name w:val="正文文本缩进11"/>
    <w:basedOn w:val="1"/>
    <w:qFormat/>
    <w:uiPriority w:val="0"/>
    <w:pPr>
      <w:ind w:firstLine="480"/>
    </w:pPr>
    <w:rPr>
      <w:sz w:val="24"/>
      <w:szCs w:val="20"/>
    </w:rPr>
  </w:style>
  <w:style w:type="paragraph" w:customStyle="1" w:styleId="66">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7">
    <w:name w:val="批注文字 Char"/>
    <w:basedOn w:val="35"/>
    <w:link w:val="13"/>
    <w:qFormat/>
    <w:uiPriority w:val="0"/>
    <w:rPr>
      <w:rFonts w:ascii="宋体" w:hAnsi="宋体"/>
      <w:sz w:val="24"/>
      <w:szCs w:val="24"/>
    </w:rPr>
  </w:style>
  <w:style w:type="character" w:customStyle="1" w:styleId="68">
    <w:name w:val="批注主题 Char"/>
    <w:basedOn w:val="67"/>
    <w:link w:val="30"/>
    <w:qFormat/>
    <w:uiPriority w:val="0"/>
    <w:rPr>
      <w:rFonts w:ascii="宋体" w:hAnsi="宋体"/>
      <w:sz w:val="24"/>
      <w:szCs w:val="24"/>
    </w:rPr>
  </w:style>
  <w:style w:type="character" w:customStyle="1" w:styleId="69">
    <w:name w:val="批注框文本 Char"/>
    <w:basedOn w:val="35"/>
    <w:link w:val="21"/>
    <w:qFormat/>
    <w:uiPriority w:val="0"/>
    <w:rPr>
      <w:kern w:val="2"/>
      <w:sz w:val="18"/>
      <w:szCs w:val="18"/>
    </w:rPr>
  </w:style>
  <w:style w:type="character" w:customStyle="1" w:styleId="70">
    <w:name w:val="标题 4 Char"/>
    <w:basedOn w:val="35"/>
    <w:link w:val="6"/>
    <w:qFormat/>
    <w:uiPriority w:val="0"/>
    <w:rPr>
      <w:rFonts w:ascii="Arial" w:hAnsi="Arial"/>
      <w:color w:val="000000"/>
      <w:kern w:val="2"/>
      <w:sz w:val="24"/>
      <w:szCs w:val="24"/>
    </w:rPr>
  </w:style>
  <w:style w:type="character" w:customStyle="1" w:styleId="71">
    <w:name w:val="标题 5 Char"/>
    <w:basedOn w:val="35"/>
    <w:link w:val="7"/>
    <w:qFormat/>
    <w:uiPriority w:val="0"/>
    <w:rPr>
      <w:rFonts w:ascii="Arial" w:hAnsi="Arial"/>
      <w:color w:val="000000"/>
      <w:kern w:val="2"/>
      <w:sz w:val="24"/>
      <w:szCs w:val="24"/>
    </w:rPr>
  </w:style>
  <w:style w:type="character" w:customStyle="1" w:styleId="72">
    <w:name w:val="标题 7 Char"/>
    <w:basedOn w:val="35"/>
    <w:link w:val="9"/>
    <w:qFormat/>
    <w:uiPriority w:val="0"/>
    <w:rPr>
      <w:b/>
      <w:kern w:val="2"/>
      <w:sz w:val="24"/>
    </w:rPr>
  </w:style>
  <w:style w:type="character" w:customStyle="1" w:styleId="73">
    <w:name w:val="标题 8 Char"/>
    <w:basedOn w:val="35"/>
    <w:link w:val="10"/>
    <w:qFormat/>
    <w:uiPriority w:val="0"/>
    <w:rPr>
      <w:rFonts w:ascii="Arial" w:hAnsi="Arial" w:eastAsia="黑体"/>
      <w:kern w:val="2"/>
      <w:sz w:val="24"/>
    </w:rPr>
  </w:style>
  <w:style w:type="character" w:customStyle="1" w:styleId="74">
    <w:name w:val="标题 9 Char"/>
    <w:basedOn w:val="35"/>
    <w:link w:val="11"/>
    <w:qFormat/>
    <w:uiPriority w:val="0"/>
    <w:rPr>
      <w:rFonts w:ascii="Arial" w:hAnsi="Arial" w:eastAsia="黑体"/>
      <w:kern w:val="2"/>
      <w:sz w:val="21"/>
    </w:rPr>
  </w:style>
  <w:style w:type="character" w:customStyle="1" w:styleId="75">
    <w:name w:val="正文文本缩进 2 Char"/>
    <w:basedOn w:val="35"/>
    <w:link w:val="20"/>
    <w:qFormat/>
    <w:uiPriority w:val="0"/>
    <w:rPr>
      <w:kern w:val="2"/>
      <w:sz w:val="30"/>
      <w:szCs w:val="24"/>
    </w:rPr>
  </w:style>
  <w:style w:type="character" w:customStyle="1" w:styleId="76">
    <w:name w:val="正文文本缩进 3 Char"/>
    <w:basedOn w:val="35"/>
    <w:link w:val="26"/>
    <w:qFormat/>
    <w:uiPriority w:val="0"/>
    <w:rPr>
      <w:kern w:val="2"/>
      <w:sz w:val="16"/>
      <w:szCs w:val="16"/>
    </w:rPr>
  </w:style>
  <w:style w:type="character" w:customStyle="1" w:styleId="77">
    <w:name w:val="标题 2 Char"/>
    <w:link w:val="4"/>
    <w:qFormat/>
    <w:uiPriority w:val="0"/>
    <w:rPr>
      <w:rFonts w:ascii="Arial" w:hAnsi="Arial"/>
      <w:b/>
      <w:color w:val="000000"/>
      <w:sz w:val="24"/>
      <w:szCs w:val="24"/>
    </w:rPr>
  </w:style>
  <w:style w:type="character" w:customStyle="1" w:styleId="78">
    <w:name w:val="正文文本 Char"/>
    <w:link w:val="14"/>
    <w:qFormat/>
    <w:uiPriority w:val="0"/>
  </w:style>
  <w:style w:type="character" w:customStyle="1" w:styleId="79">
    <w:name w:val="正文文本缩进 Char"/>
    <w:link w:val="15"/>
    <w:qFormat/>
    <w:uiPriority w:val="0"/>
    <w:rPr>
      <w:sz w:val="28"/>
    </w:rPr>
  </w:style>
  <w:style w:type="character" w:customStyle="1" w:styleId="80">
    <w:name w:val="纯文本 Char"/>
    <w:link w:val="18"/>
    <w:qFormat/>
    <w:uiPriority w:val="0"/>
    <w:rPr>
      <w:rFonts w:ascii="宋体" w:hAnsi="Courier New"/>
    </w:rPr>
  </w:style>
  <w:style w:type="character" w:customStyle="1" w:styleId="81">
    <w:name w:val="页脚 Char"/>
    <w:link w:val="22"/>
    <w:qFormat/>
    <w:uiPriority w:val="0"/>
    <w:rPr>
      <w:rFonts w:ascii="Calibri" w:hAnsi="Calibri"/>
      <w:sz w:val="18"/>
      <w:szCs w:val="18"/>
    </w:rPr>
  </w:style>
  <w:style w:type="character" w:customStyle="1" w:styleId="82">
    <w:name w:val="页眉 Char"/>
    <w:link w:val="23"/>
    <w:qFormat/>
    <w:uiPriority w:val="0"/>
    <w:rPr>
      <w:rFonts w:ascii="Calibri" w:hAnsi="Calibri"/>
      <w:sz w:val="18"/>
      <w:szCs w:val="18"/>
    </w:rPr>
  </w:style>
  <w:style w:type="character" w:customStyle="1" w:styleId="83">
    <w:name w:val="正文首行缩进 Char"/>
    <w:basedOn w:val="78"/>
    <w:link w:val="31"/>
    <w:qFormat/>
    <w:uiPriority w:val="0"/>
  </w:style>
  <w:style w:type="character" w:customStyle="1" w:styleId="84">
    <w:name w:val="标题 3 Char Char"/>
    <w:qFormat/>
    <w:uiPriority w:val="0"/>
    <w:rPr>
      <w:rFonts w:ascii="宋体" w:hAnsi="宋体" w:eastAsia="宋体"/>
      <w:b/>
      <w:bCs/>
      <w:color w:val="FF0000"/>
      <w:kern w:val="2"/>
      <w:sz w:val="24"/>
      <w:szCs w:val="24"/>
      <w:lang w:val="zh-CN" w:eastAsia="zh-CN" w:bidi="ar-SA"/>
    </w:rPr>
  </w:style>
  <w:style w:type="character" w:customStyle="1" w:styleId="85">
    <w:name w:val="页码1"/>
    <w:basedOn w:val="35"/>
    <w:qFormat/>
    <w:uiPriority w:val="0"/>
  </w:style>
  <w:style w:type="paragraph" w:customStyle="1" w:styleId="86">
    <w:name w:val="Char Char Char Char"/>
    <w:basedOn w:val="87"/>
    <w:qFormat/>
    <w:uiPriority w:val="0"/>
    <w:rPr>
      <w:rFonts w:ascii="Tahoma" w:hAnsi="Tahoma"/>
      <w:sz w:val="24"/>
    </w:rPr>
  </w:style>
  <w:style w:type="paragraph" w:customStyle="1" w:styleId="87">
    <w:name w:val="文档结构图1"/>
    <w:basedOn w:val="1"/>
    <w:qFormat/>
    <w:uiPriority w:val="0"/>
    <w:pPr>
      <w:shd w:val="clear" w:color="auto" w:fill="000080"/>
    </w:pPr>
    <w:rPr>
      <w:sz w:val="30"/>
      <w:szCs w:val="24"/>
    </w:rPr>
  </w:style>
  <w:style w:type="paragraph" w:customStyle="1" w:styleId="8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_Style 46"/>
    <w:qFormat/>
    <w:uiPriority w:val="0"/>
    <w:rPr>
      <w:rFonts w:ascii="Times New Roman" w:hAnsi="Times New Roman" w:eastAsia="宋体" w:cs="Times New Roman"/>
      <w:kern w:val="2"/>
      <w:sz w:val="30"/>
      <w:szCs w:val="24"/>
      <w:lang w:val="en-US" w:eastAsia="zh-CN" w:bidi="ar-SA"/>
    </w:rPr>
  </w:style>
  <w:style w:type="paragraph" w:customStyle="1" w:styleId="90">
    <w:name w:val="页脚 New"/>
    <w:basedOn w:val="91"/>
    <w:qFormat/>
    <w:uiPriority w:val="0"/>
    <w:pPr>
      <w:tabs>
        <w:tab w:val="center" w:pos="4153"/>
        <w:tab w:val="right" w:pos="8306"/>
      </w:tabs>
      <w:snapToGrid w:val="0"/>
      <w:jc w:val="left"/>
    </w:pPr>
    <w:rPr>
      <w:sz w:val="18"/>
    </w:rPr>
  </w:style>
  <w:style w:type="paragraph" w:customStyle="1" w:styleId="9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正文首行缩进1"/>
    <w:basedOn w:val="14"/>
    <w:qFormat/>
    <w:uiPriority w:val="0"/>
    <w:pPr>
      <w:spacing w:after="0"/>
      <w:ind w:firstLine="420" w:firstLineChars="100"/>
    </w:pPr>
    <w:rPr>
      <w:kern w:val="2"/>
      <w:sz w:val="30"/>
      <w:szCs w:val="24"/>
    </w:rPr>
  </w:style>
  <w:style w:type="paragraph" w:customStyle="1" w:styleId="9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标题 2 New"/>
    <w:basedOn w:val="63"/>
    <w:next w:val="63"/>
    <w:qFormat/>
    <w:uiPriority w:val="0"/>
    <w:pPr>
      <w:keepNext/>
      <w:keepLines/>
      <w:spacing w:line="416" w:lineRule="auto"/>
      <w:outlineLvl w:val="1"/>
    </w:pPr>
    <w:rPr>
      <w:rFonts w:ascii="Arial" w:hAnsi="Arial" w:eastAsia="仿宋_GB2312"/>
      <w:b/>
      <w:bCs/>
      <w:sz w:val="32"/>
    </w:rPr>
  </w:style>
  <w:style w:type="paragraph" w:customStyle="1" w:styleId="96">
    <w:name w:val="正文文本 New"/>
    <w:basedOn w:val="42"/>
    <w:qFormat/>
    <w:uiPriority w:val="0"/>
    <w:rPr>
      <w:rFonts w:eastAsia="宋体"/>
      <w:kern w:val="2"/>
      <w:sz w:val="30"/>
      <w:szCs w:val="24"/>
    </w:rPr>
  </w:style>
  <w:style w:type="paragraph" w:customStyle="1" w:styleId="97">
    <w:name w:val="页眉 New"/>
    <w:basedOn w:val="91"/>
    <w:qFormat/>
    <w:uiPriority w:val="0"/>
    <w:pPr>
      <w:pBdr>
        <w:bottom w:val="single" w:color="auto" w:sz="6" w:space="1"/>
      </w:pBdr>
      <w:tabs>
        <w:tab w:val="center" w:pos="4153"/>
        <w:tab w:val="right" w:pos="8306"/>
      </w:tabs>
      <w:snapToGrid w:val="0"/>
      <w:jc w:val="center"/>
    </w:pPr>
    <w:rPr>
      <w:sz w:val="18"/>
    </w:rPr>
  </w:style>
  <w:style w:type="paragraph" w:customStyle="1" w:styleId="98">
    <w:name w:val="Char1 Char Char Char Char Char Char1"/>
    <w:basedOn w:val="60"/>
    <w:qFormat/>
    <w:uiPriority w:val="0"/>
  </w:style>
  <w:style w:type="paragraph" w:customStyle="1" w:styleId="99">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Char1 Char Char Char Char Char Char1 Char Char Char"/>
    <w:basedOn w:val="1"/>
    <w:qFormat/>
    <w:uiPriority w:val="0"/>
    <w:rPr>
      <w:sz w:val="30"/>
      <w:szCs w:val="24"/>
    </w:rPr>
  </w:style>
  <w:style w:type="paragraph" w:customStyle="1" w:styleId="104">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纯文本 New"/>
    <w:basedOn w:val="42"/>
    <w:qFormat/>
    <w:uiPriority w:val="0"/>
    <w:rPr>
      <w:rFonts w:ascii="宋体" w:hAnsi="Courier New" w:eastAsia="宋体"/>
      <w:kern w:val="2"/>
      <w:sz w:val="24"/>
    </w:rPr>
  </w:style>
  <w:style w:type="paragraph" w:customStyle="1" w:styleId="11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首行缩进 New"/>
    <w:basedOn w:val="96"/>
    <w:qFormat/>
    <w:uiPriority w:val="0"/>
    <w:pPr>
      <w:ind w:firstLine="420" w:firstLineChars="100"/>
    </w:pPr>
  </w:style>
  <w:style w:type="paragraph" w:customStyle="1" w:styleId="112">
    <w:name w:val="页眉 New New"/>
    <w:basedOn w:val="108"/>
    <w:qFormat/>
    <w:uiPriority w:val="0"/>
    <w:pPr>
      <w:pBdr>
        <w:bottom w:val="single" w:color="auto" w:sz="6" w:space="1"/>
      </w:pBdr>
      <w:tabs>
        <w:tab w:val="center" w:pos="4153"/>
        <w:tab w:val="right" w:pos="8306"/>
      </w:tabs>
      <w:snapToGrid w:val="0"/>
      <w:jc w:val="center"/>
    </w:pPr>
    <w:rPr>
      <w:sz w:val="18"/>
    </w:rPr>
  </w:style>
  <w:style w:type="paragraph" w:customStyle="1" w:styleId="11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5">
    <w:name w:val="Char"/>
    <w:basedOn w:val="1"/>
    <w:qFormat/>
    <w:uiPriority w:val="0"/>
    <w:pPr>
      <w:widowControl/>
      <w:spacing w:line="240" w:lineRule="exact"/>
      <w:jc w:val="left"/>
    </w:pPr>
    <w:rPr>
      <w:sz w:val="30"/>
      <w:szCs w:val="24"/>
    </w:rPr>
  </w:style>
  <w:style w:type="paragraph" w:customStyle="1" w:styleId="11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纯文本1"/>
    <w:basedOn w:val="1"/>
    <w:qFormat/>
    <w:uiPriority w:val="0"/>
    <w:rPr>
      <w:rFonts w:ascii="宋体" w:hAnsi="Courier New"/>
      <w:sz w:val="24"/>
      <w:szCs w:val="20"/>
    </w:rPr>
  </w:style>
  <w:style w:type="paragraph" w:customStyle="1" w:styleId="122">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页脚 New New"/>
    <w:basedOn w:val="108"/>
    <w:qFormat/>
    <w:uiPriority w:val="0"/>
    <w:pPr>
      <w:tabs>
        <w:tab w:val="center" w:pos="4153"/>
        <w:tab w:val="right" w:pos="8306"/>
      </w:tabs>
      <w:snapToGrid w:val="0"/>
      <w:jc w:val="left"/>
    </w:pPr>
    <w:rPr>
      <w:sz w:val="18"/>
    </w:rPr>
  </w:style>
  <w:style w:type="paragraph" w:customStyle="1" w:styleId="127">
    <w:name w:val="正文文本缩进 21"/>
    <w:basedOn w:val="1"/>
    <w:qFormat/>
    <w:uiPriority w:val="0"/>
    <w:pPr>
      <w:spacing w:line="420" w:lineRule="exact"/>
      <w:ind w:firstLine="480"/>
    </w:pPr>
    <w:rPr>
      <w:b/>
      <w:sz w:val="24"/>
      <w:szCs w:val="20"/>
    </w:rPr>
  </w:style>
  <w:style w:type="paragraph" w:customStyle="1" w:styleId="128">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30">
    <w:name w:val="修订2"/>
    <w:hidden/>
    <w:unhideWhenUsed/>
    <w:qFormat/>
    <w:uiPriority w:val="99"/>
    <w:rPr>
      <w:rFonts w:ascii="Times New Roman" w:hAnsi="Times New Roman" w:eastAsia="宋体" w:cs="Times New Roman"/>
      <w:kern w:val="2"/>
      <w:sz w:val="21"/>
      <w:szCs w:val="22"/>
      <w:lang w:val="en-US" w:eastAsia="zh-CN" w:bidi="ar-SA"/>
    </w:rPr>
  </w:style>
  <w:style w:type="table" w:customStyle="1" w:styleId="131">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正文文本 2 Char"/>
    <w:link w:val="27"/>
    <w:autoRedefine/>
    <w:qFormat/>
    <w:uiPriority w:val="0"/>
    <w:rPr>
      <w:rFonts w:ascii="宋体" w:hAnsi="宋体"/>
      <w:szCs w:val="24"/>
      <w:u w:val="single"/>
    </w:rPr>
  </w:style>
  <w:style w:type="paragraph" w:customStyle="1" w:styleId="133">
    <w:name w:val="页脚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4">
    <w:name w:val="页脚 New New New New"/>
    <w:basedOn w:val="1"/>
    <w:qFormat/>
    <w:uiPriority w:val="0"/>
    <w:pPr>
      <w:tabs>
        <w:tab w:val="center" w:pos="4153"/>
        <w:tab w:val="right" w:pos="8306"/>
      </w:tabs>
      <w:snapToGrid w:val="0"/>
      <w:jc w:val="left"/>
    </w:pPr>
    <w:rPr>
      <w:sz w:val="18"/>
      <w:szCs w:val="18"/>
    </w:rPr>
  </w:style>
  <w:style w:type="paragraph" w:customStyle="1" w:styleId="135">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6">
    <w:name w:val="页脚 New New New New New New"/>
    <w:basedOn w:val="1"/>
    <w:qFormat/>
    <w:uiPriority w:val="0"/>
    <w:pPr>
      <w:tabs>
        <w:tab w:val="center" w:pos="4153"/>
        <w:tab w:val="right" w:pos="8306"/>
      </w:tabs>
      <w:snapToGrid w:val="0"/>
      <w:jc w:val="left"/>
    </w:pPr>
    <w:rPr>
      <w:sz w:val="18"/>
      <w:szCs w:val="18"/>
    </w:rPr>
  </w:style>
  <w:style w:type="paragraph" w:customStyle="1" w:styleId="137">
    <w:name w:val="页脚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8">
    <w:name w:val="页脚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9">
    <w:name w:val="Char1 Char Char Char Char Char Char11"/>
    <w:basedOn w:val="60"/>
    <w:qFormat/>
    <w:uiPriority w:val="0"/>
  </w:style>
  <w:style w:type="paragraph" w:customStyle="1" w:styleId="140">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1">
    <w:name w:val="页脚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2">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43">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4">
    <w:name w:val="页脚 New New New"/>
    <w:basedOn w:val="1"/>
    <w:qFormat/>
    <w:uiPriority w:val="0"/>
    <w:pPr>
      <w:tabs>
        <w:tab w:val="center" w:pos="4153"/>
        <w:tab w:val="right" w:pos="8306"/>
      </w:tabs>
      <w:snapToGrid w:val="0"/>
      <w:jc w:val="left"/>
    </w:pPr>
    <w:rPr>
      <w:sz w:val="18"/>
      <w:szCs w:val="18"/>
    </w:rPr>
  </w:style>
  <w:style w:type="paragraph" w:customStyle="1" w:styleId="145">
    <w:name w:val="页脚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6">
    <w:name w:val="页脚 New New New New New"/>
    <w:basedOn w:val="1"/>
    <w:qFormat/>
    <w:uiPriority w:val="0"/>
    <w:pPr>
      <w:tabs>
        <w:tab w:val="center" w:pos="4153"/>
        <w:tab w:val="right" w:pos="8306"/>
      </w:tabs>
      <w:snapToGrid w:val="0"/>
      <w:jc w:val="left"/>
    </w:pPr>
    <w:rPr>
      <w:sz w:val="18"/>
      <w:szCs w:val="18"/>
    </w:rPr>
  </w:style>
  <w:style w:type="paragraph" w:customStyle="1" w:styleId="147">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148">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9">
    <w:name w:val="页脚 New New New New New New New New New New"/>
    <w:basedOn w:val="1"/>
    <w:qFormat/>
    <w:uiPriority w:val="0"/>
    <w:pPr>
      <w:tabs>
        <w:tab w:val="center" w:pos="4153"/>
        <w:tab w:val="right" w:pos="8306"/>
      </w:tabs>
      <w:snapToGrid w:val="0"/>
      <w:jc w:val="left"/>
    </w:pPr>
    <w:rPr>
      <w:sz w:val="18"/>
      <w:szCs w:val="18"/>
    </w:rPr>
  </w:style>
  <w:style w:type="paragraph" w:customStyle="1" w:styleId="150">
    <w:name w:val="页脚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1">
    <w:name w:val="页脚 New New New New New New New New"/>
    <w:basedOn w:val="1"/>
    <w:qFormat/>
    <w:uiPriority w:val="0"/>
    <w:pPr>
      <w:tabs>
        <w:tab w:val="center" w:pos="4153"/>
        <w:tab w:val="right" w:pos="8306"/>
      </w:tabs>
      <w:snapToGrid w:val="0"/>
      <w:jc w:val="left"/>
    </w:pPr>
    <w:rPr>
      <w:sz w:val="18"/>
      <w:szCs w:val="18"/>
    </w:rPr>
  </w:style>
  <w:style w:type="paragraph" w:customStyle="1" w:styleId="152">
    <w:name w:val="Char1"/>
    <w:basedOn w:val="1"/>
    <w:qFormat/>
    <w:uiPriority w:val="0"/>
    <w:pPr>
      <w:widowControl/>
      <w:spacing w:line="240" w:lineRule="exact"/>
      <w:jc w:val="left"/>
    </w:pPr>
    <w:rPr>
      <w:rFonts w:eastAsia="仿宋_GB2312"/>
      <w:sz w:val="32"/>
      <w:szCs w:val="24"/>
    </w:rPr>
  </w:style>
  <w:style w:type="paragraph" w:customStyle="1" w:styleId="153">
    <w:name w:val="页脚 New New New New New New New"/>
    <w:basedOn w:val="1"/>
    <w:qFormat/>
    <w:uiPriority w:val="0"/>
    <w:pPr>
      <w:tabs>
        <w:tab w:val="center" w:pos="4153"/>
        <w:tab w:val="right" w:pos="8306"/>
      </w:tabs>
      <w:snapToGrid w:val="0"/>
      <w:jc w:val="left"/>
    </w:pPr>
    <w:rPr>
      <w:sz w:val="18"/>
      <w:szCs w:val="18"/>
    </w:rPr>
  </w:style>
  <w:style w:type="paragraph" w:customStyle="1" w:styleId="154">
    <w:name w:val="_Style 113"/>
    <w:qFormat/>
    <w:uiPriority w:val="0"/>
    <w:rPr>
      <w:rFonts w:ascii="Times New Roman" w:hAnsi="Times New Roman" w:eastAsia="宋体" w:cs="Times New Roman"/>
      <w:kern w:val="2"/>
      <w:sz w:val="30"/>
      <w:szCs w:val="24"/>
      <w:lang w:val="en-US" w:eastAsia="zh-CN" w:bidi="ar-SA"/>
    </w:rPr>
  </w:style>
  <w:style w:type="paragraph" w:customStyle="1" w:styleId="155">
    <w:name w:val="页脚 New New New New New New New New New New New New New"/>
    <w:basedOn w:val="1"/>
    <w:qFormat/>
    <w:uiPriority w:val="0"/>
    <w:pPr>
      <w:tabs>
        <w:tab w:val="center" w:pos="4153"/>
        <w:tab w:val="right" w:pos="8306"/>
      </w:tabs>
      <w:snapToGrid w:val="0"/>
      <w:jc w:val="left"/>
    </w:pPr>
    <w:rPr>
      <w:sz w:val="18"/>
      <w:szCs w:val="18"/>
    </w:rPr>
  </w:style>
  <w:style w:type="character" w:customStyle="1" w:styleId="156">
    <w:name w:val="日期 Char"/>
    <w:basedOn w:val="35"/>
    <w:link w:val="19"/>
    <w:qFormat/>
    <w:uiPriority w:val="0"/>
    <w:rPr>
      <w:kern w:val="2"/>
      <w:sz w:val="30"/>
      <w:szCs w:val="24"/>
    </w:rPr>
  </w:style>
  <w:style w:type="character" w:customStyle="1" w:styleId="157">
    <w:name w:val="标题 3 Char"/>
    <w:basedOn w:val="35"/>
    <w:link w:val="5"/>
    <w:qFormat/>
    <w:uiPriority w:val="0"/>
    <w:rPr>
      <w:b/>
      <w:bCs/>
      <w:kern w:val="2"/>
      <w:sz w:val="32"/>
      <w:szCs w:val="32"/>
    </w:rPr>
  </w:style>
  <w:style w:type="table" w:customStyle="1" w:styleId="158">
    <w:name w:val="网格型2"/>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3"/>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0">
    <w:name w:val="font41"/>
    <w:basedOn w:val="35"/>
    <w:qFormat/>
    <w:uiPriority w:val="0"/>
    <w:rPr>
      <w:rFonts w:hint="eastAsia" w:ascii="宋体" w:hAnsi="宋体" w:eastAsia="宋体" w:cs="宋体"/>
      <w:color w:val="000000"/>
      <w:sz w:val="36"/>
      <w:szCs w:val="36"/>
      <w:u w:val="none"/>
    </w:rPr>
  </w:style>
  <w:style w:type="paragraph" w:customStyle="1" w:styleId="161">
    <w:name w:val="样式 宋体 行距: 1.5 倍行距"/>
    <w:basedOn w:val="1"/>
    <w:autoRedefine/>
    <w:qFormat/>
    <w:uiPriority w:val="99"/>
    <w:pPr>
      <w:spacing w:line="360" w:lineRule="auto"/>
    </w:pPr>
    <w:rPr>
      <w:bCs/>
      <w:sz w:val="24"/>
    </w:rPr>
  </w:style>
  <w:style w:type="paragraph" w:customStyle="1" w:styleId="162">
    <w:name w:val="null3"/>
    <w:qFormat/>
    <w:uiPriority w:val="0"/>
    <w:rPr>
      <w:rFonts w:hint="eastAsia" w:ascii="Calibri" w:hAnsi="Calibri" w:eastAsia="宋体" w:cs="Times New Roman"/>
      <w:lang w:val="en-US" w:eastAsia="zh-Hans"/>
    </w:rPr>
  </w:style>
  <w:style w:type="paragraph" w:customStyle="1" w:styleId="163">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24518</Words>
  <Characters>25688</Characters>
  <Lines>973</Lines>
  <Paragraphs>274</Paragraphs>
  <TotalTime>17</TotalTime>
  <ScaleCrop>false</ScaleCrop>
  <LinksUpToDate>false</LinksUpToDate>
  <CharactersWithSpaces>27099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2025-06-16T06:27:00Z</dcterms:created>
  <dc:creator>Administrator</dc:creator>
  <cp:lastModifiedBy>陈</cp:lastModifiedBy>
  <cp:lastPrinted>2025-10-20T09:07:29Z</cp:lastPrinted>
  <dcterms:modified xsi:type="dcterms:W3CDTF">2025-10-20T09:12:57Z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AC6AEB9EAE8F4262B0EBA1CDB3ABFCDC_13</vt:lpwstr>
  </property>
  <property fmtid="{D5CDD505-2E9C-101B-9397-08002B2CF9AE}" pid="4" name="KSOTemplateDocerSaveRecord">
    <vt:lpwstr>eyJoZGlkIjoiNDY5OGFjZjlkZTdhNWUyNDM4ODlkMjk3MDlhNmQwMzIiLCJ1c2VySWQiOiI1MjE0NDI4NzIifQ==</vt:lpwstr>
  </property>
</Properties>
</file>